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9AEE" w14:textId="77777777" w:rsidR="00414C84" w:rsidRPr="00965F5B" w:rsidRDefault="00414C84" w:rsidP="0084113E">
      <w:pPr>
        <w:spacing w:before="4200" w:after="120" w:line="23" w:lineRule="atLeast"/>
        <w:jc w:val="center"/>
        <w:rPr>
          <w:b/>
          <w:sz w:val="32"/>
          <w:szCs w:val="32"/>
        </w:rPr>
      </w:pPr>
      <w:bookmarkStart w:id="0" w:name="_GoBack"/>
      <w:bookmarkEnd w:id="0"/>
      <w:r w:rsidRPr="00965F5B">
        <w:rPr>
          <w:b/>
          <w:sz w:val="32"/>
          <w:szCs w:val="32"/>
        </w:rPr>
        <w:t>Informacja</w:t>
      </w:r>
    </w:p>
    <w:p w14:paraId="7232673D" w14:textId="77777777" w:rsidR="00414C84" w:rsidRPr="00965F5B" w:rsidRDefault="00414C84" w:rsidP="0084113E">
      <w:pPr>
        <w:spacing w:before="120" w:after="120" w:line="23" w:lineRule="atLeast"/>
        <w:jc w:val="center"/>
        <w:rPr>
          <w:b/>
          <w:sz w:val="32"/>
          <w:szCs w:val="32"/>
        </w:rPr>
      </w:pPr>
      <w:r w:rsidRPr="00965F5B">
        <w:rPr>
          <w:b/>
          <w:sz w:val="32"/>
          <w:szCs w:val="32"/>
        </w:rPr>
        <w:t>o skutkach obowiązywania ustawy z dnia 16 listopada 2016 r.</w:t>
      </w:r>
    </w:p>
    <w:p w14:paraId="12AF73A4" w14:textId="77777777" w:rsidR="00414C84" w:rsidRPr="00965F5B" w:rsidRDefault="00414C84" w:rsidP="0084113E">
      <w:pPr>
        <w:spacing w:before="120" w:after="120" w:line="23" w:lineRule="atLeast"/>
        <w:jc w:val="center"/>
        <w:rPr>
          <w:b/>
          <w:sz w:val="32"/>
          <w:szCs w:val="32"/>
        </w:rPr>
      </w:pPr>
      <w:r w:rsidRPr="00965F5B">
        <w:rPr>
          <w:b/>
          <w:sz w:val="32"/>
          <w:szCs w:val="32"/>
        </w:rPr>
        <w:t>o zmianie ustawy o emeryturach i rentach z Funduszu Ubezpieczeń Społecznych oraz niektórych innych ustaw</w:t>
      </w:r>
    </w:p>
    <w:p w14:paraId="6FF42461" w14:textId="77777777" w:rsidR="002776EE" w:rsidRPr="00965F5B" w:rsidRDefault="00D96122" w:rsidP="0084113E">
      <w:pPr>
        <w:spacing w:before="120" w:after="120" w:line="23" w:lineRule="atLeast"/>
        <w:jc w:val="center"/>
        <w:rPr>
          <w:b/>
          <w:sz w:val="32"/>
          <w:szCs w:val="32"/>
        </w:rPr>
      </w:pPr>
      <w:r w:rsidRPr="00965F5B">
        <w:rPr>
          <w:b/>
          <w:sz w:val="32"/>
          <w:szCs w:val="32"/>
        </w:rPr>
        <w:t>w okresie 2019–</w:t>
      </w:r>
      <w:r w:rsidR="00414C84" w:rsidRPr="00965F5B">
        <w:rPr>
          <w:b/>
          <w:sz w:val="32"/>
          <w:szCs w:val="32"/>
        </w:rPr>
        <w:t>2021</w:t>
      </w:r>
    </w:p>
    <w:p w14:paraId="0B3D2F4A" w14:textId="6E567B04" w:rsidR="005916E3" w:rsidRDefault="002776EE">
      <w:pPr>
        <w:rPr>
          <w:b/>
          <w:sz w:val="24"/>
          <w:szCs w:val="24"/>
        </w:rPr>
      </w:pPr>
      <w:r w:rsidRPr="008D0165">
        <w:rPr>
          <w:b/>
          <w:sz w:val="24"/>
          <w:szCs w:val="24"/>
        </w:rPr>
        <w:br w:type="page"/>
      </w:r>
    </w:p>
    <w:p w14:paraId="454BCE4C" w14:textId="77777777" w:rsidR="00591932" w:rsidRPr="008D0165" w:rsidRDefault="00F64F3A" w:rsidP="00A26E9C">
      <w:pPr>
        <w:pStyle w:val="Akapitzlist"/>
        <w:numPr>
          <w:ilvl w:val="0"/>
          <w:numId w:val="14"/>
        </w:numPr>
        <w:spacing w:before="120" w:after="120" w:line="23" w:lineRule="atLeast"/>
        <w:ind w:left="284" w:hanging="284"/>
        <w:contextualSpacing w:val="0"/>
        <w:jc w:val="both"/>
        <w:rPr>
          <w:b/>
          <w:sz w:val="24"/>
          <w:szCs w:val="24"/>
        </w:rPr>
      </w:pPr>
      <w:r w:rsidRPr="008D0165">
        <w:rPr>
          <w:b/>
          <w:sz w:val="24"/>
          <w:szCs w:val="24"/>
        </w:rPr>
        <w:lastRenderedPageBreak/>
        <w:t>Wprowadzenie</w:t>
      </w:r>
    </w:p>
    <w:p w14:paraId="08361E18" w14:textId="39F564A6" w:rsidR="00687695" w:rsidRPr="008D0165" w:rsidRDefault="00F64F3A" w:rsidP="00A26E9C">
      <w:pPr>
        <w:spacing w:before="120" w:after="120"/>
        <w:jc w:val="both"/>
        <w:rPr>
          <w:sz w:val="24"/>
          <w:szCs w:val="24"/>
        </w:rPr>
      </w:pPr>
      <w:r w:rsidRPr="008D0165">
        <w:rPr>
          <w:sz w:val="24"/>
          <w:szCs w:val="24"/>
        </w:rPr>
        <w:t>Jednym z podstawowych założeń reformy systemu emerytalnego, przeprowadzonej w 1999</w:t>
      </w:r>
      <w:r w:rsidR="00E46850">
        <w:rPr>
          <w:sz w:val="24"/>
          <w:szCs w:val="24"/>
        </w:rPr>
        <w:t> </w:t>
      </w:r>
      <w:r w:rsidRPr="008D0165">
        <w:rPr>
          <w:sz w:val="24"/>
          <w:szCs w:val="24"/>
        </w:rPr>
        <w:t>r.</w:t>
      </w:r>
      <w:r w:rsidR="00E46850">
        <w:rPr>
          <w:sz w:val="24"/>
          <w:szCs w:val="24"/>
        </w:rPr>
        <w:t>,</w:t>
      </w:r>
      <w:r w:rsidRPr="008D0165">
        <w:rPr>
          <w:sz w:val="24"/>
          <w:szCs w:val="24"/>
        </w:rPr>
        <w:t xml:space="preserve"> było przywrócenie mu charakteru ubezpieczeniowego.</w:t>
      </w:r>
      <w:r w:rsidR="002F485C" w:rsidRPr="008D0165">
        <w:rPr>
          <w:sz w:val="24"/>
          <w:szCs w:val="24"/>
        </w:rPr>
        <w:t xml:space="preserve"> </w:t>
      </w:r>
      <w:r w:rsidR="00E23432" w:rsidRPr="008D0165">
        <w:rPr>
          <w:sz w:val="24"/>
          <w:szCs w:val="24"/>
        </w:rPr>
        <w:t>Pozwalało to na automatyczne dostosowywanie kalkulacji przyszłych emerytur do zmian demograficznych (zasada</w:t>
      </w:r>
      <w:r w:rsidR="00990E71">
        <w:rPr>
          <w:sz w:val="24"/>
          <w:szCs w:val="24"/>
        </w:rPr>
        <w:t> </w:t>
      </w:r>
      <w:r w:rsidR="00E23432" w:rsidRPr="008D0165">
        <w:rPr>
          <w:sz w:val="24"/>
          <w:szCs w:val="24"/>
        </w:rPr>
        <w:t xml:space="preserve">zdefiniowanej składki) oraz </w:t>
      </w:r>
      <w:r w:rsidR="00886248" w:rsidRPr="008D0165">
        <w:rPr>
          <w:sz w:val="24"/>
          <w:szCs w:val="24"/>
        </w:rPr>
        <w:t>za</w:t>
      </w:r>
      <w:r w:rsidR="00313934" w:rsidRPr="008D0165">
        <w:rPr>
          <w:sz w:val="24"/>
          <w:szCs w:val="24"/>
        </w:rPr>
        <w:t xml:space="preserve">bezpieczenie długookresowej stabilności finansowej systemu. Stary system generował </w:t>
      </w:r>
      <w:r w:rsidR="00E23432" w:rsidRPr="008D0165">
        <w:rPr>
          <w:sz w:val="24"/>
          <w:szCs w:val="24"/>
        </w:rPr>
        <w:t xml:space="preserve">bowiem </w:t>
      </w:r>
      <w:r w:rsidR="00313934" w:rsidRPr="008D0165">
        <w:rPr>
          <w:sz w:val="24"/>
          <w:szCs w:val="24"/>
        </w:rPr>
        <w:t>stale rosnący dług, który spadając na barki pracującego pokolenia ograniczał jego dochody z pracy i przedsiębiorczości, a tym samym spowalniał tempo wzrostu gospodarczego.</w:t>
      </w:r>
      <w:r w:rsidR="00886248" w:rsidRPr="008D0165">
        <w:rPr>
          <w:sz w:val="24"/>
          <w:szCs w:val="24"/>
        </w:rPr>
        <w:t xml:space="preserve"> </w:t>
      </w:r>
    </w:p>
    <w:p w14:paraId="1F2D2216" w14:textId="16B290C4" w:rsidR="00F64F3A" w:rsidRPr="008D0165" w:rsidRDefault="00886248" w:rsidP="00A26E9C">
      <w:pPr>
        <w:spacing w:before="120" w:after="120"/>
        <w:jc w:val="both"/>
        <w:rPr>
          <w:sz w:val="24"/>
          <w:szCs w:val="24"/>
        </w:rPr>
      </w:pPr>
      <w:r w:rsidRPr="008D0165">
        <w:rPr>
          <w:sz w:val="24"/>
          <w:szCs w:val="24"/>
        </w:rPr>
        <w:t>W ustawie z </w:t>
      </w:r>
      <w:r w:rsidR="00F64F3A" w:rsidRPr="008D0165">
        <w:rPr>
          <w:sz w:val="24"/>
          <w:szCs w:val="24"/>
        </w:rPr>
        <w:t>dnia 17 grudnia 199</w:t>
      </w:r>
      <w:r w:rsidR="00F364E3">
        <w:rPr>
          <w:sz w:val="24"/>
          <w:szCs w:val="24"/>
        </w:rPr>
        <w:t>8</w:t>
      </w:r>
      <w:r w:rsidR="00F64F3A" w:rsidRPr="008D0165">
        <w:rPr>
          <w:sz w:val="24"/>
          <w:szCs w:val="24"/>
        </w:rPr>
        <w:t xml:space="preserve"> r. o emeryturach i rentach z Funduszu Ubezpieczeń Społecznyc</w:t>
      </w:r>
      <w:r w:rsidR="00E716B0" w:rsidRPr="008D0165">
        <w:rPr>
          <w:sz w:val="24"/>
          <w:szCs w:val="24"/>
        </w:rPr>
        <w:t>h (Dz.</w:t>
      </w:r>
      <w:r w:rsidR="00027876">
        <w:rPr>
          <w:sz w:val="24"/>
          <w:szCs w:val="24"/>
        </w:rPr>
        <w:t xml:space="preserve"> </w:t>
      </w:r>
      <w:r w:rsidR="00E716B0" w:rsidRPr="008D0165">
        <w:rPr>
          <w:sz w:val="24"/>
          <w:szCs w:val="24"/>
        </w:rPr>
        <w:t>U. z 2022 r. poz. 504</w:t>
      </w:r>
      <w:r w:rsidR="00AE5C9D">
        <w:rPr>
          <w:sz w:val="24"/>
          <w:szCs w:val="24"/>
        </w:rPr>
        <w:t xml:space="preserve"> z późn. zm.</w:t>
      </w:r>
      <w:r w:rsidR="00F64F3A" w:rsidRPr="008D0165">
        <w:rPr>
          <w:sz w:val="24"/>
          <w:szCs w:val="24"/>
        </w:rPr>
        <w:t>)</w:t>
      </w:r>
      <w:r w:rsidR="00F64F3A" w:rsidRPr="008D0165">
        <w:rPr>
          <w:rStyle w:val="Odwoanieprzypisudolnego"/>
          <w:sz w:val="24"/>
          <w:szCs w:val="24"/>
        </w:rPr>
        <w:footnoteReference w:id="1"/>
      </w:r>
      <w:r w:rsidR="00EB3F99">
        <w:rPr>
          <w:sz w:val="24"/>
          <w:szCs w:val="24"/>
          <w:vertAlign w:val="superscript"/>
        </w:rPr>
        <w:t>)</w:t>
      </w:r>
      <w:r w:rsidR="00F64F3A" w:rsidRPr="008D0165">
        <w:rPr>
          <w:sz w:val="24"/>
          <w:szCs w:val="24"/>
        </w:rPr>
        <w:t xml:space="preserve"> określającej zasady nabywania prawa do</w:t>
      </w:r>
      <w:r w:rsidR="00AE5C9D">
        <w:rPr>
          <w:sz w:val="24"/>
          <w:szCs w:val="24"/>
        </w:rPr>
        <w:t> </w:t>
      </w:r>
      <w:r w:rsidR="00F64F3A" w:rsidRPr="008D0165">
        <w:rPr>
          <w:sz w:val="24"/>
          <w:szCs w:val="24"/>
        </w:rPr>
        <w:t>świadczeń typu ubezpieczeniowego, a więc świadczeń finansowanych i pozostających w</w:t>
      </w:r>
      <w:r w:rsidR="00AE5C9D">
        <w:rPr>
          <w:sz w:val="24"/>
          <w:szCs w:val="24"/>
        </w:rPr>
        <w:t> </w:t>
      </w:r>
      <w:r w:rsidR="00F64F3A" w:rsidRPr="008D0165">
        <w:rPr>
          <w:sz w:val="24"/>
          <w:szCs w:val="24"/>
        </w:rPr>
        <w:t xml:space="preserve">związku </w:t>
      </w:r>
      <w:r w:rsidR="006F365E" w:rsidRPr="008D0165">
        <w:rPr>
          <w:sz w:val="24"/>
          <w:szCs w:val="24"/>
        </w:rPr>
        <w:t>z</w:t>
      </w:r>
      <w:r w:rsidR="00990E71">
        <w:rPr>
          <w:sz w:val="24"/>
          <w:szCs w:val="24"/>
        </w:rPr>
        <w:t> </w:t>
      </w:r>
      <w:r w:rsidR="00F64F3A" w:rsidRPr="008D0165">
        <w:rPr>
          <w:sz w:val="24"/>
          <w:szCs w:val="24"/>
        </w:rPr>
        <w:t>funduszem gromadzonym na ten cel ze składek osób ubezpieczonych – przyszłych świadczeniobiorców – przesłanki nabycia prawa do emerytury zostały sformułowane w</w:t>
      </w:r>
      <w:r w:rsidR="00990E71">
        <w:rPr>
          <w:sz w:val="24"/>
          <w:szCs w:val="24"/>
        </w:rPr>
        <w:t> </w:t>
      </w:r>
      <w:r w:rsidR="00F64F3A" w:rsidRPr="008D0165">
        <w:rPr>
          <w:sz w:val="24"/>
          <w:szCs w:val="24"/>
        </w:rPr>
        <w:t>sposób bezwzględnie obowiązujący. Emerytura zapewnia doch</w:t>
      </w:r>
      <w:r w:rsidR="00E23432" w:rsidRPr="008D0165">
        <w:rPr>
          <w:sz w:val="24"/>
          <w:szCs w:val="24"/>
        </w:rPr>
        <w:t>ó</w:t>
      </w:r>
      <w:r w:rsidR="00F64F3A" w:rsidRPr="008D0165">
        <w:rPr>
          <w:sz w:val="24"/>
          <w:szCs w:val="24"/>
        </w:rPr>
        <w:t xml:space="preserve">d osobom w podeszłym wieku i wobec tego jej przyznanie jest uzależnione wyłącznie od spełnienia </w:t>
      </w:r>
      <w:r w:rsidR="00E23432" w:rsidRPr="008D0165">
        <w:rPr>
          <w:sz w:val="24"/>
          <w:szCs w:val="24"/>
        </w:rPr>
        <w:t>przez</w:t>
      </w:r>
      <w:r w:rsidR="00E46850">
        <w:rPr>
          <w:sz w:val="24"/>
          <w:szCs w:val="24"/>
        </w:rPr>
        <w:t> </w:t>
      </w:r>
      <w:r w:rsidR="00E23432" w:rsidRPr="008D0165">
        <w:rPr>
          <w:sz w:val="24"/>
          <w:szCs w:val="24"/>
        </w:rPr>
        <w:t xml:space="preserve">ubezpieczonego </w:t>
      </w:r>
      <w:r w:rsidR="00F64F3A" w:rsidRPr="008D0165">
        <w:rPr>
          <w:sz w:val="24"/>
          <w:szCs w:val="24"/>
        </w:rPr>
        <w:t>ryzyka ubezpieczeniowego, jakim jest osiągnięci</w:t>
      </w:r>
      <w:r w:rsidR="006F365E" w:rsidRPr="008D0165">
        <w:rPr>
          <w:sz w:val="24"/>
          <w:szCs w:val="24"/>
        </w:rPr>
        <w:t>e określonego ustawowo</w:t>
      </w:r>
      <w:r w:rsidR="00F64F3A" w:rsidRPr="008D0165">
        <w:rPr>
          <w:sz w:val="24"/>
          <w:szCs w:val="24"/>
        </w:rPr>
        <w:t xml:space="preserve"> wieku emerytalnego.</w:t>
      </w:r>
    </w:p>
    <w:p w14:paraId="218175A5" w14:textId="53AA6F73" w:rsidR="004E3E60" w:rsidRDefault="00F64F3A" w:rsidP="00A26E9C">
      <w:pPr>
        <w:spacing w:before="120" w:after="120"/>
        <w:jc w:val="both"/>
        <w:rPr>
          <w:sz w:val="24"/>
          <w:szCs w:val="24"/>
        </w:rPr>
      </w:pPr>
      <w:r w:rsidRPr="008D0165">
        <w:rPr>
          <w:sz w:val="24"/>
          <w:szCs w:val="24"/>
        </w:rPr>
        <w:t>Mimo obowiązującego w Polsce wieku emerytalnego, wynoszącego do końca 2012 r.</w:t>
      </w:r>
      <w:r w:rsidR="00687695" w:rsidRPr="008D0165">
        <w:rPr>
          <w:sz w:val="24"/>
          <w:szCs w:val="24"/>
        </w:rPr>
        <w:t xml:space="preserve"> oraz</w:t>
      </w:r>
      <w:r w:rsidR="004B12EF">
        <w:rPr>
          <w:sz w:val="24"/>
          <w:szCs w:val="24"/>
        </w:rPr>
        <w:t> </w:t>
      </w:r>
      <w:r w:rsidR="00687695" w:rsidRPr="008D0165">
        <w:rPr>
          <w:sz w:val="24"/>
          <w:szCs w:val="24"/>
        </w:rPr>
        <w:t>ponownie od 1 października 2017 r.</w:t>
      </w:r>
      <w:r w:rsidRPr="008D0165">
        <w:rPr>
          <w:sz w:val="24"/>
          <w:szCs w:val="24"/>
        </w:rPr>
        <w:t xml:space="preserve"> </w:t>
      </w:r>
      <w:r w:rsidR="00687695" w:rsidRPr="008D0165">
        <w:rPr>
          <w:sz w:val="24"/>
          <w:szCs w:val="24"/>
        </w:rPr>
        <w:t xml:space="preserve">– </w:t>
      </w:r>
      <w:r w:rsidRPr="008D0165">
        <w:rPr>
          <w:sz w:val="24"/>
          <w:szCs w:val="24"/>
        </w:rPr>
        <w:t xml:space="preserve">60 lat dla kobiet i 65 lat dla mężczyzn, wiele grup społeczno-zawodowych miało prawo do </w:t>
      </w:r>
      <w:r w:rsidR="009F1054" w:rsidRPr="008D0165">
        <w:rPr>
          <w:sz w:val="24"/>
          <w:szCs w:val="24"/>
        </w:rPr>
        <w:t xml:space="preserve">tzw. wcześniejszej </w:t>
      </w:r>
      <w:r w:rsidRPr="008D0165">
        <w:rPr>
          <w:sz w:val="24"/>
          <w:szCs w:val="24"/>
        </w:rPr>
        <w:t>emerytury. Stąd też średni wiek osób, które przechodziły na emeryturę wynosił ok. 57 lat.</w:t>
      </w:r>
      <w:r w:rsidR="008E464E" w:rsidRPr="008D0165">
        <w:rPr>
          <w:sz w:val="24"/>
          <w:szCs w:val="24"/>
        </w:rPr>
        <w:t xml:space="preserve"> </w:t>
      </w:r>
      <w:r w:rsidR="00D96515" w:rsidRPr="008D0165">
        <w:rPr>
          <w:sz w:val="24"/>
          <w:szCs w:val="24"/>
        </w:rPr>
        <w:t xml:space="preserve">Do 2008 r. do tzw. </w:t>
      </w:r>
      <w:r w:rsidR="00D40602" w:rsidRPr="008D0165">
        <w:rPr>
          <w:sz w:val="24"/>
          <w:szCs w:val="24"/>
        </w:rPr>
        <w:t xml:space="preserve">wcześniejszej </w:t>
      </w:r>
      <w:r w:rsidR="00D96515" w:rsidRPr="008D0165">
        <w:rPr>
          <w:sz w:val="24"/>
          <w:szCs w:val="24"/>
        </w:rPr>
        <w:t>emerytury uprawniało przede wszystkim wykonywanie jednego z kilkuset różnych rodzajów prac uznawanych za zatrudnienie w szczególnych warunkach lub w szczególnym charakterze. Możliwość wcześniejszego przechodzenia na emeryturę miało wiele osób, dla których wcześniejszy wiek emerytalny nie znajdował uzasadnienia w warunkach pracy.</w:t>
      </w:r>
      <w:r w:rsidRPr="008D0165">
        <w:rPr>
          <w:sz w:val="24"/>
          <w:szCs w:val="24"/>
        </w:rPr>
        <w:t xml:space="preserve"> Za pomocą wcześniejszych emerytur próbowano rozwiązać problem bezrobocia. </w:t>
      </w:r>
      <w:r w:rsidR="004E3E60" w:rsidRPr="008D0165">
        <w:rPr>
          <w:sz w:val="24"/>
          <w:szCs w:val="24"/>
        </w:rPr>
        <w:t xml:space="preserve">Poza korzystnymi warunkami demograficzno-ekonomicznymi, które przez całe dekady po II wojnie światowej pozwalały na rozbudowę uprawnień do wcześniejszej </w:t>
      </w:r>
      <w:r w:rsidR="00E82630" w:rsidRPr="008D0165">
        <w:rPr>
          <w:sz w:val="24"/>
          <w:szCs w:val="24"/>
        </w:rPr>
        <w:t>emerytury</w:t>
      </w:r>
      <w:r w:rsidR="004E3E60" w:rsidRPr="008D0165">
        <w:rPr>
          <w:sz w:val="24"/>
          <w:szCs w:val="24"/>
        </w:rPr>
        <w:t>, ważnym czynnikiem wpływającym na gotowość</w:t>
      </w:r>
      <w:r w:rsidR="00D73686" w:rsidRPr="008D0165">
        <w:rPr>
          <w:sz w:val="24"/>
          <w:szCs w:val="24"/>
        </w:rPr>
        <w:t xml:space="preserve"> wielu</w:t>
      </w:r>
      <w:r w:rsidR="004E3E60" w:rsidRPr="008D0165">
        <w:rPr>
          <w:sz w:val="24"/>
          <w:szCs w:val="24"/>
        </w:rPr>
        <w:t xml:space="preserve"> państw</w:t>
      </w:r>
      <w:r w:rsidR="00D73686" w:rsidRPr="008D0165">
        <w:rPr>
          <w:sz w:val="24"/>
          <w:szCs w:val="24"/>
        </w:rPr>
        <w:t>, nie tylko Polski,</w:t>
      </w:r>
      <w:r w:rsidR="004E3E60" w:rsidRPr="008D0165">
        <w:rPr>
          <w:sz w:val="24"/>
          <w:szCs w:val="24"/>
        </w:rPr>
        <w:t xml:space="preserve"> do</w:t>
      </w:r>
      <w:r w:rsidR="00E82630" w:rsidRPr="008D0165">
        <w:rPr>
          <w:sz w:val="24"/>
          <w:szCs w:val="24"/>
        </w:rPr>
        <w:t xml:space="preserve"> t</w:t>
      </w:r>
      <w:r w:rsidR="005D5AD7" w:rsidRPr="008D0165">
        <w:rPr>
          <w:sz w:val="24"/>
          <w:szCs w:val="24"/>
        </w:rPr>
        <w:t>ego</w:t>
      </w:r>
      <w:r w:rsidR="00E82630" w:rsidRPr="008D0165">
        <w:rPr>
          <w:sz w:val="24"/>
          <w:szCs w:val="24"/>
        </w:rPr>
        <w:t xml:space="preserve"> </w:t>
      </w:r>
      <w:r w:rsidR="005D5AD7" w:rsidRPr="008D0165">
        <w:rPr>
          <w:sz w:val="24"/>
          <w:szCs w:val="24"/>
        </w:rPr>
        <w:t xml:space="preserve">kierunku </w:t>
      </w:r>
      <w:r w:rsidR="00E82630" w:rsidRPr="008D0165">
        <w:rPr>
          <w:sz w:val="24"/>
          <w:szCs w:val="24"/>
        </w:rPr>
        <w:t xml:space="preserve">działań </w:t>
      </w:r>
      <w:r w:rsidR="004E3E60" w:rsidRPr="008D0165">
        <w:rPr>
          <w:sz w:val="24"/>
          <w:szCs w:val="24"/>
        </w:rPr>
        <w:t>było pr</w:t>
      </w:r>
      <w:r w:rsidR="00E82630" w:rsidRPr="008D0165">
        <w:rPr>
          <w:sz w:val="24"/>
          <w:szCs w:val="24"/>
        </w:rPr>
        <w:t xml:space="preserve">zekonanie, że osoby starsze zajmowały </w:t>
      </w:r>
      <w:r w:rsidR="004E3E60" w:rsidRPr="008D0165">
        <w:rPr>
          <w:sz w:val="24"/>
          <w:szCs w:val="24"/>
        </w:rPr>
        <w:t>miejsca pracy osobom młodszym</w:t>
      </w:r>
      <w:r w:rsidR="00E82630" w:rsidRPr="008D0165">
        <w:rPr>
          <w:sz w:val="24"/>
          <w:szCs w:val="24"/>
        </w:rPr>
        <w:t>,</w:t>
      </w:r>
      <w:r w:rsidR="004E3E60" w:rsidRPr="008D0165">
        <w:rPr>
          <w:sz w:val="24"/>
          <w:szCs w:val="24"/>
        </w:rPr>
        <w:t xml:space="preserve"> przyczyniając się</w:t>
      </w:r>
      <w:r w:rsidR="004B12EF">
        <w:rPr>
          <w:sz w:val="24"/>
          <w:szCs w:val="24"/>
        </w:rPr>
        <w:t> </w:t>
      </w:r>
      <w:r w:rsidR="00FD419E" w:rsidRPr="008D0165">
        <w:rPr>
          <w:sz w:val="24"/>
          <w:szCs w:val="24"/>
        </w:rPr>
        <w:t>do wzrostu bezrobocia ogólnego, w tym w szczególności</w:t>
      </w:r>
      <w:r w:rsidR="004E3E60" w:rsidRPr="008D0165">
        <w:rPr>
          <w:sz w:val="24"/>
          <w:szCs w:val="24"/>
        </w:rPr>
        <w:t xml:space="preserve"> </w:t>
      </w:r>
      <w:r w:rsidR="00E82630" w:rsidRPr="008D0165">
        <w:rPr>
          <w:sz w:val="24"/>
          <w:szCs w:val="24"/>
        </w:rPr>
        <w:t>wśród osób młodszych</w:t>
      </w:r>
      <w:r w:rsidR="004E3E60" w:rsidRPr="008D0165">
        <w:rPr>
          <w:sz w:val="24"/>
          <w:szCs w:val="24"/>
        </w:rPr>
        <w:t xml:space="preserve">. Badania </w:t>
      </w:r>
      <w:r w:rsidR="00E82630" w:rsidRPr="008D0165">
        <w:rPr>
          <w:sz w:val="24"/>
          <w:szCs w:val="24"/>
        </w:rPr>
        <w:t>ekonomiczne</w:t>
      </w:r>
      <w:r w:rsidR="004E3E60" w:rsidRPr="008D0165">
        <w:rPr>
          <w:sz w:val="24"/>
          <w:szCs w:val="24"/>
        </w:rPr>
        <w:t xml:space="preserve"> </w:t>
      </w:r>
      <w:r w:rsidR="00E82630" w:rsidRPr="008D0165">
        <w:rPr>
          <w:sz w:val="24"/>
          <w:szCs w:val="24"/>
        </w:rPr>
        <w:t>nie potwierdzi</w:t>
      </w:r>
      <w:r w:rsidR="004E3E60" w:rsidRPr="008D0165">
        <w:rPr>
          <w:sz w:val="24"/>
          <w:szCs w:val="24"/>
        </w:rPr>
        <w:t>ły tej tezy, wskaz</w:t>
      </w:r>
      <w:r w:rsidR="00E82630" w:rsidRPr="008D0165">
        <w:rPr>
          <w:sz w:val="24"/>
          <w:szCs w:val="24"/>
        </w:rPr>
        <w:t>ując</w:t>
      </w:r>
      <w:r w:rsidR="004E3E60" w:rsidRPr="008D0165">
        <w:rPr>
          <w:sz w:val="24"/>
          <w:szCs w:val="24"/>
        </w:rPr>
        <w:t xml:space="preserve"> na odwrotną zależność: im większe zatrudnienie osób w wieku przedemerytalnym, tym niższe bezrobocie osób młodych. </w:t>
      </w:r>
      <w:r w:rsidR="009F1054" w:rsidRPr="008D0165">
        <w:rPr>
          <w:sz w:val="24"/>
          <w:szCs w:val="24"/>
        </w:rPr>
        <w:t>T</w:t>
      </w:r>
      <w:r w:rsidR="004E3E60" w:rsidRPr="008D0165">
        <w:rPr>
          <w:sz w:val="24"/>
          <w:szCs w:val="24"/>
        </w:rPr>
        <w:t xml:space="preserve">eoria rynku pracy dostarczyła wyjaśnień w tym zakresie: nie </w:t>
      </w:r>
      <w:r w:rsidR="004E3E60" w:rsidRPr="008D0165">
        <w:rPr>
          <w:sz w:val="24"/>
          <w:szCs w:val="24"/>
        </w:rPr>
        <w:lastRenderedPageBreak/>
        <w:t>ma stałej liczby miejsc pracy w</w:t>
      </w:r>
      <w:r w:rsidR="004B12EF">
        <w:rPr>
          <w:sz w:val="24"/>
          <w:szCs w:val="24"/>
        </w:rPr>
        <w:t> </w:t>
      </w:r>
      <w:r w:rsidR="004E3E60" w:rsidRPr="008D0165">
        <w:rPr>
          <w:sz w:val="24"/>
          <w:szCs w:val="24"/>
        </w:rPr>
        <w:t>gospodarce; młodzi rzadko zastępują starszych, zamiast tego wykonując zupełnie inne zajęcia; miejsca pracy starszych są często likwidowane wraz z</w:t>
      </w:r>
      <w:r w:rsidR="009F1054" w:rsidRPr="008D0165">
        <w:rPr>
          <w:sz w:val="24"/>
          <w:szCs w:val="24"/>
        </w:rPr>
        <w:t xml:space="preserve"> ich</w:t>
      </w:r>
      <w:r w:rsidR="004E3E60" w:rsidRPr="008D0165">
        <w:rPr>
          <w:sz w:val="24"/>
          <w:szCs w:val="24"/>
        </w:rPr>
        <w:t xml:space="preserve"> odejściem.</w:t>
      </w:r>
    </w:p>
    <w:p w14:paraId="7E8AF1A3" w14:textId="77777777" w:rsidR="00F64F3A" w:rsidRPr="008D0165" w:rsidRDefault="00FD419E" w:rsidP="00A26E9C">
      <w:pPr>
        <w:spacing w:before="120" w:after="120"/>
        <w:jc w:val="both"/>
        <w:rPr>
          <w:sz w:val="24"/>
          <w:szCs w:val="24"/>
        </w:rPr>
      </w:pPr>
      <w:r w:rsidRPr="008D0165">
        <w:rPr>
          <w:sz w:val="24"/>
          <w:szCs w:val="24"/>
        </w:rPr>
        <w:t>W</w:t>
      </w:r>
      <w:r w:rsidR="00F64F3A" w:rsidRPr="008D0165">
        <w:rPr>
          <w:sz w:val="24"/>
          <w:szCs w:val="24"/>
        </w:rPr>
        <w:t>cześniejsze emerytury nie rozwiązały problemów na rynku pracy, a jedynie zwiększyły</w:t>
      </w:r>
      <w:r w:rsidRPr="008D0165">
        <w:rPr>
          <w:sz w:val="24"/>
          <w:szCs w:val="24"/>
        </w:rPr>
        <w:t xml:space="preserve"> liczbę emerytów. W latach 2007–</w:t>
      </w:r>
      <w:r w:rsidR="00F64F3A" w:rsidRPr="008D0165">
        <w:rPr>
          <w:sz w:val="24"/>
          <w:szCs w:val="24"/>
        </w:rPr>
        <w:t xml:space="preserve">2010 z prawa do emerytury skorzystało prawie 900 tys. osób. </w:t>
      </w:r>
      <w:r w:rsidR="002F485C" w:rsidRPr="008D0165">
        <w:rPr>
          <w:sz w:val="24"/>
          <w:szCs w:val="24"/>
        </w:rPr>
        <w:t>W </w:t>
      </w:r>
      <w:r w:rsidR="00F64F3A" w:rsidRPr="008D0165">
        <w:rPr>
          <w:sz w:val="24"/>
          <w:szCs w:val="24"/>
        </w:rPr>
        <w:t>rezultacie nastąpiło zwiększenie obciążeń budżetu państwa wydatkami na emerytury.</w:t>
      </w:r>
    </w:p>
    <w:p w14:paraId="3364EAFC" w14:textId="46258954" w:rsidR="003818EE" w:rsidRPr="008D0165" w:rsidRDefault="003818EE" w:rsidP="0084113E">
      <w:pPr>
        <w:spacing w:before="120" w:after="120" w:line="23" w:lineRule="atLeast"/>
        <w:jc w:val="both"/>
        <w:rPr>
          <w:b/>
          <w:sz w:val="24"/>
          <w:szCs w:val="24"/>
        </w:rPr>
      </w:pPr>
      <w:r w:rsidRPr="008D0165">
        <w:rPr>
          <w:b/>
          <w:sz w:val="24"/>
          <w:szCs w:val="24"/>
        </w:rPr>
        <w:t xml:space="preserve">Tabela 1. Liczba nowo przyznanych emerytur realizowanych przez </w:t>
      </w:r>
      <w:r w:rsidR="002776EE" w:rsidRPr="008D0165">
        <w:rPr>
          <w:b/>
          <w:sz w:val="24"/>
          <w:szCs w:val="24"/>
        </w:rPr>
        <w:t>ZUS</w:t>
      </w:r>
      <w:r w:rsidRPr="008D0165">
        <w:rPr>
          <w:b/>
          <w:sz w:val="24"/>
          <w:szCs w:val="24"/>
        </w:rPr>
        <w:t xml:space="preserve"> w latach 2007</w:t>
      </w:r>
      <w:r w:rsidR="00A435C2">
        <w:rPr>
          <w:b/>
          <w:sz w:val="24"/>
          <w:szCs w:val="24"/>
        </w:rPr>
        <w:t>–</w:t>
      </w:r>
      <w:r w:rsidRPr="008D0165">
        <w:rPr>
          <w:b/>
          <w:sz w:val="24"/>
          <w:szCs w:val="24"/>
        </w:rPr>
        <w:t>202</w:t>
      </w:r>
      <w:r w:rsidR="00D40602">
        <w:rPr>
          <w:b/>
          <w:sz w:val="24"/>
          <w:szCs w:val="24"/>
        </w:rPr>
        <w:t>1</w:t>
      </w:r>
      <w:r w:rsidR="001F608A" w:rsidRPr="008D0165">
        <w:rPr>
          <w:b/>
          <w:bCs/>
          <w:sz w:val="24"/>
          <w:szCs w:val="24"/>
          <w:vertAlign w:val="superscript"/>
        </w:rPr>
        <w:t>*)</w:t>
      </w:r>
      <w:r w:rsidR="001F608A">
        <w:rPr>
          <w:b/>
          <w:bCs/>
          <w:sz w:val="24"/>
          <w:szCs w:val="24"/>
          <w:vertAlign w:val="superscript"/>
        </w:rPr>
        <w:t>,</w:t>
      </w:r>
      <w:r w:rsidR="001F608A" w:rsidRPr="001F608A">
        <w:rPr>
          <w:b/>
          <w:bCs/>
          <w:sz w:val="24"/>
          <w:szCs w:val="24"/>
          <w:vertAlign w:val="superscript"/>
        </w:rPr>
        <w:t xml:space="preserve"> </w:t>
      </w:r>
      <w:r w:rsidR="001F608A" w:rsidRPr="009D2FE9">
        <w:rPr>
          <w:rFonts w:eastAsia="Times New Roman" w:cstheme="minorHAnsi"/>
          <w:b/>
          <w:bCs/>
          <w:color w:val="000000"/>
          <w:sz w:val="24"/>
          <w:szCs w:val="24"/>
          <w:vertAlign w:val="superscript"/>
          <w:lang w:eastAsia="pl-PL"/>
        </w:rPr>
        <w:t>**)</w:t>
      </w:r>
    </w:p>
    <w:tbl>
      <w:tblPr>
        <w:tblStyle w:val="Tabela-Siatka"/>
        <w:tblW w:w="9072" w:type="dxa"/>
        <w:tblInd w:w="108" w:type="dxa"/>
        <w:tblLayout w:type="fixed"/>
        <w:tblLook w:val="04A0" w:firstRow="1" w:lastRow="0" w:firstColumn="1" w:lastColumn="0" w:noHBand="0" w:noVBand="1"/>
      </w:tblPr>
      <w:tblGrid>
        <w:gridCol w:w="851"/>
        <w:gridCol w:w="548"/>
        <w:gridCol w:w="548"/>
        <w:gridCol w:w="548"/>
        <w:gridCol w:w="548"/>
        <w:gridCol w:w="548"/>
        <w:gridCol w:w="548"/>
        <w:gridCol w:w="548"/>
        <w:gridCol w:w="548"/>
        <w:gridCol w:w="548"/>
        <w:gridCol w:w="548"/>
        <w:gridCol w:w="548"/>
        <w:gridCol w:w="548"/>
        <w:gridCol w:w="548"/>
        <w:gridCol w:w="548"/>
        <w:gridCol w:w="549"/>
      </w:tblGrid>
      <w:tr w:rsidR="002776EE" w:rsidRPr="008D0165" w14:paraId="70258791" w14:textId="77777777" w:rsidTr="00B973AF">
        <w:trPr>
          <w:trHeight w:val="290"/>
        </w:trPr>
        <w:tc>
          <w:tcPr>
            <w:tcW w:w="851" w:type="dxa"/>
            <w:shd w:val="clear" w:color="auto" w:fill="B8CCE4" w:themeFill="accent1" w:themeFillTint="66"/>
            <w:noWrap/>
            <w:vAlign w:val="center"/>
            <w:hideMark/>
          </w:tcPr>
          <w:p w14:paraId="41978742" w14:textId="77777777" w:rsidR="004902D9" w:rsidRPr="00A77D1A" w:rsidRDefault="004902D9" w:rsidP="0084113E">
            <w:pPr>
              <w:spacing w:line="23" w:lineRule="atLeast"/>
              <w:jc w:val="right"/>
              <w:rPr>
                <w:b/>
                <w:bCs/>
                <w:sz w:val="16"/>
                <w:szCs w:val="16"/>
              </w:rPr>
            </w:pPr>
            <w:r w:rsidRPr="00A77D1A">
              <w:rPr>
                <w:b/>
                <w:bCs/>
                <w:sz w:val="16"/>
                <w:szCs w:val="16"/>
              </w:rPr>
              <w:t>Rok</w:t>
            </w:r>
          </w:p>
        </w:tc>
        <w:tc>
          <w:tcPr>
            <w:tcW w:w="548" w:type="dxa"/>
            <w:shd w:val="clear" w:color="auto" w:fill="B8CCE4" w:themeFill="accent1" w:themeFillTint="66"/>
            <w:noWrap/>
            <w:vAlign w:val="center"/>
            <w:hideMark/>
          </w:tcPr>
          <w:p w14:paraId="6D2CD447" w14:textId="77777777" w:rsidR="004902D9" w:rsidRPr="00A77D1A" w:rsidRDefault="004902D9" w:rsidP="0084113E">
            <w:pPr>
              <w:spacing w:line="23" w:lineRule="atLeast"/>
              <w:jc w:val="right"/>
              <w:rPr>
                <w:b/>
                <w:bCs/>
                <w:sz w:val="16"/>
                <w:szCs w:val="16"/>
              </w:rPr>
            </w:pPr>
            <w:r w:rsidRPr="00A77D1A">
              <w:rPr>
                <w:b/>
                <w:bCs/>
                <w:sz w:val="16"/>
                <w:szCs w:val="16"/>
              </w:rPr>
              <w:t>2007</w:t>
            </w:r>
          </w:p>
        </w:tc>
        <w:tc>
          <w:tcPr>
            <w:tcW w:w="548" w:type="dxa"/>
            <w:shd w:val="clear" w:color="auto" w:fill="B8CCE4" w:themeFill="accent1" w:themeFillTint="66"/>
            <w:noWrap/>
            <w:vAlign w:val="center"/>
            <w:hideMark/>
          </w:tcPr>
          <w:p w14:paraId="6BD897CF" w14:textId="77777777" w:rsidR="004902D9" w:rsidRPr="00A77D1A" w:rsidRDefault="004902D9" w:rsidP="0084113E">
            <w:pPr>
              <w:spacing w:line="23" w:lineRule="atLeast"/>
              <w:jc w:val="right"/>
              <w:rPr>
                <w:b/>
                <w:bCs/>
                <w:sz w:val="16"/>
                <w:szCs w:val="16"/>
              </w:rPr>
            </w:pPr>
            <w:r w:rsidRPr="00A77D1A">
              <w:rPr>
                <w:b/>
                <w:bCs/>
                <w:sz w:val="16"/>
                <w:szCs w:val="16"/>
              </w:rPr>
              <w:t>2008</w:t>
            </w:r>
          </w:p>
        </w:tc>
        <w:tc>
          <w:tcPr>
            <w:tcW w:w="548" w:type="dxa"/>
            <w:shd w:val="clear" w:color="auto" w:fill="B8CCE4" w:themeFill="accent1" w:themeFillTint="66"/>
            <w:noWrap/>
            <w:vAlign w:val="center"/>
            <w:hideMark/>
          </w:tcPr>
          <w:p w14:paraId="6F44CF51" w14:textId="77777777" w:rsidR="004902D9" w:rsidRPr="00A77D1A" w:rsidRDefault="004902D9" w:rsidP="0084113E">
            <w:pPr>
              <w:spacing w:line="23" w:lineRule="atLeast"/>
              <w:jc w:val="right"/>
              <w:rPr>
                <w:b/>
                <w:bCs/>
                <w:sz w:val="16"/>
                <w:szCs w:val="16"/>
              </w:rPr>
            </w:pPr>
            <w:r w:rsidRPr="00A77D1A">
              <w:rPr>
                <w:b/>
                <w:bCs/>
                <w:sz w:val="16"/>
                <w:szCs w:val="16"/>
              </w:rPr>
              <w:t>2009</w:t>
            </w:r>
          </w:p>
        </w:tc>
        <w:tc>
          <w:tcPr>
            <w:tcW w:w="548" w:type="dxa"/>
            <w:shd w:val="clear" w:color="auto" w:fill="B8CCE4" w:themeFill="accent1" w:themeFillTint="66"/>
            <w:noWrap/>
            <w:vAlign w:val="center"/>
            <w:hideMark/>
          </w:tcPr>
          <w:p w14:paraId="3DD23EA7" w14:textId="77777777" w:rsidR="004902D9" w:rsidRPr="00A77D1A" w:rsidRDefault="004902D9" w:rsidP="0084113E">
            <w:pPr>
              <w:spacing w:line="23" w:lineRule="atLeast"/>
              <w:jc w:val="right"/>
              <w:rPr>
                <w:b/>
                <w:bCs/>
                <w:sz w:val="16"/>
                <w:szCs w:val="16"/>
              </w:rPr>
            </w:pPr>
            <w:r w:rsidRPr="00A77D1A">
              <w:rPr>
                <w:b/>
                <w:bCs/>
                <w:sz w:val="16"/>
                <w:szCs w:val="16"/>
              </w:rPr>
              <w:t>2010</w:t>
            </w:r>
          </w:p>
        </w:tc>
        <w:tc>
          <w:tcPr>
            <w:tcW w:w="548" w:type="dxa"/>
            <w:shd w:val="clear" w:color="auto" w:fill="B8CCE4" w:themeFill="accent1" w:themeFillTint="66"/>
            <w:noWrap/>
            <w:vAlign w:val="center"/>
            <w:hideMark/>
          </w:tcPr>
          <w:p w14:paraId="45BA599F" w14:textId="77777777" w:rsidR="004902D9" w:rsidRPr="00A77D1A" w:rsidRDefault="004902D9" w:rsidP="0084113E">
            <w:pPr>
              <w:spacing w:line="23" w:lineRule="atLeast"/>
              <w:jc w:val="right"/>
              <w:rPr>
                <w:b/>
                <w:bCs/>
                <w:sz w:val="16"/>
                <w:szCs w:val="16"/>
              </w:rPr>
            </w:pPr>
            <w:r w:rsidRPr="00A77D1A">
              <w:rPr>
                <w:b/>
                <w:bCs/>
                <w:sz w:val="16"/>
                <w:szCs w:val="16"/>
              </w:rPr>
              <w:t>2011</w:t>
            </w:r>
          </w:p>
        </w:tc>
        <w:tc>
          <w:tcPr>
            <w:tcW w:w="548" w:type="dxa"/>
            <w:shd w:val="clear" w:color="auto" w:fill="B8CCE4" w:themeFill="accent1" w:themeFillTint="66"/>
            <w:noWrap/>
            <w:vAlign w:val="center"/>
            <w:hideMark/>
          </w:tcPr>
          <w:p w14:paraId="190CF125" w14:textId="77777777" w:rsidR="004902D9" w:rsidRPr="00A77D1A" w:rsidRDefault="004902D9" w:rsidP="0084113E">
            <w:pPr>
              <w:spacing w:line="23" w:lineRule="atLeast"/>
              <w:jc w:val="right"/>
              <w:rPr>
                <w:b/>
                <w:bCs/>
                <w:sz w:val="16"/>
                <w:szCs w:val="16"/>
              </w:rPr>
            </w:pPr>
            <w:r w:rsidRPr="00A77D1A">
              <w:rPr>
                <w:b/>
                <w:bCs/>
                <w:sz w:val="16"/>
                <w:szCs w:val="16"/>
              </w:rPr>
              <w:t>2012</w:t>
            </w:r>
          </w:p>
        </w:tc>
        <w:tc>
          <w:tcPr>
            <w:tcW w:w="548" w:type="dxa"/>
            <w:shd w:val="clear" w:color="auto" w:fill="B8CCE4" w:themeFill="accent1" w:themeFillTint="66"/>
            <w:noWrap/>
            <w:vAlign w:val="center"/>
            <w:hideMark/>
          </w:tcPr>
          <w:p w14:paraId="208BDDC1" w14:textId="77777777" w:rsidR="004902D9" w:rsidRPr="00A77D1A" w:rsidRDefault="004902D9" w:rsidP="0084113E">
            <w:pPr>
              <w:spacing w:line="23" w:lineRule="atLeast"/>
              <w:jc w:val="right"/>
              <w:rPr>
                <w:b/>
                <w:bCs/>
                <w:sz w:val="16"/>
                <w:szCs w:val="16"/>
              </w:rPr>
            </w:pPr>
            <w:r w:rsidRPr="00A77D1A">
              <w:rPr>
                <w:b/>
                <w:bCs/>
                <w:sz w:val="16"/>
                <w:szCs w:val="16"/>
              </w:rPr>
              <w:t>2013</w:t>
            </w:r>
          </w:p>
        </w:tc>
        <w:tc>
          <w:tcPr>
            <w:tcW w:w="548" w:type="dxa"/>
            <w:shd w:val="clear" w:color="auto" w:fill="B8CCE4" w:themeFill="accent1" w:themeFillTint="66"/>
            <w:noWrap/>
            <w:vAlign w:val="center"/>
            <w:hideMark/>
          </w:tcPr>
          <w:p w14:paraId="30C6E944" w14:textId="77777777" w:rsidR="004902D9" w:rsidRPr="00A77D1A" w:rsidRDefault="004902D9" w:rsidP="0084113E">
            <w:pPr>
              <w:spacing w:line="23" w:lineRule="atLeast"/>
              <w:jc w:val="right"/>
              <w:rPr>
                <w:b/>
                <w:bCs/>
                <w:sz w:val="16"/>
                <w:szCs w:val="16"/>
              </w:rPr>
            </w:pPr>
            <w:r w:rsidRPr="00A77D1A">
              <w:rPr>
                <w:b/>
                <w:bCs/>
                <w:sz w:val="16"/>
                <w:szCs w:val="16"/>
              </w:rPr>
              <w:t>2014</w:t>
            </w:r>
          </w:p>
        </w:tc>
        <w:tc>
          <w:tcPr>
            <w:tcW w:w="548" w:type="dxa"/>
            <w:shd w:val="clear" w:color="auto" w:fill="B8CCE4" w:themeFill="accent1" w:themeFillTint="66"/>
            <w:noWrap/>
            <w:vAlign w:val="center"/>
            <w:hideMark/>
          </w:tcPr>
          <w:p w14:paraId="59EF995D" w14:textId="77777777" w:rsidR="004902D9" w:rsidRPr="00A77D1A" w:rsidRDefault="004902D9" w:rsidP="0084113E">
            <w:pPr>
              <w:spacing w:line="23" w:lineRule="atLeast"/>
              <w:jc w:val="right"/>
              <w:rPr>
                <w:b/>
                <w:bCs/>
                <w:sz w:val="16"/>
                <w:szCs w:val="16"/>
              </w:rPr>
            </w:pPr>
            <w:r w:rsidRPr="00A77D1A">
              <w:rPr>
                <w:b/>
                <w:bCs/>
                <w:sz w:val="16"/>
                <w:szCs w:val="16"/>
              </w:rPr>
              <w:t>2015</w:t>
            </w:r>
          </w:p>
        </w:tc>
        <w:tc>
          <w:tcPr>
            <w:tcW w:w="548" w:type="dxa"/>
            <w:shd w:val="clear" w:color="auto" w:fill="B8CCE4" w:themeFill="accent1" w:themeFillTint="66"/>
            <w:noWrap/>
            <w:vAlign w:val="center"/>
            <w:hideMark/>
          </w:tcPr>
          <w:p w14:paraId="57DB5F72" w14:textId="77777777" w:rsidR="004902D9" w:rsidRPr="00A77D1A" w:rsidRDefault="004902D9" w:rsidP="0084113E">
            <w:pPr>
              <w:spacing w:line="23" w:lineRule="atLeast"/>
              <w:jc w:val="right"/>
              <w:rPr>
                <w:b/>
                <w:bCs/>
                <w:sz w:val="16"/>
                <w:szCs w:val="16"/>
              </w:rPr>
            </w:pPr>
            <w:r w:rsidRPr="00A77D1A">
              <w:rPr>
                <w:b/>
                <w:bCs/>
                <w:sz w:val="16"/>
                <w:szCs w:val="16"/>
              </w:rPr>
              <w:t>2016</w:t>
            </w:r>
          </w:p>
        </w:tc>
        <w:tc>
          <w:tcPr>
            <w:tcW w:w="548" w:type="dxa"/>
            <w:shd w:val="clear" w:color="auto" w:fill="B8CCE4" w:themeFill="accent1" w:themeFillTint="66"/>
            <w:noWrap/>
            <w:vAlign w:val="center"/>
            <w:hideMark/>
          </w:tcPr>
          <w:p w14:paraId="15E99061" w14:textId="77777777" w:rsidR="004902D9" w:rsidRPr="00A77D1A" w:rsidRDefault="004902D9" w:rsidP="0084113E">
            <w:pPr>
              <w:spacing w:line="23" w:lineRule="atLeast"/>
              <w:jc w:val="right"/>
              <w:rPr>
                <w:b/>
                <w:bCs/>
                <w:sz w:val="16"/>
                <w:szCs w:val="16"/>
              </w:rPr>
            </w:pPr>
            <w:r w:rsidRPr="00A77D1A">
              <w:rPr>
                <w:b/>
                <w:bCs/>
                <w:sz w:val="16"/>
                <w:szCs w:val="16"/>
              </w:rPr>
              <w:t>2017</w:t>
            </w:r>
          </w:p>
        </w:tc>
        <w:tc>
          <w:tcPr>
            <w:tcW w:w="548" w:type="dxa"/>
            <w:shd w:val="clear" w:color="auto" w:fill="B8CCE4" w:themeFill="accent1" w:themeFillTint="66"/>
            <w:noWrap/>
            <w:vAlign w:val="center"/>
            <w:hideMark/>
          </w:tcPr>
          <w:p w14:paraId="3C54854C" w14:textId="77777777" w:rsidR="004902D9" w:rsidRPr="00A77D1A" w:rsidRDefault="004902D9" w:rsidP="0084113E">
            <w:pPr>
              <w:spacing w:line="23" w:lineRule="atLeast"/>
              <w:jc w:val="right"/>
              <w:rPr>
                <w:b/>
                <w:bCs/>
                <w:sz w:val="16"/>
                <w:szCs w:val="16"/>
              </w:rPr>
            </w:pPr>
            <w:r w:rsidRPr="00A77D1A">
              <w:rPr>
                <w:b/>
                <w:bCs/>
                <w:sz w:val="16"/>
                <w:szCs w:val="16"/>
              </w:rPr>
              <w:t>2018</w:t>
            </w:r>
          </w:p>
        </w:tc>
        <w:tc>
          <w:tcPr>
            <w:tcW w:w="548" w:type="dxa"/>
            <w:shd w:val="clear" w:color="auto" w:fill="B8CCE4" w:themeFill="accent1" w:themeFillTint="66"/>
            <w:noWrap/>
            <w:vAlign w:val="center"/>
            <w:hideMark/>
          </w:tcPr>
          <w:p w14:paraId="118A86F5" w14:textId="77777777" w:rsidR="004902D9" w:rsidRPr="00A77D1A" w:rsidRDefault="004902D9" w:rsidP="0084113E">
            <w:pPr>
              <w:spacing w:line="23" w:lineRule="atLeast"/>
              <w:jc w:val="right"/>
              <w:rPr>
                <w:b/>
                <w:bCs/>
                <w:sz w:val="16"/>
                <w:szCs w:val="16"/>
              </w:rPr>
            </w:pPr>
            <w:r w:rsidRPr="00A77D1A">
              <w:rPr>
                <w:b/>
                <w:bCs/>
                <w:sz w:val="16"/>
                <w:szCs w:val="16"/>
              </w:rPr>
              <w:t>2019</w:t>
            </w:r>
          </w:p>
        </w:tc>
        <w:tc>
          <w:tcPr>
            <w:tcW w:w="548" w:type="dxa"/>
            <w:shd w:val="clear" w:color="auto" w:fill="B8CCE4" w:themeFill="accent1" w:themeFillTint="66"/>
            <w:noWrap/>
            <w:vAlign w:val="center"/>
            <w:hideMark/>
          </w:tcPr>
          <w:p w14:paraId="0A683063" w14:textId="77777777" w:rsidR="004902D9" w:rsidRPr="00A77D1A" w:rsidRDefault="004902D9" w:rsidP="0084113E">
            <w:pPr>
              <w:spacing w:line="23" w:lineRule="atLeast"/>
              <w:jc w:val="right"/>
              <w:rPr>
                <w:b/>
                <w:bCs/>
                <w:sz w:val="16"/>
                <w:szCs w:val="16"/>
              </w:rPr>
            </w:pPr>
            <w:r w:rsidRPr="00A77D1A">
              <w:rPr>
                <w:b/>
                <w:bCs/>
                <w:sz w:val="16"/>
                <w:szCs w:val="16"/>
              </w:rPr>
              <w:t>2020</w:t>
            </w:r>
          </w:p>
        </w:tc>
        <w:tc>
          <w:tcPr>
            <w:tcW w:w="549" w:type="dxa"/>
            <w:shd w:val="clear" w:color="auto" w:fill="B8CCE4" w:themeFill="accent1" w:themeFillTint="66"/>
            <w:noWrap/>
            <w:vAlign w:val="center"/>
            <w:hideMark/>
          </w:tcPr>
          <w:p w14:paraId="5A14EF19" w14:textId="77777777" w:rsidR="004902D9" w:rsidRPr="00A77D1A" w:rsidRDefault="004902D9" w:rsidP="0084113E">
            <w:pPr>
              <w:spacing w:line="23" w:lineRule="atLeast"/>
              <w:jc w:val="right"/>
              <w:rPr>
                <w:b/>
                <w:bCs/>
                <w:sz w:val="16"/>
                <w:szCs w:val="16"/>
              </w:rPr>
            </w:pPr>
            <w:r w:rsidRPr="00A77D1A">
              <w:rPr>
                <w:b/>
                <w:bCs/>
                <w:sz w:val="16"/>
                <w:szCs w:val="16"/>
              </w:rPr>
              <w:t>2021</w:t>
            </w:r>
          </w:p>
        </w:tc>
      </w:tr>
      <w:tr w:rsidR="007517D6" w:rsidRPr="008D0165" w14:paraId="2F4C653A" w14:textId="77777777" w:rsidTr="00B973AF">
        <w:trPr>
          <w:trHeight w:val="418"/>
        </w:trPr>
        <w:tc>
          <w:tcPr>
            <w:tcW w:w="851" w:type="dxa"/>
            <w:shd w:val="clear" w:color="auto" w:fill="B8CCE4" w:themeFill="accent1" w:themeFillTint="66"/>
            <w:vAlign w:val="center"/>
            <w:hideMark/>
          </w:tcPr>
          <w:p w14:paraId="6ACEBEAF" w14:textId="77777777" w:rsidR="004902D9" w:rsidRPr="00A77D1A" w:rsidRDefault="00A51366" w:rsidP="0084113E">
            <w:pPr>
              <w:spacing w:line="23" w:lineRule="atLeast"/>
              <w:jc w:val="right"/>
              <w:rPr>
                <w:sz w:val="16"/>
                <w:szCs w:val="16"/>
              </w:rPr>
            </w:pPr>
            <w:r w:rsidRPr="00A77D1A">
              <w:rPr>
                <w:sz w:val="16"/>
                <w:szCs w:val="16"/>
              </w:rPr>
              <w:t>liczba</w:t>
            </w:r>
            <w:r w:rsidR="004902D9" w:rsidRPr="00A77D1A">
              <w:rPr>
                <w:sz w:val="16"/>
                <w:szCs w:val="16"/>
              </w:rPr>
              <w:t xml:space="preserve"> emerytur</w:t>
            </w:r>
          </w:p>
          <w:p w14:paraId="187626E7" w14:textId="77777777" w:rsidR="004902D9" w:rsidRPr="00A77D1A" w:rsidRDefault="004902D9" w:rsidP="0084113E">
            <w:pPr>
              <w:spacing w:line="23" w:lineRule="atLeast"/>
              <w:jc w:val="right"/>
              <w:rPr>
                <w:sz w:val="16"/>
                <w:szCs w:val="16"/>
              </w:rPr>
            </w:pPr>
            <w:r w:rsidRPr="00A77D1A">
              <w:rPr>
                <w:sz w:val="16"/>
                <w:szCs w:val="16"/>
              </w:rPr>
              <w:t>w tys.</w:t>
            </w:r>
          </w:p>
        </w:tc>
        <w:tc>
          <w:tcPr>
            <w:tcW w:w="548" w:type="dxa"/>
            <w:noWrap/>
            <w:vAlign w:val="center"/>
            <w:hideMark/>
          </w:tcPr>
          <w:p w14:paraId="07BF31FB" w14:textId="77777777" w:rsidR="004902D9" w:rsidRPr="00A77D1A" w:rsidRDefault="004902D9" w:rsidP="00A77D1A">
            <w:pPr>
              <w:spacing w:line="23" w:lineRule="atLeast"/>
              <w:rPr>
                <w:sz w:val="14"/>
                <w:szCs w:val="14"/>
              </w:rPr>
            </w:pPr>
            <w:r w:rsidRPr="00A77D1A">
              <w:rPr>
                <w:sz w:val="14"/>
                <w:szCs w:val="14"/>
              </w:rPr>
              <w:t>215,4</w:t>
            </w:r>
          </w:p>
        </w:tc>
        <w:tc>
          <w:tcPr>
            <w:tcW w:w="548" w:type="dxa"/>
            <w:noWrap/>
            <w:vAlign w:val="center"/>
            <w:hideMark/>
          </w:tcPr>
          <w:p w14:paraId="4CED174A" w14:textId="77777777" w:rsidR="004902D9" w:rsidRPr="00A77D1A" w:rsidRDefault="004902D9" w:rsidP="00A77D1A">
            <w:pPr>
              <w:spacing w:line="23" w:lineRule="atLeast"/>
              <w:rPr>
                <w:sz w:val="14"/>
                <w:szCs w:val="14"/>
              </w:rPr>
            </w:pPr>
            <w:r w:rsidRPr="00A77D1A">
              <w:rPr>
                <w:sz w:val="14"/>
                <w:szCs w:val="14"/>
              </w:rPr>
              <w:t>340,5</w:t>
            </w:r>
          </w:p>
        </w:tc>
        <w:tc>
          <w:tcPr>
            <w:tcW w:w="548" w:type="dxa"/>
            <w:noWrap/>
            <w:vAlign w:val="center"/>
            <w:hideMark/>
          </w:tcPr>
          <w:p w14:paraId="3EA3590F" w14:textId="77777777" w:rsidR="004902D9" w:rsidRPr="00A77D1A" w:rsidRDefault="004902D9" w:rsidP="00A77D1A">
            <w:pPr>
              <w:spacing w:line="23" w:lineRule="atLeast"/>
              <w:rPr>
                <w:sz w:val="14"/>
                <w:szCs w:val="14"/>
              </w:rPr>
            </w:pPr>
            <w:r w:rsidRPr="00A77D1A">
              <w:rPr>
                <w:sz w:val="14"/>
                <w:szCs w:val="14"/>
              </w:rPr>
              <w:t>243,0</w:t>
            </w:r>
          </w:p>
        </w:tc>
        <w:tc>
          <w:tcPr>
            <w:tcW w:w="548" w:type="dxa"/>
            <w:noWrap/>
            <w:vAlign w:val="center"/>
            <w:hideMark/>
          </w:tcPr>
          <w:p w14:paraId="1B9C72DD" w14:textId="77777777" w:rsidR="004902D9" w:rsidRPr="00A77D1A" w:rsidRDefault="004902D9" w:rsidP="00A77D1A">
            <w:pPr>
              <w:spacing w:line="23" w:lineRule="atLeast"/>
              <w:rPr>
                <w:sz w:val="14"/>
                <w:szCs w:val="14"/>
              </w:rPr>
            </w:pPr>
            <w:r w:rsidRPr="00A77D1A">
              <w:rPr>
                <w:sz w:val="14"/>
                <w:szCs w:val="14"/>
              </w:rPr>
              <w:t>92,3</w:t>
            </w:r>
          </w:p>
        </w:tc>
        <w:tc>
          <w:tcPr>
            <w:tcW w:w="548" w:type="dxa"/>
            <w:noWrap/>
            <w:vAlign w:val="center"/>
            <w:hideMark/>
          </w:tcPr>
          <w:p w14:paraId="5BEF36AA" w14:textId="77777777" w:rsidR="004902D9" w:rsidRPr="00A77D1A" w:rsidRDefault="004902D9" w:rsidP="00A77D1A">
            <w:pPr>
              <w:spacing w:line="23" w:lineRule="atLeast"/>
              <w:rPr>
                <w:sz w:val="14"/>
                <w:szCs w:val="14"/>
              </w:rPr>
            </w:pPr>
            <w:r w:rsidRPr="00A77D1A">
              <w:rPr>
                <w:sz w:val="14"/>
                <w:szCs w:val="14"/>
              </w:rPr>
              <w:t>102,5</w:t>
            </w:r>
          </w:p>
        </w:tc>
        <w:tc>
          <w:tcPr>
            <w:tcW w:w="548" w:type="dxa"/>
            <w:noWrap/>
            <w:vAlign w:val="center"/>
            <w:hideMark/>
          </w:tcPr>
          <w:p w14:paraId="0311024F" w14:textId="77777777" w:rsidR="004902D9" w:rsidRPr="00A77D1A" w:rsidRDefault="004902D9" w:rsidP="00A77D1A">
            <w:pPr>
              <w:spacing w:line="23" w:lineRule="atLeast"/>
              <w:rPr>
                <w:sz w:val="14"/>
                <w:szCs w:val="14"/>
              </w:rPr>
            </w:pPr>
            <w:r w:rsidRPr="00A77D1A">
              <w:rPr>
                <w:sz w:val="14"/>
                <w:szCs w:val="14"/>
              </w:rPr>
              <w:t>120,1</w:t>
            </w:r>
          </w:p>
        </w:tc>
        <w:tc>
          <w:tcPr>
            <w:tcW w:w="548" w:type="dxa"/>
            <w:noWrap/>
            <w:vAlign w:val="center"/>
            <w:hideMark/>
          </w:tcPr>
          <w:p w14:paraId="3E924F6A" w14:textId="77777777" w:rsidR="004902D9" w:rsidRPr="00A77D1A" w:rsidRDefault="004902D9" w:rsidP="00A77D1A">
            <w:pPr>
              <w:spacing w:line="23" w:lineRule="atLeast"/>
              <w:rPr>
                <w:sz w:val="14"/>
                <w:szCs w:val="14"/>
              </w:rPr>
            </w:pPr>
            <w:r w:rsidRPr="00A77D1A">
              <w:rPr>
                <w:sz w:val="14"/>
                <w:szCs w:val="14"/>
              </w:rPr>
              <w:t>104,4</w:t>
            </w:r>
          </w:p>
        </w:tc>
        <w:tc>
          <w:tcPr>
            <w:tcW w:w="548" w:type="dxa"/>
            <w:noWrap/>
            <w:vAlign w:val="center"/>
            <w:hideMark/>
          </w:tcPr>
          <w:p w14:paraId="0DFD70A0" w14:textId="77777777" w:rsidR="004902D9" w:rsidRPr="00A77D1A" w:rsidRDefault="004902D9" w:rsidP="00A77D1A">
            <w:pPr>
              <w:spacing w:line="23" w:lineRule="atLeast"/>
              <w:rPr>
                <w:sz w:val="14"/>
                <w:szCs w:val="14"/>
              </w:rPr>
            </w:pPr>
            <w:r w:rsidRPr="00A77D1A">
              <w:rPr>
                <w:sz w:val="14"/>
                <w:szCs w:val="14"/>
              </w:rPr>
              <w:t>158,2</w:t>
            </w:r>
          </w:p>
        </w:tc>
        <w:tc>
          <w:tcPr>
            <w:tcW w:w="548" w:type="dxa"/>
            <w:noWrap/>
            <w:vAlign w:val="center"/>
            <w:hideMark/>
          </w:tcPr>
          <w:p w14:paraId="4ED66FCF" w14:textId="77777777" w:rsidR="004902D9" w:rsidRPr="00A77D1A" w:rsidRDefault="004902D9" w:rsidP="00A77D1A">
            <w:pPr>
              <w:spacing w:line="23" w:lineRule="atLeast"/>
              <w:rPr>
                <w:sz w:val="14"/>
                <w:szCs w:val="14"/>
              </w:rPr>
            </w:pPr>
            <w:r w:rsidRPr="00A77D1A">
              <w:rPr>
                <w:sz w:val="14"/>
                <w:szCs w:val="14"/>
              </w:rPr>
              <w:t>224,4</w:t>
            </w:r>
          </w:p>
        </w:tc>
        <w:tc>
          <w:tcPr>
            <w:tcW w:w="548" w:type="dxa"/>
            <w:noWrap/>
            <w:vAlign w:val="center"/>
            <w:hideMark/>
          </w:tcPr>
          <w:p w14:paraId="138C2F32" w14:textId="77777777" w:rsidR="004902D9" w:rsidRPr="00A77D1A" w:rsidRDefault="004902D9" w:rsidP="00A77D1A">
            <w:pPr>
              <w:spacing w:line="23" w:lineRule="atLeast"/>
              <w:rPr>
                <w:sz w:val="14"/>
                <w:szCs w:val="14"/>
              </w:rPr>
            </w:pPr>
            <w:r w:rsidRPr="00A77D1A">
              <w:rPr>
                <w:sz w:val="14"/>
                <w:szCs w:val="14"/>
              </w:rPr>
              <w:t>229,4</w:t>
            </w:r>
          </w:p>
        </w:tc>
        <w:tc>
          <w:tcPr>
            <w:tcW w:w="548" w:type="dxa"/>
            <w:noWrap/>
            <w:vAlign w:val="center"/>
            <w:hideMark/>
          </w:tcPr>
          <w:p w14:paraId="03FB4039" w14:textId="77777777" w:rsidR="004902D9" w:rsidRPr="00A77D1A" w:rsidRDefault="004902D9" w:rsidP="00A77D1A">
            <w:pPr>
              <w:spacing w:line="23" w:lineRule="atLeast"/>
              <w:rPr>
                <w:sz w:val="14"/>
                <w:szCs w:val="14"/>
              </w:rPr>
            </w:pPr>
            <w:r w:rsidRPr="00A77D1A">
              <w:rPr>
                <w:sz w:val="14"/>
                <w:szCs w:val="14"/>
              </w:rPr>
              <w:t>417,0</w:t>
            </w:r>
          </w:p>
        </w:tc>
        <w:tc>
          <w:tcPr>
            <w:tcW w:w="548" w:type="dxa"/>
            <w:noWrap/>
            <w:vAlign w:val="center"/>
            <w:hideMark/>
          </w:tcPr>
          <w:p w14:paraId="58DB80E1" w14:textId="77777777" w:rsidR="004902D9" w:rsidRPr="00A77D1A" w:rsidRDefault="004902D9" w:rsidP="00A77D1A">
            <w:pPr>
              <w:spacing w:line="23" w:lineRule="atLeast"/>
              <w:rPr>
                <w:sz w:val="14"/>
                <w:szCs w:val="14"/>
              </w:rPr>
            </w:pPr>
            <w:r w:rsidRPr="00A77D1A">
              <w:rPr>
                <w:sz w:val="14"/>
                <w:szCs w:val="14"/>
              </w:rPr>
              <w:t>354,6</w:t>
            </w:r>
          </w:p>
        </w:tc>
        <w:tc>
          <w:tcPr>
            <w:tcW w:w="548" w:type="dxa"/>
            <w:noWrap/>
            <w:vAlign w:val="center"/>
            <w:hideMark/>
          </w:tcPr>
          <w:p w14:paraId="77EC1E16" w14:textId="77777777" w:rsidR="004902D9" w:rsidRPr="00A77D1A" w:rsidRDefault="004902D9" w:rsidP="00A77D1A">
            <w:pPr>
              <w:spacing w:line="23" w:lineRule="atLeast"/>
              <w:rPr>
                <w:sz w:val="14"/>
                <w:szCs w:val="14"/>
              </w:rPr>
            </w:pPr>
            <w:r w:rsidRPr="00A77D1A">
              <w:rPr>
                <w:sz w:val="14"/>
                <w:szCs w:val="14"/>
              </w:rPr>
              <w:t>302,3</w:t>
            </w:r>
          </w:p>
        </w:tc>
        <w:tc>
          <w:tcPr>
            <w:tcW w:w="548" w:type="dxa"/>
            <w:noWrap/>
            <w:vAlign w:val="center"/>
            <w:hideMark/>
          </w:tcPr>
          <w:p w14:paraId="384B36D7" w14:textId="77777777" w:rsidR="004902D9" w:rsidRPr="00A77D1A" w:rsidRDefault="004902D9" w:rsidP="00A77D1A">
            <w:pPr>
              <w:spacing w:line="23" w:lineRule="atLeast"/>
              <w:rPr>
                <w:sz w:val="14"/>
                <w:szCs w:val="14"/>
              </w:rPr>
            </w:pPr>
            <w:r w:rsidRPr="00A77D1A">
              <w:rPr>
                <w:sz w:val="14"/>
                <w:szCs w:val="14"/>
              </w:rPr>
              <w:t>293,1</w:t>
            </w:r>
          </w:p>
        </w:tc>
        <w:tc>
          <w:tcPr>
            <w:tcW w:w="549" w:type="dxa"/>
            <w:noWrap/>
            <w:vAlign w:val="center"/>
            <w:hideMark/>
          </w:tcPr>
          <w:p w14:paraId="3883B1E5" w14:textId="77777777" w:rsidR="004902D9" w:rsidRPr="00A77D1A" w:rsidRDefault="004902D9" w:rsidP="00A77D1A">
            <w:pPr>
              <w:spacing w:line="23" w:lineRule="atLeast"/>
              <w:rPr>
                <w:sz w:val="14"/>
                <w:szCs w:val="14"/>
              </w:rPr>
            </w:pPr>
            <w:r w:rsidRPr="00A77D1A">
              <w:rPr>
                <w:sz w:val="14"/>
                <w:szCs w:val="14"/>
              </w:rPr>
              <w:t>293,9</w:t>
            </w:r>
          </w:p>
        </w:tc>
      </w:tr>
    </w:tbl>
    <w:p w14:paraId="20D41D0B" w14:textId="77B38E91" w:rsidR="003818EE" w:rsidRPr="00A77D1A" w:rsidRDefault="001F608A" w:rsidP="0084113E">
      <w:pPr>
        <w:spacing w:before="120" w:after="120" w:line="23" w:lineRule="atLeast"/>
        <w:jc w:val="both"/>
        <w:rPr>
          <w:sz w:val="18"/>
          <w:szCs w:val="18"/>
        </w:rPr>
      </w:pPr>
      <w:r w:rsidRPr="00A77D1A">
        <w:rPr>
          <w:rFonts w:cstheme="minorHAnsi"/>
          <w:iCs/>
          <w:color w:val="000000"/>
          <w:sz w:val="18"/>
          <w:szCs w:val="18"/>
          <w:vertAlign w:val="superscript"/>
        </w:rPr>
        <w:t>*)</w:t>
      </w:r>
      <w:r w:rsidR="003818EE" w:rsidRPr="00A77D1A">
        <w:rPr>
          <w:sz w:val="18"/>
          <w:szCs w:val="18"/>
          <w:vertAlign w:val="superscript"/>
        </w:rPr>
        <w:t xml:space="preserve"> </w:t>
      </w:r>
      <w:r w:rsidR="003818EE" w:rsidRPr="00A77D1A">
        <w:rPr>
          <w:sz w:val="18"/>
          <w:szCs w:val="18"/>
        </w:rPr>
        <w:t>Łącznie z emeryturami przyznanymi osobom pobierającym wcześniej zasiłek lub świadczenie przedemerytalne (bez</w:t>
      </w:r>
      <w:r w:rsidR="00AE5C9D">
        <w:rPr>
          <w:sz w:val="18"/>
          <w:szCs w:val="18"/>
        </w:rPr>
        <w:t> </w:t>
      </w:r>
      <w:r w:rsidR="003818EE" w:rsidRPr="00A77D1A">
        <w:rPr>
          <w:sz w:val="18"/>
          <w:szCs w:val="18"/>
        </w:rPr>
        <w:t>emerytur realizowanych na mocy umów międzynarodowych).</w:t>
      </w:r>
    </w:p>
    <w:p w14:paraId="046AE09A" w14:textId="03A3E5CD" w:rsidR="003818EE" w:rsidRPr="00A77D1A" w:rsidRDefault="001F608A" w:rsidP="0084113E">
      <w:pPr>
        <w:spacing w:before="120" w:after="120" w:line="23" w:lineRule="atLeast"/>
        <w:jc w:val="both"/>
        <w:rPr>
          <w:sz w:val="18"/>
          <w:szCs w:val="18"/>
        </w:rPr>
      </w:pPr>
      <w:r w:rsidRPr="00A77D1A">
        <w:rPr>
          <w:rFonts w:cstheme="minorHAnsi"/>
          <w:iCs/>
          <w:color w:val="000000"/>
          <w:sz w:val="18"/>
          <w:szCs w:val="18"/>
          <w:vertAlign w:val="superscript"/>
        </w:rPr>
        <w:t>**)</w:t>
      </w:r>
      <w:r w:rsidR="003818EE" w:rsidRPr="00A77D1A">
        <w:rPr>
          <w:sz w:val="18"/>
          <w:szCs w:val="18"/>
          <w:vertAlign w:val="superscript"/>
        </w:rPr>
        <w:t xml:space="preserve"> </w:t>
      </w:r>
      <w:r w:rsidR="003818EE" w:rsidRPr="00A77D1A">
        <w:rPr>
          <w:sz w:val="18"/>
          <w:szCs w:val="18"/>
        </w:rPr>
        <w:t>Dotyczy osób, którym przyznano emeryturę po raz pierwszy, i które podjęły jej wypłatę w stałym miesięcznym terminie płatności.</w:t>
      </w:r>
    </w:p>
    <w:p w14:paraId="133730DD" w14:textId="30A464F8" w:rsidR="003818EE" w:rsidRPr="00A77D1A" w:rsidRDefault="003818EE" w:rsidP="0084113E">
      <w:pPr>
        <w:spacing w:before="120" w:after="120" w:line="23" w:lineRule="atLeast"/>
        <w:jc w:val="both"/>
        <w:rPr>
          <w:sz w:val="18"/>
          <w:szCs w:val="18"/>
        </w:rPr>
      </w:pPr>
      <w:r w:rsidRPr="00A77D1A">
        <w:rPr>
          <w:sz w:val="18"/>
          <w:szCs w:val="18"/>
        </w:rPr>
        <w:t>Źródło: ZUS</w:t>
      </w:r>
    </w:p>
    <w:p w14:paraId="475A5B9C" w14:textId="77777777" w:rsidR="00965D1A" w:rsidRPr="00A77D1A" w:rsidRDefault="00965D1A" w:rsidP="0084113E">
      <w:pPr>
        <w:spacing w:before="120" w:after="120" w:line="23" w:lineRule="atLeast"/>
        <w:jc w:val="both"/>
        <w:rPr>
          <w:sz w:val="18"/>
          <w:szCs w:val="18"/>
        </w:rPr>
      </w:pPr>
    </w:p>
    <w:p w14:paraId="70795AE4" w14:textId="4F6C497C" w:rsidR="00141F86" w:rsidRDefault="006F4481" w:rsidP="00A26E9C">
      <w:pPr>
        <w:spacing w:before="120" w:after="120"/>
        <w:jc w:val="both"/>
        <w:rPr>
          <w:sz w:val="24"/>
          <w:szCs w:val="24"/>
        </w:rPr>
      </w:pPr>
      <w:r w:rsidRPr="008D0165">
        <w:rPr>
          <w:sz w:val="24"/>
          <w:szCs w:val="24"/>
        </w:rPr>
        <w:t>Po wzroście liczby nowo przyz</w:t>
      </w:r>
      <w:r w:rsidR="008E464E" w:rsidRPr="008D0165">
        <w:rPr>
          <w:sz w:val="24"/>
          <w:szCs w:val="24"/>
        </w:rPr>
        <w:t>nawanych emerytur w latach 2007–</w:t>
      </w:r>
      <w:r w:rsidRPr="008D0165">
        <w:rPr>
          <w:sz w:val="24"/>
          <w:szCs w:val="24"/>
        </w:rPr>
        <w:t>2009 i ich spadku w</w:t>
      </w:r>
      <w:r w:rsidR="004B12EF">
        <w:rPr>
          <w:sz w:val="24"/>
          <w:szCs w:val="24"/>
        </w:rPr>
        <w:t> </w:t>
      </w:r>
      <w:r w:rsidR="00D44959">
        <w:rPr>
          <w:sz w:val="24"/>
          <w:szCs w:val="24"/>
        </w:rPr>
        <w:t>kolejnych latach</w:t>
      </w:r>
      <w:r w:rsidRPr="008D0165">
        <w:rPr>
          <w:sz w:val="24"/>
          <w:szCs w:val="24"/>
        </w:rPr>
        <w:t xml:space="preserve"> od 2014 r. ponownie obserw</w:t>
      </w:r>
      <w:r w:rsidR="000B4892" w:rsidRPr="008D0165">
        <w:rPr>
          <w:sz w:val="24"/>
          <w:szCs w:val="24"/>
        </w:rPr>
        <w:t>owany jes</w:t>
      </w:r>
      <w:r w:rsidR="00516810" w:rsidRPr="008D0165">
        <w:rPr>
          <w:sz w:val="24"/>
          <w:szCs w:val="24"/>
        </w:rPr>
        <w:t>t</w:t>
      </w:r>
      <w:r w:rsidR="009A1F09" w:rsidRPr="008D0165">
        <w:rPr>
          <w:sz w:val="24"/>
          <w:szCs w:val="24"/>
        </w:rPr>
        <w:t xml:space="preserve"> </w:t>
      </w:r>
      <w:r w:rsidRPr="008D0165">
        <w:rPr>
          <w:sz w:val="24"/>
          <w:szCs w:val="24"/>
        </w:rPr>
        <w:t>wzrost liczby emerytur przyznawanych po raz pierwszy. W 2015 r. przyz</w:t>
      </w:r>
      <w:r w:rsidR="008E464E" w:rsidRPr="008D0165">
        <w:rPr>
          <w:sz w:val="24"/>
          <w:szCs w:val="24"/>
        </w:rPr>
        <w:t xml:space="preserve">nano ich 224,4 tys., a </w:t>
      </w:r>
      <w:r w:rsidR="00D44959">
        <w:rPr>
          <w:sz w:val="24"/>
          <w:szCs w:val="24"/>
        </w:rPr>
        <w:t xml:space="preserve">w </w:t>
      </w:r>
      <w:r w:rsidR="008E464E" w:rsidRPr="008D0165">
        <w:rPr>
          <w:sz w:val="24"/>
          <w:szCs w:val="24"/>
        </w:rPr>
        <w:t>2016 r. –</w:t>
      </w:r>
      <w:r w:rsidRPr="008D0165">
        <w:rPr>
          <w:sz w:val="24"/>
          <w:szCs w:val="24"/>
        </w:rPr>
        <w:t xml:space="preserve"> 229,4 tys.</w:t>
      </w:r>
      <w:r w:rsidR="005E4CA6" w:rsidRPr="008D0165">
        <w:rPr>
          <w:sz w:val="24"/>
          <w:szCs w:val="24"/>
        </w:rPr>
        <w:t xml:space="preserve"> Istotny wzrost nowo przyznanych świadczeń emerytalnych miał miejsce w 2017 r. (417</w:t>
      </w:r>
      <w:r w:rsidR="00D44959">
        <w:rPr>
          <w:sz w:val="24"/>
          <w:szCs w:val="24"/>
        </w:rPr>
        <w:t> </w:t>
      </w:r>
      <w:r w:rsidR="005E4CA6" w:rsidRPr="008D0165">
        <w:rPr>
          <w:sz w:val="24"/>
          <w:szCs w:val="24"/>
        </w:rPr>
        <w:t>tys.</w:t>
      </w:r>
      <w:r w:rsidR="00D44959">
        <w:rPr>
          <w:sz w:val="24"/>
          <w:szCs w:val="24"/>
        </w:rPr>
        <w:t> </w:t>
      </w:r>
      <w:r w:rsidR="005E4CA6" w:rsidRPr="008D0165">
        <w:rPr>
          <w:sz w:val="24"/>
          <w:szCs w:val="24"/>
        </w:rPr>
        <w:t>przyznanych emerytur</w:t>
      </w:r>
      <w:r w:rsidR="009A1F09" w:rsidRPr="008D0165">
        <w:rPr>
          <w:sz w:val="24"/>
          <w:szCs w:val="24"/>
        </w:rPr>
        <w:t xml:space="preserve">, czyli o 187,6 tys. więcej niż w roku </w:t>
      </w:r>
      <w:r w:rsidR="00A63F3C">
        <w:rPr>
          <w:sz w:val="24"/>
          <w:szCs w:val="24"/>
        </w:rPr>
        <w:t>poprzednim</w:t>
      </w:r>
      <w:r w:rsidR="005E4CA6" w:rsidRPr="008D0165">
        <w:rPr>
          <w:sz w:val="24"/>
          <w:szCs w:val="24"/>
        </w:rPr>
        <w:t xml:space="preserve"> w związku z</w:t>
      </w:r>
      <w:r w:rsidR="00D44959">
        <w:rPr>
          <w:sz w:val="24"/>
          <w:szCs w:val="24"/>
        </w:rPr>
        <w:t> </w:t>
      </w:r>
      <w:r w:rsidR="005E4CA6" w:rsidRPr="008D0165">
        <w:rPr>
          <w:sz w:val="24"/>
          <w:szCs w:val="24"/>
        </w:rPr>
        <w:t>wejściem w życie od 1 paździ</w:t>
      </w:r>
      <w:r w:rsidR="00181F95" w:rsidRPr="008D0165">
        <w:rPr>
          <w:sz w:val="24"/>
          <w:szCs w:val="24"/>
        </w:rPr>
        <w:t>ernika 2017 r. ustawy z dnia 16 </w:t>
      </w:r>
      <w:r w:rsidR="005E4CA6" w:rsidRPr="008D0165">
        <w:rPr>
          <w:sz w:val="24"/>
          <w:szCs w:val="24"/>
        </w:rPr>
        <w:t>listopada 2016 r. o zmianie ustawy o</w:t>
      </w:r>
      <w:r w:rsidR="004B12EF">
        <w:rPr>
          <w:sz w:val="24"/>
          <w:szCs w:val="24"/>
        </w:rPr>
        <w:t> </w:t>
      </w:r>
      <w:r w:rsidR="005E4CA6" w:rsidRPr="008D0165">
        <w:rPr>
          <w:sz w:val="24"/>
          <w:szCs w:val="24"/>
        </w:rPr>
        <w:t>emeryturach i rentach z Funduszu Ubezpieczeń Społecznych oraz n</w:t>
      </w:r>
      <w:r w:rsidR="008E464E" w:rsidRPr="008D0165">
        <w:rPr>
          <w:sz w:val="24"/>
          <w:szCs w:val="24"/>
        </w:rPr>
        <w:t>iektórych innych ustaw (Dz.</w:t>
      </w:r>
      <w:r w:rsidR="006E0972">
        <w:rPr>
          <w:sz w:val="24"/>
          <w:szCs w:val="24"/>
        </w:rPr>
        <w:t xml:space="preserve"> </w:t>
      </w:r>
      <w:r w:rsidR="008E464E" w:rsidRPr="008D0165">
        <w:rPr>
          <w:sz w:val="24"/>
          <w:szCs w:val="24"/>
        </w:rPr>
        <w:t xml:space="preserve">U. z 2017 </w:t>
      </w:r>
      <w:r w:rsidR="006649B9" w:rsidRPr="008D0165">
        <w:rPr>
          <w:sz w:val="24"/>
          <w:szCs w:val="24"/>
        </w:rPr>
        <w:t>r. poz. 38</w:t>
      </w:r>
      <w:r w:rsidR="00DB3EC1">
        <w:rPr>
          <w:sz w:val="24"/>
          <w:szCs w:val="24"/>
        </w:rPr>
        <w:t xml:space="preserve">, </w:t>
      </w:r>
      <w:r w:rsidR="00DB3EC1" w:rsidRPr="008D0165">
        <w:rPr>
          <w:sz w:val="24"/>
          <w:szCs w:val="24"/>
        </w:rPr>
        <w:t>z późn. zm.</w:t>
      </w:r>
      <w:r w:rsidR="00114B30">
        <w:rPr>
          <w:rStyle w:val="Odwoanieprzypisudolnego"/>
          <w:sz w:val="24"/>
          <w:szCs w:val="24"/>
        </w:rPr>
        <w:footnoteReference w:id="2"/>
      </w:r>
      <w:r w:rsidR="00114B30" w:rsidRPr="009D2FE9">
        <w:rPr>
          <w:sz w:val="24"/>
          <w:szCs w:val="24"/>
          <w:vertAlign w:val="superscript"/>
        </w:rPr>
        <w:t>)</w:t>
      </w:r>
      <w:r w:rsidR="005E4CA6" w:rsidRPr="008D0165">
        <w:rPr>
          <w:sz w:val="24"/>
          <w:szCs w:val="24"/>
        </w:rPr>
        <w:t xml:space="preserve">), na mocy której został przywrócony wiek emerytalny obowiązujący przed </w:t>
      </w:r>
      <w:r w:rsidR="006E1E2D" w:rsidRPr="008D0165">
        <w:rPr>
          <w:sz w:val="24"/>
          <w:szCs w:val="24"/>
        </w:rPr>
        <w:t xml:space="preserve">wejściem </w:t>
      </w:r>
      <w:r w:rsidR="00A63F3C">
        <w:rPr>
          <w:sz w:val="24"/>
          <w:szCs w:val="24"/>
        </w:rPr>
        <w:t xml:space="preserve">w </w:t>
      </w:r>
      <w:r w:rsidR="006E1E2D" w:rsidRPr="008D0165">
        <w:rPr>
          <w:sz w:val="24"/>
          <w:szCs w:val="24"/>
        </w:rPr>
        <w:t xml:space="preserve">życie ustawy z dnia 11 maja 2012 r. </w:t>
      </w:r>
      <w:r w:rsidR="00181F95" w:rsidRPr="008D0165">
        <w:rPr>
          <w:sz w:val="24"/>
          <w:szCs w:val="24"/>
        </w:rPr>
        <w:t>o </w:t>
      </w:r>
      <w:r w:rsidR="006E1E2D" w:rsidRPr="008D0165">
        <w:rPr>
          <w:sz w:val="24"/>
          <w:szCs w:val="24"/>
        </w:rPr>
        <w:t>zmianie ustawy o</w:t>
      </w:r>
      <w:r w:rsidR="004B12EF">
        <w:rPr>
          <w:sz w:val="24"/>
          <w:szCs w:val="24"/>
        </w:rPr>
        <w:t> </w:t>
      </w:r>
      <w:r w:rsidR="006E1E2D" w:rsidRPr="008D0165">
        <w:rPr>
          <w:sz w:val="24"/>
          <w:szCs w:val="24"/>
        </w:rPr>
        <w:t>emeryturach i rentach z Funduszu Ubezpieczeń Społecznych oraz niektórych innych u</w:t>
      </w:r>
      <w:r w:rsidR="006649B9" w:rsidRPr="008D0165">
        <w:rPr>
          <w:sz w:val="24"/>
          <w:szCs w:val="24"/>
        </w:rPr>
        <w:t>staw (Dz.</w:t>
      </w:r>
      <w:r w:rsidR="006E0972">
        <w:rPr>
          <w:sz w:val="24"/>
          <w:szCs w:val="24"/>
        </w:rPr>
        <w:t xml:space="preserve"> </w:t>
      </w:r>
      <w:r w:rsidR="006649B9" w:rsidRPr="008D0165">
        <w:rPr>
          <w:sz w:val="24"/>
          <w:szCs w:val="24"/>
        </w:rPr>
        <w:t>U. poz. 637</w:t>
      </w:r>
      <w:r w:rsidR="000B1EB6">
        <w:rPr>
          <w:sz w:val="24"/>
          <w:szCs w:val="24"/>
        </w:rPr>
        <w:t>,</w:t>
      </w:r>
      <w:r w:rsidR="006649B9" w:rsidRPr="008D0165">
        <w:rPr>
          <w:sz w:val="24"/>
          <w:szCs w:val="24"/>
        </w:rPr>
        <w:t xml:space="preserve"> z późn. zm.</w:t>
      </w:r>
      <w:r w:rsidR="006E1E2D" w:rsidRPr="008D0165">
        <w:rPr>
          <w:sz w:val="24"/>
          <w:szCs w:val="24"/>
        </w:rPr>
        <w:t xml:space="preserve">). Ustawa z 2012 r. przewidywała, że </w:t>
      </w:r>
      <w:r w:rsidR="005E4CA6" w:rsidRPr="008D0165">
        <w:rPr>
          <w:sz w:val="24"/>
          <w:szCs w:val="24"/>
        </w:rPr>
        <w:t xml:space="preserve">od 2013 r. wiek emerytalny będzie wzrastał o trzy miesiące każdego roku. Tym samym mężczyźni </w:t>
      </w:r>
      <w:r w:rsidR="009F1054" w:rsidRPr="008D0165">
        <w:rPr>
          <w:sz w:val="24"/>
          <w:szCs w:val="24"/>
        </w:rPr>
        <w:t xml:space="preserve">mieli </w:t>
      </w:r>
      <w:r w:rsidR="005E4CA6" w:rsidRPr="008D0165">
        <w:rPr>
          <w:sz w:val="24"/>
          <w:szCs w:val="24"/>
        </w:rPr>
        <w:t>osiągn</w:t>
      </w:r>
      <w:r w:rsidR="009F1054" w:rsidRPr="008D0165">
        <w:rPr>
          <w:sz w:val="24"/>
          <w:szCs w:val="24"/>
        </w:rPr>
        <w:t>ąć</w:t>
      </w:r>
      <w:r w:rsidR="005E4CA6" w:rsidRPr="008D0165">
        <w:rPr>
          <w:sz w:val="24"/>
          <w:szCs w:val="24"/>
        </w:rPr>
        <w:t xml:space="preserve"> docelowy wiek emerytalny</w:t>
      </w:r>
      <w:r w:rsidR="00AE5C9D">
        <w:rPr>
          <w:sz w:val="24"/>
          <w:szCs w:val="24"/>
        </w:rPr>
        <w:t xml:space="preserve"> (67 lat) w 2020 r., a kobiety </w:t>
      </w:r>
      <w:r w:rsidR="005E4CA6" w:rsidRPr="008D0165">
        <w:rPr>
          <w:sz w:val="24"/>
          <w:szCs w:val="24"/>
        </w:rPr>
        <w:t xml:space="preserve">w 2040 r. </w:t>
      </w:r>
      <w:r w:rsidR="009A1F09" w:rsidRPr="008D0165">
        <w:rPr>
          <w:sz w:val="24"/>
          <w:szCs w:val="24"/>
        </w:rPr>
        <w:t>Duży przyrost nowo przyznanych emerytur wiąże się nie tylko z osiąganiem przez większą grupę społeczeństwa wieku emerytalnego, ale także trend</w:t>
      </w:r>
      <w:r w:rsidR="009F1054" w:rsidRPr="008D0165">
        <w:rPr>
          <w:sz w:val="24"/>
          <w:szCs w:val="24"/>
        </w:rPr>
        <w:t>em</w:t>
      </w:r>
      <w:r w:rsidR="009A1F09" w:rsidRPr="008D0165">
        <w:rPr>
          <w:sz w:val="24"/>
          <w:szCs w:val="24"/>
        </w:rPr>
        <w:t xml:space="preserve"> istotnych przyrost</w:t>
      </w:r>
      <w:r w:rsidR="00834247" w:rsidRPr="008D0165">
        <w:rPr>
          <w:sz w:val="24"/>
          <w:szCs w:val="24"/>
        </w:rPr>
        <w:t>ów</w:t>
      </w:r>
      <w:r w:rsidR="009A1F09" w:rsidRPr="008D0165">
        <w:rPr>
          <w:sz w:val="24"/>
          <w:szCs w:val="24"/>
        </w:rPr>
        <w:t xml:space="preserve"> ludności w wieku 60/65 lat. </w:t>
      </w:r>
      <w:r w:rsidR="00181F95" w:rsidRPr="008D0165">
        <w:rPr>
          <w:sz w:val="24"/>
          <w:szCs w:val="24"/>
        </w:rPr>
        <w:t>W </w:t>
      </w:r>
      <w:r w:rsidR="009A1F09" w:rsidRPr="008D0165">
        <w:rPr>
          <w:sz w:val="24"/>
          <w:szCs w:val="24"/>
        </w:rPr>
        <w:t>latach 2011</w:t>
      </w:r>
      <w:r w:rsidR="00A435C2">
        <w:rPr>
          <w:sz w:val="24"/>
          <w:szCs w:val="24"/>
        </w:rPr>
        <w:t>–</w:t>
      </w:r>
      <w:r w:rsidR="009A1F09" w:rsidRPr="008D0165">
        <w:rPr>
          <w:sz w:val="24"/>
          <w:szCs w:val="24"/>
        </w:rPr>
        <w:t xml:space="preserve">2019 przyrost wynosił od blisko 200 tys. do 236 tys., czyli </w:t>
      </w:r>
      <w:r w:rsidR="00834247" w:rsidRPr="008D0165">
        <w:rPr>
          <w:sz w:val="24"/>
          <w:szCs w:val="24"/>
        </w:rPr>
        <w:t xml:space="preserve">był </w:t>
      </w:r>
      <w:r w:rsidR="009A1F09" w:rsidRPr="008D0165">
        <w:rPr>
          <w:sz w:val="24"/>
          <w:szCs w:val="24"/>
        </w:rPr>
        <w:t>ponad trzykrotn</w:t>
      </w:r>
      <w:r w:rsidR="00D96515" w:rsidRPr="008D0165">
        <w:rPr>
          <w:sz w:val="24"/>
          <w:szCs w:val="24"/>
        </w:rPr>
        <w:t>ie wyższy niż roczny przyrost w </w:t>
      </w:r>
      <w:r w:rsidR="009A1F09" w:rsidRPr="008D0165">
        <w:rPr>
          <w:sz w:val="24"/>
          <w:szCs w:val="24"/>
        </w:rPr>
        <w:t>dekadzie 2001</w:t>
      </w:r>
      <w:r w:rsidR="0059386E" w:rsidRPr="008D0165">
        <w:rPr>
          <w:sz w:val="24"/>
          <w:szCs w:val="24"/>
        </w:rPr>
        <w:t>–</w:t>
      </w:r>
      <w:r w:rsidR="009A1F09" w:rsidRPr="008D0165">
        <w:rPr>
          <w:sz w:val="24"/>
          <w:szCs w:val="24"/>
        </w:rPr>
        <w:t>2010.</w:t>
      </w:r>
      <w:r w:rsidR="00141F86">
        <w:rPr>
          <w:sz w:val="24"/>
          <w:szCs w:val="24"/>
        </w:rPr>
        <w:t xml:space="preserve"> </w:t>
      </w:r>
    </w:p>
    <w:p w14:paraId="7AA0DA41" w14:textId="2CF9B76D" w:rsidR="00F5344D" w:rsidRPr="00A26E9C" w:rsidRDefault="00F5344D" w:rsidP="00A26E9C">
      <w:pPr>
        <w:spacing w:after="120"/>
        <w:jc w:val="both"/>
        <w:rPr>
          <w:rFonts w:ascii="Calibri" w:hAnsi="Calibri" w:cs="Calibri"/>
          <w:sz w:val="24"/>
          <w:szCs w:val="24"/>
        </w:rPr>
      </w:pPr>
      <w:r w:rsidRPr="00A26E9C">
        <w:rPr>
          <w:rFonts w:ascii="Calibri" w:hAnsi="Calibri" w:cs="Calibri"/>
          <w:sz w:val="24"/>
          <w:szCs w:val="24"/>
        </w:rPr>
        <w:lastRenderedPageBreak/>
        <w:t>Konsekwencją przywrócenia wieku emerytalnego, obowiązującego do 2012 r. (60 lat dla</w:t>
      </w:r>
      <w:r w:rsidR="00AB5640">
        <w:rPr>
          <w:rFonts w:ascii="Calibri" w:hAnsi="Calibri" w:cs="Calibri"/>
          <w:sz w:val="24"/>
          <w:szCs w:val="24"/>
        </w:rPr>
        <w:t> </w:t>
      </w:r>
      <w:r w:rsidRPr="00A26E9C">
        <w:rPr>
          <w:rFonts w:ascii="Calibri" w:hAnsi="Calibri" w:cs="Calibri"/>
          <w:sz w:val="24"/>
          <w:szCs w:val="24"/>
        </w:rPr>
        <w:t>kobiet i 65 lat dla mężczyzn) było skumulowane przejście na emeryturę osób, które</w:t>
      </w:r>
      <w:r w:rsidR="00C30875">
        <w:rPr>
          <w:rFonts w:ascii="Calibri" w:hAnsi="Calibri" w:cs="Calibri"/>
          <w:sz w:val="24"/>
          <w:szCs w:val="24"/>
        </w:rPr>
        <w:t xml:space="preserve"> zostały</w:t>
      </w:r>
      <w:r w:rsidRPr="00A26E9C">
        <w:rPr>
          <w:rFonts w:ascii="Calibri" w:hAnsi="Calibri" w:cs="Calibri"/>
          <w:sz w:val="24"/>
          <w:szCs w:val="24"/>
        </w:rPr>
        <w:t xml:space="preserve"> obję</w:t>
      </w:r>
      <w:r w:rsidR="00C30875">
        <w:rPr>
          <w:rFonts w:ascii="Calibri" w:hAnsi="Calibri" w:cs="Calibri"/>
          <w:sz w:val="24"/>
          <w:szCs w:val="24"/>
        </w:rPr>
        <w:t>te</w:t>
      </w:r>
      <w:r w:rsidRPr="00A26E9C">
        <w:rPr>
          <w:rFonts w:ascii="Calibri" w:hAnsi="Calibri" w:cs="Calibri"/>
          <w:sz w:val="24"/>
          <w:szCs w:val="24"/>
        </w:rPr>
        <w:t xml:space="preserve"> obniżenie</w:t>
      </w:r>
      <w:r w:rsidR="00C30875">
        <w:rPr>
          <w:rFonts w:ascii="Calibri" w:hAnsi="Calibri" w:cs="Calibri"/>
          <w:sz w:val="24"/>
          <w:szCs w:val="24"/>
        </w:rPr>
        <w:t>m</w:t>
      </w:r>
      <w:r w:rsidRPr="00A26E9C">
        <w:rPr>
          <w:rFonts w:ascii="Calibri" w:hAnsi="Calibri" w:cs="Calibri"/>
          <w:sz w:val="24"/>
          <w:szCs w:val="24"/>
        </w:rPr>
        <w:t xml:space="preserve"> wieku emerytalnego. Większość z tych osób korzystała ze świadczeń z</w:t>
      </w:r>
      <w:r w:rsidR="00AB5640">
        <w:rPr>
          <w:rFonts w:ascii="Calibri" w:hAnsi="Calibri" w:cs="Calibri"/>
          <w:sz w:val="24"/>
          <w:szCs w:val="24"/>
        </w:rPr>
        <w:t> </w:t>
      </w:r>
      <w:r w:rsidRPr="00A26E9C">
        <w:rPr>
          <w:rFonts w:ascii="Calibri" w:hAnsi="Calibri" w:cs="Calibri"/>
          <w:sz w:val="24"/>
          <w:szCs w:val="24"/>
        </w:rPr>
        <w:t>Funduszu Pracy lub nie posiadała żadnych przychodów.</w:t>
      </w:r>
    </w:p>
    <w:p w14:paraId="07E1F284" w14:textId="4B517BE9" w:rsidR="009A1F09" w:rsidRPr="008D0165" w:rsidRDefault="009A1F09" w:rsidP="00A26E9C">
      <w:pPr>
        <w:spacing w:before="120" w:after="120"/>
        <w:jc w:val="both"/>
        <w:rPr>
          <w:sz w:val="24"/>
          <w:szCs w:val="24"/>
        </w:rPr>
      </w:pPr>
      <w:r w:rsidRPr="008D0165">
        <w:rPr>
          <w:sz w:val="24"/>
          <w:szCs w:val="24"/>
        </w:rPr>
        <w:t>Od 2018 r. liczba nowo przyznanych emerytur stopniowo spada (</w:t>
      </w:r>
      <w:r w:rsidR="00834247" w:rsidRPr="008D0165">
        <w:rPr>
          <w:sz w:val="24"/>
          <w:szCs w:val="24"/>
        </w:rPr>
        <w:t xml:space="preserve">354,6 tys. </w:t>
      </w:r>
      <w:r w:rsidR="00C87888">
        <w:rPr>
          <w:sz w:val="24"/>
          <w:szCs w:val="24"/>
        </w:rPr>
        <w:t xml:space="preserve">w </w:t>
      </w:r>
      <w:r w:rsidR="00834247" w:rsidRPr="008D0165">
        <w:rPr>
          <w:sz w:val="24"/>
          <w:szCs w:val="24"/>
        </w:rPr>
        <w:t>2018</w:t>
      </w:r>
      <w:r w:rsidR="00CB26BA">
        <w:rPr>
          <w:sz w:val="24"/>
          <w:szCs w:val="24"/>
        </w:rPr>
        <w:t xml:space="preserve"> r.</w:t>
      </w:r>
      <w:r w:rsidR="00834247" w:rsidRPr="008D0165">
        <w:rPr>
          <w:sz w:val="24"/>
          <w:szCs w:val="24"/>
        </w:rPr>
        <w:t>; 302,3</w:t>
      </w:r>
      <w:r w:rsidR="00CB26BA">
        <w:rPr>
          <w:sz w:val="24"/>
          <w:szCs w:val="24"/>
        </w:rPr>
        <w:t> </w:t>
      </w:r>
      <w:r w:rsidR="00834247" w:rsidRPr="008D0165">
        <w:rPr>
          <w:sz w:val="24"/>
          <w:szCs w:val="24"/>
        </w:rPr>
        <w:t>tys. w 2019</w:t>
      </w:r>
      <w:r w:rsidR="009F1054" w:rsidRPr="008D0165">
        <w:rPr>
          <w:sz w:val="24"/>
          <w:szCs w:val="24"/>
        </w:rPr>
        <w:t xml:space="preserve"> r.</w:t>
      </w:r>
      <w:r w:rsidR="00834247" w:rsidRPr="008D0165">
        <w:rPr>
          <w:sz w:val="24"/>
          <w:szCs w:val="24"/>
        </w:rPr>
        <w:t>; 293,1 tys. w 2020</w:t>
      </w:r>
      <w:r w:rsidR="009F1054" w:rsidRPr="008D0165">
        <w:rPr>
          <w:sz w:val="24"/>
          <w:szCs w:val="24"/>
        </w:rPr>
        <w:t xml:space="preserve"> r.</w:t>
      </w:r>
      <w:r w:rsidR="00834247" w:rsidRPr="008D0165">
        <w:rPr>
          <w:sz w:val="24"/>
          <w:szCs w:val="24"/>
        </w:rPr>
        <w:t xml:space="preserve">; </w:t>
      </w:r>
      <w:r w:rsidR="009755C7" w:rsidRPr="008D0165">
        <w:rPr>
          <w:sz w:val="24"/>
          <w:szCs w:val="24"/>
        </w:rPr>
        <w:t xml:space="preserve">wyjątkiem jest nieznaczny wzrost </w:t>
      </w:r>
      <w:r w:rsidR="00CB26BA">
        <w:rPr>
          <w:sz w:val="24"/>
          <w:szCs w:val="24"/>
        </w:rPr>
        <w:t xml:space="preserve">w </w:t>
      </w:r>
      <w:r w:rsidR="009755C7" w:rsidRPr="008D0165">
        <w:rPr>
          <w:sz w:val="24"/>
          <w:szCs w:val="24"/>
        </w:rPr>
        <w:t>2021 r. –</w:t>
      </w:r>
      <w:r w:rsidR="00CB26BA">
        <w:rPr>
          <w:sz w:val="24"/>
          <w:szCs w:val="24"/>
        </w:rPr>
        <w:t> </w:t>
      </w:r>
      <w:r w:rsidR="00834247" w:rsidRPr="008D0165">
        <w:rPr>
          <w:sz w:val="24"/>
          <w:szCs w:val="24"/>
        </w:rPr>
        <w:t>293,9</w:t>
      </w:r>
      <w:r w:rsidR="00CB26BA">
        <w:rPr>
          <w:sz w:val="24"/>
          <w:szCs w:val="24"/>
        </w:rPr>
        <w:t> </w:t>
      </w:r>
      <w:r w:rsidR="009755C7" w:rsidRPr="008D0165">
        <w:rPr>
          <w:sz w:val="24"/>
          <w:szCs w:val="24"/>
        </w:rPr>
        <w:t xml:space="preserve">tys.), </w:t>
      </w:r>
      <w:r w:rsidR="00834247" w:rsidRPr="008D0165">
        <w:rPr>
          <w:sz w:val="24"/>
          <w:szCs w:val="24"/>
        </w:rPr>
        <w:t>lecz cały czas utrzymuje się na wysokim poziomie. W 2021</w:t>
      </w:r>
      <w:r w:rsidR="009F1054" w:rsidRPr="008D0165">
        <w:rPr>
          <w:sz w:val="24"/>
          <w:szCs w:val="24"/>
        </w:rPr>
        <w:t xml:space="preserve"> r.</w:t>
      </w:r>
      <w:r w:rsidR="00834247" w:rsidRPr="008D0165">
        <w:rPr>
          <w:sz w:val="24"/>
          <w:szCs w:val="24"/>
        </w:rPr>
        <w:t xml:space="preserve"> było już ponad 6</w:t>
      </w:r>
      <w:r w:rsidR="00AB5640">
        <w:rPr>
          <w:sz w:val="24"/>
          <w:szCs w:val="24"/>
        </w:rPr>
        <w:t> </w:t>
      </w:r>
      <w:r w:rsidR="00834247" w:rsidRPr="008D0165">
        <w:rPr>
          <w:sz w:val="24"/>
          <w:szCs w:val="24"/>
        </w:rPr>
        <w:t>milionów osób otrzymujących emeryturę</w:t>
      </w:r>
      <w:r w:rsidR="00890943">
        <w:rPr>
          <w:sz w:val="24"/>
          <w:szCs w:val="24"/>
        </w:rPr>
        <w:t xml:space="preserve"> z Zakładu Ubezpieczeń Społecznych</w:t>
      </w:r>
      <w:r w:rsidR="00834247" w:rsidRPr="008D0165">
        <w:rPr>
          <w:sz w:val="24"/>
          <w:szCs w:val="24"/>
        </w:rPr>
        <w:t xml:space="preserve">, z czego </w:t>
      </w:r>
      <w:r w:rsidR="00A27823">
        <w:rPr>
          <w:sz w:val="24"/>
          <w:szCs w:val="24"/>
        </w:rPr>
        <w:t>60,5</w:t>
      </w:r>
      <w:r w:rsidR="00834247" w:rsidRPr="008D0165">
        <w:rPr>
          <w:sz w:val="24"/>
          <w:szCs w:val="24"/>
        </w:rPr>
        <w:t>%</w:t>
      </w:r>
      <w:r w:rsidR="00AB5640">
        <w:rPr>
          <w:sz w:val="24"/>
          <w:szCs w:val="24"/>
        </w:rPr>
        <w:t> </w:t>
      </w:r>
      <w:r w:rsidR="00834247" w:rsidRPr="008D0165">
        <w:rPr>
          <w:sz w:val="24"/>
          <w:szCs w:val="24"/>
        </w:rPr>
        <w:t xml:space="preserve">to kobiety, a </w:t>
      </w:r>
      <w:r w:rsidR="00A27823">
        <w:rPr>
          <w:sz w:val="24"/>
          <w:szCs w:val="24"/>
        </w:rPr>
        <w:t>39,5</w:t>
      </w:r>
      <w:r w:rsidR="00834247" w:rsidRPr="008D0165">
        <w:rPr>
          <w:sz w:val="24"/>
          <w:szCs w:val="24"/>
        </w:rPr>
        <w:t xml:space="preserve">% </w:t>
      </w:r>
      <w:r w:rsidR="003B51A1" w:rsidRPr="008D0165">
        <w:rPr>
          <w:sz w:val="24"/>
          <w:szCs w:val="24"/>
        </w:rPr>
        <w:t xml:space="preserve">to </w:t>
      </w:r>
      <w:r w:rsidR="00834247" w:rsidRPr="008D0165">
        <w:rPr>
          <w:sz w:val="24"/>
          <w:szCs w:val="24"/>
        </w:rPr>
        <w:t>mężczyźni.</w:t>
      </w:r>
    </w:p>
    <w:p w14:paraId="5B36E3E0" w14:textId="22A0A121" w:rsidR="00516810" w:rsidRPr="008D0165" w:rsidRDefault="00516810" w:rsidP="008C0CDB">
      <w:pPr>
        <w:spacing w:before="240" w:after="120" w:line="23" w:lineRule="atLeast"/>
        <w:jc w:val="both"/>
        <w:rPr>
          <w:b/>
          <w:sz w:val="24"/>
          <w:szCs w:val="24"/>
        </w:rPr>
      </w:pPr>
      <w:r w:rsidRPr="008D0165">
        <w:rPr>
          <w:b/>
          <w:sz w:val="24"/>
          <w:szCs w:val="24"/>
        </w:rPr>
        <w:t xml:space="preserve">Tabela </w:t>
      </w:r>
      <w:r w:rsidR="008E5A5D" w:rsidRPr="008D0165">
        <w:rPr>
          <w:b/>
          <w:sz w:val="24"/>
          <w:szCs w:val="24"/>
        </w:rPr>
        <w:t>2</w:t>
      </w:r>
      <w:r w:rsidRPr="008D0165">
        <w:rPr>
          <w:b/>
          <w:sz w:val="24"/>
          <w:szCs w:val="24"/>
        </w:rPr>
        <w:t>. Stan i struktura ludności w grupie wiekowej 60/65 lat i więcej w latach 1999</w:t>
      </w:r>
      <w:r w:rsidR="0059386E" w:rsidRPr="008D0165">
        <w:rPr>
          <w:b/>
          <w:sz w:val="24"/>
          <w:szCs w:val="24"/>
        </w:rPr>
        <w:t>–</w:t>
      </w:r>
      <w:r w:rsidRPr="008D0165">
        <w:rPr>
          <w:b/>
          <w:sz w:val="24"/>
          <w:szCs w:val="24"/>
        </w:rPr>
        <w:t>202</w:t>
      </w:r>
      <w:r w:rsidR="00DB3EC1">
        <w:rPr>
          <w:b/>
          <w:sz w:val="24"/>
          <w:szCs w:val="24"/>
        </w:rPr>
        <w:t>1</w:t>
      </w:r>
    </w:p>
    <w:tbl>
      <w:tblPr>
        <w:tblW w:w="3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284" w:type="dxa"/>
        </w:tblCellMar>
        <w:tblLook w:val="04A0" w:firstRow="1" w:lastRow="0" w:firstColumn="1" w:lastColumn="0" w:noHBand="0" w:noVBand="1"/>
      </w:tblPr>
      <w:tblGrid>
        <w:gridCol w:w="960"/>
        <w:gridCol w:w="1607"/>
        <w:gridCol w:w="1417"/>
      </w:tblGrid>
      <w:tr w:rsidR="00516810" w:rsidRPr="008D0165" w14:paraId="17C79830" w14:textId="77777777" w:rsidTr="00AE4507">
        <w:trPr>
          <w:trHeight w:val="532"/>
          <w:jc w:val="center"/>
        </w:trPr>
        <w:tc>
          <w:tcPr>
            <w:tcW w:w="960" w:type="dxa"/>
            <w:shd w:val="clear" w:color="auto" w:fill="B8CCE4" w:themeFill="accent1" w:themeFillTint="66"/>
            <w:noWrap/>
            <w:vAlign w:val="center"/>
            <w:hideMark/>
          </w:tcPr>
          <w:p w14:paraId="63D0DFD1" w14:textId="74BBF3EA" w:rsidR="00516810" w:rsidRPr="00A26E9C" w:rsidRDefault="009D2FE9" w:rsidP="009D2FE9">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Rok</w:t>
            </w:r>
          </w:p>
        </w:tc>
        <w:tc>
          <w:tcPr>
            <w:tcW w:w="1607" w:type="dxa"/>
            <w:shd w:val="clear" w:color="auto" w:fill="B8CCE4" w:themeFill="accent1" w:themeFillTint="66"/>
            <w:noWrap/>
            <w:vAlign w:val="center"/>
            <w:hideMark/>
          </w:tcPr>
          <w:p w14:paraId="5F272DC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Liczba ogólna ludności w tys.</w:t>
            </w:r>
          </w:p>
        </w:tc>
        <w:tc>
          <w:tcPr>
            <w:tcW w:w="1417" w:type="dxa"/>
            <w:shd w:val="clear" w:color="auto" w:fill="B8CCE4" w:themeFill="accent1" w:themeFillTint="66"/>
            <w:noWrap/>
            <w:vAlign w:val="center"/>
            <w:hideMark/>
          </w:tcPr>
          <w:p w14:paraId="7D14888E"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Przyrosty roczne w tys.</w:t>
            </w:r>
          </w:p>
        </w:tc>
      </w:tr>
      <w:tr w:rsidR="00516810" w:rsidRPr="008D0165" w14:paraId="086C1762" w14:textId="77777777" w:rsidTr="00AE4507">
        <w:trPr>
          <w:trHeight w:val="283"/>
          <w:jc w:val="center"/>
        </w:trPr>
        <w:tc>
          <w:tcPr>
            <w:tcW w:w="960" w:type="dxa"/>
            <w:shd w:val="clear" w:color="auto" w:fill="auto"/>
            <w:noWrap/>
            <w:vAlign w:val="center"/>
            <w:hideMark/>
          </w:tcPr>
          <w:p w14:paraId="5F2632C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1999</w:t>
            </w:r>
          </w:p>
        </w:tc>
        <w:tc>
          <w:tcPr>
            <w:tcW w:w="1607" w:type="dxa"/>
            <w:shd w:val="clear" w:color="auto" w:fill="auto"/>
            <w:noWrap/>
            <w:vAlign w:val="center"/>
            <w:hideMark/>
          </w:tcPr>
          <w:p w14:paraId="577768E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5592,2</w:t>
            </w:r>
          </w:p>
        </w:tc>
        <w:tc>
          <w:tcPr>
            <w:tcW w:w="1417" w:type="dxa"/>
            <w:shd w:val="clear" w:color="auto" w:fill="auto"/>
            <w:noWrap/>
            <w:vAlign w:val="center"/>
            <w:hideMark/>
          </w:tcPr>
          <w:p w14:paraId="1B00CAA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80,0</w:t>
            </w:r>
          </w:p>
        </w:tc>
      </w:tr>
      <w:tr w:rsidR="00516810" w:rsidRPr="008D0165" w14:paraId="77DE0025" w14:textId="77777777" w:rsidTr="00AE4507">
        <w:trPr>
          <w:trHeight w:val="283"/>
          <w:jc w:val="center"/>
        </w:trPr>
        <w:tc>
          <w:tcPr>
            <w:tcW w:w="960" w:type="dxa"/>
            <w:shd w:val="clear" w:color="auto" w:fill="auto"/>
            <w:noWrap/>
            <w:vAlign w:val="center"/>
            <w:hideMark/>
          </w:tcPr>
          <w:p w14:paraId="35C9B77C"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2000</w:t>
            </w:r>
          </w:p>
        </w:tc>
        <w:tc>
          <w:tcPr>
            <w:tcW w:w="1607" w:type="dxa"/>
            <w:shd w:val="clear" w:color="auto" w:fill="auto"/>
            <w:noWrap/>
            <w:vAlign w:val="center"/>
            <w:hideMark/>
          </w:tcPr>
          <w:p w14:paraId="1690E25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5660,0</w:t>
            </w:r>
          </w:p>
        </w:tc>
        <w:tc>
          <w:tcPr>
            <w:tcW w:w="1417" w:type="dxa"/>
            <w:shd w:val="clear" w:color="auto" w:fill="auto"/>
            <w:noWrap/>
            <w:vAlign w:val="center"/>
            <w:hideMark/>
          </w:tcPr>
          <w:p w14:paraId="4F47283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68,0</w:t>
            </w:r>
          </w:p>
        </w:tc>
      </w:tr>
      <w:tr w:rsidR="00516810" w:rsidRPr="008D0165" w14:paraId="6407E9B4" w14:textId="77777777" w:rsidTr="00AE4507">
        <w:trPr>
          <w:trHeight w:val="283"/>
          <w:jc w:val="center"/>
        </w:trPr>
        <w:tc>
          <w:tcPr>
            <w:tcW w:w="960" w:type="dxa"/>
            <w:shd w:val="clear" w:color="auto" w:fill="auto"/>
            <w:noWrap/>
            <w:vAlign w:val="center"/>
            <w:hideMark/>
          </w:tcPr>
          <w:p w14:paraId="1AB8808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2001</w:t>
            </w:r>
          </w:p>
        </w:tc>
        <w:tc>
          <w:tcPr>
            <w:tcW w:w="1607" w:type="dxa"/>
            <w:shd w:val="clear" w:color="auto" w:fill="auto"/>
            <w:noWrap/>
            <w:vAlign w:val="center"/>
            <w:hideMark/>
          </w:tcPr>
          <w:p w14:paraId="33289DD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5719,5</w:t>
            </w:r>
          </w:p>
        </w:tc>
        <w:tc>
          <w:tcPr>
            <w:tcW w:w="1417" w:type="dxa"/>
            <w:shd w:val="clear" w:color="auto" w:fill="auto"/>
            <w:noWrap/>
            <w:vAlign w:val="center"/>
            <w:hideMark/>
          </w:tcPr>
          <w:p w14:paraId="383BAA7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59,5</w:t>
            </w:r>
          </w:p>
        </w:tc>
      </w:tr>
      <w:tr w:rsidR="00516810" w:rsidRPr="008D0165" w14:paraId="53B0547A" w14:textId="77777777" w:rsidTr="00AE4507">
        <w:trPr>
          <w:trHeight w:val="283"/>
          <w:jc w:val="center"/>
        </w:trPr>
        <w:tc>
          <w:tcPr>
            <w:tcW w:w="960" w:type="dxa"/>
            <w:shd w:val="clear" w:color="auto" w:fill="auto"/>
            <w:noWrap/>
            <w:vAlign w:val="center"/>
            <w:hideMark/>
          </w:tcPr>
          <w:p w14:paraId="1E9D810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2002</w:t>
            </w:r>
          </w:p>
        </w:tc>
        <w:tc>
          <w:tcPr>
            <w:tcW w:w="1607" w:type="dxa"/>
            <w:shd w:val="clear" w:color="auto" w:fill="auto"/>
            <w:noWrap/>
            <w:vAlign w:val="center"/>
            <w:hideMark/>
          </w:tcPr>
          <w:p w14:paraId="1B6A91F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5765,0</w:t>
            </w:r>
          </w:p>
        </w:tc>
        <w:tc>
          <w:tcPr>
            <w:tcW w:w="1417" w:type="dxa"/>
            <w:shd w:val="clear" w:color="auto" w:fill="auto"/>
            <w:noWrap/>
            <w:vAlign w:val="center"/>
            <w:hideMark/>
          </w:tcPr>
          <w:p w14:paraId="626EE76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45,5</w:t>
            </w:r>
          </w:p>
        </w:tc>
      </w:tr>
      <w:tr w:rsidR="00516810" w:rsidRPr="008D0165" w14:paraId="539F473F" w14:textId="77777777" w:rsidTr="00AE4507">
        <w:trPr>
          <w:trHeight w:val="283"/>
          <w:jc w:val="center"/>
        </w:trPr>
        <w:tc>
          <w:tcPr>
            <w:tcW w:w="960" w:type="dxa"/>
            <w:shd w:val="clear" w:color="auto" w:fill="auto"/>
            <w:noWrap/>
            <w:vAlign w:val="center"/>
            <w:hideMark/>
          </w:tcPr>
          <w:p w14:paraId="2EA5A20A" w14:textId="77777777" w:rsidR="00516810" w:rsidRPr="00A26E9C" w:rsidRDefault="00516810" w:rsidP="0084113E">
            <w:pPr>
              <w:spacing w:after="0" w:line="240" w:lineRule="auto"/>
              <w:jc w:val="right"/>
              <w:rPr>
                <w:rFonts w:eastAsia="Times New Roman" w:cstheme="minorHAnsi"/>
                <w:bCs/>
                <w:sz w:val="20"/>
                <w:szCs w:val="20"/>
                <w:lang w:eastAsia="pl-PL"/>
              </w:rPr>
            </w:pPr>
            <w:r w:rsidRPr="00A26E9C">
              <w:rPr>
                <w:rFonts w:eastAsia="Times New Roman" w:cstheme="minorHAnsi"/>
                <w:bCs/>
                <w:sz w:val="20"/>
                <w:szCs w:val="20"/>
                <w:lang w:eastAsia="pl-PL"/>
              </w:rPr>
              <w:t>2003</w:t>
            </w:r>
          </w:p>
        </w:tc>
        <w:tc>
          <w:tcPr>
            <w:tcW w:w="1607" w:type="dxa"/>
            <w:shd w:val="clear" w:color="auto" w:fill="auto"/>
            <w:noWrap/>
            <w:vAlign w:val="center"/>
            <w:hideMark/>
          </w:tcPr>
          <w:p w14:paraId="23462BAE" w14:textId="77777777" w:rsidR="00516810" w:rsidRPr="00A26E9C" w:rsidRDefault="00516810" w:rsidP="0084113E">
            <w:pPr>
              <w:spacing w:after="0" w:line="240" w:lineRule="auto"/>
              <w:jc w:val="right"/>
              <w:rPr>
                <w:rFonts w:eastAsia="Times New Roman" w:cstheme="minorHAnsi"/>
                <w:bCs/>
                <w:sz w:val="20"/>
                <w:szCs w:val="20"/>
                <w:lang w:eastAsia="pl-PL"/>
              </w:rPr>
            </w:pPr>
            <w:r w:rsidRPr="00A26E9C">
              <w:rPr>
                <w:rFonts w:eastAsia="Times New Roman" w:cstheme="minorHAnsi"/>
                <w:bCs/>
                <w:sz w:val="20"/>
                <w:szCs w:val="20"/>
                <w:lang w:eastAsia="pl-PL"/>
              </w:rPr>
              <w:t>5802,0</w:t>
            </w:r>
          </w:p>
        </w:tc>
        <w:tc>
          <w:tcPr>
            <w:tcW w:w="1417" w:type="dxa"/>
            <w:shd w:val="clear" w:color="auto" w:fill="auto"/>
            <w:noWrap/>
            <w:vAlign w:val="center"/>
            <w:hideMark/>
          </w:tcPr>
          <w:p w14:paraId="56068814" w14:textId="77777777" w:rsidR="00516810" w:rsidRPr="00A26E9C" w:rsidRDefault="00516810" w:rsidP="0084113E">
            <w:pPr>
              <w:spacing w:after="0" w:line="240" w:lineRule="auto"/>
              <w:jc w:val="right"/>
              <w:rPr>
                <w:rFonts w:eastAsia="Times New Roman" w:cstheme="minorHAnsi"/>
                <w:bCs/>
                <w:sz w:val="20"/>
                <w:szCs w:val="20"/>
                <w:lang w:eastAsia="pl-PL"/>
              </w:rPr>
            </w:pPr>
            <w:r w:rsidRPr="00A26E9C">
              <w:rPr>
                <w:rFonts w:eastAsia="Times New Roman" w:cstheme="minorHAnsi"/>
                <w:bCs/>
                <w:sz w:val="20"/>
                <w:szCs w:val="20"/>
                <w:lang w:eastAsia="pl-PL"/>
              </w:rPr>
              <w:t>37,0</w:t>
            </w:r>
          </w:p>
        </w:tc>
      </w:tr>
      <w:tr w:rsidR="00516810" w:rsidRPr="008D0165" w14:paraId="50EF4F26" w14:textId="77777777" w:rsidTr="00AE4507">
        <w:trPr>
          <w:trHeight w:val="283"/>
          <w:jc w:val="center"/>
        </w:trPr>
        <w:tc>
          <w:tcPr>
            <w:tcW w:w="960" w:type="dxa"/>
            <w:shd w:val="clear" w:color="auto" w:fill="auto"/>
            <w:noWrap/>
            <w:vAlign w:val="center"/>
            <w:hideMark/>
          </w:tcPr>
          <w:p w14:paraId="207D2FE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2004</w:t>
            </w:r>
          </w:p>
        </w:tc>
        <w:tc>
          <w:tcPr>
            <w:tcW w:w="1607" w:type="dxa"/>
            <w:shd w:val="clear" w:color="auto" w:fill="auto"/>
            <w:noWrap/>
            <w:vAlign w:val="center"/>
            <w:hideMark/>
          </w:tcPr>
          <w:p w14:paraId="7DA2851B"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5847,1</w:t>
            </w:r>
          </w:p>
        </w:tc>
        <w:tc>
          <w:tcPr>
            <w:tcW w:w="1417" w:type="dxa"/>
            <w:shd w:val="clear" w:color="auto" w:fill="auto"/>
            <w:noWrap/>
            <w:vAlign w:val="center"/>
            <w:hideMark/>
          </w:tcPr>
          <w:p w14:paraId="5ED949C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45,1</w:t>
            </w:r>
          </w:p>
        </w:tc>
      </w:tr>
      <w:tr w:rsidR="00516810" w:rsidRPr="008D0165" w14:paraId="2687C891" w14:textId="77777777" w:rsidTr="00AE4507">
        <w:trPr>
          <w:trHeight w:val="283"/>
          <w:jc w:val="center"/>
        </w:trPr>
        <w:tc>
          <w:tcPr>
            <w:tcW w:w="960" w:type="dxa"/>
            <w:shd w:val="clear" w:color="auto" w:fill="auto"/>
            <w:noWrap/>
            <w:vAlign w:val="center"/>
            <w:hideMark/>
          </w:tcPr>
          <w:p w14:paraId="07BC3D1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2005</w:t>
            </w:r>
          </w:p>
        </w:tc>
        <w:tc>
          <w:tcPr>
            <w:tcW w:w="1607" w:type="dxa"/>
            <w:shd w:val="clear" w:color="auto" w:fill="auto"/>
            <w:noWrap/>
            <w:vAlign w:val="center"/>
            <w:hideMark/>
          </w:tcPr>
          <w:p w14:paraId="5B7FB45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5888,2</w:t>
            </w:r>
          </w:p>
        </w:tc>
        <w:tc>
          <w:tcPr>
            <w:tcW w:w="1417" w:type="dxa"/>
            <w:shd w:val="clear" w:color="auto" w:fill="auto"/>
            <w:noWrap/>
            <w:vAlign w:val="center"/>
            <w:hideMark/>
          </w:tcPr>
          <w:p w14:paraId="4D35DDB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41,1</w:t>
            </w:r>
          </w:p>
        </w:tc>
      </w:tr>
      <w:tr w:rsidR="00516810" w:rsidRPr="008D0165" w14:paraId="2AED0C8F" w14:textId="77777777" w:rsidTr="00AE4507">
        <w:trPr>
          <w:trHeight w:val="283"/>
          <w:jc w:val="center"/>
        </w:trPr>
        <w:tc>
          <w:tcPr>
            <w:tcW w:w="960" w:type="dxa"/>
            <w:shd w:val="clear" w:color="auto" w:fill="auto"/>
            <w:noWrap/>
            <w:vAlign w:val="center"/>
            <w:hideMark/>
          </w:tcPr>
          <w:p w14:paraId="42262BA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2006</w:t>
            </w:r>
          </w:p>
        </w:tc>
        <w:tc>
          <w:tcPr>
            <w:tcW w:w="1607" w:type="dxa"/>
            <w:shd w:val="clear" w:color="auto" w:fill="auto"/>
            <w:noWrap/>
            <w:vAlign w:val="center"/>
            <w:hideMark/>
          </w:tcPr>
          <w:p w14:paraId="4D65A2B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5983,2</w:t>
            </w:r>
          </w:p>
        </w:tc>
        <w:tc>
          <w:tcPr>
            <w:tcW w:w="1417" w:type="dxa"/>
            <w:shd w:val="clear" w:color="auto" w:fill="auto"/>
            <w:noWrap/>
            <w:vAlign w:val="center"/>
            <w:hideMark/>
          </w:tcPr>
          <w:p w14:paraId="4F20731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95,0</w:t>
            </w:r>
          </w:p>
        </w:tc>
      </w:tr>
      <w:tr w:rsidR="00516810" w:rsidRPr="008D0165" w14:paraId="00F8E48A" w14:textId="77777777" w:rsidTr="00AE4507">
        <w:trPr>
          <w:trHeight w:val="283"/>
          <w:jc w:val="center"/>
        </w:trPr>
        <w:tc>
          <w:tcPr>
            <w:tcW w:w="960" w:type="dxa"/>
            <w:shd w:val="clear" w:color="auto" w:fill="auto"/>
            <w:noWrap/>
            <w:vAlign w:val="center"/>
            <w:hideMark/>
          </w:tcPr>
          <w:p w14:paraId="6307887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2007</w:t>
            </w:r>
          </w:p>
        </w:tc>
        <w:tc>
          <w:tcPr>
            <w:tcW w:w="1607" w:type="dxa"/>
            <w:shd w:val="clear" w:color="auto" w:fill="auto"/>
            <w:noWrap/>
            <w:vAlign w:val="center"/>
            <w:hideMark/>
          </w:tcPr>
          <w:p w14:paraId="330A1D4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6082,5</w:t>
            </w:r>
          </w:p>
        </w:tc>
        <w:tc>
          <w:tcPr>
            <w:tcW w:w="1417" w:type="dxa"/>
            <w:shd w:val="clear" w:color="auto" w:fill="auto"/>
            <w:noWrap/>
            <w:vAlign w:val="center"/>
            <w:hideMark/>
          </w:tcPr>
          <w:p w14:paraId="26114E6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99,3</w:t>
            </w:r>
          </w:p>
        </w:tc>
      </w:tr>
      <w:tr w:rsidR="00516810" w:rsidRPr="008D0165" w14:paraId="107A3243" w14:textId="77777777" w:rsidTr="00AE4507">
        <w:trPr>
          <w:trHeight w:val="283"/>
          <w:jc w:val="center"/>
        </w:trPr>
        <w:tc>
          <w:tcPr>
            <w:tcW w:w="960" w:type="dxa"/>
            <w:shd w:val="clear" w:color="auto" w:fill="auto"/>
            <w:noWrap/>
            <w:vAlign w:val="center"/>
            <w:hideMark/>
          </w:tcPr>
          <w:p w14:paraId="67643AE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2008</w:t>
            </w:r>
          </w:p>
        </w:tc>
        <w:tc>
          <w:tcPr>
            <w:tcW w:w="1607" w:type="dxa"/>
            <w:shd w:val="clear" w:color="auto" w:fill="auto"/>
            <w:noWrap/>
            <w:vAlign w:val="center"/>
            <w:hideMark/>
          </w:tcPr>
          <w:p w14:paraId="0B358A2B"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6195,7</w:t>
            </w:r>
          </w:p>
        </w:tc>
        <w:tc>
          <w:tcPr>
            <w:tcW w:w="1417" w:type="dxa"/>
            <w:shd w:val="clear" w:color="auto" w:fill="auto"/>
            <w:noWrap/>
            <w:vAlign w:val="center"/>
            <w:hideMark/>
          </w:tcPr>
          <w:p w14:paraId="20023A1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113,2</w:t>
            </w:r>
          </w:p>
        </w:tc>
      </w:tr>
      <w:tr w:rsidR="00516810" w:rsidRPr="008D0165" w14:paraId="222AA96E" w14:textId="77777777" w:rsidTr="00AE4507">
        <w:trPr>
          <w:trHeight w:val="283"/>
          <w:jc w:val="center"/>
        </w:trPr>
        <w:tc>
          <w:tcPr>
            <w:tcW w:w="960" w:type="dxa"/>
            <w:shd w:val="clear" w:color="auto" w:fill="auto"/>
            <w:noWrap/>
            <w:vAlign w:val="center"/>
            <w:hideMark/>
          </w:tcPr>
          <w:p w14:paraId="3AE6DB8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2009</w:t>
            </w:r>
          </w:p>
        </w:tc>
        <w:tc>
          <w:tcPr>
            <w:tcW w:w="1607" w:type="dxa"/>
            <w:shd w:val="clear" w:color="auto" w:fill="auto"/>
            <w:noWrap/>
            <w:vAlign w:val="center"/>
            <w:hideMark/>
          </w:tcPr>
          <w:p w14:paraId="4580A3C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6311,6</w:t>
            </w:r>
          </w:p>
        </w:tc>
        <w:tc>
          <w:tcPr>
            <w:tcW w:w="1417" w:type="dxa"/>
            <w:shd w:val="clear" w:color="auto" w:fill="auto"/>
            <w:noWrap/>
            <w:vAlign w:val="center"/>
            <w:hideMark/>
          </w:tcPr>
          <w:p w14:paraId="731906E6"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115,9</w:t>
            </w:r>
          </w:p>
        </w:tc>
      </w:tr>
      <w:tr w:rsidR="00516810" w:rsidRPr="008D0165" w14:paraId="3BDFE929" w14:textId="77777777" w:rsidTr="00AE4507">
        <w:trPr>
          <w:trHeight w:val="283"/>
          <w:jc w:val="center"/>
        </w:trPr>
        <w:tc>
          <w:tcPr>
            <w:tcW w:w="960" w:type="dxa"/>
            <w:shd w:val="clear" w:color="auto" w:fill="auto"/>
            <w:noWrap/>
            <w:vAlign w:val="center"/>
            <w:hideMark/>
          </w:tcPr>
          <w:p w14:paraId="59B2AEC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2010</w:t>
            </w:r>
          </w:p>
        </w:tc>
        <w:tc>
          <w:tcPr>
            <w:tcW w:w="1607" w:type="dxa"/>
            <w:shd w:val="clear" w:color="auto" w:fill="auto"/>
            <w:noWrap/>
            <w:vAlign w:val="center"/>
            <w:hideMark/>
          </w:tcPr>
          <w:p w14:paraId="36E930D6"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6455,6</w:t>
            </w:r>
          </w:p>
        </w:tc>
        <w:tc>
          <w:tcPr>
            <w:tcW w:w="1417" w:type="dxa"/>
            <w:shd w:val="clear" w:color="auto" w:fill="auto"/>
            <w:noWrap/>
            <w:vAlign w:val="center"/>
            <w:hideMark/>
          </w:tcPr>
          <w:p w14:paraId="2B03625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b.d.</w:t>
            </w:r>
          </w:p>
        </w:tc>
      </w:tr>
      <w:tr w:rsidR="00516810" w:rsidRPr="008D0165" w14:paraId="2EF2AF9A" w14:textId="77777777" w:rsidTr="00AE4507">
        <w:trPr>
          <w:trHeight w:val="283"/>
          <w:jc w:val="center"/>
        </w:trPr>
        <w:tc>
          <w:tcPr>
            <w:tcW w:w="960" w:type="dxa"/>
            <w:shd w:val="clear" w:color="auto" w:fill="auto"/>
            <w:noWrap/>
            <w:vAlign w:val="center"/>
            <w:hideMark/>
          </w:tcPr>
          <w:p w14:paraId="1800B006"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2011</w:t>
            </w:r>
          </w:p>
        </w:tc>
        <w:tc>
          <w:tcPr>
            <w:tcW w:w="1607" w:type="dxa"/>
            <w:shd w:val="clear" w:color="auto" w:fill="auto"/>
            <w:noWrap/>
            <w:vAlign w:val="center"/>
            <w:hideMark/>
          </w:tcPr>
          <w:p w14:paraId="6D6D9FC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6653,4</w:t>
            </w:r>
          </w:p>
        </w:tc>
        <w:tc>
          <w:tcPr>
            <w:tcW w:w="1417" w:type="dxa"/>
            <w:shd w:val="clear" w:color="auto" w:fill="auto"/>
            <w:noWrap/>
            <w:vAlign w:val="center"/>
            <w:hideMark/>
          </w:tcPr>
          <w:p w14:paraId="2196BD8E"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197,7</w:t>
            </w:r>
          </w:p>
        </w:tc>
      </w:tr>
      <w:tr w:rsidR="00516810" w:rsidRPr="008D0165" w14:paraId="1B303E97" w14:textId="77777777" w:rsidTr="00AE4507">
        <w:trPr>
          <w:trHeight w:val="283"/>
          <w:jc w:val="center"/>
        </w:trPr>
        <w:tc>
          <w:tcPr>
            <w:tcW w:w="960" w:type="dxa"/>
            <w:shd w:val="clear" w:color="auto" w:fill="auto"/>
            <w:noWrap/>
            <w:vAlign w:val="center"/>
            <w:hideMark/>
          </w:tcPr>
          <w:p w14:paraId="2F47779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2012</w:t>
            </w:r>
          </w:p>
        </w:tc>
        <w:tc>
          <w:tcPr>
            <w:tcW w:w="1607" w:type="dxa"/>
            <w:shd w:val="clear" w:color="auto" w:fill="auto"/>
            <w:noWrap/>
            <w:vAlign w:val="center"/>
            <w:hideMark/>
          </w:tcPr>
          <w:p w14:paraId="63C2E09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6861,0</w:t>
            </w:r>
          </w:p>
        </w:tc>
        <w:tc>
          <w:tcPr>
            <w:tcW w:w="1417" w:type="dxa"/>
            <w:shd w:val="clear" w:color="auto" w:fill="auto"/>
            <w:noWrap/>
            <w:vAlign w:val="center"/>
            <w:hideMark/>
          </w:tcPr>
          <w:p w14:paraId="462F2F2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207,6</w:t>
            </w:r>
          </w:p>
        </w:tc>
      </w:tr>
      <w:tr w:rsidR="00516810" w:rsidRPr="008D0165" w14:paraId="5083AF80" w14:textId="77777777" w:rsidTr="00AE4507">
        <w:trPr>
          <w:trHeight w:val="283"/>
          <w:jc w:val="center"/>
        </w:trPr>
        <w:tc>
          <w:tcPr>
            <w:tcW w:w="960" w:type="dxa"/>
            <w:shd w:val="clear" w:color="auto" w:fill="auto"/>
            <w:noWrap/>
            <w:vAlign w:val="center"/>
            <w:hideMark/>
          </w:tcPr>
          <w:p w14:paraId="24DDD76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2013</w:t>
            </w:r>
          </w:p>
        </w:tc>
        <w:tc>
          <w:tcPr>
            <w:tcW w:w="1607" w:type="dxa"/>
            <w:shd w:val="clear" w:color="auto" w:fill="auto"/>
            <w:noWrap/>
            <w:vAlign w:val="center"/>
            <w:hideMark/>
          </w:tcPr>
          <w:p w14:paraId="6D9DA59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7078,2</w:t>
            </w:r>
          </w:p>
        </w:tc>
        <w:tc>
          <w:tcPr>
            <w:tcW w:w="1417" w:type="dxa"/>
            <w:shd w:val="clear" w:color="auto" w:fill="auto"/>
            <w:noWrap/>
            <w:vAlign w:val="center"/>
            <w:hideMark/>
          </w:tcPr>
          <w:p w14:paraId="53E698E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217,2</w:t>
            </w:r>
          </w:p>
        </w:tc>
      </w:tr>
      <w:tr w:rsidR="00516810" w:rsidRPr="008D0165" w14:paraId="3BE1A81E" w14:textId="77777777" w:rsidTr="00AE4507">
        <w:trPr>
          <w:trHeight w:val="283"/>
          <w:jc w:val="center"/>
        </w:trPr>
        <w:tc>
          <w:tcPr>
            <w:tcW w:w="960" w:type="dxa"/>
            <w:shd w:val="clear" w:color="auto" w:fill="auto"/>
            <w:noWrap/>
            <w:vAlign w:val="center"/>
            <w:hideMark/>
          </w:tcPr>
          <w:p w14:paraId="66F0B17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2014</w:t>
            </w:r>
          </w:p>
        </w:tc>
        <w:tc>
          <w:tcPr>
            <w:tcW w:w="1607" w:type="dxa"/>
            <w:shd w:val="clear" w:color="auto" w:fill="auto"/>
            <w:noWrap/>
            <w:vAlign w:val="center"/>
            <w:hideMark/>
          </w:tcPr>
          <w:p w14:paraId="3AD4242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7305,4</w:t>
            </w:r>
          </w:p>
        </w:tc>
        <w:tc>
          <w:tcPr>
            <w:tcW w:w="1417" w:type="dxa"/>
            <w:shd w:val="clear" w:color="auto" w:fill="auto"/>
            <w:noWrap/>
            <w:vAlign w:val="center"/>
            <w:hideMark/>
          </w:tcPr>
          <w:p w14:paraId="777AC4E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227,2</w:t>
            </w:r>
          </w:p>
        </w:tc>
      </w:tr>
      <w:tr w:rsidR="00516810" w:rsidRPr="008D0165" w14:paraId="28795923" w14:textId="77777777" w:rsidTr="00AE4507">
        <w:trPr>
          <w:trHeight w:val="283"/>
          <w:jc w:val="center"/>
        </w:trPr>
        <w:tc>
          <w:tcPr>
            <w:tcW w:w="960" w:type="dxa"/>
            <w:shd w:val="clear" w:color="auto" w:fill="auto"/>
            <w:noWrap/>
            <w:vAlign w:val="center"/>
            <w:hideMark/>
          </w:tcPr>
          <w:p w14:paraId="5AFB4FA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2015</w:t>
            </w:r>
          </w:p>
        </w:tc>
        <w:tc>
          <w:tcPr>
            <w:tcW w:w="1607" w:type="dxa"/>
            <w:shd w:val="clear" w:color="auto" w:fill="auto"/>
            <w:noWrap/>
            <w:vAlign w:val="center"/>
            <w:hideMark/>
          </w:tcPr>
          <w:p w14:paraId="762BA1D1"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7533,3</w:t>
            </w:r>
          </w:p>
        </w:tc>
        <w:tc>
          <w:tcPr>
            <w:tcW w:w="1417" w:type="dxa"/>
            <w:shd w:val="clear" w:color="auto" w:fill="auto"/>
            <w:noWrap/>
            <w:vAlign w:val="center"/>
            <w:hideMark/>
          </w:tcPr>
          <w:p w14:paraId="02EBBB3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227,9</w:t>
            </w:r>
          </w:p>
        </w:tc>
      </w:tr>
      <w:tr w:rsidR="00516810" w:rsidRPr="008D0165" w14:paraId="7205413E" w14:textId="77777777" w:rsidTr="00AE4507">
        <w:trPr>
          <w:trHeight w:val="283"/>
          <w:jc w:val="center"/>
        </w:trPr>
        <w:tc>
          <w:tcPr>
            <w:tcW w:w="960" w:type="dxa"/>
            <w:shd w:val="clear" w:color="auto" w:fill="auto"/>
            <w:noWrap/>
            <w:vAlign w:val="center"/>
            <w:hideMark/>
          </w:tcPr>
          <w:p w14:paraId="525D63B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2016</w:t>
            </w:r>
          </w:p>
        </w:tc>
        <w:tc>
          <w:tcPr>
            <w:tcW w:w="1607" w:type="dxa"/>
            <w:shd w:val="clear" w:color="auto" w:fill="auto"/>
            <w:noWrap/>
            <w:vAlign w:val="center"/>
            <w:hideMark/>
          </w:tcPr>
          <w:p w14:paraId="63C83A33"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7769,5</w:t>
            </w:r>
          </w:p>
        </w:tc>
        <w:tc>
          <w:tcPr>
            <w:tcW w:w="1417" w:type="dxa"/>
            <w:shd w:val="clear" w:color="auto" w:fill="auto"/>
            <w:noWrap/>
            <w:vAlign w:val="center"/>
            <w:hideMark/>
          </w:tcPr>
          <w:p w14:paraId="136DAFFD"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236,2</w:t>
            </w:r>
          </w:p>
        </w:tc>
      </w:tr>
      <w:tr w:rsidR="00516810" w:rsidRPr="008D0165" w14:paraId="148C5871" w14:textId="77777777" w:rsidTr="00AE4507">
        <w:trPr>
          <w:trHeight w:val="283"/>
          <w:jc w:val="center"/>
        </w:trPr>
        <w:tc>
          <w:tcPr>
            <w:tcW w:w="960" w:type="dxa"/>
            <w:shd w:val="clear" w:color="auto" w:fill="auto"/>
            <w:noWrap/>
            <w:vAlign w:val="center"/>
            <w:hideMark/>
          </w:tcPr>
          <w:p w14:paraId="4EA4DA8A"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2017</w:t>
            </w:r>
          </w:p>
        </w:tc>
        <w:tc>
          <w:tcPr>
            <w:tcW w:w="1607" w:type="dxa"/>
            <w:shd w:val="clear" w:color="auto" w:fill="auto"/>
            <w:noWrap/>
            <w:vAlign w:val="center"/>
            <w:hideMark/>
          </w:tcPr>
          <w:p w14:paraId="2560B315"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7995,3</w:t>
            </w:r>
          </w:p>
        </w:tc>
        <w:tc>
          <w:tcPr>
            <w:tcW w:w="1417" w:type="dxa"/>
            <w:shd w:val="clear" w:color="auto" w:fill="auto"/>
            <w:noWrap/>
            <w:vAlign w:val="center"/>
            <w:hideMark/>
          </w:tcPr>
          <w:p w14:paraId="09C2E30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225,8</w:t>
            </w:r>
          </w:p>
        </w:tc>
      </w:tr>
      <w:tr w:rsidR="00516810" w:rsidRPr="008D0165" w14:paraId="3847735A" w14:textId="77777777" w:rsidTr="00AE4507">
        <w:trPr>
          <w:trHeight w:val="283"/>
          <w:jc w:val="center"/>
        </w:trPr>
        <w:tc>
          <w:tcPr>
            <w:tcW w:w="960" w:type="dxa"/>
            <w:shd w:val="clear" w:color="auto" w:fill="auto"/>
            <w:noWrap/>
            <w:vAlign w:val="center"/>
            <w:hideMark/>
          </w:tcPr>
          <w:p w14:paraId="672992CF"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2018</w:t>
            </w:r>
          </w:p>
        </w:tc>
        <w:tc>
          <w:tcPr>
            <w:tcW w:w="1607" w:type="dxa"/>
            <w:shd w:val="clear" w:color="auto" w:fill="auto"/>
            <w:noWrap/>
            <w:vAlign w:val="center"/>
            <w:hideMark/>
          </w:tcPr>
          <w:p w14:paraId="40F1EC09"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8205,9</w:t>
            </w:r>
          </w:p>
        </w:tc>
        <w:tc>
          <w:tcPr>
            <w:tcW w:w="1417" w:type="dxa"/>
            <w:shd w:val="clear" w:color="auto" w:fill="auto"/>
            <w:noWrap/>
            <w:vAlign w:val="center"/>
            <w:hideMark/>
          </w:tcPr>
          <w:p w14:paraId="1BF8F122"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210,6</w:t>
            </w:r>
          </w:p>
        </w:tc>
      </w:tr>
      <w:tr w:rsidR="00516810" w:rsidRPr="008D0165" w14:paraId="563AF066" w14:textId="77777777" w:rsidTr="00AE4507">
        <w:trPr>
          <w:trHeight w:val="283"/>
          <w:jc w:val="center"/>
        </w:trPr>
        <w:tc>
          <w:tcPr>
            <w:tcW w:w="960" w:type="dxa"/>
            <w:shd w:val="clear" w:color="auto" w:fill="auto"/>
            <w:noWrap/>
            <w:vAlign w:val="center"/>
            <w:hideMark/>
          </w:tcPr>
          <w:p w14:paraId="282120E8"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2019</w:t>
            </w:r>
          </w:p>
        </w:tc>
        <w:tc>
          <w:tcPr>
            <w:tcW w:w="1607" w:type="dxa"/>
            <w:shd w:val="clear" w:color="auto" w:fill="auto"/>
            <w:noWrap/>
            <w:vAlign w:val="center"/>
            <w:hideMark/>
          </w:tcPr>
          <w:p w14:paraId="19F83CA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8407,9</w:t>
            </w:r>
          </w:p>
        </w:tc>
        <w:tc>
          <w:tcPr>
            <w:tcW w:w="1417" w:type="dxa"/>
            <w:shd w:val="clear" w:color="auto" w:fill="auto"/>
            <w:noWrap/>
            <w:vAlign w:val="center"/>
            <w:hideMark/>
          </w:tcPr>
          <w:p w14:paraId="633A7F85"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202,0</w:t>
            </w:r>
          </w:p>
        </w:tc>
      </w:tr>
      <w:tr w:rsidR="00516810" w:rsidRPr="008D0165" w14:paraId="44064655" w14:textId="77777777" w:rsidTr="00AE4507">
        <w:trPr>
          <w:trHeight w:val="283"/>
          <w:jc w:val="center"/>
        </w:trPr>
        <w:tc>
          <w:tcPr>
            <w:tcW w:w="960" w:type="dxa"/>
            <w:shd w:val="clear" w:color="auto" w:fill="auto"/>
            <w:noWrap/>
            <w:vAlign w:val="center"/>
            <w:hideMark/>
          </w:tcPr>
          <w:p w14:paraId="2E256627"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2020</w:t>
            </w:r>
          </w:p>
        </w:tc>
        <w:tc>
          <w:tcPr>
            <w:tcW w:w="1607" w:type="dxa"/>
            <w:shd w:val="clear" w:color="auto" w:fill="auto"/>
            <w:noWrap/>
            <w:vAlign w:val="center"/>
            <w:hideMark/>
          </w:tcPr>
          <w:p w14:paraId="6BCCABA0"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8539,9</w:t>
            </w:r>
          </w:p>
        </w:tc>
        <w:tc>
          <w:tcPr>
            <w:tcW w:w="1417" w:type="dxa"/>
            <w:shd w:val="clear" w:color="auto" w:fill="auto"/>
            <w:noWrap/>
            <w:vAlign w:val="center"/>
            <w:hideMark/>
          </w:tcPr>
          <w:p w14:paraId="25E10194" w14:textId="77777777" w:rsidR="00516810" w:rsidRPr="00A26E9C" w:rsidRDefault="00516810" w:rsidP="0084113E">
            <w:pPr>
              <w:spacing w:after="0" w:line="240" w:lineRule="auto"/>
              <w:jc w:val="right"/>
              <w:rPr>
                <w:rFonts w:eastAsia="Times New Roman" w:cstheme="minorHAnsi"/>
                <w:sz w:val="20"/>
                <w:szCs w:val="20"/>
                <w:lang w:eastAsia="pl-PL"/>
              </w:rPr>
            </w:pPr>
            <w:r w:rsidRPr="00A26E9C">
              <w:rPr>
                <w:rFonts w:eastAsia="Times New Roman" w:cstheme="minorHAnsi"/>
                <w:sz w:val="20"/>
                <w:szCs w:val="20"/>
                <w:lang w:eastAsia="pl-PL"/>
              </w:rPr>
              <w:t>132,0</w:t>
            </w:r>
          </w:p>
        </w:tc>
      </w:tr>
      <w:tr w:rsidR="0059386E" w:rsidRPr="00293CF0" w14:paraId="2F12ED2B" w14:textId="77777777" w:rsidTr="00AE4507">
        <w:trPr>
          <w:trHeight w:val="283"/>
          <w:jc w:val="center"/>
        </w:trPr>
        <w:tc>
          <w:tcPr>
            <w:tcW w:w="960" w:type="dxa"/>
            <w:shd w:val="clear" w:color="auto" w:fill="auto"/>
            <w:noWrap/>
            <w:vAlign w:val="center"/>
          </w:tcPr>
          <w:p w14:paraId="3FC5143A" w14:textId="40A3B9E4" w:rsidR="0059386E" w:rsidRPr="00293CF0" w:rsidRDefault="00293CF0" w:rsidP="0084113E">
            <w:pPr>
              <w:spacing w:after="0" w:line="240" w:lineRule="auto"/>
              <w:jc w:val="right"/>
              <w:rPr>
                <w:rFonts w:eastAsia="Times New Roman" w:cstheme="minorHAnsi"/>
                <w:sz w:val="20"/>
                <w:szCs w:val="20"/>
                <w:lang w:eastAsia="pl-PL"/>
              </w:rPr>
            </w:pPr>
            <w:r w:rsidRPr="00293CF0">
              <w:rPr>
                <w:rFonts w:eastAsia="Times New Roman" w:cstheme="minorHAnsi"/>
                <w:sz w:val="20"/>
                <w:szCs w:val="20"/>
                <w:lang w:eastAsia="pl-PL"/>
              </w:rPr>
              <w:t>2021</w:t>
            </w:r>
          </w:p>
        </w:tc>
        <w:tc>
          <w:tcPr>
            <w:tcW w:w="1607" w:type="dxa"/>
            <w:shd w:val="clear" w:color="auto" w:fill="auto"/>
            <w:noWrap/>
            <w:vAlign w:val="center"/>
          </w:tcPr>
          <w:p w14:paraId="06A5DDC0" w14:textId="13347B57" w:rsidR="0059386E" w:rsidRPr="00293CF0" w:rsidRDefault="00293CF0" w:rsidP="00293CF0">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8</w:t>
            </w:r>
            <w:r w:rsidR="0059386E" w:rsidRPr="00293CF0">
              <w:rPr>
                <w:rFonts w:eastAsia="Times New Roman" w:cstheme="minorHAnsi"/>
                <w:sz w:val="20"/>
                <w:szCs w:val="20"/>
                <w:lang w:eastAsia="pl-PL"/>
              </w:rPr>
              <w:t>6</w:t>
            </w:r>
            <w:r>
              <w:rPr>
                <w:rFonts w:eastAsia="Times New Roman" w:cstheme="minorHAnsi"/>
                <w:sz w:val="20"/>
                <w:szCs w:val="20"/>
                <w:lang w:eastAsia="pl-PL"/>
              </w:rPr>
              <w:t>14</w:t>
            </w:r>
            <w:r w:rsidR="00BA4640" w:rsidRPr="00293CF0">
              <w:rPr>
                <w:rFonts w:eastAsia="Times New Roman" w:cstheme="minorHAnsi"/>
                <w:sz w:val="20"/>
                <w:szCs w:val="20"/>
                <w:lang w:eastAsia="pl-PL"/>
              </w:rPr>
              <w:t>,7</w:t>
            </w:r>
          </w:p>
        </w:tc>
        <w:tc>
          <w:tcPr>
            <w:tcW w:w="1417" w:type="dxa"/>
            <w:shd w:val="clear" w:color="auto" w:fill="auto"/>
            <w:noWrap/>
            <w:vAlign w:val="center"/>
          </w:tcPr>
          <w:p w14:paraId="2438B8B6" w14:textId="5CD91BCF" w:rsidR="0059386E" w:rsidRPr="00293CF0" w:rsidRDefault="00BA4640" w:rsidP="0084113E">
            <w:pPr>
              <w:spacing w:after="0" w:line="240" w:lineRule="auto"/>
              <w:jc w:val="right"/>
              <w:rPr>
                <w:rFonts w:eastAsia="Times New Roman" w:cstheme="minorHAnsi"/>
                <w:sz w:val="20"/>
                <w:szCs w:val="20"/>
                <w:lang w:eastAsia="pl-PL"/>
              </w:rPr>
            </w:pPr>
            <w:r w:rsidRPr="00293CF0">
              <w:rPr>
                <w:rFonts w:eastAsia="Times New Roman" w:cstheme="minorHAnsi"/>
                <w:sz w:val="20"/>
                <w:szCs w:val="20"/>
                <w:lang w:eastAsia="pl-PL"/>
              </w:rPr>
              <w:t>7</w:t>
            </w:r>
            <w:r w:rsidR="00293CF0">
              <w:rPr>
                <w:rFonts w:eastAsia="Times New Roman" w:cstheme="minorHAnsi"/>
                <w:sz w:val="20"/>
                <w:szCs w:val="20"/>
                <w:lang w:eastAsia="pl-PL"/>
              </w:rPr>
              <w:t>4</w:t>
            </w:r>
            <w:r w:rsidRPr="00293CF0">
              <w:rPr>
                <w:rFonts w:eastAsia="Times New Roman" w:cstheme="minorHAnsi"/>
                <w:sz w:val="20"/>
                <w:szCs w:val="20"/>
                <w:lang w:eastAsia="pl-PL"/>
              </w:rPr>
              <w:t>,8</w:t>
            </w:r>
          </w:p>
        </w:tc>
      </w:tr>
    </w:tbl>
    <w:p w14:paraId="0421564D" w14:textId="2788FCB6" w:rsidR="005E4CA6" w:rsidRPr="00A26E9C" w:rsidRDefault="009A1F09" w:rsidP="0084113E">
      <w:pPr>
        <w:spacing w:before="120" w:after="120" w:line="23" w:lineRule="atLeast"/>
        <w:jc w:val="both"/>
        <w:rPr>
          <w:sz w:val="20"/>
          <w:szCs w:val="20"/>
        </w:rPr>
      </w:pPr>
      <w:r w:rsidRPr="00A26E9C">
        <w:rPr>
          <w:sz w:val="20"/>
          <w:szCs w:val="20"/>
        </w:rPr>
        <w:t>Źródło: GUS</w:t>
      </w:r>
    </w:p>
    <w:p w14:paraId="13455E31" w14:textId="0BB593EA" w:rsidR="001C3EF6" w:rsidRPr="008D0165" w:rsidRDefault="001C3EF6" w:rsidP="0084113E">
      <w:pPr>
        <w:spacing w:before="120" w:after="120" w:line="23" w:lineRule="atLeast"/>
        <w:jc w:val="both"/>
        <w:rPr>
          <w:b/>
          <w:sz w:val="24"/>
          <w:szCs w:val="24"/>
        </w:rPr>
      </w:pPr>
      <w:r w:rsidRPr="008D0165">
        <w:rPr>
          <w:b/>
          <w:sz w:val="24"/>
          <w:szCs w:val="24"/>
        </w:rPr>
        <w:t>Tabela</w:t>
      </w:r>
      <w:r w:rsidR="008E5A5D" w:rsidRPr="008D0165">
        <w:rPr>
          <w:b/>
          <w:sz w:val="24"/>
          <w:szCs w:val="24"/>
        </w:rPr>
        <w:t xml:space="preserve"> 3</w:t>
      </w:r>
      <w:r w:rsidRPr="008D0165">
        <w:rPr>
          <w:b/>
          <w:sz w:val="24"/>
          <w:szCs w:val="24"/>
        </w:rPr>
        <w:t xml:space="preserve">. </w:t>
      </w:r>
      <w:r w:rsidR="00D60A5A" w:rsidRPr="008D0165">
        <w:rPr>
          <w:b/>
          <w:sz w:val="24"/>
          <w:szCs w:val="24"/>
        </w:rPr>
        <w:t>Liczba osób pobierających emerytury</w:t>
      </w:r>
      <w:r w:rsidR="00D60A5A" w:rsidRPr="008D0165">
        <w:rPr>
          <w:b/>
          <w:sz w:val="24"/>
          <w:szCs w:val="24"/>
          <w:vertAlign w:val="superscript"/>
        </w:rPr>
        <w:t>*)</w:t>
      </w:r>
      <w:r w:rsidR="00D60A5A" w:rsidRPr="008D0165">
        <w:rPr>
          <w:b/>
          <w:sz w:val="24"/>
          <w:szCs w:val="24"/>
        </w:rPr>
        <w:t xml:space="preserve"> wypłacane przez Zakład Ubezpieczeń Społecznych w latach 2019</w:t>
      </w:r>
      <w:r w:rsidR="00A435C2">
        <w:rPr>
          <w:b/>
          <w:sz w:val="24"/>
          <w:szCs w:val="24"/>
        </w:rPr>
        <w:t>–</w:t>
      </w:r>
      <w:r w:rsidR="00D60A5A" w:rsidRPr="008D0165">
        <w:rPr>
          <w:b/>
          <w:sz w:val="24"/>
          <w:szCs w:val="24"/>
        </w:rPr>
        <w:t>2021 w podziale na płeć</w:t>
      </w:r>
    </w:p>
    <w:tbl>
      <w:tblPr>
        <w:tblW w:w="7400" w:type="dxa"/>
        <w:tblInd w:w="55" w:type="dxa"/>
        <w:tblCellMar>
          <w:left w:w="70" w:type="dxa"/>
          <w:right w:w="70" w:type="dxa"/>
        </w:tblCellMar>
        <w:tblLook w:val="04A0" w:firstRow="1" w:lastRow="0" w:firstColumn="1" w:lastColumn="0" w:noHBand="0" w:noVBand="1"/>
      </w:tblPr>
      <w:tblGrid>
        <w:gridCol w:w="2840"/>
        <w:gridCol w:w="1520"/>
        <w:gridCol w:w="1520"/>
        <w:gridCol w:w="1520"/>
      </w:tblGrid>
      <w:tr w:rsidR="00D60A5A" w:rsidRPr="008D0165" w14:paraId="351B2A9F" w14:textId="77777777" w:rsidTr="00AE4507">
        <w:trPr>
          <w:trHeight w:val="340"/>
        </w:trPr>
        <w:tc>
          <w:tcPr>
            <w:tcW w:w="2840" w:type="dxa"/>
            <w:tcBorders>
              <w:top w:val="single" w:sz="4" w:space="0" w:color="auto"/>
              <w:left w:val="single" w:sz="4" w:space="0" w:color="auto"/>
              <w:bottom w:val="nil"/>
              <w:right w:val="nil"/>
            </w:tcBorders>
            <w:shd w:val="clear" w:color="auto" w:fill="B8CCE4" w:themeFill="accent1" w:themeFillTint="66"/>
            <w:noWrap/>
            <w:vAlign w:val="center"/>
            <w:hideMark/>
          </w:tcPr>
          <w:p w14:paraId="673B2B94" w14:textId="77777777" w:rsidR="00D60A5A" w:rsidRPr="00A26E9C" w:rsidRDefault="00D60A5A" w:rsidP="00AE4507">
            <w:pPr>
              <w:spacing w:after="0" w:line="240" w:lineRule="auto"/>
              <w:jc w:val="center"/>
              <w:rPr>
                <w:rFonts w:ascii="Calibri" w:eastAsia="Times New Roman" w:hAnsi="Calibri" w:cs="Calibri"/>
                <w:color w:val="000000"/>
                <w:sz w:val="20"/>
                <w:szCs w:val="20"/>
                <w:lang w:eastAsia="pl-PL"/>
              </w:rPr>
            </w:pPr>
          </w:p>
        </w:tc>
        <w:tc>
          <w:tcPr>
            <w:tcW w:w="152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403CC4B" w14:textId="77777777" w:rsidR="00D60A5A" w:rsidRPr="00A26E9C" w:rsidRDefault="00D60A5A" w:rsidP="00AE4507">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2019</w:t>
            </w:r>
          </w:p>
        </w:tc>
        <w:tc>
          <w:tcPr>
            <w:tcW w:w="152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0C138EF" w14:textId="77777777" w:rsidR="00D60A5A" w:rsidRPr="00A26E9C" w:rsidRDefault="00D60A5A" w:rsidP="00AE4507">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2020</w:t>
            </w:r>
          </w:p>
        </w:tc>
        <w:tc>
          <w:tcPr>
            <w:tcW w:w="152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FB1DA94" w14:textId="77777777" w:rsidR="00D60A5A" w:rsidRPr="00A26E9C" w:rsidRDefault="00D60A5A" w:rsidP="00AE4507">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2021</w:t>
            </w:r>
          </w:p>
        </w:tc>
      </w:tr>
      <w:tr w:rsidR="00D60A5A" w:rsidRPr="008D0165" w14:paraId="17317A23" w14:textId="77777777" w:rsidTr="0084113E">
        <w:trPr>
          <w:trHeight w:val="283"/>
        </w:trPr>
        <w:tc>
          <w:tcPr>
            <w:tcW w:w="2840" w:type="dxa"/>
            <w:tcBorders>
              <w:top w:val="single" w:sz="4" w:space="0" w:color="auto"/>
              <w:left w:val="single" w:sz="4" w:space="0" w:color="auto"/>
              <w:bottom w:val="nil"/>
              <w:right w:val="nil"/>
            </w:tcBorders>
            <w:shd w:val="clear" w:color="000000" w:fill="DCE6F1"/>
            <w:vAlign w:val="center"/>
            <w:hideMark/>
          </w:tcPr>
          <w:p w14:paraId="6E3EE658" w14:textId="77777777" w:rsidR="00D60A5A" w:rsidRPr="00A26E9C" w:rsidRDefault="00D60A5A" w:rsidP="00AE4507">
            <w:pPr>
              <w:spacing w:after="0" w:line="240" w:lineRule="auto"/>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Ogółem</w:t>
            </w:r>
          </w:p>
        </w:tc>
        <w:tc>
          <w:tcPr>
            <w:tcW w:w="1520" w:type="dxa"/>
            <w:tcBorders>
              <w:top w:val="nil"/>
              <w:left w:val="single" w:sz="4" w:space="0" w:color="auto"/>
              <w:bottom w:val="nil"/>
              <w:right w:val="single" w:sz="4" w:space="0" w:color="auto"/>
            </w:tcBorders>
            <w:shd w:val="clear" w:color="000000" w:fill="DCE6F1"/>
            <w:noWrap/>
            <w:vAlign w:val="center"/>
            <w:hideMark/>
          </w:tcPr>
          <w:p w14:paraId="7E17B896"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5 887 110</w:t>
            </w:r>
          </w:p>
        </w:tc>
        <w:tc>
          <w:tcPr>
            <w:tcW w:w="1520" w:type="dxa"/>
            <w:tcBorders>
              <w:top w:val="nil"/>
              <w:left w:val="nil"/>
              <w:bottom w:val="nil"/>
              <w:right w:val="single" w:sz="4" w:space="0" w:color="auto"/>
            </w:tcBorders>
            <w:shd w:val="clear" w:color="000000" w:fill="DCE6F1"/>
            <w:noWrap/>
            <w:vAlign w:val="center"/>
            <w:hideMark/>
          </w:tcPr>
          <w:p w14:paraId="6F114967"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5 995 243</w:t>
            </w:r>
          </w:p>
        </w:tc>
        <w:tc>
          <w:tcPr>
            <w:tcW w:w="1520" w:type="dxa"/>
            <w:tcBorders>
              <w:top w:val="nil"/>
              <w:left w:val="nil"/>
              <w:bottom w:val="nil"/>
              <w:right w:val="single" w:sz="4" w:space="0" w:color="auto"/>
            </w:tcBorders>
            <w:shd w:val="clear" w:color="000000" w:fill="DCE6F1"/>
            <w:noWrap/>
            <w:vAlign w:val="center"/>
            <w:hideMark/>
          </w:tcPr>
          <w:p w14:paraId="0539D873"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6 041 117</w:t>
            </w:r>
          </w:p>
        </w:tc>
      </w:tr>
      <w:tr w:rsidR="00D60A5A" w:rsidRPr="008D0165" w14:paraId="11C4249B" w14:textId="77777777" w:rsidTr="0084113E">
        <w:trPr>
          <w:trHeight w:val="283"/>
        </w:trPr>
        <w:tc>
          <w:tcPr>
            <w:tcW w:w="2840" w:type="dxa"/>
            <w:tcBorders>
              <w:top w:val="nil"/>
              <w:left w:val="single" w:sz="4" w:space="0" w:color="auto"/>
              <w:bottom w:val="nil"/>
              <w:right w:val="nil"/>
            </w:tcBorders>
            <w:shd w:val="clear" w:color="auto" w:fill="auto"/>
            <w:vAlign w:val="center"/>
            <w:hideMark/>
          </w:tcPr>
          <w:p w14:paraId="602759B2" w14:textId="361C692C" w:rsidR="00D60A5A" w:rsidRPr="00A26E9C" w:rsidRDefault="006061B1" w:rsidP="00AE4507">
            <w:pPr>
              <w:spacing w:after="0" w:line="240" w:lineRule="auto"/>
              <w:ind w:firstLineChars="100" w:firstLine="200"/>
              <w:rPr>
                <w:rFonts w:ascii="Calibri" w:eastAsia="Times New Roman" w:hAnsi="Calibri" w:cs="Calibri"/>
                <w:i/>
                <w:iCs/>
                <w:color w:val="000000"/>
                <w:sz w:val="20"/>
                <w:szCs w:val="20"/>
                <w:lang w:eastAsia="pl-PL"/>
              </w:rPr>
            </w:pPr>
            <w:r w:rsidRPr="00A26E9C">
              <w:rPr>
                <w:rFonts w:ascii="Calibri" w:eastAsia="Times New Roman" w:hAnsi="Calibri" w:cs="Calibri"/>
                <w:i/>
                <w:iCs/>
                <w:color w:val="000000"/>
                <w:sz w:val="20"/>
                <w:szCs w:val="20"/>
                <w:lang w:eastAsia="pl-PL"/>
              </w:rPr>
              <w:t>M</w:t>
            </w:r>
            <w:r w:rsidR="00D60A5A" w:rsidRPr="00A26E9C">
              <w:rPr>
                <w:rFonts w:ascii="Calibri" w:eastAsia="Times New Roman" w:hAnsi="Calibri" w:cs="Calibri"/>
                <w:i/>
                <w:iCs/>
                <w:color w:val="000000"/>
                <w:sz w:val="20"/>
                <w:szCs w:val="20"/>
                <w:lang w:eastAsia="pl-PL"/>
              </w:rPr>
              <w:t>ężczyźni</w:t>
            </w:r>
          </w:p>
        </w:tc>
        <w:tc>
          <w:tcPr>
            <w:tcW w:w="1520" w:type="dxa"/>
            <w:tcBorders>
              <w:top w:val="nil"/>
              <w:left w:val="single" w:sz="4" w:space="0" w:color="auto"/>
              <w:bottom w:val="nil"/>
              <w:right w:val="single" w:sz="4" w:space="0" w:color="auto"/>
            </w:tcBorders>
            <w:shd w:val="clear" w:color="auto" w:fill="auto"/>
            <w:noWrap/>
            <w:vAlign w:val="center"/>
            <w:hideMark/>
          </w:tcPr>
          <w:p w14:paraId="60A8D85B"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2 337 081</w:t>
            </w:r>
          </w:p>
        </w:tc>
        <w:tc>
          <w:tcPr>
            <w:tcW w:w="1520" w:type="dxa"/>
            <w:tcBorders>
              <w:top w:val="nil"/>
              <w:left w:val="nil"/>
              <w:bottom w:val="nil"/>
              <w:right w:val="single" w:sz="4" w:space="0" w:color="auto"/>
            </w:tcBorders>
            <w:shd w:val="clear" w:color="auto" w:fill="auto"/>
            <w:noWrap/>
            <w:vAlign w:val="center"/>
            <w:hideMark/>
          </w:tcPr>
          <w:p w14:paraId="4880FAF7"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2 367 905</w:t>
            </w:r>
          </w:p>
        </w:tc>
        <w:tc>
          <w:tcPr>
            <w:tcW w:w="1520" w:type="dxa"/>
            <w:tcBorders>
              <w:top w:val="nil"/>
              <w:left w:val="nil"/>
              <w:bottom w:val="nil"/>
              <w:right w:val="single" w:sz="4" w:space="0" w:color="auto"/>
            </w:tcBorders>
            <w:shd w:val="clear" w:color="auto" w:fill="auto"/>
            <w:noWrap/>
            <w:vAlign w:val="center"/>
            <w:hideMark/>
          </w:tcPr>
          <w:p w14:paraId="1728C2C1"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2 384 056</w:t>
            </w:r>
          </w:p>
        </w:tc>
      </w:tr>
      <w:tr w:rsidR="00D60A5A" w:rsidRPr="008D0165" w14:paraId="210FD4FE" w14:textId="77777777" w:rsidTr="0084113E">
        <w:trPr>
          <w:trHeight w:val="283"/>
        </w:trPr>
        <w:tc>
          <w:tcPr>
            <w:tcW w:w="2840" w:type="dxa"/>
            <w:tcBorders>
              <w:top w:val="nil"/>
              <w:left w:val="single" w:sz="4" w:space="0" w:color="auto"/>
              <w:bottom w:val="single" w:sz="4" w:space="0" w:color="auto"/>
              <w:right w:val="nil"/>
            </w:tcBorders>
            <w:shd w:val="clear" w:color="auto" w:fill="auto"/>
            <w:vAlign w:val="center"/>
            <w:hideMark/>
          </w:tcPr>
          <w:p w14:paraId="2CBD1485" w14:textId="34EFCA9F" w:rsidR="00D60A5A" w:rsidRPr="00A26E9C" w:rsidRDefault="006061B1" w:rsidP="00AE4507">
            <w:pPr>
              <w:spacing w:after="0" w:line="240" w:lineRule="auto"/>
              <w:ind w:firstLineChars="100" w:firstLine="200"/>
              <w:rPr>
                <w:rFonts w:ascii="Calibri" w:eastAsia="Times New Roman" w:hAnsi="Calibri" w:cs="Calibri"/>
                <w:i/>
                <w:iCs/>
                <w:color w:val="000000"/>
                <w:sz w:val="20"/>
                <w:szCs w:val="20"/>
                <w:lang w:eastAsia="pl-PL"/>
              </w:rPr>
            </w:pPr>
            <w:r w:rsidRPr="00A26E9C">
              <w:rPr>
                <w:rFonts w:ascii="Calibri" w:eastAsia="Times New Roman" w:hAnsi="Calibri" w:cs="Calibri"/>
                <w:i/>
                <w:iCs/>
                <w:color w:val="000000"/>
                <w:sz w:val="20"/>
                <w:szCs w:val="20"/>
                <w:lang w:eastAsia="pl-PL"/>
              </w:rPr>
              <w:t>K</w:t>
            </w:r>
            <w:r w:rsidR="00D60A5A" w:rsidRPr="00A26E9C">
              <w:rPr>
                <w:rFonts w:ascii="Calibri" w:eastAsia="Times New Roman" w:hAnsi="Calibri" w:cs="Calibri"/>
                <w:i/>
                <w:iCs/>
                <w:color w:val="000000"/>
                <w:sz w:val="20"/>
                <w:szCs w:val="20"/>
                <w:lang w:eastAsia="pl-PL"/>
              </w:rPr>
              <w:t>obiety</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14:paraId="6CC8ED5C"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3 550 029</w:t>
            </w:r>
          </w:p>
        </w:tc>
        <w:tc>
          <w:tcPr>
            <w:tcW w:w="1520" w:type="dxa"/>
            <w:tcBorders>
              <w:top w:val="nil"/>
              <w:left w:val="nil"/>
              <w:bottom w:val="single" w:sz="4" w:space="0" w:color="auto"/>
              <w:right w:val="single" w:sz="4" w:space="0" w:color="auto"/>
            </w:tcBorders>
            <w:shd w:val="clear" w:color="auto" w:fill="auto"/>
            <w:noWrap/>
            <w:vAlign w:val="center"/>
            <w:hideMark/>
          </w:tcPr>
          <w:p w14:paraId="7346C15A"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3 627 338</w:t>
            </w:r>
          </w:p>
        </w:tc>
        <w:tc>
          <w:tcPr>
            <w:tcW w:w="1520" w:type="dxa"/>
            <w:tcBorders>
              <w:top w:val="nil"/>
              <w:left w:val="nil"/>
              <w:bottom w:val="single" w:sz="4" w:space="0" w:color="auto"/>
              <w:right w:val="single" w:sz="4" w:space="0" w:color="auto"/>
            </w:tcBorders>
            <w:shd w:val="clear" w:color="auto" w:fill="auto"/>
            <w:noWrap/>
            <w:vAlign w:val="center"/>
            <w:hideMark/>
          </w:tcPr>
          <w:p w14:paraId="7C749F4A" w14:textId="77777777" w:rsidR="00D60A5A" w:rsidRPr="00A26E9C" w:rsidRDefault="00D60A5A" w:rsidP="00AE4507">
            <w:pPr>
              <w:spacing w:after="0" w:line="240" w:lineRule="auto"/>
              <w:jc w:val="center"/>
              <w:rPr>
                <w:rFonts w:ascii="Calibri" w:eastAsia="Times New Roman" w:hAnsi="Calibri" w:cs="Calibri"/>
                <w:sz w:val="20"/>
                <w:szCs w:val="20"/>
                <w:lang w:eastAsia="pl-PL"/>
              </w:rPr>
            </w:pPr>
            <w:r w:rsidRPr="00A26E9C">
              <w:rPr>
                <w:rFonts w:ascii="Calibri" w:eastAsia="Times New Roman" w:hAnsi="Calibri" w:cs="Calibri"/>
                <w:sz w:val="20"/>
                <w:szCs w:val="20"/>
                <w:lang w:eastAsia="pl-PL"/>
              </w:rPr>
              <w:t>3 657 061</w:t>
            </w:r>
          </w:p>
        </w:tc>
      </w:tr>
    </w:tbl>
    <w:p w14:paraId="776AD888" w14:textId="3FBCCD94" w:rsidR="00D60A5A" w:rsidRPr="00A26E9C" w:rsidRDefault="008C0CDB" w:rsidP="0084113E">
      <w:pPr>
        <w:spacing w:before="120" w:after="120" w:line="23" w:lineRule="atLeast"/>
        <w:jc w:val="both"/>
        <w:rPr>
          <w:sz w:val="20"/>
          <w:szCs w:val="20"/>
        </w:rPr>
      </w:pPr>
      <w:r>
        <w:rPr>
          <w:sz w:val="20"/>
          <w:szCs w:val="20"/>
        </w:rPr>
        <w:t>*) B</w:t>
      </w:r>
      <w:r w:rsidR="00D60A5A" w:rsidRPr="00A26E9C">
        <w:rPr>
          <w:sz w:val="20"/>
          <w:szCs w:val="20"/>
        </w:rPr>
        <w:t>ez świadczeń realizowanych na mocy umów międzynarodowych oraz bez świadczeń pobieranych łącznie ze</w:t>
      </w:r>
      <w:r w:rsidR="00102E8A">
        <w:rPr>
          <w:sz w:val="20"/>
          <w:szCs w:val="20"/>
        </w:rPr>
        <w:t> </w:t>
      </w:r>
      <w:r w:rsidR="00D60A5A" w:rsidRPr="00A26E9C">
        <w:rPr>
          <w:sz w:val="20"/>
          <w:szCs w:val="20"/>
        </w:rPr>
        <w:t>świadczeniami rolniczymi, bez emerytur pomostowych</w:t>
      </w:r>
      <w:r>
        <w:rPr>
          <w:sz w:val="20"/>
          <w:szCs w:val="20"/>
        </w:rPr>
        <w:t>.</w:t>
      </w:r>
    </w:p>
    <w:p w14:paraId="5901C574" w14:textId="77777777" w:rsidR="00A26E9C" w:rsidRDefault="00A26E9C" w:rsidP="00A26E9C">
      <w:pPr>
        <w:spacing w:before="120" w:after="120"/>
        <w:jc w:val="both"/>
        <w:rPr>
          <w:sz w:val="24"/>
          <w:szCs w:val="24"/>
        </w:rPr>
      </w:pPr>
    </w:p>
    <w:p w14:paraId="3400CA49" w14:textId="45F96529" w:rsidR="006F4481" w:rsidRPr="008D0165" w:rsidRDefault="006F4481" w:rsidP="00A26E9C">
      <w:pPr>
        <w:spacing w:before="120" w:after="120"/>
        <w:jc w:val="both"/>
        <w:rPr>
          <w:sz w:val="24"/>
          <w:szCs w:val="24"/>
        </w:rPr>
      </w:pPr>
      <w:r w:rsidRPr="008D0165">
        <w:rPr>
          <w:sz w:val="24"/>
          <w:szCs w:val="24"/>
        </w:rPr>
        <w:t>Respektowanie zasady równego traktowania ubezpieczonych płacących jednakową składkę na</w:t>
      </w:r>
      <w:r w:rsidR="00D44959">
        <w:rPr>
          <w:sz w:val="24"/>
          <w:szCs w:val="24"/>
        </w:rPr>
        <w:t> </w:t>
      </w:r>
      <w:r w:rsidRPr="008D0165">
        <w:rPr>
          <w:sz w:val="24"/>
          <w:szCs w:val="24"/>
        </w:rPr>
        <w:t xml:space="preserve">ubezpieczenie emerytalne (taki sam wymiar świadczenia za taką samą </w:t>
      </w:r>
      <w:r w:rsidRPr="008D0165">
        <w:rPr>
          <w:sz w:val="24"/>
          <w:szCs w:val="24"/>
        </w:rPr>
        <w:lastRenderedPageBreak/>
        <w:t xml:space="preserve">procentowo składkę) wymusiło ujednolicanie warunków nabywania uprawnień emerytalnych. </w:t>
      </w:r>
      <w:r w:rsidR="00D96515" w:rsidRPr="008D0165">
        <w:rPr>
          <w:sz w:val="24"/>
          <w:szCs w:val="24"/>
        </w:rPr>
        <w:t>Od 2009 r. ogranicz</w:t>
      </w:r>
      <w:r w:rsidR="009F1054" w:rsidRPr="008D0165">
        <w:rPr>
          <w:sz w:val="24"/>
          <w:szCs w:val="24"/>
        </w:rPr>
        <w:t>ono</w:t>
      </w:r>
      <w:r w:rsidR="00D96515" w:rsidRPr="008D0165">
        <w:rPr>
          <w:sz w:val="24"/>
          <w:szCs w:val="24"/>
        </w:rPr>
        <w:t xml:space="preserve"> możliwości przechodzenia na </w:t>
      </w:r>
      <w:r w:rsidR="00546225" w:rsidRPr="008D0165">
        <w:rPr>
          <w:sz w:val="24"/>
          <w:szCs w:val="24"/>
        </w:rPr>
        <w:t>emerytury wcześniejsze</w:t>
      </w:r>
      <w:r w:rsidR="00D96515" w:rsidRPr="008D0165">
        <w:rPr>
          <w:sz w:val="24"/>
          <w:szCs w:val="24"/>
        </w:rPr>
        <w:t xml:space="preserve"> (spośród osób urodzonych</w:t>
      </w:r>
      <w:r w:rsidR="00546225" w:rsidRPr="008D0165">
        <w:rPr>
          <w:sz w:val="24"/>
          <w:szCs w:val="24"/>
        </w:rPr>
        <w:t xml:space="preserve"> po 1948 r. prawo do świadczeń mogły</w:t>
      </w:r>
      <w:r w:rsidR="00D96515" w:rsidRPr="008D0165">
        <w:rPr>
          <w:sz w:val="24"/>
          <w:szCs w:val="24"/>
        </w:rPr>
        <w:t xml:space="preserve"> nabyć tylko te, które</w:t>
      </w:r>
      <w:r w:rsidR="00546225" w:rsidRPr="008D0165">
        <w:rPr>
          <w:sz w:val="24"/>
          <w:szCs w:val="24"/>
        </w:rPr>
        <w:t xml:space="preserve"> spełniły warunki do 2008 r.</w:t>
      </w:r>
      <w:r w:rsidR="00D96515" w:rsidRPr="008D0165">
        <w:rPr>
          <w:sz w:val="24"/>
          <w:szCs w:val="24"/>
        </w:rPr>
        <w:t>). Dla</w:t>
      </w:r>
      <w:r w:rsidR="00AB5640">
        <w:rPr>
          <w:sz w:val="24"/>
          <w:szCs w:val="24"/>
        </w:rPr>
        <w:t> </w:t>
      </w:r>
      <w:r w:rsidR="009F1054" w:rsidRPr="008D0165">
        <w:rPr>
          <w:sz w:val="24"/>
          <w:szCs w:val="24"/>
        </w:rPr>
        <w:t xml:space="preserve">części </w:t>
      </w:r>
      <w:r w:rsidR="00D96515" w:rsidRPr="008D0165">
        <w:rPr>
          <w:sz w:val="24"/>
          <w:szCs w:val="24"/>
        </w:rPr>
        <w:t>osób niespełniających tych warunków wprowadzono szczegól</w:t>
      </w:r>
      <w:r w:rsidR="00DF3EEC" w:rsidRPr="008D0165">
        <w:rPr>
          <w:sz w:val="24"/>
          <w:szCs w:val="24"/>
        </w:rPr>
        <w:t>ny rodzaj świadczeń:</w:t>
      </w:r>
      <w:r w:rsidR="00D96515" w:rsidRPr="008D0165">
        <w:rPr>
          <w:sz w:val="24"/>
          <w:szCs w:val="24"/>
        </w:rPr>
        <w:t xml:space="preserve"> emeryturę pomostową</w:t>
      </w:r>
      <w:r w:rsidR="00A9751D" w:rsidRPr="008D0165">
        <w:rPr>
          <w:sz w:val="24"/>
          <w:szCs w:val="24"/>
        </w:rPr>
        <w:t xml:space="preserve"> dla osób wykonujących prace w szczególnych warunkach lub</w:t>
      </w:r>
      <w:r w:rsidR="00AB5640">
        <w:rPr>
          <w:sz w:val="24"/>
          <w:szCs w:val="24"/>
        </w:rPr>
        <w:t> </w:t>
      </w:r>
      <w:r w:rsidR="00A9751D" w:rsidRPr="008D0165">
        <w:rPr>
          <w:sz w:val="24"/>
          <w:szCs w:val="24"/>
        </w:rPr>
        <w:t>o</w:t>
      </w:r>
      <w:r w:rsidR="00AB5640">
        <w:rPr>
          <w:sz w:val="24"/>
          <w:szCs w:val="24"/>
        </w:rPr>
        <w:t> </w:t>
      </w:r>
      <w:r w:rsidR="00A9751D" w:rsidRPr="008D0165">
        <w:rPr>
          <w:sz w:val="24"/>
          <w:szCs w:val="24"/>
        </w:rPr>
        <w:t>szczególnym charakterze (przewidzianą w ustawie z dnia 19 grudnia 2008 r. o</w:t>
      </w:r>
      <w:r w:rsidR="00AB5640">
        <w:rPr>
          <w:sz w:val="24"/>
          <w:szCs w:val="24"/>
        </w:rPr>
        <w:t> </w:t>
      </w:r>
      <w:r w:rsidR="00A9751D" w:rsidRPr="008D0165">
        <w:rPr>
          <w:sz w:val="24"/>
          <w:szCs w:val="24"/>
        </w:rPr>
        <w:t>emeryturach pomostowych</w:t>
      </w:r>
      <w:r w:rsidR="006E0972">
        <w:rPr>
          <w:sz w:val="24"/>
          <w:szCs w:val="24"/>
        </w:rPr>
        <w:t xml:space="preserve"> </w:t>
      </w:r>
      <w:r w:rsidR="00CD7268">
        <w:rPr>
          <w:sz w:val="24"/>
          <w:szCs w:val="24"/>
        </w:rPr>
        <w:t>–</w:t>
      </w:r>
      <w:r w:rsidR="00A9751D" w:rsidRPr="008D0165">
        <w:rPr>
          <w:sz w:val="24"/>
          <w:szCs w:val="24"/>
        </w:rPr>
        <w:t xml:space="preserve"> Dz.</w:t>
      </w:r>
      <w:r w:rsidR="006E0972">
        <w:rPr>
          <w:sz w:val="24"/>
          <w:szCs w:val="24"/>
        </w:rPr>
        <w:t xml:space="preserve"> </w:t>
      </w:r>
      <w:r w:rsidR="00A9751D" w:rsidRPr="008D0165">
        <w:rPr>
          <w:sz w:val="24"/>
          <w:szCs w:val="24"/>
        </w:rPr>
        <w:t>U. z </w:t>
      </w:r>
      <w:r w:rsidR="006E0972">
        <w:rPr>
          <w:sz w:val="24"/>
          <w:szCs w:val="24"/>
        </w:rPr>
        <w:t>2022 r. poz. 1340</w:t>
      </w:r>
      <w:r w:rsidR="00734225">
        <w:rPr>
          <w:sz w:val="24"/>
          <w:szCs w:val="24"/>
        </w:rPr>
        <w:t>, z</w:t>
      </w:r>
      <w:r w:rsidR="0037034F">
        <w:rPr>
          <w:sz w:val="24"/>
          <w:szCs w:val="24"/>
        </w:rPr>
        <w:t xml:space="preserve"> późn.</w:t>
      </w:r>
      <w:r w:rsidR="00734225">
        <w:rPr>
          <w:sz w:val="24"/>
          <w:szCs w:val="24"/>
        </w:rPr>
        <w:t xml:space="preserve"> zm.</w:t>
      </w:r>
      <w:r w:rsidR="00A9751D" w:rsidRPr="008D0165">
        <w:rPr>
          <w:sz w:val="24"/>
          <w:szCs w:val="24"/>
        </w:rPr>
        <w:t>) i nauczycielskie świadczenie</w:t>
      </w:r>
      <w:r w:rsidR="00D96515" w:rsidRPr="008D0165">
        <w:rPr>
          <w:sz w:val="24"/>
          <w:szCs w:val="24"/>
        </w:rPr>
        <w:t xml:space="preserve"> kompensacyjne</w:t>
      </w:r>
      <w:r w:rsidR="00A9751D" w:rsidRPr="008D0165">
        <w:rPr>
          <w:sz w:val="24"/>
          <w:szCs w:val="24"/>
        </w:rPr>
        <w:t xml:space="preserve"> (przewidziane ustawą z dnia </w:t>
      </w:r>
      <w:r w:rsidR="00687DA0" w:rsidRPr="008D0165">
        <w:rPr>
          <w:sz w:val="24"/>
          <w:szCs w:val="24"/>
        </w:rPr>
        <w:t>22 </w:t>
      </w:r>
      <w:r w:rsidR="00A9751D" w:rsidRPr="008D0165">
        <w:rPr>
          <w:sz w:val="24"/>
          <w:szCs w:val="24"/>
        </w:rPr>
        <w:t>maja 2009 r. o nauczycielskich świadczeniach kompensacyjnych</w:t>
      </w:r>
      <w:r w:rsidR="006E0972">
        <w:rPr>
          <w:sz w:val="24"/>
          <w:szCs w:val="24"/>
        </w:rPr>
        <w:t xml:space="preserve"> </w:t>
      </w:r>
      <w:r w:rsidR="00CD7268">
        <w:rPr>
          <w:sz w:val="24"/>
          <w:szCs w:val="24"/>
        </w:rPr>
        <w:t>–</w:t>
      </w:r>
      <w:r w:rsidR="00A9751D" w:rsidRPr="008D0165">
        <w:rPr>
          <w:sz w:val="24"/>
          <w:szCs w:val="24"/>
        </w:rPr>
        <w:t xml:space="preserve"> Dz.</w:t>
      </w:r>
      <w:r w:rsidR="006E0972">
        <w:rPr>
          <w:sz w:val="24"/>
          <w:szCs w:val="24"/>
        </w:rPr>
        <w:t xml:space="preserve"> </w:t>
      </w:r>
      <w:r w:rsidR="00A9751D" w:rsidRPr="008D0165">
        <w:rPr>
          <w:sz w:val="24"/>
          <w:szCs w:val="24"/>
        </w:rPr>
        <w:t>U. z 2022 r. poz. 301)</w:t>
      </w:r>
      <w:r w:rsidR="00D96515" w:rsidRPr="008D0165">
        <w:rPr>
          <w:sz w:val="24"/>
          <w:szCs w:val="24"/>
        </w:rPr>
        <w:t xml:space="preserve">. </w:t>
      </w:r>
      <w:r w:rsidR="00DF3EEC" w:rsidRPr="008D0165">
        <w:rPr>
          <w:sz w:val="24"/>
          <w:szCs w:val="24"/>
        </w:rPr>
        <w:t>Są to jednak rozwiązania</w:t>
      </w:r>
      <w:r w:rsidR="00D96515" w:rsidRPr="008D0165">
        <w:rPr>
          <w:sz w:val="24"/>
          <w:szCs w:val="24"/>
        </w:rPr>
        <w:t xml:space="preserve"> wygasające</w:t>
      </w:r>
      <w:r w:rsidR="00687DA0" w:rsidRPr="008D0165">
        <w:rPr>
          <w:sz w:val="24"/>
          <w:szCs w:val="24"/>
        </w:rPr>
        <w:t>, a </w:t>
      </w:r>
      <w:r w:rsidR="00D96515" w:rsidRPr="008D0165">
        <w:rPr>
          <w:sz w:val="24"/>
          <w:szCs w:val="24"/>
        </w:rPr>
        <w:t>sposób ustalania wysokości tych świadczeń jest spójny z</w:t>
      </w:r>
      <w:r w:rsidR="00DF3EEC" w:rsidRPr="008D0165">
        <w:rPr>
          <w:sz w:val="24"/>
          <w:szCs w:val="24"/>
        </w:rPr>
        <w:t xml:space="preserve"> obowiązującym w</w:t>
      </w:r>
      <w:r w:rsidR="00AB5640">
        <w:rPr>
          <w:sz w:val="24"/>
          <w:szCs w:val="24"/>
        </w:rPr>
        <w:t> </w:t>
      </w:r>
      <w:r w:rsidR="00DF3EEC" w:rsidRPr="008D0165">
        <w:rPr>
          <w:sz w:val="24"/>
          <w:szCs w:val="24"/>
        </w:rPr>
        <w:t>systemie</w:t>
      </w:r>
      <w:r w:rsidR="00D96515" w:rsidRPr="008D0165">
        <w:rPr>
          <w:sz w:val="24"/>
          <w:szCs w:val="24"/>
        </w:rPr>
        <w:t xml:space="preserve"> </w:t>
      </w:r>
      <w:r w:rsidR="00A36938" w:rsidRPr="008D0165">
        <w:rPr>
          <w:sz w:val="24"/>
          <w:szCs w:val="24"/>
        </w:rPr>
        <w:t>emerytalnym</w:t>
      </w:r>
      <w:r w:rsidR="00D96515" w:rsidRPr="008D0165">
        <w:rPr>
          <w:sz w:val="24"/>
          <w:szCs w:val="24"/>
        </w:rPr>
        <w:t>.</w:t>
      </w:r>
    </w:p>
    <w:p w14:paraId="1D5D0F83" w14:textId="111E9726" w:rsidR="006F4481" w:rsidRPr="008D0165" w:rsidRDefault="00721045" w:rsidP="00A26E9C">
      <w:pPr>
        <w:spacing w:before="120" w:after="120"/>
        <w:jc w:val="both"/>
        <w:rPr>
          <w:sz w:val="24"/>
          <w:szCs w:val="24"/>
        </w:rPr>
      </w:pPr>
      <w:r w:rsidRPr="008D0165">
        <w:rPr>
          <w:sz w:val="24"/>
          <w:szCs w:val="24"/>
        </w:rPr>
        <w:t>Podniesienie</w:t>
      </w:r>
      <w:r w:rsidR="006F4481" w:rsidRPr="008D0165">
        <w:rPr>
          <w:sz w:val="24"/>
          <w:szCs w:val="24"/>
        </w:rPr>
        <w:t xml:space="preserve"> wieku emerytalnego dla mężczyzn i kobiet</w:t>
      </w:r>
      <w:r w:rsidR="008F4500" w:rsidRPr="008D0165">
        <w:rPr>
          <w:sz w:val="24"/>
          <w:szCs w:val="24"/>
        </w:rPr>
        <w:t xml:space="preserve">, </w:t>
      </w:r>
      <w:r w:rsidRPr="008D0165">
        <w:rPr>
          <w:sz w:val="24"/>
          <w:szCs w:val="24"/>
        </w:rPr>
        <w:t>obowiązujące</w:t>
      </w:r>
      <w:r w:rsidR="008F4500" w:rsidRPr="008D0165">
        <w:rPr>
          <w:sz w:val="24"/>
          <w:szCs w:val="24"/>
        </w:rPr>
        <w:t xml:space="preserve"> </w:t>
      </w:r>
      <w:r w:rsidR="00A27823">
        <w:rPr>
          <w:sz w:val="24"/>
          <w:szCs w:val="24"/>
        </w:rPr>
        <w:t xml:space="preserve">w okresie </w:t>
      </w:r>
      <w:r w:rsidR="00C87D14">
        <w:rPr>
          <w:sz w:val="24"/>
          <w:szCs w:val="24"/>
        </w:rPr>
        <w:t>od stycznia</w:t>
      </w:r>
      <w:r w:rsidR="008F4500" w:rsidRPr="008D0165">
        <w:rPr>
          <w:sz w:val="24"/>
          <w:szCs w:val="24"/>
        </w:rPr>
        <w:t xml:space="preserve"> 2013</w:t>
      </w:r>
      <w:r w:rsidR="006C734D">
        <w:rPr>
          <w:sz w:val="24"/>
          <w:szCs w:val="24"/>
        </w:rPr>
        <w:t> </w:t>
      </w:r>
      <w:r w:rsidR="00A27823">
        <w:rPr>
          <w:sz w:val="24"/>
          <w:szCs w:val="24"/>
        </w:rPr>
        <w:t>r.</w:t>
      </w:r>
      <w:r w:rsidR="00C87D14">
        <w:rPr>
          <w:sz w:val="24"/>
          <w:szCs w:val="24"/>
        </w:rPr>
        <w:t xml:space="preserve"> do września</w:t>
      </w:r>
      <w:r w:rsidR="00A27823">
        <w:rPr>
          <w:sz w:val="24"/>
          <w:szCs w:val="24"/>
        </w:rPr>
        <w:t xml:space="preserve"> </w:t>
      </w:r>
      <w:r w:rsidR="008F4500" w:rsidRPr="008D0165">
        <w:rPr>
          <w:sz w:val="24"/>
          <w:szCs w:val="24"/>
        </w:rPr>
        <w:t>2017</w:t>
      </w:r>
      <w:r w:rsidR="00A27823">
        <w:rPr>
          <w:sz w:val="24"/>
          <w:szCs w:val="24"/>
        </w:rPr>
        <w:t xml:space="preserve"> r.</w:t>
      </w:r>
      <w:r w:rsidRPr="008D0165">
        <w:rPr>
          <w:sz w:val="24"/>
          <w:szCs w:val="24"/>
        </w:rPr>
        <w:t>,</w:t>
      </w:r>
      <w:r w:rsidR="008F4500" w:rsidRPr="008D0165">
        <w:rPr>
          <w:sz w:val="24"/>
          <w:szCs w:val="24"/>
        </w:rPr>
        <w:t xml:space="preserve"> zgodnie z uzasadni</w:t>
      </w:r>
      <w:r w:rsidR="00BD16B2" w:rsidRPr="008D0165">
        <w:rPr>
          <w:sz w:val="24"/>
          <w:szCs w:val="24"/>
        </w:rPr>
        <w:t>e</w:t>
      </w:r>
      <w:r w:rsidR="008F4500" w:rsidRPr="008D0165">
        <w:rPr>
          <w:sz w:val="24"/>
          <w:szCs w:val="24"/>
        </w:rPr>
        <w:t>niem ustawodawcy</w:t>
      </w:r>
      <w:r w:rsidR="00D7141F" w:rsidRPr="008D0165">
        <w:rPr>
          <w:sz w:val="24"/>
          <w:szCs w:val="24"/>
        </w:rPr>
        <w:t>,</w:t>
      </w:r>
      <w:r w:rsidR="008F4500" w:rsidRPr="008D0165">
        <w:rPr>
          <w:sz w:val="24"/>
          <w:szCs w:val="24"/>
        </w:rPr>
        <w:t xml:space="preserve"> </w:t>
      </w:r>
      <w:r w:rsidR="00D7141F" w:rsidRPr="008D0165">
        <w:rPr>
          <w:sz w:val="24"/>
          <w:szCs w:val="24"/>
        </w:rPr>
        <w:t xml:space="preserve">było </w:t>
      </w:r>
      <w:r w:rsidR="006F4481" w:rsidRPr="008D0165">
        <w:rPr>
          <w:sz w:val="24"/>
          <w:szCs w:val="24"/>
        </w:rPr>
        <w:t>uwarunkowane zarówno względami demograficznymi, jak i</w:t>
      </w:r>
      <w:r w:rsidR="007969CB" w:rsidRPr="008D0165">
        <w:rPr>
          <w:sz w:val="24"/>
          <w:szCs w:val="24"/>
        </w:rPr>
        <w:t> </w:t>
      </w:r>
      <w:r w:rsidR="006F4481" w:rsidRPr="008D0165">
        <w:rPr>
          <w:sz w:val="24"/>
          <w:szCs w:val="24"/>
        </w:rPr>
        <w:t>ekonomicznymi. W efekcie niekorzystnych trendów: ubytku rzeczywistego ludności i zmiany struktury demograficznej społeczeństwa, systematycznie rośnie relacja liczby osób w wieku poprodukcyjnym do liczby osób w wieku produkcyjnym (tzw. wskaźnik obciążenia demograficznego). Ponieważ jedynym podmiotem zdolnym do zmagania się z ryzykiem demograficznym jest państwo, kwestia wypłaty świadczeń, również ze środków zgromadzonych w otwartych funduszach emerytalnych (OFE), została powiązana z interesem finansów publicznych. Ustawą z dnia 6 grudnia 2013 r. o</w:t>
      </w:r>
      <w:r w:rsidR="00AB5640">
        <w:rPr>
          <w:sz w:val="24"/>
          <w:szCs w:val="24"/>
        </w:rPr>
        <w:t> </w:t>
      </w:r>
      <w:r w:rsidR="006F4481" w:rsidRPr="008D0165">
        <w:rPr>
          <w:sz w:val="24"/>
          <w:szCs w:val="24"/>
        </w:rPr>
        <w:t>zmianie niektórych ustaw w związku z określeniem zasad wypłaty emerytur ze środków zgromadzonych w otwartych funduszach emerytalnych (Dz. U. poz. 1717) wprowadzono szereg zmian zarówno w funkcjonowaniu OFE, jak i dotyczących sposobu obliczenia i wypłaty emerytury.</w:t>
      </w:r>
    </w:p>
    <w:p w14:paraId="1628E8E3" w14:textId="234E62E7" w:rsidR="006F4481" w:rsidRPr="008D0165" w:rsidRDefault="006F4481" w:rsidP="00A26E9C">
      <w:pPr>
        <w:spacing w:before="120" w:after="120"/>
        <w:jc w:val="both"/>
        <w:rPr>
          <w:sz w:val="24"/>
          <w:szCs w:val="24"/>
        </w:rPr>
      </w:pPr>
      <w:r w:rsidRPr="008D0165">
        <w:rPr>
          <w:sz w:val="24"/>
          <w:szCs w:val="24"/>
        </w:rPr>
        <w:t>Całość emerytury, tj. z konta</w:t>
      </w:r>
      <w:r w:rsidR="0083203C" w:rsidRPr="008D0165">
        <w:rPr>
          <w:sz w:val="24"/>
          <w:szCs w:val="24"/>
        </w:rPr>
        <w:t xml:space="preserve"> (z uwzględnieniem kapitału początkowego)</w:t>
      </w:r>
      <w:r w:rsidR="00A47051" w:rsidRPr="008D0165">
        <w:rPr>
          <w:sz w:val="24"/>
          <w:szCs w:val="24"/>
        </w:rPr>
        <w:t xml:space="preserve"> i</w:t>
      </w:r>
      <w:r w:rsidRPr="008D0165">
        <w:rPr>
          <w:sz w:val="24"/>
          <w:szCs w:val="24"/>
        </w:rPr>
        <w:t xml:space="preserve"> subkonta w</w:t>
      </w:r>
      <w:r w:rsidR="00AB5640">
        <w:rPr>
          <w:sz w:val="24"/>
          <w:szCs w:val="24"/>
        </w:rPr>
        <w:t> </w:t>
      </w:r>
      <w:r w:rsidR="00287F94">
        <w:rPr>
          <w:sz w:val="24"/>
          <w:szCs w:val="24"/>
        </w:rPr>
        <w:t>Zakładzie Ubezpieczeń Społecznych (</w:t>
      </w:r>
      <w:r w:rsidRPr="008D0165">
        <w:rPr>
          <w:sz w:val="24"/>
          <w:szCs w:val="24"/>
        </w:rPr>
        <w:t>ZUS</w:t>
      </w:r>
      <w:r w:rsidR="00287F94">
        <w:rPr>
          <w:sz w:val="24"/>
          <w:szCs w:val="24"/>
        </w:rPr>
        <w:t>)</w:t>
      </w:r>
      <w:r w:rsidRPr="008D0165">
        <w:rPr>
          <w:sz w:val="24"/>
          <w:szCs w:val="24"/>
        </w:rPr>
        <w:t xml:space="preserve"> </w:t>
      </w:r>
      <w:r w:rsidR="00A47051" w:rsidRPr="008D0165">
        <w:rPr>
          <w:sz w:val="24"/>
          <w:szCs w:val="24"/>
        </w:rPr>
        <w:t>(</w:t>
      </w:r>
      <w:r w:rsidR="004E24F7" w:rsidRPr="008D0165">
        <w:rPr>
          <w:sz w:val="24"/>
          <w:szCs w:val="24"/>
        </w:rPr>
        <w:t>z </w:t>
      </w:r>
      <w:r w:rsidR="00A47051" w:rsidRPr="008D0165">
        <w:rPr>
          <w:sz w:val="24"/>
          <w:szCs w:val="24"/>
        </w:rPr>
        <w:t xml:space="preserve">uwzględnieniem środków </w:t>
      </w:r>
      <w:r w:rsidR="0014355C" w:rsidRPr="008D0165">
        <w:rPr>
          <w:sz w:val="24"/>
          <w:szCs w:val="24"/>
        </w:rPr>
        <w:t>przeniesionych</w:t>
      </w:r>
      <w:r w:rsidR="00A47051" w:rsidRPr="008D0165">
        <w:rPr>
          <w:sz w:val="24"/>
          <w:szCs w:val="24"/>
        </w:rPr>
        <w:t xml:space="preserve"> z</w:t>
      </w:r>
      <w:r w:rsidR="00AB5640">
        <w:rPr>
          <w:sz w:val="24"/>
          <w:szCs w:val="24"/>
        </w:rPr>
        <w:t> </w:t>
      </w:r>
      <w:r w:rsidRPr="008D0165">
        <w:rPr>
          <w:sz w:val="24"/>
          <w:szCs w:val="24"/>
        </w:rPr>
        <w:t>rachunku w OFE</w:t>
      </w:r>
      <w:r w:rsidR="00A47051" w:rsidRPr="008D0165">
        <w:rPr>
          <w:sz w:val="24"/>
          <w:szCs w:val="24"/>
        </w:rPr>
        <w:t>)</w:t>
      </w:r>
      <w:r w:rsidR="008C0CDB">
        <w:rPr>
          <w:sz w:val="24"/>
          <w:szCs w:val="24"/>
        </w:rPr>
        <w:t>,</w:t>
      </w:r>
      <w:r w:rsidRPr="008D0165">
        <w:rPr>
          <w:sz w:val="24"/>
          <w:szCs w:val="24"/>
        </w:rPr>
        <w:t xml:space="preserve"> </w:t>
      </w:r>
      <w:r w:rsidR="006A2466" w:rsidRPr="008D0165">
        <w:rPr>
          <w:sz w:val="24"/>
          <w:szCs w:val="24"/>
        </w:rPr>
        <w:t>jest wypłacana przez ZUS. Na 10 </w:t>
      </w:r>
      <w:r w:rsidRPr="008D0165">
        <w:rPr>
          <w:sz w:val="24"/>
          <w:szCs w:val="24"/>
        </w:rPr>
        <w:t>lat przed osiągnięciem wieku emerytalnego przez danego ubezpieczonego, co miesiąc</w:t>
      </w:r>
      <w:r w:rsidR="00964FCE" w:rsidRPr="008D0165">
        <w:rPr>
          <w:sz w:val="24"/>
          <w:szCs w:val="24"/>
        </w:rPr>
        <w:t>, aż do osiągnięcia przez niego wieku emerytalnego,</w:t>
      </w:r>
      <w:r w:rsidRPr="008D0165">
        <w:rPr>
          <w:sz w:val="24"/>
          <w:szCs w:val="24"/>
        </w:rPr>
        <w:t xml:space="preserve"> na subkonto </w:t>
      </w:r>
      <w:r w:rsidR="00964FCE" w:rsidRPr="008D0165">
        <w:rPr>
          <w:sz w:val="24"/>
          <w:szCs w:val="24"/>
        </w:rPr>
        <w:t>w </w:t>
      </w:r>
      <w:r w:rsidR="006A3086" w:rsidRPr="008D0165">
        <w:rPr>
          <w:sz w:val="24"/>
          <w:szCs w:val="24"/>
        </w:rPr>
        <w:t>ZUS przekazywane są środki zgromadzone</w:t>
      </w:r>
      <w:r w:rsidRPr="008D0165">
        <w:rPr>
          <w:sz w:val="24"/>
          <w:szCs w:val="24"/>
        </w:rPr>
        <w:t xml:space="preserve"> na rachunku członka OFE</w:t>
      </w:r>
      <w:r w:rsidR="00743765" w:rsidRPr="008D0165">
        <w:rPr>
          <w:sz w:val="24"/>
          <w:szCs w:val="24"/>
        </w:rPr>
        <w:t>.</w:t>
      </w:r>
      <w:r w:rsidRPr="008D0165">
        <w:rPr>
          <w:sz w:val="24"/>
          <w:szCs w:val="24"/>
        </w:rPr>
        <w:t xml:space="preserve"> Dodatkowo na 10 lat przed osiągnięciem przez danego ub</w:t>
      </w:r>
      <w:r w:rsidR="00D44959">
        <w:rPr>
          <w:sz w:val="24"/>
          <w:szCs w:val="24"/>
        </w:rPr>
        <w:t>ezpieczonego wieku emerytalnego</w:t>
      </w:r>
      <w:r w:rsidRPr="008D0165">
        <w:rPr>
          <w:sz w:val="24"/>
          <w:szCs w:val="24"/>
        </w:rPr>
        <w:t xml:space="preserve"> ZUS zaprzestaje odprowadzać składki do OFE, ewidencjonując je na subkoncie w ZUS. Mechanizm ten pozwala </w:t>
      </w:r>
      <w:r w:rsidR="00115329" w:rsidRPr="008D0165">
        <w:rPr>
          <w:sz w:val="24"/>
          <w:szCs w:val="24"/>
        </w:rPr>
        <w:t>na zapewnienie bezpieczeństwa i </w:t>
      </w:r>
      <w:r w:rsidRPr="008D0165">
        <w:rPr>
          <w:sz w:val="24"/>
          <w:szCs w:val="24"/>
        </w:rPr>
        <w:t xml:space="preserve">ochronę wartości środków zgromadzonych w OFE w ostatnim okresie oszczędzania na emeryturę. </w:t>
      </w:r>
      <w:r w:rsidR="00115329" w:rsidRPr="008D0165">
        <w:rPr>
          <w:sz w:val="24"/>
          <w:szCs w:val="24"/>
        </w:rPr>
        <w:t>Gdyby bowiem w</w:t>
      </w:r>
      <w:r w:rsidR="00CC1956">
        <w:rPr>
          <w:sz w:val="24"/>
          <w:szCs w:val="24"/>
        </w:rPr>
        <w:t> </w:t>
      </w:r>
      <w:r w:rsidR="00115329" w:rsidRPr="008D0165">
        <w:rPr>
          <w:sz w:val="24"/>
          <w:szCs w:val="24"/>
        </w:rPr>
        <w:t xml:space="preserve">okresie bezpośrednio poprzedzającym przejście na emeryturę </w:t>
      </w:r>
      <w:r w:rsidR="00837591" w:rsidRPr="008D0165">
        <w:rPr>
          <w:sz w:val="24"/>
          <w:szCs w:val="24"/>
        </w:rPr>
        <w:t xml:space="preserve">konkretnego ubezpieczonego </w:t>
      </w:r>
      <w:r w:rsidR="00115329" w:rsidRPr="008D0165">
        <w:rPr>
          <w:sz w:val="24"/>
          <w:szCs w:val="24"/>
        </w:rPr>
        <w:t xml:space="preserve">nastąpiła gorsza </w:t>
      </w:r>
      <w:r w:rsidR="00115329" w:rsidRPr="008D0165">
        <w:rPr>
          <w:sz w:val="24"/>
          <w:szCs w:val="24"/>
        </w:rPr>
        <w:lastRenderedPageBreak/>
        <w:t xml:space="preserve">koniunktura na rynku finansowym, mogłoby zabraknąć czasu na odrobienie strat. </w:t>
      </w:r>
      <w:r w:rsidR="009B64BD" w:rsidRPr="008D0165">
        <w:rPr>
          <w:sz w:val="24"/>
          <w:szCs w:val="24"/>
        </w:rPr>
        <w:t>Ś</w:t>
      </w:r>
      <w:r w:rsidRPr="008D0165">
        <w:rPr>
          <w:sz w:val="24"/>
          <w:szCs w:val="24"/>
        </w:rPr>
        <w:t xml:space="preserve">rodki </w:t>
      </w:r>
      <w:r w:rsidR="009B64BD" w:rsidRPr="008D0165">
        <w:rPr>
          <w:sz w:val="24"/>
          <w:szCs w:val="24"/>
        </w:rPr>
        <w:t>na subkoncie</w:t>
      </w:r>
      <w:r w:rsidRPr="008D0165">
        <w:rPr>
          <w:sz w:val="24"/>
          <w:szCs w:val="24"/>
        </w:rPr>
        <w:t xml:space="preserve"> w ZUS podlegają waloryzacji wskaźnikiem równym średniorocznej dynamice </w:t>
      </w:r>
      <w:r w:rsidR="00E6234B" w:rsidRPr="008D0165">
        <w:rPr>
          <w:sz w:val="24"/>
          <w:szCs w:val="24"/>
        </w:rPr>
        <w:t xml:space="preserve">nominalnego </w:t>
      </w:r>
      <w:r w:rsidRPr="008D0165">
        <w:rPr>
          <w:sz w:val="24"/>
          <w:szCs w:val="24"/>
        </w:rPr>
        <w:t>produktu krajowego brutto za ostatnich pięć lat.</w:t>
      </w:r>
    </w:p>
    <w:p w14:paraId="3A7B0D34" w14:textId="5C358FD3" w:rsidR="006F4481" w:rsidRPr="008D0165" w:rsidRDefault="006F4481" w:rsidP="00A26E9C">
      <w:pPr>
        <w:spacing w:before="120" w:after="120"/>
        <w:jc w:val="both"/>
        <w:rPr>
          <w:sz w:val="24"/>
          <w:szCs w:val="24"/>
        </w:rPr>
      </w:pPr>
      <w:r w:rsidRPr="008D0165">
        <w:rPr>
          <w:sz w:val="24"/>
          <w:szCs w:val="24"/>
        </w:rPr>
        <w:t>Podstawą ustalenia emerytury jest suma środków zewidencjonowanych na koncie i subkoncie w ZUS</w:t>
      </w:r>
      <w:r w:rsidR="00674B78" w:rsidRPr="008D0165">
        <w:rPr>
          <w:sz w:val="24"/>
          <w:szCs w:val="24"/>
        </w:rPr>
        <w:t>. Wysokość emerytury zależy od</w:t>
      </w:r>
      <w:r w:rsidR="003058A1" w:rsidRPr="008D0165">
        <w:rPr>
          <w:sz w:val="24"/>
          <w:szCs w:val="24"/>
        </w:rPr>
        <w:t xml:space="preserve"> </w:t>
      </w:r>
      <w:r w:rsidRPr="008D0165">
        <w:rPr>
          <w:sz w:val="24"/>
          <w:szCs w:val="24"/>
        </w:rPr>
        <w:t xml:space="preserve">zwaloryzowanych kwot </w:t>
      </w:r>
      <w:r w:rsidR="00286861" w:rsidRPr="008D0165">
        <w:rPr>
          <w:sz w:val="24"/>
          <w:szCs w:val="24"/>
        </w:rPr>
        <w:t>na obu kontach</w:t>
      </w:r>
      <w:r w:rsidRPr="008D0165">
        <w:rPr>
          <w:sz w:val="24"/>
          <w:szCs w:val="24"/>
        </w:rPr>
        <w:t xml:space="preserve"> oraz</w:t>
      </w:r>
      <w:r w:rsidR="00AB5640">
        <w:rPr>
          <w:sz w:val="24"/>
          <w:szCs w:val="24"/>
        </w:rPr>
        <w:t> </w:t>
      </w:r>
      <w:r w:rsidRPr="008D0165">
        <w:rPr>
          <w:sz w:val="24"/>
          <w:szCs w:val="24"/>
        </w:rPr>
        <w:t>od</w:t>
      </w:r>
      <w:r w:rsidR="00AB5640">
        <w:rPr>
          <w:sz w:val="24"/>
          <w:szCs w:val="24"/>
        </w:rPr>
        <w:t> </w:t>
      </w:r>
      <w:r w:rsidRPr="008D0165">
        <w:rPr>
          <w:sz w:val="24"/>
          <w:szCs w:val="24"/>
        </w:rPr>
        <w:t>średniego dalszego trwania życia dla osób w wieku równym wiekowi przejścia na</w:t>
      </w:r>
      <w:r w:rsidR="00AB5640">
        <w:rPr>
          <w:sz w:val="24"/>
          <w:szCs w:val="24"/>
        </w:rPr>
        <w:t> </w:t>
      </w:r>
      <w:r w:rsidRPr="008D0165">
        <w:rPr>
          <w:sz w:val="24"/>
          <w:szCs w:val="24"/>
        </w:rPr>
        <w:t xml:space="preserve">emeryturę danego ubezpieczonego. </w:t>
      </w:r>
      <w:r w:rsidR="00D7141F" w:rsidRPr="008D0165">
        <w:rPr>
          <w:sz w:val="24"/>
          <w:szCs w:val="24"/>
        </w:rPr>
        <w:t>Z</w:t>
      </w:r>
      <w:r w:rsidRPr="008D0165">
        <w:rPr>
          <w:sz w:val="24"/>
          <w:szCs w:val="24"/>
        </w:rPr>
        <w:t>apewnia</w:t>
      </w:r>
      <w:r w:rsidR="00D7141F" w:rsidRPr="008D0165">
        <w:rPr>
          <w:sz w:val="24"/>
          <w:szCs w:val="24"/>
        </w:rPr>
        <w:t xml:space="preserve"> to</w:t>
      </w:r>
      <w:r w:rsidRPr="008D0165">
        <w:rPr>
          <w:sz w:val="24"/>
          <w:szCs w:val="24"/>
        </w:rPr>
        <w:t xml:space="preserve"> dożywotnią wypłatę świadcze</w:t>
      </w:r>
      <w:r w:rsidR="00D7141F" w:rsidRPr="008D0165">
        <w:rPr>
          <w:sz w:val="24"/>
          <w:szCs w:val="24"/>
        </w:rPr>
        <w:t>ń</w:t>
      </w:r>
      <w:r w:rsidRPr="008D0165">
        <w:rPr>
          <w:sz w:val="24"/>
          <w:szCs w:val="24"/>
        </w:rPr>
        <w:t xml:space="preserve"> z</w:t>
      </w:r>
      <w:r w:rsidR="00AB5640">
        <w:rPr>
          <w:sz w:val="24"/>
          <w:szCs w:val="24"/>
        </w:rPr>
        <w:t> </w:t>
      </w:r>
      <w:r w:rsidR="006E0972">
        <w:rPr>
          <w:sz w:val="24"/>
          <w:szCs w:val="24"/>
        </w:rPr>
        <w:t>Funduszu Ubezpieczeń Społecznych (</w:t>
      </w:r>
      <w:r w:rsidRPr="008D0165">
        <w:rPr>
          <w:sz w:val="24"/>
          <w:szCs w:val="24"/>
        </w:rPr>
        <w:t>FUS</w:t>
      </w:r>
      <w:r w:rsidR="006E0972">
        <w:rPr>
          <w:sz w:val="24"/>
          <w:szCs w:val="24"/>
        </w:rPr>
        <w:t>)</w:t>
      </w:r>
      <w:r w:rsidRPr="008D0165">
        <w:rPr>
          <w:sz w:val="24"/>
          <w:szCs w:val="24"/>
        </w:rPr>
        <w:t>, z gwarancją wypłaty minimalnego świadczenia, pod warunkiem posiadania określonego stażu ubezpieczeniowego.</w:t>
      </w:r>
    </w:p>
    <w:p w14:paraId="1DB65B56" w14:textId="7647A8A3" w:rsidR="00743765" w:rsidRPr="008D0165" w:rsidRDefault="00743765" w:rsidP="00A26E9C">
      <w:pPr>
        <w:spacing w:before="120" w:after="120"/>
        <w:jc w:val="both"/>
        <w:rPr>
          <w:sz w:val="24"/>
          <w:szCs w:val="24"/>
        </w:rPr>
      </w:pPr>
      <w:r w:rsidRPr="008D0165">
        <w:rPr>
          <w:sz w:val="24"/>
          <w:szCs w:val="24"/>
        </w:rPr>
        <w:t>Celem wprowadzanych regulacji ustawowych było ograniczenie ryzyk rzutujących na</w:t>
      </w:r>
      <w:r w:rsidR="00CC1956">
        <w:rPr>
          <w:sz w:val="24"/>
          <w:szCs w:val="24"/>
        </w:rPr>
        <w:t> </w:t>
      </w:r>
      <w:r w:rsidRPr="008D0165">
        <w:rPr>
          <w:sz w:val="24"/>
          <w:szCs w:val="24"/>
        </w:rPr>
        <w:t>wysokość otrzymywanych w przyszłości emerytur, uniezależnienie ich wysokości od wahań na rynku kapitałowym, stworzenie warunków do wzrostu gospodarczego kraju, a więc w</w:t>
      </w:r>
      <w:r w:rsidR="00CC1956">
        <w:rPr>
          <w:sz w:val="24"/>
          <w:szCs w:val="24"/>
        </w:rPr>
        <w:t> </w:t>
      </w:r>
      <w:r w:rsidRPr="008D0165">
        <w:rPr>
          <w:sz w:val="24"/>
          <w:szCs w:val="24"/>
        </w:rPr>
        <w:t>konsekwencji zapewnienie bezpieczeństwa wypłat emerytur przyszłym rocznikom świadczeniobiorców, w</w:t>
      </w:r>
      <w:r w:rsidR="004657BD" w:rsidRPr="008D0165">
        <w:rPr>
          <w:sz w:val="24"/>
          <w:szCs w:val="24"/>
        </w:rPr>
        <w:t> </w:t>
      </w:r>
      <w:r w:rsidRPr="008D0165">
        <w:rPr>
          <w:sz w:val="24"/>
          <w:szCs w:val="24"/>
        </w:rPr>
        <w:t xml:space="preserve">wysokości adekwatnej do wkładu włożonego do systemu emerytalnego. Regulacje powołanych </w:t>
      </w:r>
      <w:r w:rsidR="008F4500" w:rsidRPr="008D0165">
        <w:rPr>
          <w:sz w:val="24"/>
          <w:szCs w:val="24"/>
        </w:rPr>
        <w:t>p</w:t>
      </w:r>
      <w:r w:rsidRPr="008D0165">
        <w:rPr>
          <w:sz w:val="24"/>
          <w:szCs w:val="24"/>
        </w:rPr>
        <w:t>owyżej ustaw z dnia 11 maja 2012 r. oraz z dnia 6</w:t>
      </w:r>
      <w:r w:rsidR="00FD47F9">
        <w:rPr>
          <w:sz w:val="24"/>
          <w:szCs w:val="24"/>
        </w:rPr>
        <w:t> </w:t>
      </w:r>
      <w:r w:rsidRPr="008D0165">
        <w:rPr>
          <w:sz w:val="24"/>
          <w:szCs w:val="24"/>
        </w:rPr>
        <w:t>grudnia 2013 r. miały na celu również obniżenie budżetowych kosztów finansowania systemu emerytalnego</w:t>
      </w:r>
      <w:r w:rsidRPr="008D0165">
        <w:rPr>
          <w:rStyle w:val="Odwoanieprzypisudolnego"/>
          <w:sz w:val="24"/>
          <w:szCs w:val="24"/>
        </w:rPr>
        <w:footnoteReference w:id="3"/>
      </w:r>
      <w:r w:rsidR="00EB3F99">
        <w:rPr>
          <w:sz w:val="24"/>
          <w:szCs w:val="24"/>
          <w:vertAlign w:val="superscript"/>
        </w:rPr>
        <w:t>)</w:t>
      </w:r>
      <w:r w:rsidRPr="008D0165">
        <w:rPr>
          <w:sz w:val="24"/>
          <w:szCs w:val="24"/>
        </w:rPr>
        <w:t>.</w:t>
      </w:r>
    </w:p>
    <w:p w14:paraId="77DAA4BE" w14:textId="57D669B3" w:rsidR="00743765" w:rsidRPr="008D0165" w:rsidRDefault="00743765" w:rsidP="00A26E9C">
      <w:pPr>
        <w:spacing w:before="120" w:after="120"/>
        <w:jc w:val="both"/>
        <w:rPr>
          <w:sz w:val="24"/>
          <w:szCs w:val="24"/>
        </w:rPr>
      </w:pPr>
      <w:r w:rsidRPr="008D0165">
        <w:rPr>
          <w:sz w:val="24"/>
          <w:szCs w:val="24"/>
        </w:rPr>
        <w:t>Osiągnięcie określonego wie</w:t>
      </w:r>
      <w:r w:rsidR="00451400" w:rsidRPr="008D0165">
        <w:rPr>
          <w:sz w:val="24"/>
          <w:szCs w:val="24"/>
        </w:rPr>
        <w:t>ku emerytalnego stanowi obecnie</w:t>
      </w:r>
      <w:r w:rsidRPr="008D0165">
        <w:rPr>
          <w:sz w:val="24"/>
          <w:szCs w:val="24"/>
        </w:rPr>
        <w:t xml:space="preserve"> dla osoby podlegającej ubezpi</w:t>
      </w:r>
      <w:r w:rsidR="00451400" w:rsidRPr="008D0165">
        <w:rPr>
          <w:sz w:val="24"/>
          <w:szCs w:val="24"/>
        </w:rPr>
        <w:t>eczeni</w:t>
      </w:r>
      <w:r w:rsidR="005C7121">
        <w:rPr>
          <w:sz w:val="24"/>
          <w:szCs w:val="24"/>
        </w:rPr>
        <w:t>om</w:t>
      </w:r>
      <w:r w:rsidR="00451400" w:rsidRPr="008D0165">
        <w:rPr>
          <w:sz w:val="24"/>
          <w:szCs w:val="24"/>
        </w:rPr>
        <w:t xml:space="preserve"> emerytalnemu i rentowym</w:t>
      </w:r>
      <w:r w:rsidRPr="008D0165">
        <w:rPr>
          <w:sz w:val="24"/>
          <w:szCs w:val="24"/>
        </w:rPr>
        <w:t xml:space="preserve"> jedyną przesłankę nabycia prawa do emerytury.</w:t>
      </w:r>
    </w:p>
    <w:p w14:paraId="19EEF733" w14:textId="13292DA4" w:rsidR="00743765" w:rsidRPr="008D0165" w:rsidRDefault="00743765" w:rsidP="00A26E9C">
      <w:pPr>
        <w:spacing w:before="120" w:after="120"/>
        <w:jc w:val="both"/>
        <w:rPr>
          <w:sz w:val="24"/>
          <w:szCs w:val="24"/>
        </w:rPr>
      </w:pPr>
      <w:r w:rsidRPr="008D0165">
        <w:rPr>
          <w:sz w:val="24"/>
          <w:szCs w:val="24"/>
        </w:rPr>
        <w:t>Przy ustalaniu powszechnego wieku emerytalnego konieczne jest rozpatrzenie szer</w:t>
      </w:r>
      <w:r w:rsidR="00D7141F" w:rsidRPr="008D0165">
        <w:rPr>
          <w:sz w:val="24"/>
          <w:szCs w:val="24"/>
        </w:rPr>
        <w:t>egu czynników, które uwzględniają</w:t>
      </w:r>
      <w:r w:rsidRPr="008D0165">
        <w:rPr>
          <w:sz w:val="24"/>
          <w:szCs w:val="24"/>
        </w:rPr>
        <w:t xml:space="preserve"> zarówno biologiczne uwarunkowania procesu starzenia się, tak</w:t>
      </w:r>
      <w:r w:rsidR="00FD47F9">
        <w:rPr>
          <w:sz w:val="24"/>
          <w:szCs w:val="24"/>
        </w:rPr>
        <w:t> </w:t>
      </w:r>
      <w:r w:rsidRPr="008D0165">
        <w:rPr>
          <w:sz w:val="24"/>
          <w:szCs w:val="24"/>
        </w:rPr>
        <w:t>aby w sposób najbardziej miarodajny określić granice wieku, w którym ubezpieczeni stają się przeważnie niezdolni do normalnie wydajnej pracy, jak również zachowania proporcji pomiędzy okresem ubezpieczenia (pracy), a okresem pobierania świadczenia (wypoczynku) w</w:t>
      </w:r>
      <w:r w:rsidR="00FD47F9">
        <w:rPr>
          <w:sz w:val="24"/>
          <w:szCs w:val="24"/>
        </w:rPr>
        <w:t> </w:t>
      </w:r>
      <w:r w:rsidRPr="008D0165">
        <w:rPr>
          <w:sz w:val="24"/>
          <w:szCs w:val="24"/>
        </w:rPr>
        <w:t>taki sposób, aby okres wypoczynku nie zaczynał się ani zbyt późno, bo wtedy ubezpieczony nie ma możliwości korzystania z niego, ani zbyt wcześnie, bo wówczas koszt ubezpieczenia emerytalnego byłby zbyt wysoki. Pozostałe czynniki, które należy uwzględnić przy</w:t>
      </w:r>
      <w:r w:rsidR="00FD47F9">
        <w:rPr>
          <w:sz w:val="24"/>
          <w:szCs w:val="24"/>
        </w:rPr>
        <w:t> </w:t>
      </w:r>
      <w:r w:rsidRPr="008D0165">
        <w:rPr>
          <w:sz w:val="24"/>
          <w:szCs w:val="24"/>
        </w:rPr>
        <w:t>wyznaczaniu wieku emerytalnego, to sytuacja na rynku pracy oraz sytuacj</w:t>
      </w:r>
      <w:r w:rsidR="00CF255E" w:rsidRPr="008D0165">
        <w:rPr>
          <w:sz w:val="24"/>
          <w:szCs w:val="24"/>
        </w:rPr>
        <w:t>a</w:t>
      </w:r>
      <w:r w:rsidRPr="008D0165">
        <w:rPr>
          <w:sz w:val="24"/>
          <w:szCs w:val="24"/>
        </w:rPr>
        <w:t xml:space="preserve"> finansow</w:t>
      </w:r>
      <w:r w:rsidR="00CF255E" w:rsidRPr="008D0165">
        <w:rPr>
          <w:sz w:val="24"/>
          <w:szCs w:val="24"/>
        </w:rPr>
        <w:t>a</w:t>
      </w:r>
      <w:r w:rsidRPr="008D0165">
        <w:rPr>
          <w:sz w:val="24"/>
          <w:szCs w:val="24"/>
        </w:rPr>
        <w:t xml:space="preserve"> FUS. Należy zauważyć, że na poprawę sytuacji finansowej FUS przekłada się rzeczywisty wiek przechodzenia </w:t>
      </w:r>
      <w:r w:rsidRPr="008D0165">
        <w:rPr>
          <w:sz w:val="24"/>
          <w:szCs w:val="24"/>
        </w:rPr>
        <w:lastRenderedPageBreak/>
        <w:t xml:space="preserve">na emeryturę, który w minionych latach odbiegał od wieku emerytalnego określonego w ustawie. Istotną kwestią dla polskiego systemu emerytalnego jest więc osiągnięcie faktycznego wieku emerytalnego na poziomie zbliżonym do ustawowego wieku emerytalnego. Wciąż zauważalny jest trend wzrostowy, osiągnięty dzięki stopniowej likwidacji możliwości przechodzenia na emeryturę w obniżonym wieku oraz wprowadzeniu nowej formuły ustalania wysokości świadczenia, w której </w:t>
      </w:r>
      <w:r w:rsidR="00451400" w:rsidRPr="008D0165">
        <w:rPr>
          <w:sz w:val="24"/>
          <w:szCs w:val="24"/>
        </w:rPr>
        <w:t>wysokość ta uzależniona jest m.</w:t>
      </w:r>
      <w:r w:rsidRPr="008D0165">
        <w:rPr>
          <w:sz w:val="24"/>
          <w:szCs w:val="24"/>
        </w:rPr>
        <w:t xml:space="preserve">in. od kwoty składek wpłaconych przez ubezpieczonego. Przytaczając </w:t>
      </w:r>
      <w:r w:rsidR="00451400" w:rsidRPr="008D0165">
        <w:rPr>
          <w:sz w:val="24"/>
          <w:szCs w:val="24"/>
        </w:rPr>
        <w:t>dane sprzed reformy emerytalnej</w:t>
      </w:r>
      <w:r w:rsidRPr="008D0165">
        <w:rPr>
          <w:sz w:val="24"/>
          <w:szCs w:val="24"/>
        </w:rPr>
        <w:t xml:space="preserve"> należy zauważyć, że w 1998 r., w którym obowiązywał powszechny wiek emerytalny wynoszący 60 lat dla kobiet i 65 lat dla mężczyzn, rzeczywisty wi</w:t>
      </w:r>
      <w:r w:rsidR="00451400" w:rsidRPr="008D0165">
        <w:rPr>
          <w:sz w:val="24"/>
          <w:szCs w:val="24"/>
        </w:rPr>
        <w:t>ek przechodzenia na emeryturę w </w:t>
      </w:r>
      <w:r w:rsidRPr="008D0165">
        <w:rPr>
          <w:sz w:val="24"/>
          <w:szCs w:val="24"/>
        </w:rPr>
        <w:t>przypadku kobiet wynosił jedynie 54,7 lat, natomiast w przypadku mężczyzn 58,7 lat.</w:t>
      </w:r>
    </w:p>
    <w:p w14:paraId="7F8E21D6" w14:textId="6C7253EC" w:rsidR="00743765" w:rsidRPr="008D0165" w:rsidRDefault="00743765" w:rsidP="00A26E9C">
      <w:pPr>
        <w:spacing w:before="120" w:after="120"/>
        <w:jc w:val="both"/>
        <w:rPr>
          <w:sz w:val="24"/>
          <w:szCs w:val="24"/>
        </w:rPr>
      </w:pPr>
      <w:r w:rsidRPr="008D0165">
        <w:rPr>
          <w:sz w:val="24"/>
          <w:szCs w:val="24"/>
        </w:rPr>
        <w:t xml:space="preserve">W ostatnim </w:t>
      </w:r>
      <w:r w:rsidR="00CF255E" w:rsidRPr="008D0165">
        <w:rPr>
          <w:sz w:val="24"/>
          <w:szCs w:val="24"/>
        </w:rPr>
        <w:t>dziesięcioleciu</w:t>
      </w:r>
      <w:r w:rsidRPr="008D0165">
        <w:rPr>
          <w:sz w:val="24"/>
          <w:szCs w:val="24"/>
        </w:rPr>
        <w:t xml:space="preserve"> rzeczywisty wiek przechodzenia na emeryturę kształtował się</w:t>
      </w:r>
      <w:r w:rsidR="00FD47F9">
        <w:rPr>
          <w:sz w:val="24"/>
          <w:szCs w:val="24"/>
        </w:rPr>
        <w:t> </w:t>
      </w:r>
      <w:r w:rsidRPr="008D0165">
        <w:rPr>
          <w:sz w:val="24"/>
          <w:szCs w:val="24"/>
        </w:rPr>
        <w:t>następująco: dla mężczyzn – 59,7 lat w 2013 r., 61 lat w 2014 r. i 62,8 lat w 2015 r.; dla</w:t>
      </w:r>
      <w:r w:rsidR="00102E8A">
        <w:rPr>
          <w:sz w:val="24"/>
          <w:szCs w:val="24"/>
        </w:rPr>
        <w:t> </w:t>
      </w:r>
      <w:r w:rsidR="000C21AE">
        <w:rPr>
          <w:sz w:val="24"/>
          <w:szCs w:val="24"/>
        </w:rPr>
        <w:t>kobiet odpowiednio – 59,3 lat,</w:t>
      </w:r>
      <w:r w:rsidRPr="008D0165">
        <w:rPr>
          <w:sz w:val="24"/>
          <w:szCs w:val="24"/>
        </w:rPr>
        <w:t xml:space="preserve"> 59,8 lat oraz 60,7 lat. W 2015 r. średni wiek osoby, której</w:t>
      </w:r>
      <w:r w:rsidR="00FD47F9">
        <w:rPr>
          <w:sz w:val="24"/>
          <w:szCs w:val="24"/>
        </w:rPr>
        <w:t> </w:t>
      </w:r>
      <w:r w:rsidRPr="008D0165">
        <w:rPr>
          <w:sz w:val="24"/>
          <w:szCs w:val="24"/>
        </w:rPr>
        <w:t>przyznano emeryturę wynosił 61,6 lat, przy czym kobieta skorzystała z prawa do</w:t>
      </w:r>
      <w:r w:rsidR="00FD47F9">
        <w:rPr>
          <w:sz w:val="24"/>
          <w:szCs w:val="24"/>
        </w:rPr>
        <w:t> </w:t>
      </w:r>
      <w:r w:rsidRPr="008D0165">
        <w:rPr>
          <w:sz w:val="24"/>
          <w:szCs w:val="24"/>
        </w:rPr>
        <w:t>emerytury będąc w wieku 60,</w:t>
      </w:r>
      <w:r w:rsidR="008B393C" w:rsidRPr="008D0165">
        <w:rPr>
          <w:sz w:val="24"/>
          <w:szCs w:val="24"/>
        </w:rPr>
        <w:t>7 lat, a mężczyzna w wieku 62,8 </w:t>
      </w:r>
      <w:r w:rsidRPr="008D0165">
        <w:rPr>
          <w:sz w:val="24"/>
          <w:szCs w:val="24"/>
        </w:rPr>
        <w:t>l</w:t>
      </w:r>
      <w:r w:rsidR="00102E8A">
        <w:rPr>
          <w:sz w:val="24"/>
          <w:szCs w:val="24"/>
        </w:rPr>
        <w:t>at. Osoby</w:t>
      </w:r>
      <w:r w:rsidRPr="008D0165">
        <w:rPr>
          <w:sz w:val="24"/>
          <w:szCs w:val="24"/>
        </w:rPr>
        <w:t xml:space="preserve"> korzystające jeszcze z zasad tzw. dotychczasowego systemu przechodziły na emeryturę średnio w wieku 56,5 lat, natomiast osoby, którym przyznano emeryturę wg nowych zasad były średnio w</w:t>
      </w:r>
      <w:r w:rsidR="00FD47F9">
        <w:rPr>
          <w:sz w:val="24"/>
          <w:szCs w:val="24"/>
        </w:rPr>
        <w:t> </w:t>
      </w:r>
      <w:r w:rsidRPr="008D0165">
        <w:rPr>
          <w:sz w:val="24"/>
          <w:szCs w:val="24"/>
        </w:rPr>
        <w:t>wieku 62,0 lat (kobieta – 60,7 lat, a mężczyzna 63,9 lat).</w:t>
      </w:r>
      <w:r w:rsidR="00D92691" w:rsidRPr="008D0165">
        <w:rPr>
          <w:sz w:val="24"/>
          <w:szCs w:val="24"/>
        </w:rPr>
        <w:t xml:space="preserve"> Ten średni wiek przechodzenia na</w:t>
      </w:r>
      <w:r w:rsidR="00FD47F9">
        <w:rPr>
          <w:sz w:val="24"/>
          <w:szCs w:val="24"/>
        </w:rPr>
        <w:t> </w:t>
      </w:r>
      <w:r w:rsidR="00D92691" w:rsidRPr="008D0165">
        <w:rPr>
          <w:sz w:val="24"/>
          <w:szCs w:val="24"/>
        </w:rPr>
        <w:t>emeryturę ut</w:t>
      </w:r>
      <w:r w:rsidR="00E76005" w:rsidRPr="008D0165">
        <w:rPr>
          <w:sz w:val="24"/>
          <w:szCs w:val="24"/>
        </w:rPr>
        <w:t>rzymuje się także w latach 2016–</w:t>
      </w:r>
      <w:r w:rsidR="00D92691" w:rsidRPr="008D0165">
        <w:rPr>
          <w:sz w:val="24"/>
          <w:szCs w:val="24"/>
        </w:rPr>
        <w:t>2021.</w:t>
      </w:r>
    </w:p>
    <w:p w14:paraId="0AB5056F" w14:textId="0A2BB5C4" w:rsidR="00CD3EAE" w:rsidRPr="008D0165" w:rsidRDefault="00CD3EAE" w:rsidP="0084113E">
      <w:pPr>
        <w:spacing w:before="120" w:after="120" w:line="23" w:lineRule="atLeast"/>
        <w:jc w:val="both"/>
        <w:rPr>
          <w:b/>
          <w:sz w:val="24"/>
          <w:szCs w:val="24"/>
        </w:rPr>
      </w:pPr>
      <w:r w:rsidRPr="008D0165">
        <w:rPr>
          <w:b/>
          <w:sz w:val="24"/>
          <w:szCs w:val="24"/>
        </w:rPr>
        <w:t xml:space="preserve">Tabela </w:t>
      </w:r>
      <w:r w:rsidR="008E5A5D" w:rsidRPr="008D0165">
        <w:rPr>
          <w:b/>
          <w:sz w:val="24"/>
          <w:szCs w:val="24"/>
        </w:rPr>
        <w:t>4</w:t>
      </w:r>
      <w:r w:rsidRPr="008D0165">
        <w:rPr>
          <w:b/>
          <w:sz w:val="24"/>
          <w:szCs w:val="24"/>
        </w:rPr>
        <w:t xml:space="preserve">. Średni wiek osób, którym przyznano emerytury realizowane przez </w:t>
      </w:r>
      <w:r w:rsidR="00820B48" w:rsidRPr="008D0165">
        <w:rPr>
          <w:b/>
          <w:sz w:val="24"/>
          <w:szCs w:val="24"/>
        </w:rPr>
        <w:t>ZUS</w:t>
      </w:r>
      <w:r w:rsidR="00EB3F99">
        <w:rPr>
          <w:b/>
          <w:sz w:val="24"/>
          <w:szCs w:val="24"/>
        </w:rPr>
        <w:t>*</w:t>
      </w:r>
      <w:r w:rsidR="00102E8A" w:rsidRPr="008D0165">
        <w:rPr>
          <w:b/>
          <w:sz w:val="24"/>
          <w:szCs w:val="24"/>
          <w:vertAlign w:val="superscript"/>
        </w:rPr>
        <w:t>)</w:t>
      </w:r>
    </w:p>
    <w:tbl>
      <w:tblPr>
        <w:tblW w:w="5880" w:type="dxa"/>
        <w:jc w:val="center"/>
        <w:tblCellMar>
          <w:left w:w="70" w:type="dxa"/>
          <w:right w:w="70" w:type="dxa"/>
        </w:tblCellMar>
        <w:tblLook w:val="04A0" w:firstRow="1" w:lastRow="0" w:firstColumn="1" w:lastColumn="0" w:noHBand="0" w:noVBand="1"/>
      </w:tblPr>
      <w:tblGrid>
        <w:gridCol w:w="2240"/>
        <w:gridCol w:w="1380"/>
        <w:gridCol w:w="2260"/>
      </w:tblGrid>
      <w:tr w:rsidR="001435BE" w:rsidRPr="008D0165" w14:paraId="749E0867" w14:textId="77777777" w:rsidTr="00A376B1">
        <w:trPr>
          <w:trHeight w:val="283"/>
          <w:tblHeader/>
          <w:jc w:val="center"/>
        </w:trPr>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9E1C02" w14:textId="77777777" w:rsidR="001435BE" w:rsidRPr="00A26E9C" w:rsidRDefault="001435BE" w:rsidP="0084113E">
            <w:pPr>
              <w:spacing w:after="0" w:line="240" w:lineRule="auto"/>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 </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A56AC5"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2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5FDCC94"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wg nowych zasad</w:t>
            </w:r>
          </w:p>
        </w:tc>
      </w:tr>
      <w:tr w:rsidR="001435BE" w:rsidRPr="008D0165" w14:paraId="6014CA56"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6DB551EC"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w:t>
            </w:r>
            <w:r w:rsidRPr="00A26E9C">
              <w:rPr>
                <w:rFonts w:ascii="Calibri" w:eastAsia="Times New Roman" w:hAnsi="Calibri" w:cs="Calibri"/>
                <w:b/>
                <w:bCs/>
                <w:color w:val="000000"/>
                <w:sz w:val="20"/>
                <w:szCs w:val="20"/>
                <w:lang w:eastAsia="pl-PL"/>
              </w:rPr>
              <w:t>13</w:t>
            </w:r>
          </w:p>
        </w:tc>
      </w:tr>
      <w:tr w:rsidR="001435BE" w:rsidRPr="008D0165" w14:paraId="133A21E4"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A32BF9"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46DAA40E"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59,5</w:t>
            </w:r>
          </w:p>
        </w:tc>
        <w:tc>
          <w:tcPr>
            <w:tcW w:w="2260" w:type="dxa"/>
            <w:tcBorders>
              <w:top w:val="nil"/>
              <w:left w:val="nil"/>
              <w:bottom w:val="single" w:sz="4" w:space="0" w:color="auto"/>
              <w:right w:val="single" w:sz="4" w:space="0" w:color="auto"/>
            </w:tcBorders>
            <w:shd w:val="clear" w:color="auto" w:fill="auto"/>
            <w:noWrap/>
            <w:vAlign w:val="bottom"/>
            <w:hideMark/>
          </w:tcPr>
          <w:p w14:paraId="4CD49A8E"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59,7</w:t>
            </w:r>
          </w:p>
        </w:tc>
      </w:tr>
      <w:tr w:rsidR="001435BE" w:rsidRPr="008D0165" w14:paraId="0BF163E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832D54F"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112E1B5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59,7</w:t>
            </w:r>
          </w:p>
        </w:tc>
        <w:tc>
          <w:tcPr>
            <w:tcW w:w="2260" w:type="dxa"/>
            <w:tcBorders>
              <w:top w:val="nil"/>
              <w:left w:val="nil"/>
              <w:bottom w:val="single" w:sz="4" w:space="0" w:color="auto"/>
              <w:right w:val="single" w:sz="4" w:space="0" w:color="auto"/>
            </w:tcBorders>
            <w:shd w:val="clear" w:color="auto" w:fill="auto"/>
            <w:noWrap/>
            <w:vAlign w:val="bottom"/>
            <w:hideMark/>
          </w:tcPr>
          <w:p w14:paraId="30DC3BD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60,1</w:t>
            </w:r>
          </w:p>
        </w:tc>
      </w:tr>
      <w:tr w:rsidR="001435BE" w:rsidRPr="008D0165" w14:paraId="57E3330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6926DDC"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7A8D5BB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59,3</w:t>
            </w:r>
          </w:p>
        </w:tc>
        <w:tc>
          <w:tcPr>
            <w:tcW w:w="2260" w:type="dxa"/>
            <w:tcBorders>
              <w:top w:val="nil"/>
              <w:left w:val="nil"/>
              <w:bottom w:val="single" w:sz="4" w:space="0" w:color="auto"/>
              <w:right w:val="single" w:sz="4" w:space="0" w:color="auto"/>
            </w:tcBorders>
            <w:shd w:val="clear" w:color="auto" w:fill="auto"/>
            <w:noWrap/>
            <w:vAlign w:val="bottom"/>
            <w:hideMark/>
          </w:tcPr>
          <w:p w14:paraId="1C03C68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59,4</w:t>
            </w:r>
          </w:p>
        </w:tc>
      </w:tr>
      <w:tr w:rsidR="001435BE" w:rsidRPr="008D0165" w14:paraId="4F9A3D9E"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2299086"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w:t>
            </w:r>
            <w:r w:rsidRPr="00A26E9C">
              <w:rPr>
                <w:rFonts w:ascii="Calibri" w:eastAsia="Times New Roman" w:hAnsi="Calibri" w:cs="Calibri"/>
                <w:b/>
                <w:bCs/>
                <w:color w:val="000000"/>
                <w:sz w:val="20"/>
                <w:szCs w:val="20"/>
                <w:shd w:val="clear" w:color="auto" w:fill="F2F2F2" w:themeFill="background1" w:themeFillShade="F2"/>
                <w:lang w:eastAsia="pl-PL"/>
              </w:rPr>
              <w:t>14</w:t>
            </w:r>
          </w:p>
        </w:tc>
      </w:tr>
      <w:tr w:rsidR="001435BE" w:rsidRPr="008D0165" w14:paraId="6801A3B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B3AC78A"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4905DD9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60,4</w:t>
            </w:r>
          </w:p>
        </w:tc>
        <w:tc>
          <w:tcPr>
            <w:tcW w:w="2260" w:type="dxa"/>
            <w:tcBorders>
              <w:top w:val="nil"/>
              <w:left w:val="nil"/>
              <w:bottom w:val="single" w:sz="4" w:space="0" w:color="auto"/>
              <w:right w:val="single" w:sz="4" w:space="0" w:color="auto"/>
            </w:tcBorders>
            <w:shd w:val="clear" w:color="auto" w:fill="auto"/>
            <w:noWrap/>
            <w:vAlign w:val="bottom"/>
            <w:hideMark/>
          </w:tcPr>
          <w:p w14:paraId="011399D8"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60,8</w:t>
            </w:r>
          </w:p>
        </w:tc>
      </w:tr>
      <w:tr w:rsidR="001435BE" w:rsidRPr="008D0165" w14:paraId="062A14D4"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21F2C926"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7A1B8D0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c>
          <w:tcPr>
            <w:tcW w:w="2260" w:type="dxa"/>
            <w:tcBorders>
              <w:top w:val="nil"/>
              <w:left w:val="nil"/>
              <w:bottom w:val="single" w:sz="4" w:space="0" w:color="auto"/>
              <w:right w:val="single" w:sz="4" w:space="0" w:color="auto"/>
            </w:tcBorders>
            <w:shd w:val="clear" w:color="auto" w:fill="auto"/>
            <w:noWrap/>
            <w:vAlign w:val="bottom"/>
            <w:hideMark/>
          </w:tcPr>
          <w:p w14:paraId="0DFEE1D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62,2</w:t>
            </w:r>
          </w:p>
        </w:tc>
      </w:tr>
      <w:tr w:rsidR="001435BE" w:rsidRPr="008D0165" w14:paraId="1920DFB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76DACD6"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658C3A7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59,8</w:t>
            </w:r>
          </w:p>
        </w:tc>
        <w:tc>
          <w:tcPr>
            <w:tcW w:w="2260" w:type="dxa"/>
            <w:tcBorders>
              <w:top w:val="nil"/>
              <w:left w:val="nil"/>
              <w:bottom w:val="single" w:sz="4" w:space="0" w:color="auto"/>
              <w:right w:val="single" w:sz="4" w:space="0" w:color="auto"/>
            </w:tcBorders>
            <w:shd w:val="clear" w:color="auto" w:fill="auto"/>
            <w:noWrap/>
            <w:vAlign w:val="bottom"/>
            <w:hideMark/>
          </w:tcPr>
          <w:p w14:paraId="4FAC1EA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59,9</w:t>
            </w:r>
          </w:p>
        </w:tc>
      </w:tr>
      <w:tr w:rsidR="001435BE" w:rsidRPr="008D0165" w14:paraId="24875E35"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1D320F73"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w:t>
            </w:r>
            <w:r w:rsidRPr="00A26E9C">
              <w:rPr>
                <w:rFonts w:ascii="Calibri" w:eastAsia="Times New Roman" w:hAnsi="Calibri" w:cs="Calibri"/>
                <w:b/>
                <w:bCs/>
                <w:color w:val="000000"/>
                <w:sz w:val="20"/>
                <w:szCs w:val="20"/>
                <w:shd w:val="clear" w:color="auto" w:fill="F2F2F2" w:themeFill="background1" w:themeFillShade="F2"/>
                <w:lang w:eastAsia="pl-PL"/>
              </w:rPr>
              <w:t>15</w:t>
            </w:r>
          </w:p>
        </w:tc>
      </w:tr>
      <w:tr w:rsidR="001435BE" w:rsidRPr="008D0165" w14:paraId="06191EB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835F044"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484F58D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61,6</w:t>
            </w:r>
          </w:p>
        </w:tc>
        <w:tc>
          <w:tcPr>
            <w:tcW w:w="2260" w:type="dxa"/>
            <w:tcBorders>
              <w:top w:val="nil"/>
              <w:left w:val="nil"/>
              <w:bottom w:val="single" w:sz="4" w:space="0" w:color="auto"/>
              <w:right w:val="single" w:sz="4" w:space="0" w:color="auto"/>
            </w:tcBorders>
            <w:shd w:val="clear" w:color="auto" w:fill="auto"/>
            <w:noWrap/>
            <w:vAlign w:val="bottom"/>
            <w:hideMark/>
          </w:tcPr>
          <w:p w14:paraId="270F03FF"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62,0</w:t>
            </w:r>
          </w:p>
        </w:tc>
      </w:tr>
      <w:tr w:rsidR="001435BE" w:rsidRPr="008D0165" w14:paraId="4E7D312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CBBF420"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1913875"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62,8</w:t>
            </w:r>
          </w:p>
        </w:tc>
        <w:tc>
          <w:tcPr>
            <w:tcW w:w="2260" w:type="dxa"/>
            <w:tcBorders>
              <w:top w:val="nil"/>
              <w:left w:val="nil"/>
              <w:bottom w:val="single" w:sz="4" w:space="0" w:color="auto"/>
              <w:right w:val="single" w:sz="4" w:space="0" w:color="auto"/>
            </w:tcBorders>
            <w:shd w:val="clear" w:color="auto" w:fill="auto"/>
            <w:noWrap/>
            <w:vAlign w:val="bottom"/>
            <w:hideMark/>
          </w:tcPr>
          <w:p w14:paraId="5B2FA94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63,9</w:t>
            </w:r>
          </w:p>
        </w:tc>
      </w:tr>
      <w:tr w:rsidR="001435BE" w:rsidRPr="008D0165" w14:paraId="5A2081CE"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3D284E6"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2E41311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c>
          <w:tcPr>
            <w:tcW w:w="2260" w:type="dxa"/>
            <w:tcBorders>
              <w:top w:val="nil"/>
              <w:left w:val="nil"/>
              <w:bottom w:val="single" w:sz="4" w:space="0" w:color="auto"/>
              <w:right w:val="single" w:sz="4" w:space="0" w:color="auto"/>
            </w:tcBorders>
            <w:shd w:val="clear" w:color="auto" w:fill="auto"/>
            <w:noWrap/>
            <w:vAlign w:val="bottom"/>
            <w:hideMark/>
          </w:tcPr>
          <w:p w14:paraId="1605086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r>
      <w:tr w:rsidR="001435BE" w:rsidRPr="008D0165" w14:paraId="79659C27"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C2097A0"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w:t>
            </w:r>
            <w:r w:rsidRPr="00A26E9C">
              <w:rPr>
                <w:rFonts w:ascii="Calibri" w:eastAsia="Times New Roman" w:hAnsi="Calibri" w:cs="Calibri"/>
                <w:b/>
                <w:bCs/>
                <w:color w:val="000000"/>
                <w:sz w:val="20"/>
                <w:szCs w:val="20"/>
                <w:lang w:eastAsia="pl-PL"/>
              </w:rPr>
              <w:t>16</w:t>
            </w:r>
          </w:p>
        </w:tc>
      </w:tr>
      <w:tr w:rsidR="001435BE" w:rsidRPr="008D0165" w14:paraId="16B0C7C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A248BDD"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7716755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61,9</w:t>
            </w:r>
          </w:p>
        </w:tc>
        <w:tc>
          <w:tcPr>
            <w:tcW w:w="2260" w:type="dxa"/>
            <w:tcBorders>
              <w:top w:val="nil"/>
              <w:left w:val="nil"/>
              <w:bottom w:val="single" w:sz="4" w:space="0" w:color="auto"/>
              <w:right w:val="single" w:sz="4" w:space="0" w:color="auto"/>
            </w:tcBorders>
            <w:shd w:val="clear" w:color="auto" w:fill="auto"/>
            <w:noWrap/>
            <w:vAlign w:val="bottom"/>
            <w:hideMark/>
          </w:tcPr>
          <w:p w14:paraId="339FDB6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r>
      <w:tr w:rsidR="001435BE" w:rsidRPr="008D0165" w14:paraId="74BE5566"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6ECCA1A"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151212C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63,3</w:t>
            </w:r>
          </w:p>
        </w:tc>
        <w:tc>
          <w:tcPr>
            <w:tcW w:w="2260" w:type="dxa"/>
            <w:tcBorders>
              <w:top w:val="nil"/>
              <w:left w:val="nil"/>
              <w:bottom w:val="single" w:sz="4" w:space="0" w:color="auto"/>
              <w:right w:val="single" w:sz="4" w:space="0" w:color="auto"/>
            </w:tcBorders>
            <w:shd w:val="clear" w:color="auto" w:fill="auto"/>
            <w:noWrap/>
            <w:vAlign w:val="bottom"/>
            <w:hideMark/>
          </w:tcPr>
          <w:p w14:paraId="7166184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64,4</w:t>
            </w:r>
          </w:p>
        </w:tc>
      </w:tr>
      <w:tr w:rsidR="001435BE" w:rsidRPr="008D0165" w14:paraId="1869B482"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4DF22C4"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3F4584A8"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c>
          <w:tcPr>
            <w:tcW w:w="2260" w:type="dxa"/>
            <w:tcBorders>
              <w:top w:val="nil"/>
              <w:left w:val="nil"/>
              <w:bottom w:val="single" w:sz="4" w:space="0" w:color="auto"/>
              <w:right w:val="single" w:sz="4" w:space="0" w:color="auto"/>
            </w:tcBorders>
            <w:shd w:val="clear" w:color="auto" w:fill="auto"/>
            <w:noWrap/>
            <w:vAlign w:val="bottom"/>
            <w:hideMark/>
          </w:tcPr>
          <w:p w14:paraId="68FEF77F"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r>
      <w:tr w:rsidR="001435BE" w:rsidRPr="008D0165" w14:paraId="3C8940D5"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A3E8BE3"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201</w:t>
            </w:r>
            <w:r w:rsidRPr="00A26E9C">
              <w:rPr>
                <w:rFonts w:ascii="Calibri" w:eastAsia="Times New Roman" w:hAnsi="Calibri" w:cs="Calibri"/>
                <w:b/>
                <w:bCs/>
                <w:color w:val="000000"/>
                <w:sz w:val="20"/>
                <w:szCs w:val="20"/>
                <w:lang w:eastAsia="pl-PL"/>
              </w:rPr>
              <w:t>7</w:t>
            </w:r>
          </w:p>
        </w:tc>
      </w:tr>
      <w:tr w:rsidR="001435BE" w:rsidRPr="008D0165" w14:paraId="1B070D0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888FC26"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3A3E36A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c>
          <w:tcPr>
            <w:tcW w:w="2260" w:type="dxa"/>
            <w:tcBorders>
              <w:top w:val="nil"/>
              <w:left w:val="nil"/>
              <w:bottom w:val="single" w:sz="4" w:space="0" w:color="auto"/>
              <w:right w:val="single" w:sz="4" w:space="0" w:color="auto"/>
            </w:tcBorders>
            <w:shd w:val="clear" w:color="auto" w:fill="auto"/>
            <w:noWrap/>
            <w:vAlign w:val="bottom"/>
            <w:hideMark/>
          </w:tcPr>
          <w:p w14:paraId="7FC3F125"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62,5</w:t>
            </w:r>
          </w:p>
        </w:tc>
      </w:tr>
      <w:tr w:rsidR="001435BE" w:rsidRPr="008D0165" w14:paraId="67CD29F3"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88BB7A8"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3119A6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64,6</w:t>
            </w:r>
          </w:p>
        </w:tc>
        <w:tc>
          <w:tcPr>
            <w:tcW w:w="2260" w:type="dxa"/>
            <w:tcBorders>
              <w:top w:val="nil"/>
              <w:left w:val="nil"/>
              <w:bottom w:val="single" w:sz="4" w:space="0" w:color="auto"/>
              <w:right w:val="single" w:sz="4" w:space="0" w:color="auto"/>
            </w:tcBorders>
            <w:shd w:val="clear" w:color="auto" w:fill="auto"/>
            <w:noWrap/>
            <w:vAlign w:val="bottom"/>
            <w:hideMark/>
          </w:tcPr>
          <w:p w14:paraId="755C0F8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4DCF7FC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44CF4331"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5E51889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c>
          <w:tcPr>
            <w:tcW w:w="2260" w:type="dxa"/>
            <w:tcBorders>
              <w:top w:val="nil"/>
              <w:left w:val="nil"/>
              <w:bottom w:val="single" w:sz="4" w:space="0" w:color="auto"/>
              <w:right w:val="single" w:sz="4" w:space="0" w:color="auto"/>
            </w:tcBorders>
            <w:shd w:val="clear" w:color="auto" w:fill="auto"/>
            <w:noWrap/>
            <w:vAlign w:val="bottom"/>
            <w:hideMark/>
          </w:tcPr>
          <w:p w14:paraId="78F0ED6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61,0</w:t>
            </w:r>
          </w:p>
        </w:tc>
      </w:tr>
      <w:tr w:rsidR="001435BE" w:rsidRPr="008D0165" w14:paraId="2EBE0139"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C64B69A"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201</w:t>
            </w:r>
            <w:r w:rsidRPr="00A26E9C">
              <w:rPr>
                <w:rFonts w:ascii="Calibri" w:eastAsia="Times New Roman" w:hAnsi="Calibri" w:cs="Calibri"/>
                <w:b/>
                <w:bCs/>
                <w:color w:val="000000"/>
                <w:sz w:val="20"/>
                <w:szCs w:val="20"/>
                <w:lang w:eastAsia="pl-PL"/>
              </w:rPr>
              <w:t>8</w:t>
            </w:r>
          </w:p>
        </w:tc>
      </w:tr>
      <w:tr w:rsidR="001435BE" w:rsidRPr="008D0165" w14:paraId="4F432DC4"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A41A1ED"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52EDE01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62,1</w:t>
            </w:r>
          </w:p>
        </w:tc>
        <w:tc>
          <w:tcPr>
            <w:tcW w:w="2260" w:type="dxa"/>
            <w:tcBorders>
              <w:top w:val="nil"/>
              <w:left w:val="nil"/>
              <w:bottom w:val="single" w:sz="4" w:space="0" w:color="auto"/>
              <w:right w:val="single" w:sz="4" w:space="0" w:color="auto"/>
            </w:tcBorders>
            <w:shd w:val="clear" w:color="auto" w:fill="auto"/>
            <w:noWrap/>
            <w:vAlign w:val="bottom"/>
            <w:hideMark/>
          </w:tcPr>
          <w:p w14:paraId="0ABB51F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r>
      <w:tr w:rsidR="001435BE" w:rsidRPr="008D0165" w14:paraId="3238345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F3FA047"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6F4A91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64,4</w:t>
            </w:r>
          </w:p>
        </w:tc>
        <w:tc>
          <w:tcPr>
            <w:tcW w:w="2260" w:type="dxa"/>
            <w:tcBorders>
              <w:top w:val="nil"/>
              <w:left w:val="nil"/>
              <w:bottom w:val="single" w:sz="4" w:space="0" w:color="auto"/>
              <w:right w:val="single" w:sz="4" w:space="0" w:color="auto"/>
            </w:tcBorders>
            <w:shd w:val="clear" w:color="auto" w:fill="auto"/>
            <w:noWrap/>
            <w:vAlign w:val="bottom"/>
            <w:hideMark/>
          </w:tcPr>
          <w:p w14:paraId="1307EDB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65,0</w:t>
            </w:r>
          </w:p>
        </w:tc>
      </w:tr>
      <w:tr w:rsidR="001435BE" w:rsidRPr="008D0165" w14:paraId="465AE4B3"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13CCECA"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04D5E56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c>
          <w:tcPr>
            <w:tcW w:w="2260" w:type="dxa"/>
            <w:tcBorders>
              <w:top w:val="nil"/>
              <w:left w:val="nil"/>
              <w:bottom w:val="single" w:sz="4" w:space="0" w:color="auto"/>
              <w:right w:val="single" w:sz="4" w:space="0" w:color="auto"/>
            </w:tcBorders>
            <w:shd w:val="clear" w:color="auto" w:fill="auto"/>
            <w:noWrap/>
            <w:vAlign w:val="bottom"/>
            <w:hideMark/>
          </w:tcPr>
          <w:p w14:paraId="1CCED8AB"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r>
      <w:tr w:rsidR="001435BE" w:rsidRPr="008D0165" w14:paraId="4DB9EE60"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280472EE"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20</w:t>
            </w:r>
            <w:r w:rsidRPr="00A26E9C">
              <w:rPr>
                <w:rFonts w:ascii="Calibri" w:eastAsia="Times New Roman" w:hAnsi="Calibri" w:cs="Calibri"/>
                <w:b/>
                <w:bCs/>
                <w:color w:val="000000"/>
                <w:sz w:val="20"/>
                <w:szCs w:val="20"/>
                <w:shd w:val="clear" w:color="auto" w:fill="F2F2F2" w:themeFill="background1" w:themeFillShade="F2"/>
                <w:lang w:eastAsia="pl-PL"/>
              </w:rPr>
              <w:t>19</w:t>
            </w:r>
          </w:p>
        </w:tc>
      </w:tr>
      <w:tr w:rsidR="001435BE" w:rsidRPr="008D0165" w14:paraId="12C76DAD"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0FAB183"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5C78EA38"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62,1</w:t>
            </w:r>
          </w:p>
        </w:tc>
        <w:tc>
          <w:tcPr>
            <w:tcW w:w="2260" w:type="dxa"/>
            <w:tcBorders>
              <w:top w:val="nil"/>
              <w:left w:val="nil"/>
              <w:bottom w:val="single" w:sz="4" w:space="0" w:color="auto"/>
              <w:right w:val="single" w:sz="4" w:space="0" w:color="auto"/>
            </w:tcBorders>
            <w:shd w:val="clear" w:color="auto" w:fill="auto"/>
            <w:noWrap/>
            <w:vAlign w:val="bottom"/>
            <w:hideMark/>
          </w:tcPr>
          <w:p w14:paraId="25BE5B75"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r>
      <w:tr w:rsidR="001435BE" w:rsidRPr="008D0165" w14:paraId="05F90677"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7C734FB"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lastRenderedPageBreak/>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00483E54"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64,6</w:t>
            </w:r>
          </w:p>
        </w:tc>
        <w:tc>
          <w:tcPr>
            <w:tcW w:w="2260" w:type="dxa"/>
            <w:tcBorders>
              <w:top w:val="nil"/>
              <w:left w:val="nil"/>
              <w:bottom w:val="single" w:sz="4" w:space="0" w:color="auto"/>
              <w:right w:val="single" w:sz="4" w:space="0" w:color="auto"/>
            </w:tcBorders>
            <w:shd w:val="clear" w:color="auto" w:fill="auto"/>
            <w:noWrap/>
            <w:vAlign w:val="bottom"/>
            <w:hideMark/>
          </w:tcPr>
          <w:p w14:paraId="6E8BD86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6427779B"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D79C372"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034BB972"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60,7</w:t>
            </w:r>
          </w:p>
        </w:tc>
        <w:tc>
          <w:tcPr>
            <w:tcW w:w="2260" w:type="dxa"/>
            <w:tcBorders>
              <w:top w:val="nil"/>
              <w:left w:val="nil"/>
              <w:bottom w:val="single" w:sz="4" w:space="0" w:color="auto"/>
              <w:right w:val="single" w:sz="4" w:space="0" w:color="auto"/>
            </w:tcBorders>
            <w:shd w:val="clear" w:color="auto" w:fill="auto"/>
            <w:noWrap/>
            <w:vAlign w:val="bottom"/>
            <w:hideMark/>
          </w:tcPr>
          <w:p w14:paraId="0B15F367"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r>
      <w:tr w:rsidR="001435BE" w:rsidRPr="008D0165" w14:paraId="649790F3"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59246730"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202</w:t>
            </w:r>
            <w:r w:rsidRPr="00A26E9C">
              <w:rPr>
                <w:rFonts w:ascii="Calibri" w:eastAsia="Times New Roman" w:hAnsi="Calibri" w:cs="Calibri"/>
                <w:b/>
                <w:bCs/>
                <w:color w:val="000000"/>
                <w:sz w:val="20"/>
                <w:szCs w:val="20"/>
                <w:lang w:eastAsia="pl-PL"/>
              </w:rPr>
              <w:t>0</w:t>
            </w:r>
          </w:p>
        </w:tc>
      </w:tr>
      <w:tr w:rsidR="001435BE" w:rsidRPr="008D0165" w14:paraId="7C9DEF06"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5A0A56D"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1EF716B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62,3</w:t>
            </w:r>
          </w:p>
        </w:tc>
        <w:tc>
          <w:tcPr>
            <w:tcW w:w="2260" w:type="dxa"/>
            <w:tcBorders>
              <w:top w:val="nil"/>
              <w:left w:val="nil"/>
              <w:bottom w:val="single" w:sz="4" w:space="0" w:color="auto"/>
              <w:right w:val="single" w:sz="4" w:space="0" w:color="auto"/>
            </w:tcBorders>
            <w:shd w:val="clear" w:color="auto" w:fill="auto"/>
            <w:noWrap/>
            <w:vAlign w:val="bottom"/>
            <w:hideMark/>
          </w:tcPr>
          <w:p w14:paraId="082E8B2D"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62,4</w:t>
            </w:r>
          </w:p>
        </w:tc>
      </w:tr>
      <w:tr w:rsidR="001435BE" w:rsidRPr="008D0165" w14:paraId="728372E2"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1E7A36D"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3E757C5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64,8</w:t>
            </w:r>
          </w:p>
        </w:tc>
        <w:tc>
          <w:tcPr>
            <w:tcW w:w="2260" w:type="dxa"/>
            <w:tcBorders>
              <w:top w:val="nil"/>
              <w:left w:val="nil"/>
              <w:bottom w:val="single" w:sz="4" w:space="0" w:color="auto"/>
              <w:right w:val="single" w:sz="4" w:space="0" w:color="auto"/>
            </w:tcBorders>
            <w:shd w:val="clear" w:color="auto" w:fill="auto"/>
            <w:noWrap/>
            <w:vAlign w:val="bottom"/>
            <w:hideMark/>
          </w:tcPr>
          <w:p w14:paraId="3C2F029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04603670"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37DB36FF"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6FD9A7E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c>
          <w:tcPr>
            <w:tcW w:w="2260" w:type="dxa"/>
            <w:tcBorders>
              <w:top w:val="nil"/>
              <w:left w:val="nil"/>
              <w:bottom w:val="single" w:sz="4" w:space="0" w:color="auto"/>
              <w:right w:val="single" w:sz="4" w:space="0" w:color="auto"/>
            </w:tcBorders>
            <w:shd w:val="clear" w:color="auto" w:fill="auto"/>
            <w:noWrap/>
            <w:vAlign w:val="bottom"/>
            <w:hideMark/>
          </w:tcPr>
          <w:p w14:paraId="0C0A5B6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r>
      <w:tr w:rsidR="001435BE" w:rsidRPr="008D0165" w14:paraId="17C1A19D" w14:textId="77777777" w:rsidTr="00A376B1">
        <w:trPr>
          <w:trHeight w:val="283"/>
          <w:jc w:val="center"/>
        </w:trPr>
        <w:tc>
          <w:tcPr>
            <w:tcW w:w="5880"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7A1521E1" w14:textId="77777777" w:rsidR="001435BE" w:rsidRPr="00A26E9C" w:rsidRDefault="001435BE" w:rsidP="0084113E">
            <w:pPr>
              <w:spacing w:after="0" w:line="240" w:lineRule="auto"/>
              <w:jc w:val="center"/>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shd w:val="clear" w:color="auto" w:fill="F2F2F2" w:themeFill="background1" w:themeFillShade="F2"/>
                <w:lang w:eastAsia="pl-PL"/>
              </w:rPr>
              <w:t>20</w:t>
            </w:r>
            <w:r w:rsidRPr="00A26E9C">
              <w:rPr>
                <w:rFonts w:ascii="Calibri" w:eastAsia="Times New Roman" w:hAnsi="Calibri" w:cs="Calibri"/>
                <w:b/>
                <w:bCs/>
                <w:color w:val="000000"/>
                <w:sz w:val="20"/>
                <w:szCs w:val="20"/>
                <w:lang w:eastAsia="pl-PL"/>
              </w:rPr>
              <w:t>21</w:t>
            </w:r>
          </w:p>
        </w:tc>
      </w:tr>
      <w:tr w:rsidR="001435BE" w:rsidRPr="008D0165" w14:paraId="79194173"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A61B4A9" w14:textId="77777777" w:rsidR="001435BE" w:rsidRPr="00A26E9C" w:rsidRDefault="001435BE" w:rsidP="0084113E">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Ogółem</w:t>
            </w:r>
          </w:p>
        </w:tc>
        <w:tc>
          <w:tcPr>
            <w:tcW w:w="1380" w:type="dxa"/>
            <w:tcBorders>
              <w:top w:val="nil"/>
              <w:left w:val="nil"/>
              <w:bottom w:val="single" w:sz="4" w:space="0" w:color="auto"/>
              <w:right w:val="single" w:sz="4" w:space="0" w:color="auto"/>
            </w:tcBorders>
            <w:shd w:val="clear" w:color="auto" w:fill="auto"/>
            <w:noWrap/>
            <w:vAlign w:val="bottom"/>
            <w:hideMark/>
          </w:tcPr>
          <w:p w14:paraId="115CB32E"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62,4</w:t>
            </w:r>
          </w:p>
        </w:tc>
        <w:tc>
          <w:tcPr>
            <w:tcW w:w="2260" w:type="dxa"/>
            <w:tcBorders>
              <w:top w:val="nil"/>
              <w:left w:val="nil"/>
              <w:bottom w:val="single" w:sz="4" w:space="0" w:color="auto"/>
              <w:right w:val="single" w:sz="4" w:space="0" w:color="auto"/>
            </w:tcBorders>
            <w:shd w:val="clear" w:color="auto" w:fill="auto"/>
            <w:noWrap/>
            <w:vAlign w:val="bottom"/>
            <w:hideMark/>
          </w:tcPr>
          <w:p w14:paraId="2C52A1E3"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62,5</w:t>
            </w:r>
          </w:p>
        </w:tc>
      </w:tr>
      <w:tr w:rsidR="001435BE" w:rsidRPr="008D0165" w14:paraId="120866F8"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58F0DDA0"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mężczyźni</w:t>
            </w:r>
          </w:p>
        </w:tc>
        <w:tc>
          <w:tcPr>
            <w:tcW w:w="1380" w:type="dxa"/>
            <w:tcBorders>
              <w:top w:val="nil"/>
              <w:left w:val="nil"/>
              <w:bottom w:val="single" w:sz="4" w:space="0" w:color="auto"/>
              <w:right w:val="single" w:sz="4" w:space="0" w:color="auto"/>
            </w:tcBorders>
            <w:shd w:val="clear" w:color="auto" w:fill="auto"/>
            <w:noWrap/>
            <w:vAlign w:val="bottom"/>
            <w:hideMark/>
          </w:tcPr>
          <w:p w14:paraId="2B731EEA"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64,8</w:t>
            </w:r>
          </w:p>
        </w:tc>
        <w:tc>
          <w:tcPr>
            <w:tcW w:w="2260" w:type="dxa"/>
            <w:tcBorders>
              <w:top w:val="nil"/>
              <w:left w:val="nil"/>
              <w:bottom w:val="single" w:sz="4" w:space="0" w:color="auto"/>
              <w:right w:val="single" w:sz="4" w:space="0" w:color="auto"/>
            </w:tcBorders>
            <w:shd w:val="clear" w:color="auto" w:fill="auto"/>
            <w:noWrap/>
            <w:vAlign w:val="bottom"/>
            <w:hideMark/>
          </w:tcPr>
          <w:p w14:paraId="7A75BE09"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65,2</w:t>
            </w:r>
          </w:p>
        </w:tc>
      </w:tr>
      <w:tr w:rsidR="001435BE" w:rsidRPr="008D0165" w14:paraId="55546096" w14:textId="77777777" w:rsidTr="00A376B1">
        <w:trPr>
          <w:trHeight w:val="283"/>
          <w:jc w:val="center"/>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762E9C5" w14:textId="77777777" w:rsidR="001435BE" w:rsidRPr="00A26E9C" w:rsidRDefault="001435BE" w:rsidP="00A77D1A">
            <w:pPr>
              <w:spacing w:after="0" w:line="240" w:lineRule="auto"/>
              <w:rPr>
                <w:rFonts w:ascii="Calibri" w:eastAsia="Times New Roman" w:hAnsi="Calibri" w:cs="Calibri"/>
                <w:b/>
                <w:bCs/>
                <w:color w:val="000000"/>
                <w:sz w:val="20"/>
                <w:szCs w:val="20"/>
                <w:lang w:eastAsia="pl-PL"/>
              </w:rPr>
            </w:pPr>
            <w:r w:rsidRPr="00A26E9C">
              <w:rPr>
                <w:rFonts w:ascii="Calibri" w:eastAsia="Times New Roman" w:hAnsi="Calibri" w:cs="Calibri"/>
                <w:b/>
                <w:bCs/>
                <w:color w:val="000000"/>
                <w:sz w:val="20"/>
                <w:szCs w:val="20"/>
                <w:lang w:eastAsia="pl-PL"/>
              </w:rPr>
              <w:t>kobiety</w:t>
            </w:r>
          </w:p>
        </w:tc>
        <w:tc>
          <w:tcPr>
            <w:tcW w:w="1380" w:type="dxa"/>
            <w:tcBorders>
              <w:top w:val="nil"/>
              <w:left w:val="nil"/>
              <w:bottom w:val="single" w:sz="4" w:space="0" w:color="auto"/>
              <w:right w:val="single" w:sz="4" w:space="0" w:color="auto"/>
            </w:tcBorders>
            <w:shd w:val="clear" w:color="auto" w:fill="auto"/>
            <w:noWrap/>
            <w:vAlign w:val="bottom"/>
            <w:hideMark/>
          </w:tcPr>
          <w:p w14:paraId="58AF14D0"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c>
          <w:tcPr>
            <w:tcW w:w="2260" w:type="dxa"/>
            <w:tcBorders>
              <w:top w:val="nil"/>
              <w:left w:val="nil"/>
              <w:bottom w:val="single" w:sz="4" w:space="0" w:color="auto"/>
              <w:right w:val="single" w:sz="4" w:space="0" w:color="auto"/>
            </w:tcBorders>
            <w:shd w:val="clear" w:color="auto" w:fill="auto"/>
            <w:noWrap/>
            <w:vAlign w:val="bottom"/>
            <w:hideMark/>
          </w:tcPr>
          <w:p w14:paraId="4FBE5F21" w14:textId="77777777" w:rsidR="001435BE" w:rsidRPr="00A26E9C" w:rsidRDefault="001435BE" w:rsidP="0084113E">
            <w:pPr>
              <w:spacing w:after="0" w:line="240" w:lineRule="auto"/>
              <w:jc w:val="right"/>
              <w:rPr>
                <w:rFonts w:ascii="Calibri" w:eastAsia="Times New Roman" w:hAnsi="Calibri" w:cs="Calibri"/>
                <w:color w:val="000000"/>
                <w:sz w:val="20"/>
                <w:szCs w:val="20"/>
                <w:lang w:eastAsia="pl-PL"/>
              </w:rPr>
            </w:pPr>
            <w:r w:rsidRPr="00A26E9C">
              <w:rPr>
                <w:rFonts w:ascii="Calibri" w:eastAsia="Times New Roman" w:hAnsi="Calibri" w:cs="Calibri"/>
                <w:color w:val="000000"/>
                <w:sz w:val="20"/>
                <w:szCs w:val="20"/>
                <w:lang w:eastAsia="pl-PL"/>
              </w:rPr>
              <w:t>60,6</w:t>
            </w:r>
          </w:p>
        </w:tc>
      </w:tr>
    </w:tbl>
    <w:p w14:paraId="210A2E0A" w14:textId="4DA7EB2A" w:rsidR="00004E2D" w:rsidRPr="00A77D1A" w:rsidRDefault="00EB3F99" w:rsidP="0084113E">
      <w:pPr>
        <w:spacing w:before="120" w:after="120" w:line="23" w:lineRule="atLeast"/>
        <w:jc w:val="both"/>
        <w:rPr>
          <w:sz w:val="18"/>
          <w:szCs w:val="18"/>
        </w:rPr>
      </w:pPr>
      <w:r>
        <w:rPr>
          <w:sz w:val="24"/>
          <w:szCs w:val="24"/>
          <w:vertAlign w:val="superscript"/>
        </w:rPr>
        <w:t>*</w:t>
      </w:r>
      <w:r w:rsidR="006F00C1">
        <w:rPr>
          <w:sz w:val="24"/>
          <w:szCs w:val="24"/>
          <w:vertAlign w:val="superscript"/>
        </w:rPr>
        <w:t>)</w:t>
      </w:r>
      <w:r w:rsidR="00114B30">
        <w:rPr>
          <w:sz w:val="24"/>
          <w:szCs w:val="24"/>
          <w:vertAlign w:val="superscript"/>
        </w:rPr>
        <w:t xml:space="preserve"> </w:t>
      </w:r>
      <w:r w:rsidR="00E76005" w:rsidRPr="00A77D1A">
        <w:rPr>
          <w:sz w:val="18"/>
          <w:szCs w:val="18"/>
        </w:rPr>
        <w:t>B</w:t>
      </w:r>
      <w:r w:rsidR="00004E2D" w:rsidRPr="00A77D1A">
        <w:rPr>
          <w:sz w:val="18"/>
          <w:szCs w:val="18"/>
        </w:rPr>
        <w:t>ez osób, którym przyznano emerytury realizowane na mocy umów międzynarodowych.</w:t>
      </w:r>
    </w:p>
    <w:p w14:paraId="1E94FD6B" w14:textId="7C3658B9" w:rsidR="00004E2D" w:rsidRPr="00A77D1A" w:rsidRDefault="00FD47F9" w:rsidP="0084113E">
      <w:pPr>
        <w:spacing w:before="120" w:after="120" w:line="23" w:lineRule="atLeast"/>
        <w:jc w:val="both"/>
        <w:rPr>
          <w:sz w:val="18"/>
          <w:szCs w:val="18"/>
        </w:rPr>
      </w:pPr>
      <w:r>
        <w:rPr>
          <w:sz w:val="18"/>
          <w:szCs w:val="18"/>
        </w:rPr>
        <w:t>Źródło: ZUS</w:t>
      </w:r>
    </w:p>
    <w:p w14:paraId="54CAA5CC" w14:textId="77777777" w:rsidR="00A26E9C" w:rsidRDefault="00A26E9C" w:rsidP="0084113E">
      <w:pPr>
        <w:spacing w:before="120" w:after="120" w:line="23" w:lineRule="atLeast"/>
        <w:jc w:val="both"/>
        <w:rPr>
          <w:sz w:val="24"/>
          <w:szCs w:val="24"/>
        </w:rPr>
      </w:pPr>
    </w:p>
    <w:p w14:paraId="7D475839" w14:textId="77777777" w:rsidR="00A26E9C" w:rsidRDefault="00A26E9C" w:rsidP="0084113E">
      <w:pPr>
        <w:spacing w:before="120" w:after="120" w:line="23" w:lineRule="atLeast"/>
        <w:jc w:val="both"/>
        <w:rPr>
          <w:sz w:val="24"/>
          <w:szCs w:val="24"/>
        </w:rPr>
      </w:pPr>
    </w:p>
    <w:p w14:paraId="35109019" w14:textId="34560323" w:rsidR="00004E2D" w:rsidRPr="008D0165" w:rsidRDefault="00004E2D" w:rsidP="00FC39E3">
      <w:pPr>
        <w:spacing w:before="120" w:after="120"/>
        <w:jc w:val="both"/>
        <w:rPr>
          <w:sz w:val="24"/>
          <w:szCs w:val="24"/>
        </w:rPr>
      </w:pPr>
      <w:r w:rsidRPr="008D0165">
        <w:rPr>
          <w:sz w:val="24"/>
          <w:szCs w:val="24"/>
        </w:rPr>
        <w:t xml:space="preserve">W dniu 30 listopada 2015 r. </w:t>
      </w:r>
      <w:r w:rsidR="00CF255E" w:rsidRPr="008D0165">
        <w:rPr>
          <w:sz w:val="24"/>
          <w:szCs w:val="24"/>
        </w:rPr>
        <w:t>Prezydent RP przedstawił</w:t>
      </w:r>
      <w:r w:rsidRPr="008D0165">
        <w:rPr>
          <w:sz w:val="24"/>
          <w:szCs w:val="24"/>
        </w:rPr>
        <w:t xml:space="preserve"> Sejm</w:t>
      </w:r>
      <w:r w:rsidR="00CF255E" w:rsidRPr="008D0165">
        <w:rPr>
          <w:sz w:val="24"/>
          <w:szCs w:val="24"/>
        </w:rPr>
        <w:t>owi</w:t>
      </w:r>
      <w:r w:rsidRPr="008D0165">
        <w:rPr>
          <w:sz w:val="24"/>
          <w:szCs w:val="24"/>
        </w:rPr>
        <w:t xml:space="preserve"> RP projekt ustawy o zmianie ustawy o emeryturach i rentach z Funduszu Ubezpieczeń Społecznych oraz niektórych innych ustaw (druk 62), zawierający regulacje, których istotą było przywrócenie wieku emerytalnego wynoszącego dla kobiet co najmniej 60 lat oraz dla mężczyzn co najmniej 65 lat. Przywołany projekt ustawy </w:t>
      </w:r>
      <w:r w:rsidR="00315843">
        <w:rPr>
          <w:sz w:val="24"/>
          <w:szCs w:val="24"/>
        </w:rPr>
        <w:t>zainicjował</w:t>
      </w:r>
      <w:r w:rsidRPr="008D0165">
        <w:rPr>
          <w:sz w:val="24"/>
          <w:szCs w:val="24"/>
        </w:rPr>
        <w:t xml:space="preserve"> debatę nie tylko o warunkach uzyskania prawa do emerytury, lecz</w:t>
      </w:r>
      <w:r w:rsidR="006C5B59">
        <w:rPr>
          <w:sz w:val="24"/>
          <w:szCs w:val="24"/>
        </w:rPr>
        <w:t> </w:t>
      </w:r>
      <w:r w:rsidRPr="008D0165">
        <w:rPr>
          <w:sz w:val="24"/>
          <w:szCs w:val="24"/>
        </w:rPr>
        <w:t>również o kształcie systemu emerytalnego i wysokości świadczeń, w tym wsparcia dla</w:t>
      </w:r>
      <w:r w:rsidR="00102E8A">
        <w:rPr>
          <w:sz w:val="24"/>
          <w:szCs w:val="24"/>
        </w:rPr>
        <w:t> </w:t>
      </w:r>
      <w:r w:rsidRPr="008D0165">
        <w:rPr>
          <w:sz w:val="24"/>
          <w:szCs w:val="24"/>
        </w:rPr>
        <w:t>najuboższych emerytów i rencistów oraz ochrony świadczeń najniższych.</w:t>
      </w:r>
    </w:p>
    <w:p w14:paraId="5774DFA1" w14:textId="4803BF53" w:rsidR="00004E2D" w:rsidRPr="008D0165" w:rsidRDefault="00004E2D" w:rsidP="00FC39E3">
      <w:pPr>
        <w:spacing w:before="120" w:after="120"/>
        <w:jc w:val="both"/>
        <w:rPr>
          <w:sz w:val="24"/>
          <w:szCs w:val="24"/>
        </w:rPr>
      </w:pPr>
      <w:r w:rsidRPr="008D0165">
        <w:rPr>
          <w:sz w:val="24"/>
          <w:szCs w:val="24"/>
        </w:rPr>
        <w:t>W przyjętym w dniu 19 lipca 2016 r. stanowisku Rady Ministrów wskazane zostały skutki finansowe wynikające z wdrożenia w życie proponowanego przywrócenia wieku emerytalnego, obowią</w:t>
      </w:r>
      <w:r w:rsidR="00CF255E" w:rsidRPr="008D0165">
        <w:rPr>
          <w:sz w:val="24"/>
          <w:szCs w:val="24"/>
        </w:rPr>
        <w:t>zującego do 2012 r. W</w:t>
      </w:r>
      <w:r w:rsidRPr="008D0165">
        <w:rPr>
          <w:sz w:val="24"/>
          <w:szCs w:val="24"/>
        </w:rPr>
        <w:t>prowadzenie proponowanych zmian</w:t>
      </w:r>
      <w:r w:rsidR="00CF255E" w:rsidRPr="008D0165">
        <w:rPr>
          <w:sz w:val="24"/>
          <w:szCs w:val="24"/>
        </w:rPr>
        <w:t xml:space="preserve"> </w:t>
      </w:r>
      <w:r w:rsidRPr="008D0165">
        <w:rPr>
          <w:sz w:val="24"/>
          <w:szCs w:val="24"/>
        </w:rPr>
        <w:t>oznaczało konieczność zwiększenia dotacji z budżetu państwa do FUS w stosunku do stanu prawnego, w</w:t>
      </w:r>
      <w:r w:rsidR="006C5B59">
        <w:rPr>
          <w:sz w:val="24"/>
          <w:szCs w:val="24"/>
        </w:rPr>
        <w:t> </w:t>
      </w:r>
      <w:r w:rsidRPr="008D0165">
        <w:rPr>
          <w:sz w:val="24"/>
          <w:szCs w:val="24"/>
        </w:rPr>
        <w:t>którym wiek emerytalny był stopniowo podnoszony.</w:t>
      </w:r>
      <w:r w:rsidR="00B6594E" w:rsidRPr="008D0165">
        <w:rPr>
          <w:sz w:val="24"/>
          <w:szCs w:val="24"/>
        </w:rPr>
        <w:t xml:space="preserve"> </w:t>
      </w:r>
    </w:p>
    <w:p w14:paraId="39B40771" w14:textId="527D2BA4" w:rsidR="00004E2D" w:rsidRPr="008D0165" w:rsidRDefault="00FE392B" w:rsidP="00FC39E3">
      <w:pPr>
        <w:spacing w:before="120" w:after="120"/>
        <w:jc w:val="both"/>
        <w:rPr>
          <w:sz w:val="24"/>
          <w:szCs w:val="24"/>
        </w:rPr>
      </w:pPr>
      <w:r w:rsidRPr="008D0165">
        <w:rPr>
          <w:sz w:val="24"/>
          <w:szCs w:val="24"/>
        </w:rPr>
        <w:t>W dniu 16 listopada 2016 r. Sejm RP uchwalił ustawę</w:t>
      </w:r>
      <w:r w:rsidR="00004E2D" w:rsidRPr="008D0165">
        <w:rPr>
          <w:sz w:val="24"/>
          <w:szCs w:val="24"/>
        </w:rPr>
        <w:t xml:space="preserve"> </w:t>
      </w:r>
      <w:r w:rsidR="004416EE">
        <w:rPr>
          <w:sz w:val="24"/>
          <w:szCs w:val="24"/>
        </w:rPr>
        <w:t>wiekową</w:t>
      </w:r>
      <w:r w:rsidR="00004E2D" w:rsidRPr="008D0165">
        <w:rPr>
          <w:sz w:val="24"/>
          <w:szCs w:val="24"/>
        </w:rPr>
        <w:t>, dając prawo do emerytury w</w:t>
      </w:r>
      <w:r w:rsidR="006C5B59">
        <w:rPr>
          <w:sz w:val="24"/>
          <w:szCs w:val="24"/>
        </w:rPr>
        <w:t> </w:t>
      </w:r>
      <w:r w:rsidR="00004E2D" w:rsidRPr="008D0165">
        <w:rPr>
          <w:sz w:val="24"/>
          <w:szCs w:val="24"/>
        </w:rPr>
        <w:t>wieku 60 lat d</w:t>
      </w:r>
      <w:r w:rsidRPr="008D0165">
        <w:rPr>
          <w:sz w:val="24"/>
          <w:szCs w:val="24"/>
        </w:rPr>
        <w:t>la kobiet i 65 lat dla mężczyzn.</w:t>
      </w:r>
      <w:r w:rsidR="00004E2D" w:rsidRPr="008D0165">
        <w:rPr>
          <w:sz w:val="24"/>
          <w:szCs w:val="24"/>
        </w:rPr>
        <w:t xml:space="preserve"> </w:t>
      </w:r>
      <w:r w:rsidRPr="008D0165">
        <w:rPr>
          <w:sz w:val="24"/>
          <w:szCs w:val="24"/>
        </w:rPr>
        <w:t>Zakłada ona, że</w:t>
      </w:r>
      <w:r w:rsidR="00004E2D" w:rsidRPr="008D0165">
        <w:rPr>
          <w:sz w:val="24"/>
          <w:szCs w:val="24"/>
        </w:rPr>
        <w:t xml:space="preserve"> decyzja o zakończeni</w:t>
      </w:r>
      <w:r w:rsidRPr="008D0165">
        <w:rPr>
          <w:sz w:val="24"/>
          <w:szCs w:val="24"/>
        </w:rPr>
        <w:t>u</w:t>
      </w:r>
      <w:r w:rsidR="00004E2D" w:rsidRPr="008D0165">
        <w:rPr>
          <w:sz w:val="24"/>
          <w:szCs w:val="24"/>
        </w:rPr>
        <w:t xml:space="preserve"> aktywności zawodowej powinna być pozostawiona ubezpieczonemu, przy uwzględnieniu jego indywidualnej sytuacji. Decyzja ta w dużej mierze determinowana będzie indywidualną sytuacją ubezpieczonego w zakresie jego stanu zdrowia, sytuacji i pozycji na rynku pracy, planów dotyczących odpoczynku po zakończeniu aktywności zawodowej, jak również określonych oczekiwań dotyczących wysokości otrzymywanych w przyszłości świadczeń emerytalnych. Wysokość emerytury uzależniona jest bowiem od zarobków danego ubezpieczonego, tj. od wysokości odprowadzanej składki oraz okresu jej opłacania, czyli</w:t>
      </w:r>
      <w:r w:rsidR="00102E8A">
        <w:rPr>
          <w:sz w:val="24"/>
          <w:szCs w:val="24"/>
        </w:rPr>
        <w:t> </w:t>
      </w:r>
      <w:r w:rsidR="00004E2D" w:rsidRPr="008D0165">
        <w:rPr>
          <w:sz w:val="24"/>
          <w:szCs w:val="24"/>
        </w:rPr>
        <w:t>od</w:t>
      </w:r>
      <w:r w:rsidR="006C5B59">
        <w:rPr>
          <w:sz w:val="24"/>
          <w:szCs w:val="24"/>
        </w:rPr>
        <w:t> </w:t>
      </w:r>
      <w:r w:rsidR="00004E2D" w:rsidRPr="008D0165">
        <w:rPr>
          <w:sz w:val="24"/>
          <w:szCs w:val="24"/>
        </w:rPr>
        <w:t>wniesionego do systemu emerytalnego wkładu składkowego oraz od decyzji, w jakim wieku dany ubezpieczony skorzysta z prawa do emerytury. Zgodnie z tą zasadą przyjęta formuła emerytalna ma zachęcać do przedłużania aktywności zawodowej.</w:t>
      </w:r>
    </w:p>
    <w:p w14:paraId="4A8E5FBA" w14:textId="1F880172" w:rsidR="00004E2D" w:rsidRPr="008D0165" w:rsidRDefault="00004E2D" w:rsidP="00FC39E3">
      <w:pPr>
        <w:spacing w:before="120" w:after="120"/>
        <w:jc w:val="both"/>
        <w:rPr>
          <w:sz w:val="24"/>
          <w:szCs w:val="24"/>
        </w:rPr>
      </w:pPr>
      <w:r w:rsidRPr="008D0165">
        <w:rPr>
          <w:sz w:val="24"/>
          <w:szCs w:val="24"/>
        </w:rPr>
        <w:lastRenderedPageBreak/>
        <w:t xml:space="preserve">Po </w:t>
      </w:r>
      <w:r w:rsidR="00102E8A">
        <w:rPr>
          <w:sz w:val="24"/>
          <w:szCs w:val="24"/>
        </w:rPr>
        <w:t>wejściu w życie ustawy wiekowej</w:t>
      </w:r>
      <w:r w:rsidRPr="008D0165">
        <w:rPr>
          <w:sz w:val="24"/>
          <w:szCs w:val="24"/>
        </w:rPr>
        <w:t xml:space="preserve"> Rada Ministrów dokonuje co trzy lata przeglądu funkcjonowania systemu emerytalnego i przedkłada Sejmowi Rzeczypospolitej Polskiej, do</w:t>
      </w:r>
      <w:r w:rsidR="006C5B59">
        <w:rPr>
          <w:sz w:val="24"/>
          <w:szCs w:val="24"/>
        </w:rPr>
        <w:t> </w:t>
      </w:r>
      <w:r w:rsidRPr="008D0165">
        <w:rPr>
          <w:sz w:val="24"/>
          <w:szCs w:val="24"/>
        </w:rPr>
        <w:t>dnia 31 października następnego roku kalendarzowego, informację o skutkach obowiązywania tej ustawy.</w:t>
      </w:r>
      <w:r w:rsidR="00FE392B" w:rsidRPr="008D0165">
        <w:rPr>
          <w:sz w:val="24"/>
          <w:szCs w:val="24"/>
        </w:rPr>
        <w:t xml:space="preserve"> Obecna informacja jest drugą z kolei.</w:t>
      </w:r>
      <w:r w:rsidR="007D46E2">
        <w:rPr>
          <w:sz w:val="24"/>
          <w:szCs w:val="24"/>
        </w:rPr>
        <w:t xml:space="preserve"> </w:t>
      </w:r>
      <w:r w:rsidR="007D3718">
        <w:rPr>
          <w:sz w:val="24"/>
          <w:szCs w:val="24"/>
        </w:rPr>
        <w:t>Wcześniejsza</w:t>
      </w:r>
      <w:r w:rsidR="007D46E2">
        <w:rPr>
          <w:sz w:val="24"/>
          <w:szCs w:val="24"/>
        </w:rPr>
        <w:t xml:space="preserve"> </w:t>
      </w:r>
      <w:r w:rsidR="007D3718">
        <w:rPr>
          <w:sz w:val="24"/>
          <w:szCs w:val="24"/>
        </w:rPr>
        <w:t xml:space="preserve">informacja </w:t>
      </w:r>
      <w:r w:rsidR="007D46E2">
        <w:rPr>
          <w:sz w:val="24"/>
          <w:szCs w:val="24"/>
        </w:rPr>
        <w:t xml:space="preserve">została </w:t>
      </w:r>
      <w:r w:rsidR="007D3718">
        <w:rPr>
          <w:sz w:val="24"/>
          <w:szCs w:val="24"/>
        </w:rPr>
        <w:t>przedstawiona</w:t>
      </w:r>
      <w:r w:rsidR="007D46E2">
        <w:rPr>
          <w:sz w:val="24"/>
          <w:szCs w:val="24"/>
        </w:rPr>
        <w:t xml:space="preserve"> </w:t>
      </w:r>
      <w:r w:rsidR="007D3718">
        <w:rPr>
          <w:sz w:val="24"/>
          <w:szCs w:val="24"/>
        </w:rPr>
        <w:t>po pierwszym roku obowiązywania ustawy wiekowej</w:t>
      </w:r>
      <w:r w:rsidR="00445C2D">
        <w:rPr>
          <w:sz w:val="24"/>
          <w:szCs w:val="24"/>
        </w:rPr>
        <w:t>, tj. w 2019 r</w:t>
      </w:r>
      <w:r w:rsidR="007D3718">
        <w:rPr>
          <w:sz w:val="24"/>
          <w:szCs w:val="24"/>
        </w:rPr>
        <w:t>.</w:t>
      </w:r>
    </w:p>
    <w:p w14:paraId="52FB4F11" w14:textId="77777777" w:rsidR="00FC39E3" w:rsidRDefault="00FC39E3">
      <w:pPr>
        <w:rPr>
          <w:b/>
          <w:sz w:val="24"/>
          <w:szCs w:val="24"/>
        </w:rPr>
      </w:pPr>
      <w:r>
        <w:rPr>
          <w:b/>
          <w:sz w:val="24"/>
          <w:szCs w:val="24"/>
        </w:rPr>
        <w:br w:type="page"/>
      </w:r>
    </w:p>
    <w:p w14:paraId="0E15199E" w14:textId="3DF588F8" w:rsidR="00407222" w:rsidRPr="008D0165" w:rsidRDefault="00407222" w:rsidP="00FC39E3">
      <w:pPr>
        <w:pStyle w:val="Akapitzlist"/>
        <w:numPr>
          <w:ilvl w:val="0"/>
          <w:numId w:val="14"/>
        </w:numPr>
        <w:spacing w:before="120" w:after="120"/>
        <w:ind w:left="284" w:hanging="284"/>
        <w:contextualSpacing w:val="0"/>
        <w:jc w:val="both"/>
        <w:rPr>
          <w:b/>
          <w:sz w:val="24"/>
          <w:szCs w:val="24"/>
        </w:rPr>
      </w:pPr>
      <w:r w:rsidRPr="008D0165">
        <w:rPr>
          <w:b/>
          <w:sz w:val="24"/>
          <w:szCs w:val="24"/>
        </w:rPr>
        <w:lastRenderedPageBreak/>
        <w:t>Sytuacja finansowa Funduszu Ubezpiecze</w:t>
      </w:r>
      <w:r w:rsidR="009607C3" w:rsidRPr="008D0165">
        <w:rPr>
          <w:b/>
          <w:sz w:val="24"/>
          <w:szCs w:val="24"/>
        </w:rPr>
        <w:t>ń Społecznych w latach 2020</w:t>
      </w:r>
      <w:r w:rsidR="00F84D74" w:rsidRPr="008D0165">
        <w:rPr>
          <w:b/>
          <w:sz w:val="24"/>
          <w:szCs w:val="24"/>
        </w:rPr>
        <w:t>–</w:t>
      </w:r>
      <w:r w:rsidR="00D651AF" w:rsidRPr="008D0165">
        <w:rPr>
          <w:b/>
          <w:sz w:val="24"/>
          <w:szCs w:val="24"/>
        </w:rPr>
        <w:t>2021</w:t>
      </w:r>
      <w:r w:rsidR="0079140D" w:rsidRPr="008D0165">
        <w:rPr>
          <w:rStyle w:val="Odwoanieprzypisudolnego"/>
          <w:b/>
          <w:sz w:val="24"/>
          <w:szCs w:val="24"/>
        </w:rPr>
        <w:footnoteReference w:id="4"/>
      </w:r>
      <w:r w:rsidR="00114B30" w:rsidRPr="00477372">
        <w:rPr>
          <w:b/>
          <w:sz w:val="24"/>
          <w:szCs w:val="24"/>
          <w:vertAlign w:val="superscript"/>
        </w:rPr>
        <w:t>)</w:t>
      </w:r>
    </w:p>
    <w:p w14:paraId="5A847F17" w14:textId="77777777" w:rsidR="00415DBC" w:rsidRPr="008D0165" w:rsidRDefault="00415DBC" w:rsidP="00FC39E3">
      <w:pPr>
        <w:pStyle w:val="Akapitzlist"/>
        <w:numPr>
          <w:ilvl w:val="1"/>
          <w:numId w:val="14"/>
        </w:numPr>
        <w:spacing w:before="120" w:after="120"/>
        <w:contextualSpacing w:val="0"/>
        <w:jc w:val="both"/>
        <w:rPr>
          <w:b/>
          <w:sz w:val="24"/>
          <w:szCs w:val="24"/>
        </w:rPr>
      </w:pPr>
      <w:r w:rsidRPr="008D0165">
        <w:rPr>
          <w:b/>
          <w:sz w:val="24"/>
          <w:szCs w:val="24"/>
        </w:rPr>
        <w:t>Podstawowe dane finansowe</w:t>
      </w:r>
    </w:p>
    <w:p w14:paraId="280C7424" w14:textId="563040C2" w:rsidR="00A34A98" w:rsidRPr="008D0165" w:rsidRDefault="0024215E" w:rsidP="00FC39E3">
      <w:pPr>
        <w:spacing w:before="120" w:after="120"/>
        <w:jc w:val="both"/>
        <w:rPr>
          <w:sz w:val="24"/>
          <w:szCs w:val="24"/>
        </w:rPr>
      </w:pPr>
      <w:r w:rsidRPr="008D0165">
        <w:rPr>
          <w:sz w:val="24"/>
          <w:szCs w:val="24"/>
        </w:rPr>
        <w:t>Rok 2019 był kolejnym rokiem dobrej koniunktury na rynku pracy, gdzie najważniejsze z</w:t>
      </w:r>
      <w:r w:rsidR="006C5B59">
        <w:rPr>
          <w:sz w:val="24"/>
          <w:szCs w:val="24"/>
        </w:rPr>
        <w:t> </w:t>
      </w:r>
      <w:r w:rsidRPr="008D0165">
        <w:rPr>
          <w:sz w:val="24"/>
          <w:szCs w:val="24"/>
        </w:rPr>
        <w:t>punktu widzenia przychodów FUS wskaźniki makroekonomiczne ukształtowały się na bardzo wysokim poziomie. Mieliśmy do czynienia z dynamicznym wzrostem zatrudnienia oraz bardzo wysoką dynamiką wynagrodzeń. Przełożyło się to na wyższy od zakładanego wzrost funduszu wynagrodzeń, a tym samym wzrost wpłat składek na ubezpieczenia społeczne.</w:t>
      </w:r>
    </w:p>
    <w:p w14:paraId="00D05A4E" w14:textId="06947CE4" w:rsidR="00752E9D" w:rsidRPr="008D0165" w:rsidRDefault="00752E9D" w:rsidP="00FC39E3">
      <w:pPr>
        <w:spacing w:before="120" w:after="120"/>
        <w:jc w:val="both"/>
        <w:rPr>
          <w:sz w:val="24"/>
          <w:szCs w:val="24"/>
        </w:rPr>
      </w:pPr>
      <w:r w:rsidRPr="008D0165">
        <w:rPr>
          <w:sz w:val="24"/>
          <w:szCs w:val="24"/>
        </w:rPr>
        <w:t>W 2019 r</w:t>
      </w:r>
      <w:r w:rsidR="00287F94">
        <w:rPr>
          <w:sz w:val="24"/>
          <w:szCs w:val="24"/>
        </w:rPr>
        <w:t>.</w:t>
      </w:r>
      <w:r w:rsidRPr="008D0165">
        <w:rPr>
          <w:sz w:val="24"/>
          <w:szCs w:val="24"/>
        </w:rPr>
        <w:t xml:space="preserve"> przychody FUS wyniosły według przypisu 246</w:t>
      </w:r>
      <w:r w:rsidR="003669F3" w:rsidRPr="008D0165">
        <w:rPr>
          <w:sz w:val="24"/>
          <w:szCs w:val="24"/>
        </w:rPr>
        <w:t>,2 mld zł</w:t>
      </w:r>
      <w:r w:rsidRPr="008D0165">
        <w:rPr>
          <w:sz w:val="24"/>
          <w:szCs w:val="24"/>
        </w:rPr>
        <w:t xml:space="preserve"> i</w:t>
      </w:r>
      <w:r w:rsidR="003669F3" w:rsidRPr="008D0165">
        <w:rPr>
          <w:sz w:val="24"/>
          <w:szCs w:val="24"/>
        </w:rPr>
        <w:t> </w:t>
      </w:r>
      <w:r w:rsidRPr="008D0165">
        <w:rPr>
          <w:sz w:val="24"/>
          <w:szCs w:val="24"/>
        </w:rPr>
        <w:t>były o 7</w:t>
      </w:r>
      <w:r w:rsidR="003669F3" w:rsidRPr="008D0165">
        <w:rPr>
          <w:sz w:val="24"/>
          <w:szCs w:val="24"/>
        </w:rPr>
        <w:t>,7 mld zł</w:t>
      </w:r>
      <w:r w:rsidRPr="008D0165">
        <w:rPr>
          <w:sz w:val="24"/>
          <w:szCs w:val="24"/>
        </w:rPr>
        <w:t xml:space="preserve">, tj. o 3,2%, wyższe od przychodów </w:t>
      </w:r>
      <w:r w:rsidR="00415DBC" w:rsidRPr="008D0165">
        <w:rPr>
          <w:sz w:val="24"/>
          <w:szCs w:val="24"/>
        </w:rPr>
        <w:t>osiągniętych w roku poprzednim</w:t>
      </w:r>
      <w:r w:rsidRPr="008D0165">
        <w:rPr>
          <w:sz w:val="24"/>
          <w:szCs w:val="24"/>
        </w:rPr>
        <w:t>. Koszty Funduszu wyniosły 246</w:t>
      </w:r>
      <w:r w:rsidR="003669F3" w:rsidRPr="008D0165">
        <w:rPr>
          <w:sz w:val="24"/>
          <w:szCs w:val="24"/>
        </w:rPr>
        <w:t>,6 mld zł</w:t>
      </w:r>
      <w:r w:rsidRPr="008D0165">
        <w:rPr>
          <w:sz w:val="24"/>
          <w:szCs w:val="24"/>
        </w:rPr>
        <w:t xml:space="preserve"> i były wyższe o 15</w:t>
      </w:r>
      <w:r w:rsidR="003669F3" w:rsidRPr="008D0165">
        <w:rPr>
          <w:sz w:val="24"/>
          <w:szCs w:val="24"/>
        </w:rPr>
        <w:t>,0 mld zł</w:t>
      </w:r>
      <w:r w:rsidRPr="008D0165">
        <w:rPr>
          <w:sz w:val="24"/>
          <w:szCs w:val="24"/>
        </w:rPr>
        <w:t>, tj. o 6,5%, w stosunku do roku poprzedniego. Stan Funduszu na</w:t>
      </w:r>
      <w:r w:rsidR="006C5B59">
        <w:rPr>
          <w:sz w:val="24"/>
          <w:szCs w:val="24"/>
        </w:rPr>
        <w:t> </w:t>
      </w:r>
      <w:r w:rsidRPr="008D0165">
        <w:rPr>
          <w:sz w:val="24"/>
          <w:szCs w:val="24"/>
        </w:rPr>
        <w:t>koniec 2019 r. wyniósł 4</w:t>
      </w:r>
      <w:r w:rsidR="003669F3" w:rsidRPr="008D0165">
        <w:rPr>
          <w:sz w:val="24"/>
          <w:szCs w:val="24"/>
        </w:rPr>
        <w:t>,2 mld zł</w:t>
      </w:r>
      <w:r w:rsidRPr="008D0165">
        <w:rPr>
          <w:sz w:val="24"/>
          <w:szCs w:val="24"/>
        </w:rPr>
        <w:t>, tj. o 452</w:t>
      </w:r>
      <w:r w:rsidR="003669F3" w:rsidRPr="008D0165">
        <w:rPr>
          <w:sz w:val="24"/>
          <w:szCs w:val="24"/>
        </w:rPr>
        <w:t>,3</w:t>
      </w:r>
      <w:r w:rsidRPr="008D0165">
        <w:rPr>
          <w:sz w:val="24"/>
          <w:szCs w:val="24"/>
        </w:rPr>
        <w:t xml:space="preserve"> </w:t>
      </w:r>
      <w:r w:rsidR="003669F3" w:rsidRPr="008D0165">
        <w:rPr>
          <w:sz w:val="24"/>
          <w:szCs w:val="24"/>
        </w:rPr>
        <w:t xml:space="preserve">mln </w:t>
      </w:r>
      <w:r w:rsidRPr="008D0165">
        <w:rPr>
          <w:sz w:val="24"/>
          <w:szCs w:val="24"/>
        </w:rPr>
        <w:t>zł mniej niż na początku roku.</w:t>
      </w:r>
    </w:p>
    <w:p w14:paraId="542511EA" w14:textId="7A3755FC" w:rsidR="0024215E" w:rsidRPr="008D0165" w:rsidRDefault="0024215E" w:rsidP="00FC39E3">
      <w:pPr>
        <w:spacing w:before="120" w:after="120"/>
        <w:jc w:val="both"/>
        <w:rPr>
          <w:sz w:val="24"/>
          <w:szCs w:val="24"/>
        </w:rPr>
      </w:pPr>
      <w:r w:rsidRPr="008D0165">
        <w:rPr>
          <w:sz w:val="24"/>
          <w:szCs w:val="24"/>
        </w:rPr>
        <w:t xml:space="preserve">Z kolei 2020 </w:t>
      </w:r>
      <w:r w:rsidR="005C7121">
        <w:rPr>
          <w:sz w:val="24"/>
          <w:szCs w:val="24"/>
        </w:rPr>
        <w:t xml:space="preserve">r. </w:t>
      </w:r>
      <w:r w:rsidRPr="008D0165">
        <w:rPr>
          <w:sz w:val="24"/>
          <w:szCs w:val="24"/>
        </w:rPr>
        <w:t>był rokiem zdominowanym przez pandemię koronawirusa. Jej wybuch zmienił oblicze świata i wywołał kryzys gospodarczy na skalę globalną. W Polsce największe spowolnienie wystąpiło w pierwszym półroczu 2020 r. w związku z lockdownem, który</w:t>
      </w:r>
      <w:r w:rsidR="00F96D8F">
        <w:rPr>
          <w:sz w:val="24"/>
          <w:szCs w:val="24"/>
        </w:rPr>
        <w:t> </w:t>
      </w:r>
      <w:r w:rsidRPr="008D0165">
        <w:rPr>
          <w:sz w:val="24"/>
          <w:szCs w:val="24"/>
        </w:rPr>
        <w:t>wprowadz</w:t>
      </w:r>
      <w:r w:rsidR="004E5854" w:rsidRPr="008D0165">
        <w:rPr>
          <w:sz w:val="24"/>
          <w:szCs w:val="24"/>
        </w:rPr>
        <w:t>ił gospodarkę w </w:t>
      </w:r>
      <w:r w:rsidRPr="008D0165">
        <w:rPr>
          <w:sz w:val="24"/>
          <w:szCs w:val="24"/>
        </w:rPr>
        <w:t>stan hibernacji i wiązał się z licznymi restrykcjami oraz</w:t>
      </w:r>
      <w:r w:rsidR="00F96D8F">
        <w:t> </w:t>
      </w:r>
      <w:r w:rsidRPr="008D0165">
        <w:rPr>
          <w:sz w:val="24"/>
          <w:szCs w:val="24"/>
        </w:rPr>
        <w:t>obostrzen</w:t>
      </w:r>
      <w:r w:rsidR="004E5854" w:rsidRPr="008D0165">
        <w:rPr>
          <w:sz w:val="24"/>
          <w:szCs w:val="24"/>
        </w:rPr>
        <w:t>iami gospodarczo-społecznymi. W </w:t>
      </w:r>
      <w:r w:rsidRPr="008D0165">
        <w:rPr>
          <w:sz w:val="24"/>
          <w:szCs w:val="24"/>
        </w:rPr>
        <w:t>drugim kwartale nastąpiło poluzowanie ograniczeń, którego skutk</w:t>
      </w:r>
      <w:r w:rsidR="004E5854" w:rsidRPr="008D0165">
        <w:rPr>
          <w:sz w:val="24"/>
          <w:szCs w:val="24"/>
        </w:rPr>
        <w:t>iem było odbicie ekonomiczne. Z </w:t>
      </w:r>
      <w:r w:rsidRPr="008D0165">
        <w:rPr>
          <w:sz w:val="24"/>
          <w:szCs w:val="24"/>
        </w:rPr>
        <w:t>kolei ostatni kwartał roku wiązał się z ponownym wprowadzeniem obostrzeń ze względu na tzw. drugą falę COVID-19, jednak parametry makroekonomiczne tym razem nie obniżyły się istotnie, gdyż gospodarka zaczęła dostosowywać się do restrykcj</w:t>
      </w:r>
      <w:r w:rsidR="00B80138" w:rsidRPr="008D0165">
        <w:rPr>
          <w:sz w:val="24"/>
          <w:szCs w:val="24"/>
        </w:rPr>
        <w:t>i i stawała się coraz bardziej odporna</w:t>
      </w:r>
      <w:r w:rsidRPr="008D0165">
        <w:rPr>
          <w:sz w:val="24"/>
          <w:szCs w:val="24"/>
        </w:rPr>
        <w:t xml:space="preserve"> na epidemię.</w:t>
      </w:r>
    </w:p>
    <w:p w14:paraId="2D2D24F6" w14:textId="4A528BBD" w:rsidR="00752E9D" w:rsidRPr="008D0165" w:rsidRDefault="00752E9D" w:rsidP="00FC39E3">
      <w:pPr>
        <w:spacing w:before="120" w:after="120"/>
        <w:jc w:val="both"/>
        <w:rPr>
          <w:sz w:val="24"/>
          <w:szCs w:val="24"/>
        </w:rPr>
      </w:pPr>
      <w:r w:rsidRPr="008D0165">
        <w:rPr>
          <w:sz w:val="24"/>
          <w:szCs w:val="24"/>
        </w:rPr>
        <w:t>W 2020 r</w:t>
      </w:r>
      <w:r w:rsidR="00287F94">
        <w:rPr>
          <w:sz w:val="24"/>
          <w:szCs w:val="24"/>
        </w:rPr>
        <w:t>.</w:t>
      </w:r>
      <w:r w:rsidRPr="008D0165">
        <w:rPr>
          <w:sz w:val="24"/>
          <w:szCs w:val="24"/>
        </w:rPr>
        <w:t xml:space="preserve"> przychody FUS wyniosły według przypisu 290</w:t>
      </w:r>
      <w:r w:rsidR="00B80138" w:rsidRPr="008D0165">
        <w:rPr>
          <w:sz w:val="24"/>
          <w:szCs w:val="24"/>
        </w:rPr>
        <w:t>,8 mld zł</w:t>
      </w:r>
      <w:r w:rsidRPr="008D0165">
        <w:rPr>
          <w:sz w:val="24"/>
          <w:szCs w:val="24"/>
        </w:rPr>
        <w:t xml:space="preserve"> i</w:t>
      </w:r>
      <w:r w:rsidR="00B80138" w:rsidRPr="008D0165">
        <w:rPr>
          <w:sz w:val="24"/>
          <w:szCs w:val="24"/>
        </w:rPr>
        <w:t> </w:t>
      </w:r>
      <w:r w:rsidRPr="008D0165">
        <w:rPr>
          <w:sz w:val="24"/>
          <w:szCs w:val="24"/>
        </w:rPr>
        <w:t>były o 44</w:t>
      </w:r>
      <w:r w:rsidR="00B80138" w:rsidRPr="008D0165">
        <w:rPr>
          <w:sz w:val="24"/>
          <w:szCs w:val="24"/>
        </w:rPr>
        <w:t>,6 mld zł</w:t>
      </w:r>
      <w:r w:rsidRPr="008D0165">
        <w:rPr>
          <w:sz w:val="24"/>
          <w:szCs w:val="24"/>
        </w:rPr>
        <w:t>, tj. o 18,1%, wyższe od przychodów osiągniętych w roku poprzednim. Koszty funduszu wyniosły 277</w:t>
      </w:r>
      <w:r w:rsidR="00B80138" w:rsidRPr="008D0165">
        <w:rPr>
          <w:sz w:val="24"/>
          <w:szCs w:val="24"/>
        </w:rPr>
        <w:t>,3 mld zł</w:t>
      </w:r>
      <w:r w:rsidRPr="008D0165">
        <w:rPr>
          <w:sz w:val="24"/>
          <w:szCs w:val="24"/>
        </w:rPr>
        <w:t xml:space="preserve"> i były wyższe o 30</w:t>
      </w:r>
      <w:r w:rsidR="00B80138" w:rsidRPr="008D0165">
        <w:rPr>
          <w:sz w:val="24"/>
          <w:szCs w:val="24"/>
        </w:rPr>
        <w:t>,7 mld zł</w:t>
      </w:r>
      <w:r w:rsidRPr="008D0165">
        <w:rPr>
          <w:sz w:val="24"/>
          <w:szCs w:val="24"/>
        </w:rPr>
        <w:t>, tj. o 12,4%, w stosunku do roku poprzedniego. Po wyłączeniu z</w:t>
      </w:r>
      <w:r w:rsidR="00F96D8F">
        <w:rPr>
          <w:sz w:val="24"/>
          <w:szCs w:val="24"/>
        </w:rPr>
        <w:t> </w:t>
      </w:r>
      <w:r w:rsidRPr="008D0165">
        <w:rPr>
          <w:sz w:val="24"/>
          <w:szCs w:val="24"/>
        </w:rPr>
        <w:t>ogólnej kwoty kosztów pozycji, które mają charakter wyłącznie memoriałowy, koszty te</w:t>
      </w:r>
      <w:r w:rsidR="00F96D8F">
        <w:rPr>
          <w:sz w:val="24"/>
          <w:szCs w:val="24"/>
        </w:rPr>
        <w:t> </w:t>
      </w:r>
      <w:r w:rsidRPr="008D0165">
        <w:rPr>
          <w:sz w:val="24"/>
          <w:szCs w:val="24"/>
        </w:rPr>
        <w:t>wzrosły w stosunku do roku poprzedniego o 8,3%, natomiast stopień wykonania planu po</w:t>
      </w:r>
      <w:r w:rsidR="00F96D8F">
        <w:rPr>
          <w:sz w:val="24"/>
          <w:szCs w:val="24"/>
        </w:rPr>
        <w:t> </w:t>
      </w:r>
      <w:r w:rsidRPr="008D0165">
        <w:rPr>
          <w:sz w:val="24"/>
          <w:szCs w:val="24"/>
        </w:rPr>
        <w:t>zmianach wyniósł 98,5%. Stan funduszu na koniec 2020 r. wyniósł 17</w:t>
      </w:r>
      <w:r w:rsidR="00B80138" w:rsidRPr="008D0165">
        <w:rPr>
          <w:sz w:val="24"/>
          <w:szCs w:val="24"/>
        </w:rPr>
        <w:t>,7 mld zł</w:t>
      </w:r>
      <w:r w:rsidRPr="008D0165">
        <w:rPr>
          <w:sz w:val="24"/>
          <w:szCs w:val="24"/>
        </w:rPr>
        <w:t>, tj.</w:t>
      </w:r>
      <w:r w:rsidR="00B80138" w:rsidRPr="008D0165">
        <w:rPr>
          <w:sz w:val="24"/>
          <w:szCs w:val="24"/>
        </w:rPr>
        <w:t> </w:t>
      </w:r>
      <w:r w:rsidRPr="008D0165">
        <w:rPr>
          <w:sz w:val="24"/>
          <w:szCs w:val="24"/>
        </w:rPr>
        <w:t>o 13</w:t>
      </w:r>
      <w:r w:rsidR="00B80138" w:rsidRPr="008D0165">
        <w:rPr>
          <w:sz w:val="24"/>
          <w:szCs w:val="24"/>
        </w:rPr>
        <w:t>,5 mld zł</w:t>
      </w:r>
      <w:r w:rsidRPr="008D0165">
        <w:rPr>
          <w:sz w:val="24"/>
          <w:szCs w:val="24"/>
        </w:rPr>
        <w:t xml:space="preserve"> więcej niż na początku roku.</w:t>
      </w:r>
    </w:p>
    <w:p w14:paraId="37EFC656" w14:textId="01D2E3EC" w:rsidR="0024215E" w:rsidRPr="008D0165" w:rsidRDefault="004E5854" w:rsidP="00FC39E3">
      <w:pPr>
        <w:spacing w:before="120" w:after="120"/>
        <w:jc w:val="both"/>
        <w:rPr>
          <w:sz w:val="24"/>
          <w:szCs w:val="24"/>
        </w:rPr>
      </w:pPr>
      <w:r w:rsidRPr="008D0165">
        <w:rPr>
          <w:sz w:val="24"/>
          <w:szCs w:val="24"/>
        </w:rPr>
        <w:lastRenderedPageBreak/>
        <w:t>2021</w:t>
      </w:r>
      <w:r w:rsidR="005C7121">
        <w:rPr>
          <w:sz w:val="24"/>
          <w:szCs w:val="24"/>
        </w:rPr>
        <w:t xml:space="preserve"> </w:t>
      </w:r>
      <w:r w:rsidR="001E2933">
        <w:rPr>
          <w:sz w:val="24"/>
          <w:szCs w:val="24"/>
        </w:rPr>
        <w:t>był rokiem</w:t>
      </w:r>
      <w:r w:rsidRPr="008D0165">
        <w:rPr>
          <w:sz w:val="24"/>
          <w:szCs w:val="24"/>
        </w:rPr>
        <w:t xml:space="preserve"> w którym na sytuację gospodarczą kraju w dalszym ciągu istotny wpływ miała pandemia COVID-19. Po rekordowych spadkach kluczowych wskaźników makroekonomicznych w 2020 r., związanych przede wszystkim z paraliżem obszarów społeczno-gospodarczych spowodowanym m.in. przez lockdown, w 2021</w:t>
      </w:r>
      <w:r w:rsidR="00287F94">
        <w:rPr>
          <w:sz w:val="24"/>
          <w:szCs w:val="24"/>
        </w:rPr>
        <w:t xml:space="preserve"> r.</w:t>
      </w:r>
      <w:r w:rsidRPr="008D0165">
        <w:rPr>
          <w:sz w:val="24"/>
          <w:szCs w:val="24"/>
        </w:rPr>
        <w:t xml:space="preserve"> nastąpiła zauważalna ich poprawa. Na rynku pracy (sektor przedsiębiorstw) odnotowano nieznaczny wzrost zatrudnienia (o 0,3% r/r) oraz wzrost przeciętnego miesięcznego wynagrodzenia aż</w:t>
      </w:r>
      <w:r w:rsidR="002F4A5C">
        <w:rPr>
          <w:sz w:val="24"/>
          <w:szCs w:val="24"/>
        </w:rPr>
        <w:t> </w:t>
      </w:r>
      <w:r w:rsidRPr="008D0165">
        <w:rPr>
          <w:sz w:val="24"/>
          <w:szCs w:val="24"/>
        </w:rPr>
        <w:t>o</w:t>
      </w:r>
      <w:r w:rsidR="00F96D8F">
        <w:t> </w:t>
      </w:r>
      <w:r w:rsidRPr="008D0165">
        <w:rPr>
          <w:sz w:val="24"/>
          <w:szCs w:val="24"/>
        </w:rPr>
        <w:t>8,8% – warto podkreślić, że był to najwyższy wzrost od 2008 r. Jednak w związku z tym, że w ciągu roku znacząco nasiliły się zjawiska inflacyjne, siła nabywcza płac była słabsza niż</w:t>
      </w:r>
      <w:r w:rsidR="002F4A5C">
        <w:rPr>
          <w:sz w:val="24"/>
          <w:szCs w:val="24"/>
        </w:rPr>
        <w:t> </w:t>
      </w:r>
      <w:r w:rsidRPr="008D0165">
        <w:rPr>
          <w:sz w:val="24"/>
          <w:szCs w:val="24"/>
        </w:rPr>
        <w:t>w poprzednich latach (wykluczając 2020</w:t>
      </w:r>
      <w:r w:rsidR="00287F94">
        <w:rPr>
          <w:sz w:val="24"/>
          <w:szCs w:val="24"/>
        </w:rPr>
        <w:t xml:space="preserve"> r.</w:t>
      </w:r>
      <w:r w:rsidRPr="008D0165">
        <w:rPr>
          <w:sz w:val="24"/>
          <w:szCs w:val="24"/>
        </w:rPr>
        <w:t>).</w:t>
      </w:r>
    </w:p>
    <w:p w14:paraId="0498AA56" w14:textId="7B185CE3" w:rsidR="00752E9D" w:rsidRPr="008D0165" w:rsidRDefault="00752E9D" w:rsidP="00FC39E3">
      <w:pPr>
        <w:spacing w:before="120" w:after="120"/>
        <w:jc w:val="both"/>
        <w:rPr>
          <w:sz w:val="24"/>
          <w:szCs w:val="24"/>
        </w:rPr>
      </w:pPr>
      <w:r w:rsidRPr="008D0165">
        <w:rPr>
          <w:sz w:val="24"/>
          <w:szCs w:val="24"/>
        </w:rPr>
        <w:t>W 2021 r</w:t>
      </w:r>
      <w:r w:rsidR="00287F94">
        <w:rPr>
          <w:sz w:val="24"/>
          <w:szCs w:val="24"/>
        </w:rPr>
        <w:t>.</w:t>
      </w:r>
      <w:r w:rsidRPr="008D0165">
        <w:rPr>
          <w:sz w:val="24"/>
          <w:szCs w:val="24"/>
        </w:rPr>
        <w:t xml:space="preserve"> przychody FUS wyniosły według przypisu 274</w:t>
      </w:r>
      <w:r w:rsidR="006B3D73" w:rsidRPr="008D0165">
        <w:rPr>
          <w:sz w:val="24"/>
          <w:szCs w:val="24"/>
        </w:rPr>
        <w:t>,0 mld zł i </w:t>
      </w:r>
      <w:r w:rsidRPr="008D0165">
        <w:rPr>
          <w:sz w:val="24"/>
          <w:szCs w:val="24"/>
        </w:rPr>
        <w:t>były o 16</w:t>
      </w:r>
      <w:r w:rsidR="006B3D73" w:rsidRPr="008D0165">
        <w:rPr>
          <w:sz w:val="24"/>
          <w:szCs w:val="24"/>
        </w:rPr>
        <w:t>,8 mld zł</w:t>
      </w:r>
      <w:r w:rsidRPr="008D0165">
        <w:rPr>
          <w:sz w:val="24"/>
          <w:szCs w:val="24"/>
        </w:rPr>
        <w:t>, tj. o 5,8%, niższe od przychodów osiągniętych w roku poprzednim, co było związane z zasileniem funduszu w 2020 r. środkami z Funduszu Przeciwdziałania COVID-19 oraz jednorazową wpłatą z budżetu państwa. Koszty funduszu wyniosły 284</w:t>
      </w:r>
      <w:r w:rsidR="006B3D73" w:rsidRPr="008D0165">
        <w:rPr>
          <w:sz w:val="24"/>
          <w:szCs w:val="24"/>
        </w:rPr>
        <w:t>,5 mld zł</w:t>
      </w:r>
      <w:r w:rsidRPr="008D0165">
        <w:rPr>
          <w:sz w:val="24"/>
          <w:szCs w:val="24"/>
        </w:rPr>
        <w:t>, stanowiąc 98,7% planu, i były wyższe o 7</w:t>
      </w:r>
      <w:r w:rsidR="006B3D73" w:rsidRPr="008D0165">
        <w:rPr>
          <w:sz w:val="24"/>
          <w:szCs w:val="24"/>
        </w:rPr>
        <w:t>,2 mld zł</w:t>
      </w:r>
      <w:r w:rsidRPr="008D0165">
        <w:rPr>
          <w:sz w:val="24"/>
          <w:szCs w:val="24"/>
        </w:rPr>
        <w:t>, tj. o 2,6%, w stosunku do roku poprzedniego. Stan funduszu na koniec 2021 r. wyniósł 7</w:t>
      </w:r>
      <w:r w:rsidR="006B3D73" w:rsidRPr="008D0165">
        <w:rPr>
          <w:sz w:val="24"/>
          <w:szCs w:val="24"/>
        </w:rPr>
        <w:t>,3 mld zł</w:t>
      </w:r>
      <w:r w:rsidRPr="008D0165">
        <w:rPr>
          <w:sz w:val="24"/>
          <w:szCs w:val="24"/>
        </w:rPr>
        <w:t>, tj. o 10</w:t>
      </w:r>
      <w:r w:rsidR="006B3D73" w:rsidRPr="008D0165">
        <w:rPr>
          <w:sz w:val="24"/>
          <w:szCs w:val="24"/>
        </w:rPr>
        <w:t>,4 mld zł</w:t>
      </w:r>
      <w:r w:rsidRPr="008D0165">
        <w:rPr>
          <w:sz w:val="24"/>
          <w:szCs w:val="24"/>
        </w:rPr>
        <w:t xml:space="preserve"> mniej niż na początku roku.</w:t>
      </w:r>
    </w:p>
    <w:p w14:paraId="6FCB5797" w14:textId="23B11AAC" w:rsidR="00AE28E5" w:rsidRPr="008D0165" w:rsidRDefault="00804E57" w:rsidP="00FC39E3">
      <w:pPr>
        <w:spacing w:before="120" w:after="120"/>
        <w:jc w:val="both"/>
        <w:rPr>
          <w:rFonts w:eastAsia="Japanese Gothic"/>
          <w:spacing w:val="-2"/>
          <w:sz w:val="24"/>
          <w:szCs w:val="24"/>
        </w:rPr>
      </w:pPr>
      <w:r w:rsidRPr="008D0165">
        <w:rPr>
          <w:rFonts w:eastAsia="Japanese Gothic"/>
          <w:spacing w:val="-2"/>
          <w:sz w:val="24"/>
          <w:szCs w:val="24"/>
        </w:rPr>
        <w:t>Sytuacja funduszu w latach 2019–2021 była bardzo dobra. Jednym z istotnych parametrów, który pozwala na obiektywną ocenę utrzymania zdolności funduszu do wypłaty świadczeń, jest</w:t>
      </w:r>
      <w:r w:rsidR="001E2933">
        <w:rPr>
          <w:rFonts w:eastAsia="Japanese Gothic"/>
          <w:spacing w:val="-2"/>
          <w:sz w:val="24"/>
          <w:szCs w:val="24"/>
        </w:rPr>
        <w:t> </w:t>
      </w:r>
      <w:r w:rsidRPr="008D0165">
        <w:rPr>
          <w:rFonts w:eastAsia="Japanese Gothic"/>
          <w:spacing w:val="-2"/>
          <w:sz w:val="24"/>
          <w:szCs w:val="24"/>
        </w:rPr>
        <w:t>wskaźnik pokrycia wydatków wpływami ze składek i ich pochodnych. Wskaźnik ten wyniósł w 2019 r. rekordowe 81,0%, następnie w 2020 r. spadł do poziomu 74,7%, co biorąc pod uwagę epidemię C</w:t>
      </w:r>
      <w:r w:rsidR="00932210">
        <w:rPr>
          <w:rFonts w:eastAsia="Japanese Gothic"/>
          <w:spacing w:val="-2"/>
          <w:sz w:val="24"/>
          <w:szCs w:val="24"/>
        </w:rPr>
        <w:t>OVID</w:t>
      </w:r>
      <w:r w:rsidRPr="008D0165">
        <w:rPr>
          <w:rFonts w:eastAsia="Japanese Gothic"/>
          <w:spacing w:val="-2"/>
          <w:sz w:val="24"/>
          <w:szCs w:val="24"/>
        </w:rPr>
        <w:t>-19 i tak było dobrym rezultatem, natomiast w 2021 r</w:t>
      </w:r>
      <w:r w:rsidR="00A51B62">
        <w:rPr>
          <w:rFonts w:eastAsia="Japanese Gothic"/>
          <w:spacing w:val="-2"/>
          <w:sz w:val="24"/>
          <w:szCs w:val="24"/>
        </w:rPr>
        <w:t>.</w:t>
      </w:r>
      <w:r w:rsidRPr="008D0165">
        <w:rPr>
          <w:rFonts w:eastAsia="Japanese Gothic"/>
          <w:spacing w:val="-2"/>
          <w:sz w:val="24"/>
          <w:szCs w:val="24"/>
        </w:rPr>
        <w:t xml:space="preserve"> osiągnął kolejny rekordowy poziom 81,7% – była to najwyższa wartość w ostatnim dwudziestoleciu.</w:t>
      </w:r>
    </w:p>
    <w:p w14:paraId="66EC3E74" w14:textId="77777777" w:rsidR="00A906B5" w:rsidRPr="008D0165" w:rsidRDefault="00A906B5" w:rsidP="0024215E">
      <w:pPr>
        <w:spacing w:before="120" w:after="120" w:line="23" w:lineRule="atLeast"/>
        <w:jc w:val="both"/>
        <w:rPr>
          <w:rFonts w:eastAsia="Japanese Gothic"/>
          <w:b/>
          <w:spacing w:val="-2"/>
          <w:sz w:val="24"/>
          <w:szCs w:val="24"/>
        </w:rPr>
      </w:pPr>
      <w:r w:rsidRPr="008D0165">
        <w:rPr>
          <w:rFonts w:eastAsia="Japanese Gothic"/>
          <w:b/>
          <w:spacing w:val="-2"/>
          <w:sz w:val="24"/>
          <w:szCs w:val="24"/>
        </w:rPr>
        <w:t>Wykres 1. Wskaźnik pokrycia wydatków FUS wpływami ze składek i ich pochodnych</w:t>
      </w:r>
    </w:p>
    <w:p w14:paraId="1024D910" w14:textId="77777777" w:rsidR="00A906B5" w:rsidRPr="008D0165" w:rsidRDefault="00A906B5" w:rsidP="0024215E">
      <w:pPr>
        <w:spacing w:before="120" w:after="120" w:line="23" w:lineRule="atLeast"/>
        <w:jc w:val="both"/>
        <w:rPr>
          <w:rFonts w:eastAsia="Japanese Gothic"/>
          <w:spacing w:val="-2"/>
          <w:sz w:val="24"/>
          <w:szCs w:val="24"/>
        </w:rPr>
      </w:pPr>
      <w:r w:rsidRPr="008D0165">
        <w:rPr>
          <w:noProof/>
          <w:sz w:val="24"/>
          <w:szCs w:val="24"/>
          <w:lang w:eastAsia="pl-PL"/>
        </w:rPr>
        <w:drawing>
          <wp:inline distT="0" distB="0" distL="0" distR="0" wp14:anchorId="5425082E" wp14:editId="2BB7ACC5">
            <wp:extent cx="5669280" cy="1781175"/>
            <wp:effectExtent l="0" t="0" r="762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A7E405" w14:textId="6A312978" w:rsidR="00A46A1C" w:rsidRPr="00A77D1A" w:rsidRDefault="002F4A5C" w:rsidP="0024215E">
      <w:pPr>
        <w:spacing w:before="120" w:after="120" w:line="23" w:lineRule="atLeast"/>
        <w:jc w:val="both"/>
        <w:rPr>
          <w:rFonts w:eastAsia="Japanese Gothic"/>
          <w:spacing w:val="-2"/>
          <w:sz w:val="18"/>
          <w:szCs w:val="18"/>
        </w:rPr>
      </w:pPr>
      <w:r>
        <w:rPr>
          <w:rFonts w:eastAsia="Japanese Gothic"/>
          <w:spacing w:val="-2"/>
          <w:sz w:val="18"/>
          <w:szCs w:val="18"/>
        </w:rPr>
        <w:t>Źródło: ZUS</w:t>
      </w:r>
    </w:p>
    <w:p w14:paraId="73E39045" w14:textId="08E2577B" w:rsidR="00804E57" w:rsidRPr="008D0165" w:rsidRDefault="00804E57" w:rsidP="00FC39E3">
      <w:pPr>
        <w:spacing w:before="120" w:after="120"/>
        <w:jc w:val="both"/>
        <w:rPr>
          <w:sz w:val="24"/>
          <w:szCs w:val="24"/>
        </w:rPr>
      </w:pPr>
      <w:r w:rsidRPr="008D0165">
        <w:rPr>
          <w:rFonts w:eastAsia="Japanese Gothic"/>
          <w:spacing w:val="-2"/>
          <w:sz w:val="24"/>
          <w:szCs w:val="24"/>
        </w:rPr>
        <w:t xml:space="preserve">Innym </w:t>
      </w:r>
      <w:r w:rsidR="00372245" w:rsidRPr="008D0165">
        <w:rPr>
          <w:rFonts w:eastAsia="Japanese Gothic"/>
          <w:spacing w:val="-2"/>
          <w:sz w:val="24"/>
          <w:szCs w:val="24"/>
        </w:rPr>
        <w:t xml:space="preserve">ważnym </w:t>
      </w:r>
      <w:r w:rsidR="006B2261" w:rsidRPr="008D0165">
        <w:rPr>
          <w:rFonts w:eastAsia="Japanese Gothic"/>
          <w:spacing w:val="-2"/>
          <w:sz w:val="24"/>
          <w:szCs w:val="24"/>
        </w:rPr>
        <w:t>miernikiem kondycji finansowej funduszu,</w:t>
      </w:r>
      <w:r w:rsidRPr="008D0165">
        <w:rPr>
          <w:rFonts w:eastAsia="Japanese Gothic"/>
          <w:spacing w:val="-2"/>
          <w:sz w:val="24"/>
          <w:szCs w:val="24"/>
        </w:rPr>
        <w:t xml:space="preserve"> obrazującym poziom wywiązywania się płatn</w:t>
      </w:r>
      <w:r w:rsidR="006B2261" w:rsidRPr="008D0165">
        <w:rPr>
          <w:rFonts w:eastAsia="Japanese Gothic"/>
          <w:spacing w:val="-2"/>
          <w:sz w:val="24"/>
          <w:szCs w:val="24"/>
        </w:rPr>
        <w:t xml:space="preserve">ików z </w:t>
      </w:r>
      <w:r w:rsidRPr="008D0165">
        <w:rPr>
          <w:rFonts w:eastAsia="Japanese Gothic"/>
          <w:spacing w:val="-2"/>
          <w:sz w:val="24"/>
          <w:szCs w:val="24"/>
        </w:rPr>
        <w:t xml:space="preserve">obowiązku terminowego opłacania składek, jest wskaźnik </w:t>
      </w:r>
      <w:r w:rsidRPr="008D0165">
        <w:rPr>
          <w:rFonts w:eastAsia="Japanese Gothic"/>
          <w:spacing w:val="-2"/>
          <w:sz w:val="24"/>
          <w:szCs w:val="24"/>
        </w:rPr>
        <w:lastRenderedPageBreak/>
        <w:t>ściągalności składek</w:t>
      </w:r>
      <w:r w:rsidR="00372245" w:rsidRPr="008D0165">
        <w:rPr>
          <w:rFonts w:eastAsia="Japanese Gothic"/>
          <w:spacing w:val="-2"/>
          <w:sz w:val="24"/>
          <w:szCs w:val="24"/>
        </w:rPr>
        <w:t>,</w:t>
      </w:r>
      <w:r w:rsidRPr="008D0165">
        <w:rPr>
          <w:rFonts w:eastAsia="Japanese Gothic"/>
          <w:spacing w:val="-2"/>
          <w:sz w:val="24"/>
          <w:szCs w:val="24"/>
        </w:rPr>
        <w:t xml:space="preserve"> rozumiany jako stosunek wpływów z tytułu składek do ich przypisu w danym roku. Wskaźnik ten</w:t>
      </w:r>
      <w:r w:rsidR="002F4A5C">
        <w:rPr>
          <w:rFonts w:eastAsia="Japanese Gothic"/>
          <w:spacing w:val="-2"/>
          <w:sz w:val="24"/>
          <w:szCs w:val="24"/>
        </w:rPr>
        <w:t> </w:t>
      </w:r>
      <w:r w:rsidR="00372245" w:rsidRPr="008D0165">
        <w:rPr>
          <w:rFonts w:eastAsia="Japanese Gothic"/>
          <w:spacing w:val="-2"/>
          <w:sz w:val="24"/>
          <w:szCs w:val="24"/>
        </w:rPr>
        <w:t>w 2019 r</w:t>
      </w:r>
      <w:r w:rsidR="00287F94">
        <w:rPr>
          <w:rFonts w:eastAsia="Japanese Gothic"/>
          <w:spacing w:val="-2"/>
          <w:sz w:val="24"/>
          <w:szCs w:val="24"/>
        </w:rPr>
        <w:t>.</w:t>
      </w:r>
      <w:r w:rsidR="00372245" w:rsidRPr="008D0165">
        <w:rPr>
          <w:rFonts w:eastAsia="Japanese Gothic"/>
          <w:spacing w:val="-2"/>
          <w:sz w:val="24"/>
          <w:szCs w:val="24"/>
        </w:rPr>
        <w:t xml:space="preserve"> wyniósł 99,3%, </w:t>
      </w:r>
      <w:r w:rsidR="00372245" w:rsidRPr="008D0165">
        <w:rPr>
          <w:sz w:val="24"/>
          <w:szCs w:val="24"/>
        </w:rPr>
        <w:t>co pozwala bardzo pozytywnie ocenić zdolność płatników do</w:t>
      </w:r>
      <w:r w:rsidR="002F4A5C">
        <w:rPr>
          <w:sz w:val="24"/>
          <w:szCs w:val="24"/>
        </w:rPr>
        <w:t> </w:t>
      </w:r>
      <w:r w:rsidR="00372245" w:rsidRPr="008D0165">
        <w:rPr>
          <w:sz w:val="24"/>
          <w:szCs w:val="24"/>
        </w:rPr>
        <w:t>regulowania zobowiązań składkowych. W 2020 r</w:t>
      </w:r>
      <w:r w:rsidR="00287F94">
        <w:rPr>
          <w:sz w:val="24"/>
          <w:szCs w:val="24"/>
        </w:rPr>
        <w:t>.</w:t>
      </w:r>
      <w:r w:rsidR="00372245" w:rsidRPr="008D0165">
        <w:rPr>
          <w:sz w:val="24"/>
          <w:szCs w:val="24"/>
        </w:rPr>
        <w:t xml:space="preserve"> wskaźnik ten wyniósł 94,1%</w:t>
      </w:r>
      <w:r w:rsidR="002F4A5C">
        <w:rPr>
          <w:sz w:val="24"/>
          <w:szCs w:val="24"/>
        </w:rPr>
        <w:t> </w:t>
      </w:r>
      <w:r w:rsidR="004E78D8" w:rsidRPr="008D0165">
        <w:rPr>
          <w:sz w:val="24"/>
          <w:szCs w:val="24"/>
        </w:rPr>
        <w:t>m.in.</w:t>
      </w:r>
      <w:r w:rsidR="002F4A5C">
        <w:rPr>
          <w:sz w:val="24"/>
          <w:szCs w:val="24"/>
        </w:rPr>
        <w:t> </w:t>
      </w:r>
      <w:r w:rsidR="004E78D8" w:rsidRPr="008D0165">
        <w:rPr>
          <w:sz w:val="24"/>
          <w:szCs w:val="24"/>
        </w:rPr>
        <w:t>na</w:t>
      </w:r>
      <w:r w:rsidR="002F4A5C">
        <w:rPr>
          <w:sz w:val="24"/>
          <w:szCs w:val="24"/>
        </w:rPr>
        <w:t> </w:t>
      </w:r>
      <w:r w:rsidR="004E78D8" w:rsidRPr="008D0165">
        <w:rPr>
          <w:sz w:val="24"/>
          <w:szCs w:val="24"/>
        </w:rPr>
        <w:t xml:space="preserve">skutek zwolnienia wielu </w:t>
      </w:r>
      <w:r w:rsidR="00BF6E9D" w:rsidRPr="008D0165">
        <w:rPr>
          <w:sz w:val="24"/>
          <w:szCs w:val="24"/>
        </w:rPr>
        <w:t>płatników z </w:t>
      </w:r>
      <w:r w:rsidR="004E78D8" w:rsidRPr="008D0165">
        <w:rPr>
          <w:sz w:val="24"/>
          <w:szCs w:val="24"/>
        </w:rPr>
        <w:t>opłacania składek</w:t>
      </w:r>
      <w:r w:rsidR="00ED6D42" w:rsidRPr="008D0165">
        <w:rPr>
          <w:sz w:val="24"/>
          <w:szCs w:val="24"/>
        </w:rPr>
        <w:t xml:space="preserve"> w niektórych miesiącach roku. W</w:t>
      </w:r>
      <w:r w:rsidRPr="008D0165">
        <w:rPr>
          <w:rFonts w:eastAsia="Japanese Gothic"/>
          <w:spacing w:val="-2"/>
          <w:sz w:val="24"/>
          <w:szCs w:val="24"/>
        </w:rPr>
        <w:t xml:space="preserve"> 2021 r</w:t>
      </w:r>
      <w:r w:rsidR="00287F94">
        <w:rPr>
          <w:rFonts w:eastAsia="Japanese Gothic"/>
          <w:spacing w:val="-2"/>
          <w:sz w:val="24"/>
          <w:szCs w:val="24"/>
        </w:rPr>
        <w:t>.</w:t>
      </w:r>
      <w:r w:rsidR="00372245" w:rsidRPr="008D0165">
        <w:rPr>
          <w:rFonts w:eastAsia="Japanese Gothic"/>
          <w:spacing w:val="-2"/>
          <w:sz w:val="24"/>
          <w:szCs w:val="24"/>
        </w:rPr>
        <w:t xml:space="preserve"> </w:t>
      </w:r>
      <w:r w:rsidR="00ED6D42" w:rsidRPr="008D0165">
        <w:rPr>
          <w:rFonts w:eastAsia="Japanese Gothic"/>
          <w:spacing w:val="-2"/>
          <w:sz w:val="24"/>
          <w:szCs w:val="24"/>
        </w:rPr>
        <w:t xml:space="preserve">wskaźnik ten </w:t>
      </w:r>
      <w:r w:rsidR="00372245" w:rsidRPr="008D0165">
        <w:rPr>
          <w:rFonts w:eastAsia="Japanese Gothic"/>
          <w:spacing w:val="-2"/>
          <w:sz w:val="24"/>
          <w:szCs w:val="24"/>
        </w:rPr>
        <w:t>wyniósł 99,7%.</w:t>
      </w:r>
    </w:p>
    <w:p w14:paraId="7C229C07" w14:textId="1643BD88" w:rsidR="007C5946" w:rsidRPr="008D0165" w:rsidRDefault="00673BFE" w:rsidP="00FC39E3">
      <w:pPr>
        <w:pStyle w:val="Akapitzlist"/>
        <w:numPr>
          <w:ilvl w:val="1"/>
          <w:numId w:val="14"/>
        </w:numPr>
        <w:spacing w:before="120" w:after="120"/>
        <w:contextualSpacing w:val="0"/>
        <w:jc w:val="both"/>
        <w:rPr>
          <w:b/>
          <w:sz w:val="24"/>
          <w:szCs w:val="24"/>
        </w:rPr>
      </w:pPr>
      <w:r w:rsidRPr="008D0165">
        <w:rPr>
          <w:b/>
          <w:sz w:val="24"/>
          <w:szCs w:val="24"/>
        </w:rPr>
        <w:t>Wpływ</w:t>
      </w:r>
      <w:r w:rsidR="007C5946" w:rsidRPr="008D0165">
        <w:rPr>
          <w:b/>
          <w:sz w:val="24"/>
          <w:szCs w:val="24"/>
        </w:rPr>
        <w:t xml:space="preserve"> epidemii C</w:t>
      </w:r>
      <w:r w:rsidR="00932210">
        <w:rPr>
          <w:b/>
          <w:sz w:val="24"/>
          <w:szCs w:val="24"/>
        </w:rPr>
        <w:t>OVID</w:t>
      </w:r>
      <w:r w:rsidR="007C5946" w:rsidRPr="008D0165">
        <w:rPr>
          <w:b/>
          <w:sz w:val="24"/>
          <w:szCs w:val="24"/>
        </w:rPr>
        <w:t>-19</w:t>
      </w:r>
      <w:r w:rsidRPr="008D0165">
        <w:rPr>
          <w:b/>
          <w:sz w:val="24"/>
          <w:szCs w:val="24"/>
        </w:rPr>
        <w:t xml:space="preserve"> na stabilność FUS</w:t>
      </w:r>
    </w:p>
    <w:p w14:paraId="56C8A736" w14:textId="71032990" w:rsidR="0024215E" w:rsidRPr="008D0165" w:rsidRDefault="0024215E" w:rsidP="00FC39E3">
      <w:pPr>
        <w:spacing w:before="120" w:after="120"/>
        <w:jc w:val="both"/>
        <w:rPr>
          <w:sz w:val="24"/>
          <w:szCs w:val="24"/>
        </w:rPr>
      </w:pPr>
      <w:r w:rsidRPr="008D0165">
        <w:rPr>
          <w:sz w:val="24"/>
          <w:szCs w:val="24"/>
        </w:rPr>
        <w:t>Sytuacja związana z pandemią wpłynęła w dużym stopniu na sytuację finansową funduszy zarządzanych przez ZUS, a szczególne na FUS. Znaczenie miało nie tylko tąpnięcie w zakresie podstawowych wskaźników makroekonomicznych, ale również wprowadzenie przez rząd licznych programów pomocowych, których celem było łagodzenie skutków recesji przez m.in.: zwolnienie z obowiązku opłacania należności z tytułu składek na ubezpieczenia społeczne, odroczenie terminu płatności lub rozłożenie na raty należności z tytułu składek, możliwość obniżenia wynagrodzeń pracownikom oraz dofinansowanie w ramach tarczy antykryzysowej.</w:t>
      </w:r>
    </w:p>
    <w:p w14:paraId="6AC3A765" w14:textId="1EE4BBF9" w:rsidR="0024215E" w:rsidRPr="008D0165" w:rsidRDefault="0024215E" w:rsidP="00FC39E3">
      <w:pPr>
        <w:spacing w:before="120" w:after="120"/>
        <w:jc w:val="both"/>
        <w:rPr>
          <w:sz w:val="24"/>
          <w:szCs w:val="24"/>
        </w:rPr>
      </w:pPr>
      <w:r w:rsidRPr="008D0165">
        <w:rPr>
          <w:sz w:val="24"/>
          <w:szCs w:val="24"/>
        </w:rPr>
        <w:t xml:space="preserve">Zmiany prawne, które miały wpływ na </w:t>
      </w:r>
      <w:r w:rsidR="004E5854" w:rsidRPr="008D0165">
        <w:rPr>
          <w:sz w:val="24"/>
          <w:szCs w:val="24"/>
        </w:rPr>
        <w:t>sytuację FUS</w:t>
      </w:r>
      <w:r w:rsidRPr="008D0165">
        <w:rPr>
          <w:sz w:val="24"/>
          <w:szCs w:val="24"/>
        </w:rPr>
        <w:t xml:space="preserve">, w większości były związane z przeciwdziałaniem skutkom epidemii koronawirusa. Najistotniejszym aktem prawnym wprowadzającym pakiety pomocowe w związku z kryzysem wywołanym pandemią </w:t>
      </w:r>
      <w:r w:rsidR="004E5854" w:rsidRPr="008D0165">
        <w:rPr>
          <w:sz w:val="24"/>
          <w:szCs w:val="24"/>
        </w:rPr>
        <w:t>była</w:t>
      </w:r>
      <w:r w:rsidRPr="008D0165">
        <w:rPr>
          <w:sz w:val="24"/>
          <w:szCs w:val="24"/>
        </w:rPr>
        <w:t xml:space="preserve"> specustawa z dnia 2 marca 2020 r. o</w:t>
      </w:r>
      <w:r w:rsidR="004E5854" w:rsidRPr="008D0165">
        <w:rPr>
          <w:sz w:val="24"/>
          <w:szCs w:val="24"/>
        </w:rPr>
        <w:t> </w:t>
      </w:r>
      <w:r w:rsidRPr="008D0165">
        <w:rPr>
          <w:sz w:val="24"/>
          <w:szCs w:val="24"/>
        </w:rPr>
        <w:t>szczególnych rozwiązaniach związanych z zapobieganiem, przeciwdziałaniem i zwalczaniem COVID-19, innych chorób zakaźnych i wywołanych nimi sytuacji kryzysowych (Dz.</w:t>
      </w:r>
      <w:r w:rsidR="00287F94">
        <w:rPr>
          <w:sz w:val="24"/>
          <w:szCs w:val="24"/>
        </w:rPr>
        <w:t xml:space="preserve"> </w:t>
      </w:r>
      <w:r w:rsidRPr="008D0165">
        <w:rPr>
          <w:sz w:val="24"/>
          <w:szCs w:val="24"/>
        </w:rPr>
        <w:t>U. z </w:t>
      </w:r>
      <w:r w:rsidR="00BD30AF" w:rsidRPr="008D0165">
        <w:rPr>
          <w:sz w:val="24"/>
          <w:szCs w:val="24"/>
        </w:rPr>
        <w:t>202</w:t>
      </w:r>
      <w:r w:rsidR="00287F94">
        <w:rPr>
          <w:sz w:val="24"/>
          <w:szCs w:val="24"/>
        </w:rPr>
        <w:t>1</w:t>
      </w:r>
      <w:r w:rsidR="00BD30AF" w:rsidRPr="008D0165">
        <w:rPr>
          <w:sz w:val="24"/>
          <w:szCs w:val="24"/>
        </w:rPr>
        <w:t xml:space="preserve"> r.</w:t>
      </w:r>
      <w:r w:rsidRPr="008D0165">
        <w:rPr>
          <w:sz w:val="24"/>
          <w:szCs w:val="24"/>
        </w:rPr>
        <w:t xml:space="preserve"> poz. </w:t>
      </w:r>
      <w:r w:rsidR="00287F94">
        <w:rPr>
          <w:sz w:val="24"/>
          <w:szCs w:val="24"/>
        </w:rPr>
        <w:t>2095</w:t>
      </w:r>
      <w:r w:rsidR="00817A11">
        <w:rPr>
          <w:sz w:val="24"/>
          <w:szCs w:val="24"/>
        </w:rPr>
        <w:t>,</w:t>
      </w:r>
      <w:r w:rsidRPr="008D0165">
        <w:rPr>
          <w:sz w:val="24"/>
          <w:szCs w:val="24"/>
        </w:rPr>
        <w:t xml:space="preserve"> z</w:t>
      </w:r>
      <w:r w:rsidR="004E5854" w:rsidRPr="008D0165">
        <w:rPr>
          <w:sz w:val="24"/>
          <w:szCs w:val="24"/>
        </w:rPr>
        <w:t> </w:t>
      </w:r>
      <w:r w:rsidRPr="008D0165">
        <w:rPr>
          <w:sz w:val="24"/>
          <w:szCs w:val="24"/>
        </w:rPr>
        <w:t>późn. zm.), która wprowadziła:</w:t>
      </w:r>
    </w:p>
    <w:p w14:paraId="6EF9B34B" w14:textId="23C7ECBF" w:rsidR="0024215E" w:rsidRPr="008D0165" w:rsidRDefault="0024215E" w:rsidP="00FC39E3">
      <w:pPr>
        <w:pStyle w:val="Akapitzlist"/>
        <w:numPr>
          <w:ilvl w:val="0"/>
          <w:numId w:val="9"/>
        </w:numPr>
        <w:spacing w:before="120" w:after="120"/>
        <w:contextualSpacing w:val="0"/>
        <w:jc w:val="both"/>
        <w:rPr>
          <w:sz w:val="24"/>
          <w:szCs w:val="24"/>
        </w:rPr>
      </w:pPr>
      <w:r w:rsidRPr="008D0165">
        <w:rPr>
          <w:sz w:val="24"/>
          <w:szCs w:val="24"/>
        </w:rPr>
        <w:t xml:space="preserve">zwolnienia z należności </w:t>
      </w:r>
      <w:r w:rsidR="00BC235C" w:rsidRPr="008D0165">
        <w:rPr>
          <w:sz w:val="24"/>
          <w:szCs w:val="24"/>
        </w:rPr>
        <w:t xml:space="preserve">z tytułu składek za okresy od </w:t>
      </w:r>
      <w:r w:rsidRPr="008D0165">
        <w:rPr>
          <w:sz w:val="24"/>
          <w:szCs w:val="24"/>
        </w:rPr>
        <w:t>marca</w:t>
      </w:r>
      <w:r w:rsidR="00BC235C" w:rsidRPr="008D0165">
        <w:rPr>
          <w:sz w:val="24"/>
          <w:szCs w:val="24"/>
        </w:rPr>
        <w:t xml:space="preserve"> do maja</w:t>
      </w:r>
      <w:r w:rsidRPr="008D0165">
        <w:rPr>
          <w:sz w:val="24"/>
          <w:szCs w:val="24"/>
        </w:rPr>
        <w:t xml:space="preserve"> 2020 r.</w:t>
      </w:r>
      <w:r w:rsidR="00BC235C" w:rsidRPr="008D0165">
        <w:rPr>
          <w:sz w:val="24"/>
          <w:szCs w:val="24"/>
        </w:rPr>
        <w:t xml:space="preserve"> dla mikro i małych płatników składek, zaś </w:t>
      </w:r>
      <w:r w:rsidRPr="008D0165">
        <w:rPr>
          <w:sz w:val="24"/>
          <w:szCs w:val="24"/>
        </w:rPr>
        <w:t xml:space="preserve">od </w:t>
      </w:r>
      <w:r w:rsidR="00BC235C" w:rsidRPr="008D0165">
        <w:rPr>
          <w:sz w:val="24"/>
          <w:szCs w:val="24"/>
        </w:rPr>
        <w:t>lipca do wrześn</w:t>
      </w:r>
      <w:r w:rsidR="003F7F9A" w:rsidRPr="008D0165">
        <w:rPr>
          <w:sz w:val="24"/>
          <w:szCs w:val="24"/>
        </w:rPr>
        <w:t>ia</w:t>
      </w:r>
      <w:r w:rsidR="005C7121">
        <w:rPr>
          <w:sz w:val="24"/>
          <w:szCs w:val="24"/>
        </w:rPr>
        <w:t xml:space="preserve"> 2020 r.</w:t>
      </w:r>
      <w:r w:rsidR="003F7F9A" w:rsidRPr="008D0165">
        <w:rPr>
          <w:sz w:val="24"/>
          <w:szCs w:val="24"/>
        </w:rPr>
        <w:t>,</w:t>
      </w:r>
      <w:r w:rsidR="00BC235C" w:rsidRPr="008D0165">
        <w:rPr>
          <w:sz w:val="24"/>
          <w:szCs w:val="24"/>
        </w:rPr>
        <w:t xml:space="preserve"> </w:t>
      </w:r>
      <w:r w:rsidR="005C7121">
        <w:rPr>
          <w:sz w:val="24"/>
          <w:szCs w:val="24"/>
        </w:rPr>
        <w:t xml:space="preserve">oraz </w:t>
      </w:r>
      <w:r w:rsidR="00BC235C" w:rsidRPr="008D0165">
        <w:rPr>
          <w:sz w:val="24"/>
          <w:szCs w:val="24"/>
        </w:rPr>
        <w:t xml:space="preserve">od listopada </w:t>
      </w:r>
      <w:r w:rsidRPr="008D0165">
        <w:rPr>
          <w:sz w:val="24"/>
          <w:szCs w:val="24"/>
        </w:rPr>
        <w:t>2020 r.</w:t>
      </w:r>
      <w:r w:rsidR="003F7F9A" w:rsidRPr="008D0165">
        <w:rPr>
          <w:sz w:val="24"/>
          <w:szCs w:val="24"/>
        </w:rPr>
        <w:t xml:space="preserve"> do kwietnia 2021 r.</w:t>
      </w:r>
      <w:r w:rsidR="00CF2D03">
        <w:rPr>
          <w:sz w:val="24"/>
          <w:szCs w:val="24"/>
        </w:rPr>
        <w:t>,</w:t>
      </w:r>
      <w:r w:rsidR="003F7F9A" w:rsidRPr="008D0165">
        <w:rPr>
          <w:sz w:val="24"/>
          <w:szCs w:val="24"/>
        </w:rPr>
        <w:t xml:space="preserve"> </w:t>
      </w:r>
      <w:r w:rsidR="005C7121">
        <w:rPr>
          <w:sz w:val="24"/>
          <w:szCs w:val="24"/>
        </w:rPr>
        <w:t>a także</w:t>
      </w:r>
      <w:r w:rsidR="003F7F9A" w:rsidRPr="008D0165">
        <w:rPr>
          <w:sz w:val="24"/>
          <w:szCs w:val="24"/>
        </w:rPr>
        <w:t xml:space="preserve"> za grudzień 2021 r. </w:t>
      </w:r>
      <w:r w:rsidR="00BC235C" w:rsidRPr="008D0165">
        <w:rPr>
          <w:sz w:val="24"/>
          <w:szCs w:val="24"/>
        </w:rPr>
        <w:t>zwolnienia kierowane do określonych branż</w:t>
      </w:r>
      <w:r w:rsidRPr="008D0165">
        <w:rPr>
          <w:sz w:val="24"/>
          <w:szCs w:val="24"/>
        </w:rPr>
        <w:t xml:space="preserve"> (art. 31zo</w:t>
      </w:r>
      <w:r w:rsidR="00BC235C" w:rsidRPr="008D0165">
        <w:rPr>
          <w:sz w:val="24"/>
          <w:szCs w:val="24"/>
        </w:rPr>
        <w:t xml:space="preserve"> specustawy </w:t>
      </w:r>
      <w:r w:rsidR="00E560AA">
        <w:rPr>
          <w:sz w:val="24"/>
          <w:szCs w:val="24"/>
        </w:rPr>
        <w:t>o</w:t>
      </w:r>
      <w:r w:rsidR="00243800" w:rsidRPr="008D0165">
        <w:rPr>
          <w:sz w:val="24"/>
          <w:szCs w:val="24"/>
        </w:rPr>
        <w:t>raz rozporządzenia Rady Ministrów w sprawie wsparcia uczestników obrotu gospodarczego poszkodowanych wskutek pandemii COVID-19</w:t>
      </w:r>
      <w:r w:rsidRPr="008D0165">
        <w:rPr>
          <w:sz w:val="24"/>
          <w:szCs w:val="24"/>
        </w:rPr>
        <w:t>) – ich łączna kwot</w:t>
      </w:r>
      <w:r w:rsidR="00BF090D" w:rsidRPr="008D0165">
        <w:rPr>
          <w:sz w:val="24"/>
          <w:szCs w:val="24"/>
        </w:rPr>
        <w:t>a w 2020 r. wyniosła 9,1 mld zł</w:t>
      </w:r>
      <w:r w:rsidR="00AD5018" w:rsidRPr="008D0165">
        <w:rPr>
          <w:sz w:val="24"/>
          <w:szCs w:val="24"/>
        </w:rPr>
        <w:t xml:space="preserve">, </w:t>
      </w:r>
      <w:r w:rsidR="00243800" w:rsidRPr="008D0165">
        <w:rPr>
          <w:sz w:val="24"/>
          <w:szCs w:val="24"/>
        </w:rPr>
        <w:t>zaś</w:t>
      </w:r>
      <w:r w:rsidR="00AD5018" w:rsidRPr="008D0165">
        <w:rPr>
          <w:sz w:val="24"/>
          <w:szCs w:val="24"/>
        </w:rPr>
        <w:t xml:space="preserve"> w 2021 r</w:t>
      </w:r>
      <w:r w:rsidR="00E81E74">
        <w:rPr>
          <w:sz w:val="24"/>
          <w:szCs w:val="24"/>
        </w:rPr>
        <w:t>.</w:t>
      </w:r>
      <w:r w:rsidR="00AD5018" w:rsidRPr="008D0165">
        <w:rPr>
          <w:sz w:val="24"/>
          <w:szCs w:val="24"/>
        </w:rPr>
        <w:t xml:space="preserve"> </w:t>
      </w:r>
      <w:r w:rsidR="00BF090D" w:rsidRPr="008D0165">
        <w:rPr>
          <w:sz w:val="24"/>
          <w:szCs w:val="24"/>
        </w:rPr>
        <w:t>wyniosła 1,6 mld zł</w:t>
      </w:r>
      <w:r w:rsidR="00644073" w:rsidRPr="008D0165">
        <w:rPr>
          <w:sz w:val="24"/>
          <w:szCs w:val="24"/>
        </w:rPr>
        <w:t>,</w:t>
      </w:r>
    </w:p>
    <w:p w14:paraId="7C6029C5" w14:textId="68A39543" w:rsidR="0024215E" w:rsidRPr="008D0165" w:rsidRDefault="0024215E" w:rsidP="00FC39E3">
      <w:pPr>
        <w:pStyle w:val="Akapitzlist"/>
        <w:numPr>
          <w:ilvl w:val="0"/>
          <w:numId w:val="9"/>
        </w:numPr>
        <w:spacing w:before="120" w:after="120"/>
        <w:contextualSpacing w:val="0"/>
        <w:jc w:val="both"/>
        <w:rPr>
          <w:sz w:val="24"/>
          <w:szCs w:val="24"/>
        </w:rPr>
      </w:pPr>
      <w:r w:rsidRPr="008D0165">
        <w:rPr>
          <w:sz w:val="24"/>
          <w:szCs w:val="24"/>
        </w:rPr>
        <w:t>dodatkowy zasiłek opiekuńczy dla ubezpieczonych, którzy musieli zająć się dzieckiem do lat 8 z powodu zamknięcia żłobka, klubu dziecięcego, przedszkola lub szkoły z</w:t>
      </w:r>
      <w:r w:rsidR="002F4A5C">
        <w:rPr>
          <w:sz w:val="24"/>
          <w:szCs w:val="24"/>
        </w:rPr>
        <w:t> </w:t>
      </w:r>
      <w:r w:rsidRPr="008D0165">
        <w:rPr>
          <w:sz w:val="24"/>
          <w:szCs w:val="24"/>
        </w:rPr>
        <w:t>powodu COVID-19, przysługujący w czasie trwania pandemii do dnia 28 czerwca 2020</w:t>
      </w:r>
      <w:r w:rsidR="002F4A5C">
        <w:rPr>
          <w:sz w:val="24"/>
          <w:szCs w:val="24"/>
        </w:rPr>
        <w:t> </w:t>
      </w:r>
      <w:r w:rsidRPr="008D0165">
        <w:rPr>
          <w:sz w:val="24"/>
          <w:szCs w:val="24"/>
        </w:rPr>
        <w:t>r. (art. 4); na mocy kolejnych rozporządzeń dodatkowy zasiłek opiekuńczy przysługiwał również w okresach: od 29 czerwca 2020 r. do 26 lipca 2020 r., od</w:t>
      </w:r>
      <w:r w:rsidR="002F4A5C">
        <w:rPr>
          <w:sz w:val="24"/>
          <w:szCs w:val="24"/>
        </w:rPr>
        <w:t> </w:t>
      </w:r>
      <w:r w:rsidRPr="008D0165">
        <w:rPr>
          <w:sz w:val="24"/>
          <w:szCs w:val="24"/>
        </w:rPr>
        <w:t>1</w:t>
      </w:r>
      <w:r w:rsidR="002F4A5C">
        <w:rPr>
          <w:sz w:val="24"/>
          <w:szCs w:val="24"/>
        </w:rPr>
        <w:t> </w:t>
      </w:r>
      <w:r w:rsidRPr="008D0165">
        <w:rPr>
          <w:sz w:val="24"/>
          <w:szCs w:val="24"/>
        </w:rPr>
        <w:t>września 2020 r. do 20 września 2020 r., od 9 listopada 2020 r. do 24 grudnia 2020</w:t>
      </w:r>
      <w:r w:rsidR="002F4A5C">
        <w:rPr>
          <w:sz w:val="24"/>
          <w:szCs w:val="24"/>
        </w:rPr>
        <w:t> </w:t>
      </w:r>
      <w:r w:rsidRPr="008D0165">
        <w:rPr>
          <w:sz w:val="24"/>
          <w:szCs w:val="24"/>
        </w:rPr>
        <w:t xml:space="preserve">r. oraz od 28 grudnia 2020 r. do 31 </w:t>
      </w:r>
      <w:r w:rsidRPr="008D0165">
        <w:rPr>
          <w:sz w:val="24"/>
          <w:szCs w:val="24"/>
        </w:rPr>
        <w:lastRenderedPageBreak/>
        <w:t xml:space="preserve">grudnia 2020 r. – szacunkowa kwota wydatków na dodatkowy zasiłek opiekuńczy </w:t>
      </w:r>
      <w:r w:rsidR="007B6E25" w:rsidRPr="008D0165">
        <w:rPr>
          <w:sz w:val="24"/>
          <w:szCs w:val="24"/>
        </w:rPr>
        <w:t xml:space="preserve">w 2020 r. </w:t>
      </w:r>
      <w:r w:rsidRPr="008D0165">
        <w:rPr>
          <w:sz w:val="24"/>
          <w:szCs w:val="24"/>
        </w:rPr>
        <w:t>wyniosła 2,6 mld zł</w:t>
      </w:r>
      <w:r w:rsidR="007B6E25" w:rsidRPr="008D0165">
        <w:rPr>
          <w:sz w:val="24"/>
          <w:szCs w:val="24"/>
        </w:rPr>
        <w:t>, zaś</w:t>
      </w:r>
      <w:r w:rsidR="002F4A5C">
        <w:rPr>
          <w:sz w:val="24"/>
          <w:szCs w:val="24"/>
        </w:rPr>
        <w:t> </w:t>
      </w:r>
      <w:r w:rsidR="007B6E25" w:rsidRPr="008D0165">
        <w:rPr>
          <w:sz w:val="24"/>
          <w:szCs w:val="24"/>
        </w:rPr>
        <w:t>w</w:t>
      </w:r>
      <w:r w:rsidR="002F4A5C">
        <w:rPr>
          <w:sz w:val="24"/>
          <w:szCs w:val="24"/>
        </w:rPr>
        <w:t> </w:t>
      </w:r>
      <w:r w:rsidR="007B6E25" w:rsidRPr="008D0165">
        <w:rPr>
          <w:sz w:val="24"/>
          <w:szCs w:val="24"/>
        </w:rPr>
        <w:t>2021</w:t>
      </w:r>
      <w:r w:rsidR="002F4A5C">
        <w:rPr>
          <w:sz w:val="24"/>
          <w:szCs w:val="24"/>
        </w:rPr>
        <w:t> </w:t>
      </w:r>
      <w:r w:rsidR="007B6E25" w:rsidRPr="008D0165">
        <w:rPr>
          <w:sz w:val="24"/>
          <w:szCs w:val="24"/>
        </w:rPr>
        <w:t>r. wyniosła 0,8 mld zł</w:t>
      </w:r>
      <w:r w:rsidRPr="008D0165">
        <w:rPr>
          <w:sz w:val="24"/>
          <w:szCs w:val="24"/>
        </w:rPr>
        <w:t>.</w:t>
      </w:r>
    </w:p>
    <w:p w14:paraId="102F6F91" w14:textId="33A32D41" w:rsidR="005C1E1B" w:rsidRDefault="0024215E" w:rsidP="00FC39E3">
      <w:pPr>
        <w:spacing w:before="120" w:after="120"/>
        <w:jc w:val="both"/>
        <w:rPr>
          <w:sz w:val="24"/>
          <w:szCs w:val="24"/>
        </w:rPr>
      </w:pPr>
      <w:r w:rsidRPr="008D0165">
        <w:rPr>
          <w:sz w:val="24"/>
          <w:szCs w:val="24"/>
        </w:rPr>
        <w:t>Wpływ pandemii na FUS był odczuwalny zarówno po stronie dochodów, jak i wydatków</w:t>
      </w:r>
      <w:r w:rsidR="00AA4F5A" w:rsidRPr="008D0165">
        <w:rPr>
          <w:sz w:val="24"/>
          <w:szCs w:val="24"/>
        </w:rPr>
        <w:t xml:space="preserve">. </w:t>
      </w:r>
      <w:r w:rsidR="00CC66DD" w:rsidRPr="008D0165">
        <w:rPr>
          <w:sz w:val="24"/>
          <w:szCs w:val="24"/>
        </w:rPr>
        <w:t>N</w:t>
      </w:r>
      <w:r w:rsidR="00AA4F5A" w:rsidRPr="008D0165">
        <w:rPr>
          <w:sz w:val="24"/>
          <w:szCs w:val="24"/>
        </w:rPr>
        <w:t xml:space="preserve">iedobór </w:t>
      </w:r>
      <w:r w:rsidR="001C5B91" w:rsidRPr="008D0165">
        <w:rPr>
          <w:sz w:val="24"/>
          <w:szCs w:val="24"/>
        </w:rPr>
        <w:t>tego funduszu</w:t>
      </w:r>
      <w:r w:rsidR="00AA4F5A" w:rsidRPr="008D0165">
        <w:rPr>
          <w:sz w:val="24"/>
          <w:szCs w:val="24"/>
        </w:rPr>
        <w:t xml:space="preserve"> wynikający ze skutków pandemii został uzupełniony z Funduszu Przeciwdziałania COVID-19 powołanego na mocy </w:t>
      </w:r>
      <w:r w:rsidR="001C5B91" w:rsidRPr="008D0165">
        <w:rPr>
          <w:sz w:val="24"/>
          <w:szCs w:val="24"/>
        </w:rPr>
        <w:t>spec</w:t>
      </w:r>
      <w:r w:rsidR="00AA4F5A" w:rsidRPr="008D0165">
        <w:rPr>
          <w:sz w:val="24"/>
          <w:szCs w:val="24"/>
        </w:rPr>
        <w:t>ustawy. Łączna kwota środków, które</w:t>
      </w:r>
      <w:r w:rsidR="008123D6">
        <w:rPr>
          <w:sz w:val="24"/>
          <w:szCs w:val="24"/>
        </w:rPr>
        <w:t> </w:t>
      </w:r>
      <w:r w:rsidR="00AA4F5A" w:rsidRPr="008D0165">
        <w:rPr>
          <w:sz w:val="24"/>
          <w:szCs w:val="24"/>
        </w:rPr>
        <w:t xml:space="preserve">zostały przekazane do FUS </w:t>
      </w:r>
      <w:r w:rsidR="00CD5C50" w:rsidRPr="008D0165">
        <w:rPr>
          <w:sz w:val="24"/>
          <w:szCs w:val="24"/>
        </w:rPr>
        <w:t>w 2020 r.</w:t>
      </w:r>
      <w:r w:rsidR="001E2933">
        <w:rPr>
          <w:sz w:val="24"/>
          <w:szCs w:val="24"/>
        </w:rPr>
        <w:t>,</w:t>
      </w:r>
      <w:r w:rsidR="00CD5C50" w:rsidRPr="008D0165">
        <w:rPr>
          <w:sz w:val="24"/>
          <w:szCs w:val="24"/>
        </w:rPr>
        <w:t xml:space="preserve"> </w:t>
      </w:r>
      <w:r w:rsidR="00AA4F5A" w:rsidRPr="008D0165">
        <w:rPr>
          <w:sz w:val="24"/>
          <w:szCs w:val="24"/>
        </w:rPr>
        <w:t>wyniosła 28,3 mld zł</w:t>
      </w:r>
      <w:r w:rsidR="00CD5C50" w:rsidRPr="008D0165">
        <w:rPr>
          <w:sz w:val="24"/>
          <w:szCs w:val="24"/>
        </w:rPr>
        <w:t>. FUS nie był zasilany z tego funduszu w</w:t>
      </w:r>
      <w:r w:rsidR="00851123" w:rsidRPr="008D0165">
        <w:rPr>
          <w:sz w:val="24"/>
          <w:szCs w:val="24"/>
        </w:rPr>
        <w:t> </w:t>
      </w:r>
      <w:r w:rsidR="00CC66DD" w:rsidRPr="008D0165">
        <w:rPr>
          <w:sz w:val="24"/>
          <w:szCs w:val="24"/>
        </w:rPr>
        <w:t>2021 r</w:t>
      </w:r>
      <w:r w:rsidR="00616A59" w:rsidRPr="008D0165">
        <w:rPr>
          <w:sz w:val="24"/>
          <w:szCs w:val="24"/>
        </w:rPr>
        <w:t>.</w:t>
      </w:r>
    </w:p>
    <w:p w14:paraId="06D7D10A" w14:textId="77777777" w:rsidR="00FC39E3" w:rsidRPr="008D0165" w:rsidRDefault="00FC39E3" w:rsidP="00FC39E3">
      <w:pPr>
        <w:spacing w:before="120" w:after="120"/>
        <w:jc w:val="both"/>
        <w:rPr>
          <w:sz w:val="24"/>
          <w:szCs w:val="24"/>
        </w:rPr>
      </w:pPr>
    </w:p>
    <w:p w14:paraId="207B2B6D" w14:textId="77777777" w:rsidR="00FA550C" w:rsidRPr="008D0165" w:rsidRDefault="00FA550C" w:rsidP="00FC39E3">
      <w:pPr>
        <w:pStyle w:val="Akapitzlist"/>
        <w:numPr>
          <w:ilvl w:val="1"/>
          <w:numId w:val="14"/>
        </w:numPr>
        <w:spacing w:before="120" w:after="120"/>
        <w:contextualSpacing w:val="0"/>
        <w:jc w:val="both"/>
        <w:rPr>
          <w:b/>
          <w:sz w:val="24"/>
          <w:szCs w:val="24"/>
        </w:rPr>
      </w:pPr>
      <w:r w:rsidRPr="008D0165">
        <w:rPr>
          <w:b/>
          <w:sz w:val="24"/>
          <w:szCs w:val="24"/>
        </w:rPr>
        <w:t>Sytuacja finansowa FUS</w:t>
      </w:r>
    </w:p>
    <w:p w14:paraId="303DB051" w14:textId="63E0A23B" w:rsidR="00FA550C" w:rsidRPr="008D0165" w:rsidRDefault="00A906B5" w:rsidP="00FC39E3">
      <w:pPr>
        <w:spacing w:before="120" w:after="120"/>
        <w:jc w:val="both"/>
        <w:rPr>
          <w:sz w:val="24"/>
          <w:szCs w:val="24"/>
        </w:rPr>
      </w:pPr>
      <w:r w:rsidRPr="008D0165">
        <w:rPr>
          <w:sz w:val="24"/>
          <w:szCs w:val="24"/>
        </w:rPr>
        <w:t>W tabeli 5 przedstawiono szczegółowe dane dotyczące wykonania planów finansowych FUS w latach 2019–2021. Dane te pochodzą</w:t>
      </w:r>
      <w:r w:rsidR="00BF6E9D" w:rsidRPr="008D0165">
        <w:rPr>
          <w:sz w:val="24"/>
          <w:szCs w:val="24"/>
        </w:rPr>
        <w:t xml:space="preserve"> ze sprawozdań z wykonania planu finansowego FUS za lata 2019–2021.</w:t>
      </w:r>
    </w:p>
    <w:p w14:paraId="49A1E459" w14:textId="77777777" w:rsidR="00FE392B" w:rsidRPr="008D0165" w:rsidRDefault="00FE392B" w:rsidP="0084113E">
      <w:pPr>
        <w:spacing w:before="120" w:after="120" w:line="23" w:lineRule="atLeast"/>
        <w:jc w:val="both"/>
        <w:rPr>
          <w:b/>
          <w:sz w:val="24"/>
          <w:szCs w:val="24"/>
        </w:rPr>
      </w:pPr>
    </w:p>
    <w:p w14:paraId="62C20AC3" w14:textId="77777777" w:rsidR="00FC39E3" w:rsidRDefault="00FC39E3">
      <w:pPr>
        <w:rPr>
          <w:b/>
          <w:sz w:val="24"/>
          <w:szCs w:val="24"/>
        </w:rPr>
      </w:pPr>
      <w:r>
        <w:rPr>
          <w:b/>
          <w:sz w:val="24"/>
          <w:szCs w:val="24"/>
        </w:rPr>
        <w:br w:type="page"/>
      </w:r>
    </w:p>
    <w:p w14:paraId="4923D246" w14:textId="77777777" w:rsidR="0069095E" w:rsidRPr="008D0165" w:rsidRDefault="0069095E" w:rsidP="0084113E">
      <w:pPr>
        <w:spacing w:before="120" w:after="120" w:line="23" w:lineRule="atLeast"/>
        <w:jc w:val="both"/>
        <w:rPr>
          <w:b/>
          <w:sz w:val="24"/>
          <w:szCs w:val="24"/>
        </w:rPr>
      </w:pPr>
      <w:r w:rsidRPr="008D0165">
        <w:rPr>
          <w:b/>
          <w:sz w:val="24"/>
          <w:szCs w:val="24"/>
        </w:rPr>
        <w:lastRenderedPageBreak/>
        <w:t>Tabela 5. Wykonanie planów finansowych FUS w latach 2019–2021</w:t>
      </w:r>
    </w:p>
    <w:p w14:paraId="7E46B5CC" w14:textId="77777777" w:rsidR="00725AE7" w:rsidRPr="008D0165" w:rsidRDefault="00725AE7" w:rsidP="0084113E">
      <w:pPr>
        <w:spacing w:before="120" w:after="120" w:line="23" w:lineRule="atLeast"/>
        <w:jc w:val="both"/>
        <w:rPr>
          <w:b/>
          <w:sz w:val="24"/>
          <w:szCs w:val="24"/>
        </w:rPr>
      </w:pPr>
      <w:r w:rsidRPr="008D0165">
        <w:rPr>
          <w:b/>
          <w:sz w:val="24"/>
          <w:szCs w:val="24"/>
        </w:rPr>
        <w:t>Część A</w:t>
      </w:r>
    </w:p>
    <w:tbl>
      <w:tblPr>
        <w:tblW w:w="9072" w:type="dxa"/>
        <w:tblInd w:w="70" w:type="dxa"/>
        <w:tblCellMar>
          <w:left w:w="70" w:type="dxa"/>
          <w:right w:w="70" w:type="dxa"/>
        </w:tblCellMar>
        <w:tblLook w:val="04A0" w:firstRow="1" w:lastRow="0" w:firstColumn="1" w:lastColumn="0" w:noHBand="0" w:noVBand="1"/>
      </w:tblPr>
      <w:tblGrid>
        <w:gridCol w:w="611"/>
        <w:gridCol w:w="4098"/>
        <w:gridCol w:w="1449"/>
        <w:gridCol w:w="1465"/>
        <w:gridCol w:w="1449"/>
      </w:tblGrid>
      <w:tr w:rsidR="00833FA6" w:rsidRPr="008D0165" w14:paraId="681BD295" w14:textId="77777777" w:rsidTr="001E63D2">
        <w:trPr>
          <w:trHeight w:val="340"/>
          <w:tblHeader/>
        </w:trPr>
        <w:tc>
          <w:tcPr>
            <w:tcW w:w="580" w:type="dxa"/>
            <w:vMerge w:val="restart"/>
            <w:tcBorders>
              <w:top w:val="single" w:sz="8" w:space="0" w:color="auto"/>
              <w:left w:val="single" w:sz="8" w:space="0" w:color="auto"/>
              <w:right w:val="single" w:sz="4" w:space="0" w:color="auto"/>
            </w:tcBorders>
            <w:shd w:val="clear" w:color="auto" w:fill="B8CCE4" w:themeFill="accent1" w:themeFillTint="66"/>
            <w:noWrap/>
            <w:vAlign w:val="center"/>
            <w:hideMark/>
          </w:tcPr>
          <w:p w14:paraId="79B9424D" w14:textId="77777777" w:rsidR="00833FA6" w:rsidRPr="008D0165" w:rsidRDefault="00833FA6" w:rsidP="00833FA6">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 Poz.</w:t>
            </w:r>
          </w:p>
        </w:tc>
        <w:tc>
          <w:tcPr>
            <w:tcW w:w="4098" w:type="dxa"/>
            <w:vMerge w:val="restart"/>
            <w:tcBorders>
              <w:top w:val="single" w:sz="8" w:space="0" w:color="auto"/>
              <w:left w:val="nil"/>
              <w:right w:val="nil"/>
            </w:tcBorders>
            <w:shd w:val="clear" w:color="auto" w:fill="B8CCE4" w:themeFill="accent1" w:themeFillTint="66"/>
            <w:noWrap/>
            <w:vAlign w:val="center"/>
            <w:hideMark/>
          </w:tcPr>
          <w:p w14:paraId="53317317" w14:textId="77777777" w:rsidR="00833FA6" w:rsidRPr="008D0165" w:rsidRDefault="00833FA6" w:rsidP="0084113E">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Treść</w:t>
            </w:r>
          </w:p>
        </w:tc>
        <w:tc>
          <w:tcPr>
            <w:tcW w:w="1464" w:type="dxa"/>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tcPr>
          <w:p w14:paraId="2B192195" w14:textId="77777777" w:rsidR="00833FA6" w:rsidRPr="008D0165" w:rsidRDefault="00833FA6" w:rsidP="0084113E">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2019</w:t>
            </w:r>
          </w:p>
        </w:tc>
        <w:tc>
          <w:tcPr>
            <w:tcW w:w="1465" w:type="dxa"/>
            <w:tcBorders>
              <w:top w:val="single" w:sz="8" w:space="0" w:color="auto"/>
              <w:left w:val="single" w:sz="8" w:space="0" w:color="auto"/>
              <w:bottom w:val="single" w:sz="4" w:space="0" w:color="auto"/>
              <w:right w:val="single" w:sz="8" w:space="0" w:color="auto"/>
            </w:tcBorders>
            <w:shd w:val="clear" w:color="auto" w:fill="B8CCE4" w:themeFill="accent1" w:themeFillTint="66"/>
            <w:vAlign w:val="center"/>
            <w:hideMark/>
          </w:tcPr>
          <w:p w14:paraId="7E2A1E00" w14:textId="77777777" w:rsidR="00833FA6" w:rsidRPr="008D0165" w:rsidRDefault="00833FA6" w:rsidP="00833FA6">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2020</w:t>
            </w:r>
          </w:p>
        </w:tc>
        <w:tc>
          <w:tcPr>
            <w:tcW w:w="1465"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0CDF424" w14:textId="77777777" w:rsidR="00833FA6" w:rsidRPr="008D0165" w:rsidRDefault="00833FA6" w:rsidP="0084113E">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2021</w:t>
            </w:r>
          </w:p>
        </w:tc>
      </w:tr>
      <w:tr w:rsidR="00833FA6" w:rsidRPr="008D0165" w14:paraId="0D4DB71E" w14:textId="77777777" w:rsidTr="001E63D2">
        <w:trPr>
          <w:trHeight w:val="340"/>
          <w:tblHeader/>
        </w:trPr>
        <w:tc>
          <w:tcPr>
            <w:tcW w:w="580" w:type="dxa"/>
            <w:vMerge/>
            <w:tcBorders>
              <w:left w:val="single" w:sz="8" w:space="0" w:color="auto"/>
              <w:bottom w:val="single" w:sz="4" w:space="0" w:color="auto"/>
              <w:right w:val="single" w:sz="4" w:space="0" w:color="auto"/>
            </w:tcBorders>
            <w:shd w:val="clear" w:color="auto" w:fill="B8CCE4" w:themeFill="accent1" w:themeFillTint="66"/>
            <w:noWrap/>
            <w:vAlign w:val="center"/>
          </w:tcPr>
          <w:p w14:paraId="0E6A7F3D" w14:textId="77777777" w:rsidR="00833FA6" w:rsidRPr="008D0165" w:rsidRDefault="00833FA6" w:rsidP="00833FA6">
            <w:pPr>
              <w:spacing w:after="0" w:line="240" w:lineRule="auto"/>
              <w:jc w:val="center"/>
              <w:rPr>
                <w:rFonts w:eastAsia="Times New Roman" w:cstheme="minorHAnsi"/>
                <w:b/>
                <w:sz w:val="24"/>
                <w:szCs w:val="24"/>
                <w:lang w:eastAsia="pl-PL"/>
              </w:rPr>
            </w:pPr>
          </w:p>
        </w:tc>
        <w:tc>
          <w:tcPr>
            <w:tcW w:w="4098" w:type="dxa"/>
            <w:vMerge/>
            <w:tcBorders>
              <w:left w:val="nil"/>
              <w:bottom w:val="single" w:sz="4" w:space="0" w:color="auto"/>
              <w:right w:val="nil"/>
            </w:tcBorders>
            <w:shd w:val="clear" w:color="auto" w:fill="B8CCE4" w:themeFill="accent1" w:themeFillTint="66"/>
            <w:noWrap/>
            <w:vAlign w:val="center"/>
          </w:tcPr>
          <w:p w14:paraId="26A00A39" w14:textId="77777777" w:rsidR="00833FA6" w:rsidRPr="008D0165" w:rsidRDefault="00833FA6" w:rsidP="00833FA6">
            <w:pPr>
              <w:spacing w:after="0" w:line="240" w:lineRule="auto"/>
              <w:jc w:val="center"/>
              <w:rPr>
                <w:rFonts w:eastAsia="Times New Roman" w:cstheme="minorHAnsi"/>
                <w:b/>
                <w:sz w:val="24"/>
                <w:szCs w:val="24"/>
                <w:lang w:eastAsia="pl-PL"/>
              </w:rPr>
            </w:pPr>
          </w:p>
        </w:tc>
        <w:tc>
          <w:tcPr>
            <w:tcW w:w="4394" w:type="dxa"/>
            <w:gridSpan w:val="3"/>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64B4F5FC" w14:textId="77777777" w:rsidR="00833FA6" w:rsidRPr="008D0165" w:rsidRDefault="00833FA6" w:rsidP="00833FA6">
            <w:pPr>
              <w:spacing w:after="0" w:line="240" w:lineRule="auto"/>
              <w:jc w:val="center"/>
              <w:rPr>
                <w:rFonts w:eastAsia="Times New Roman" w:cstheme="minorHAnsi"/>
                <w:b/>
                <w:sz w:val="24"/>
                <w:szCs w:val="24"/>
                <w:lang w:eastAsia="pl-PL"/>
              </w:rPr>
            </w:pPr>
            <w:r w:rsidRPr="008D0165">
              <w:rPr>
                <w:rFonts w:eastAsia="Times New Roman" w:cstheme="minorHAnsi"/>
                <w:b/>
                <w:sz w:val="24"/>
                <w:szCs w:val="24"/>
                <w:lang w:eastAsia="pl-PL"/>
              </w:rPr>
              <w:t>w tys. zł</w:t>
            </w:r>
          </w:p>
        </w:tc>
      </w:tr>
      <w:tr w:rsidR="002D6B14" w:rsidRPr="008D0165" w14:paraId="6292F316" w14:textId="77777777" w:rsidTr="00705235">
        <w:trPr>
          <w:trHeight w:val="300"/>
          <w:tblHeader/>
        </w:trPr>
        <w:tc>
          <w:tcPr>
            <w:tcW w:w="580" w:type="dxa"/>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7976A2F5" w14:textId="77777777" w:rsidR="00833FA6" w:rsidRPr="008D0165" w:rsidRDefault="00833FA6" w:rsidP="00833FA6">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1</w:t>
            </w:r>
          </w:p>
        </w:tc>
        <w:tc>
          <w:tcPr>
            <w:tcW w:w="4098" w:type="dxa"/>
            <w:tcBorders>
              <w:top w:val="single" w:sz="4" w:space="0" w:color="auto"/>
              <w:left w:val="nil"/>
              <w:bottom w:val="single" w:sz="4" w:space="0" w:color="auto"/>
              <w:right w:val="nil"/>
            </w:tcBorders>
            <w:shd w:val="clear" w:color="auto" w:fill="B8CCE4" w:themeFill="accent1" w:themeFillTint="66"/>
            <w:noWrap/>
            <w:vAlign w:val="center"/>
            <w:hideMark/>
          </w:tcPr>
          <w:p w14:paraId="57567F86" w14:textId="77777777" w:rsidR="00833FA6" w:rsidRPr="008D0165" w:rsidRDefault="00833FA6" w:rsidP="00833FA6">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2</w:t>
            </w:r>
          </w:p>
        </w:tc>
        <w:tc>
          <w:tcPr>
            <w:tcW w:w="1464" w:type="dxa"/>
            <w:tcBorders>
              <w:top w:val="nil"/>
              <w:left w:val="single" w:sz="8" w:space="0" w:color="auto"/>
              <w:bottom w:val="single" w:sz="4" w:space="0" w:color="auto"/>
              <w:right w:val="single" w:sz="8" w:space="0" w:color="auto"/>
            </w:tcBorders>
            <w:shd w:val="clear" w:color="auto" w:fill="B8CCE4" w:themeFill="accent1" w:themeFillTint="66"/>
            <w:vAlign w:val="center"/>
          </w:tcPr>
          <w:p w14:paraId="2C670E86" w14:textId="77777777" w:rsidR="00833FA6" w:rsidRPr="008D0165" w:rsidRDefault="00833FA6" w:rsidP="0084113E">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3</w:t>
            </w:r>
          </w:p>
        </w:tc>
        <w:tc>
          <w:tcPr>
            <w:tcW w:w="1465" w:type="dxa"/>
            <w:tcBorders>
              <w:top w:val="nil"/>
              <w:left w:val="single" w:sz="8" w:space="0" w:color="auto"/>
              <w:bottom w:val="single" w:sz="4" w:space="0" w:color="auto"/>
              <w:right w:val="single" w:sz="8" w:space="0" w:color="auto"/>
            </w:tcBorders>
            <w:shd w:val="clear" w:color="auto" w:fill="B8CCE4" w:themeFill="accent1" w:themeFillTint="66"/>
            <w:noWrap/>
            <w:vAlign w:val="center"/>
            <w:hideMark/>
          </w:tcPr>
          <w:p w14:paraId="08A4F22A" w14:textId="77777777" w:rsidR="00833FA6" w:rsidRPr="008D0165" w:rsidRDefault="00833FA6" w:rsidP="00833FA6">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4</w:t>
            </w:r>
          </w:p>
        </w:tc>
        <w:tc>
          <w:tcPr>
            <w:tcW w:w="1465" w:type="dxa"/>
            <w:tcBorders>
              <w:top w:val="nil"/>
              <w:left w:val="nil"/>
              <w:bottom w:val="single" w:sz="4" w:space="0" w:color="auto"/>
              <w:right w:val="single" w:sz="4" w:space="0" w:color="auto"/>
            </w:tcBorders>
            <w:shd w:val="clear" w:color="auto" w:fill="B8CCE4" w:themeFill="accent1" w:themeFillTint="66"/>
            <w:vAlign w:val="center"/>
          </w:tcPr>
          <w:p w14:paraId="3AEAF3AC" w14:textId="77777777" w:rsidR="00833FA6" w:rsidRPr="008D0165" w:rsidRDefault="00833FA6" w:rsidP="0084113E">
            <w:pPr>
              <w:spacing w:after="0" w:line="240" w:lineRule="auto"/>
              <w:jc w:val="center"/>
              <w:rPr>
                <w:rFonts w:eastAsia="Times New Roman" w:cstheme="minorHAnsi"/>
                <w:i/>
                <w:sz w:val="24"/>
                <w:szCs w:val="24"/>
                <w:lang w:eastAsia="pl-PL"/>
              </w:rPr>
            </w:pPr>
            <w:r w:rsidRPr="008D0165">
              <w:rPr>
                <w:rFonts w:eastAsia="Times New Roman" w:cstheme="minorHAnsi"/>
                <w:i/>
                <w:sz w:val="24"/>
                <w:szCs w:val="24"/>
                <w:lang w:eastAsia="pl-PL"/>
              </w:rPr>
              <w:t>5</w:t>
            </w:r>
          </w:p>
        </w:tc>
      </w:tr>
      <w:tr w:rsidR="00645E6F" w:rsidRPr="008D0165" w14:paraId="75F7E799" w14:textId="77777777" w:rsidTr="00705235">
        <w:trPr>
          <w:trHeight w:val="340"/>
        </w:trPr>
        <w:tc>
          <w:tcPr>
            <w:tcW w:w="5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A847885" w14:textId="77777777" w:rsidR="00645E6F" w:rsidRPr="008D0165" w:rsidRDefault="00645E6F" w:rsidP="00645E6F">
            <w:pPr>
              <w:spacing w:after="0" w:line="240" w:lineRule="auto"/>
              <w:jc w:val="center"/>
              <w:rPr>
                <w:rFonts w:eastAsia="Times New Roman" w:cstheme="minorHAnsi"/>
                <w:b/>
                <w:bCs/>
                <w:sz w:val="24"/>
                <w:szCs w:val="24"/>
                <w:lang w:eastAsia="pl-PL"/>
              </w:rPr>
            </w:pPr>
            <w:r w:rsidRPr="008D0165">
              <w:rPr>
                <w:rFonts w:eastAsia="Times New Roman" w:cstheme="minorHAnsi"/>
                <w:b/>
                <w:bCs/>
                <w:sz w:val="24"/>
                <w:szCs w:val="24"/>
                <w:lang w:eastAsia="pl-PL"/>
              </w:rPr>
              <w:t>I.</w:t>
            </w:r>
          </w:p>
        </w:tc>
        <w:tc>
          <w:tcPr>
            <w:tcW w:w="4098" w:type="dxa"/>
            <w:tcBorders>
              <w:top w:val="single" w:sz="4" w:space="0" w:color="auto"/>
              <w:left w:val="nil"/>
              <w:bottom w:val="single" w:sz="8" w:space="0" w:color="auto"/>
              <w:right w:val="nil"/>
            </w:tcBorders>
            <w:shd w:val="clear" w:color="auto" w:fill="auto"/>
            <w:vAlign w:val="center"/>
            <w:hideMark/>
          </w:tcPr>
          <w:p w14:paraId="071064E1" w14:textId="77777777" w:rsidR="00645E6F" w:rsidRPr="008D0165" w:rsidRDefault="00645E6F" w:rsidP="00645E6F">
            <w:pPr>
              <w:spacing w:after="0" w:line="240" w:lineRule="auto"/>
              <w:rPr>
                <w:rFonts w:eastAsia="Times New Roman" w:cstheme="minorHAnsi"/>
                <w:b/>
                <w:bCs/>
                <w:sz w:val="24"/>
                <w:szCs w:val="24"/>
                <w:lang w:eastAsia="pl-PL"/>
              </w:rPr>
            </w:pPr>
            <w:r w:rsidRPr="008D0165">
              <w:rPr>
                <w:rFonts w:eastAsia="Times New Roman" w:cstheme="minorHAnsi"/>
                <w:b/>
                <w:bCs/>
                <w:sz w:val="24"/>
                <w:szCs w:val="24"/>
                <w:lang w:eastAsia="pl-PL"/>
              </w:rPr>
              <w:t>Zadania wynikające z ustaw</w:t>
            </w:r>
          </w:p>
        </w:tc>
        <w:tc>
          <w:tcPr>
            <w:tcW w:w="1464" w:type="dxa"/>
            <w:tcBorders>
              <w:top w:val="single" w:sz="4" w:space="0" w:color="auto"/>
              <w:left w:val="single" w:sz="8" w:space="0" w:color="auto"/>
              <w:bottom w:val="single" w:sz="8" w:space="0" w:color="auto"/>
              <w:right w:val="single" w:sz="8" w:space="0" w:color="auto"/>
            </w:tcBorders>
            <w:vAlign w:val="center"/>
          </w:tcPr>
          <w:p w14:paraId="1AFAC80F" w14:textId="77777777" w:rsidR="00645E6F" w:rsidRPr="008D0165" w:rsidRDefault="00645E6F" w:rsidP="0084113E">
            <w:pPr>
              <w:spacing w:after="0" w:line="240" w:lineRule="auto"/>
              <w:jc w:val="right"/>
              <w:rPr>
                <w:rFonts w:eastAsia="Times New Roman" w:cstheme="minorHAnsi"/>
                <w:b/>
                <w:bCs/>
                <w:sz w:val="24"/>
                <w:szCs w:val="24"/>
                <w:lang w:eastAsia="pl-PL"/>
              </w:rPr>
            </w:pPr>
            <w:r w:rsidRPr="008D0165">
              <w:rPr>
                <w:rFonts w:cs="Arial"/>
                <w:b/>
                <w:bCs/>
                <w:sz w:val="24"/>
                <w:szCs w:val="24"/>
              </w:rPr>
              <w:t>240 320 928</w:t>
            </w:r>
          </w:p>
        </w:tc>
        <w:tc>
          <w:tcPr>
            <w:tcW w:w="14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D9A365" w14:textId="77777777" w:rsidR="00645E6F" w:rsidRPr="008D0165" w:rsidRDefault="00645E6F" w:rsidP="00645E6F">
            <w:pPr>
              <w:spacing w:after="0" w:line="240" w:lineRule="auto"/>
              <w:jc w:val="right"/>
              <w:rPr>
                <w:rFonts w:eastAsia="Times New Roman" w:cstheme="minorHAnsi"/>
                <w:b/>
                <w:bCs/>
                <w:sz w:val="24"/>
                <w:szCs w:val="24"/>
                <w:lang w:eastAsia="pl-PL"/>
              </w:rPr>
            </w:pPr>
            <w:r w:rsidRPr="008D0165">
              <w:rPr>
                <w:rFonts w:eastAsia="Times New Roman" w:cstheme="minorHAnsi"/>
                <w:b/>
                <w:bCs/>
                <w:sz w:val="24"/>
                <w:szCs w:val="24"/>
                <w:lang w:eastAsia="pl-PL"/>
              </w:rPr>
              <w:t>260 608 505</w:t>
            </w:r>
          </w:p>
        </w:tc>
        <w:tc>
          <w:tcPr>
            <w:tcW w:w="1465" w:type="dxa"/>
            <w:tcBorders>
              <w:top w:val="single" w:sz="4" w:space="0" w:color="auto"/>
              <w:left w:val="nil"/>
              <w:bottom w:val="single" w:sz="8" w:space="0" w:color="auto"/>
              <w:right w:val="single" w:sz="4" w:space="0" w:color="auto"/>
            </w:tcBorders>
            <w:vAlign w:val="center"/>
          </w:tcPr>
          <w:p w14:paraId="355E1928" w14:textId="77777777" w:rsidR="00645E6F" w:rsidRPr="008D0165" w:rsidRDefault="00645E6F" w:rsidP="0084113E">
            <w:pPr>
              <w:spacing w:after="0" w:line="240" w:lineRule="auto"/>
              <w:jc w:val="right"/>
              <w:rPr>
                <w:rFonts w:eastAsia="Times New Roman" w:cstheme="minorHAnsi"/>
                <w:b/>
                <w:bCs/>
                <w:sz w:val="24"/>
                <w:szCs w:val="24"/>
                <w:lang w:eastAsia="pl-PL"/>
              </w:rPr>
            </w:pPr>
            <w:r w:rsidRPr="008D0165">
              <w:rPr>
                <w:rFonts w:eastAsia="Times New Roman" w:cstheme="minorHAnsi"/>
                <w:b/>
                <w:bCs/>
                <w:sz w:val="24"/>
                <w:szCs w:val="24"/>
                <w:lang w:eastAsia="pl-PL"/>
              </w:rPr>
              <w:t>276 385 900</w:t>
            </w:r>
          </w:p>
        </w:tc>
      </w:tr>
      <w:tr w:rsidR="00645E6F" w:rsidRPr="008D0165" w14:paraId="29A751DF"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427CD124"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8" w:type="dxa"/>
            <w:tcBorders>
              <w:top w:val="nil"/>
              <w:left w:val="nil"/>
              <w:bottom w:val="nil"/>
              <w:right w:val="nil"/>
            </w:tcBorders>
            <w:shd w:val="clear" w:color="auto" w:fill="auto"/>
            <w:noWrap/>
            <w:vAlign w:val="center"/>
            <w:hideMark/>
          </w:tcPr>
          <w:p w14:paraId="497035F5"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 xml:space="preserve">Emerytury </w:t>
            </w:r>
          </w:p>
        </w:tc>
        <w:tc>
          <w:tcPr>
            <w:tcW w:w="1464" w:type="dxa"/>
            <w:tcBorders>
              <w:top w:val="nil"/>
              <w:left w:val="single" w:sz="8" w:space="0" w:color="auto"/>
              <w:bottom w:val="nil"/>
              <w:right w:val="single" w:sz="8" w:space="0" w:color="auto"/>
            </w:tcBorders>
            <w:vAlign w:val="center"/>
          </w:tcPr>
          <w:p w14:paraId="70D2D6B6"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166 081 896</w:t>
            </w:r>
          </w:p>
        </w:tc>
        <w:tc>
          <w:tcPr>
            <w:tcW w:w="1465" w:type="dxa"/>
            <w:tcBorders>
              <w:top w:val="nil"/>
              <w:left w:val="single" w:sz="8" w:space="0" w:color="auto"/>
              <w:bottom w:val="nil"/>
              <w:right w:val="single" w:sz="8" w:space="0" w:color="auto"/>
            </w:tcBorders>
            <w:shd w:val="clear" w:color="auto" w:fill="auto"/>
            <w:noWrap/>
            <w:vAlign w:val="center"/>
            <w:hideMark/>
          </w:tcPr>
          <w:p w14:paraId="6383F4BC"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179 103 342</w:t>
            </w:r>
          </w:p>
        </w:tc>
        <w:tc>
          <w:tcPr>
            <w:tcW w:w="1465" w:type="dxa"/>
            <w:tcBorders>
              <w:top w:val="nil"/>
              <w:left w:val="nil"/>
              <w:bottom w:val="nil"/>
              <w:right w:val="single" w:sz="4" w:space="0" w:color="auto"/>
            </w:tcBorders>
            <w:vAlign w:val="center"/>
          </w:tcPr>
          <w:p w14:paraId="5850AA6F"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193 263 712</w:t>
            </w:r>
          </w:p>
        </w:tc>
      </w:tr>
      <w:tr w:rsidR="00645E6F" w:rsidRPr="008D0165" w14:paraId="57856F2E"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12FCA0EC"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8" w:type="dxa"/>
            <w:tcBorders>
              <w:top w:val="nil"/>
              <w:left w:val="nil"/>
              <w:bottom w:val="nil"/>
              <w:right w:val="nil"/>
            </w:tcBorders>
            <w:shd w:val="clear" w:color="auto" w:fill="auto"/>
            <w:noWrap/>
            <w:vAlign w:val="center"/>
            <w:hideMark/>
          </w:tcPr>
          <w:p w14:paraId="00B62719"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Renty</w:t>
            </w:r>
          </w:p>
        </w:tc>
        <w:tc>
          <w:tcPr>
            <w:tcW w:w="1464" w:type="dxa"/>
            <w:tcBorders>
              <w:top w:val="nil"/>
              <w:left w:val="single" w:sz="8" w:space="0" w:color="auto"/>
              <w:bottom w:val="nil"/>
              <w:right w:val="single" w:sz="8" w:space="0" w:color="auto"/>
            </w:tcBorders>
            <w:vAlign w:val="center"/>
          </w:tcPr>
          <w:p w14:paraId="6706A7BF"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41 818 373</w:t>
            </w:r>
          </w:p>
        </w:tc>
        <w:tc>
          <w:tcPr>
            <w:tcW w:w="1465" w:type="dxa"/>
            <w:tcBorders>
              <w:top w:val="nil"/>
              <w:left w:val="single" w:sz="8" w:space="0" w:color="auto"/>
              <w:bottom w:val="nil"/>
              <w:right w:val="single" w:sz="8" w:space="0" w:color="auto"/>
            </w:tcBorders>
            <w:shd w:val="clear" w:color="auto" w:fill="auto"/>
            <w:noWrap/>
            <w:vAlign w:val="center"/>
            <w:hideMark/>
          </w:tcPr>
          <w:p w14:paraId="055E370A"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43 254 062</w:t>
            </w:r>
          </w:p>
        </w:tc>
        <w:tc>
          <w:tcPr>
            <w:tcW w:w="1465" w:type="dxa"/>
            <w:tcBorders>
              <w:top w:val="nil"/>
              <w:left w:val="nil"/>
              <w:bottom w:val="nil"/>
              <w:right w:val="single" w:sz="4" w:space="0" w:color="auto"/>
            </w:tcBorders>
            <w:vAlign w:val="center"/>
          </w:tcPr>
          <w:p w14:paraId="0A7221C0"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45 214 703</w:t>
            </w:r>
          </w:p>
        </w:tc>
      </w:tr>
      <w:tr w:rsidR="00645E6F" w:rsidRPr="008D0165" w14:paraId="76FAF92B" w14:textId="77777777" w:rsidTr="007566EA">
        <w:trPr>
          <w:trHeight w:val="454"/>
        </w:trPr>
        <w:tc>
          <w:tcPr>
            <w:tcW w:w="580" w:type="dxa"/>
            <w:tcBorders>
              <w:top w:val="nil"/>
              <w:left w:val="single" w:sz="8" w:space="0" w:color="auto"/>
              <w:bottom w:val="nil"/>
              <w:right w:val="single" w:sz="4" w:space="0" w:color="auto"/>
            </w:tcBorders>
            <w:shd w:val="clear" w:color="auto" w:fill="auto"/>
            <w:noWrap/>
            <w:vAlign w:val="center"/>
            <w:hideMark/>
          </w:tcPr>
          <w:p w14:paraId="35072CE6"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8" w:type="dxa"/>
            <w:tcBorders>
              <w:top w:val="nil"/>
              <w:left w:val="nil"/>
              <w:bottom w:val="nil"/>
              <w:right w:val="nil"/>
            </w:tcBorders>
            <w:shd w:val="clear" w:color="auto" w:fill="auto"/>
            <w:vAlign w:val="center"/>
            <w:hideMark/>
          </w:tcPr>
          <w:p w14:paraId="6F5250B0"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Dodatki do emerytur i rent: pielęgnacyjne, dla sierot zupełnych i za tajne nauczanie</w:t>
            </w:r>
          </w:p>
        </w:tc>
        <w:tc>
          <w:tcPr>
            <w:tcW w:w="1464" w:type="dxa"/>
            <w:tcBorders>
              <w:top w:val="nil"/>
              <w:left w:val="single" w:sz="8" w:space="0" w:color="auto"/>
              <w:bottom w:val="nil"/>
              <w:right w:val="single" w:sz="8" w:space="0" w:color="auto"/>
            </w:tcBorders>
            <w:vAlign w:val="center"/>
          </w:tcPr>
          <w:p w14:paraId="43EE67AC"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6 346 106</w:t>
            </w:r>
          </w:p>
        </w:tc>
        <w:tc>
          <w:tcPr>
            <w:tcW w:w="1465" w:type="dxa"/>
            <w:tcBorders>
              <w:top w:val="nil"/>
              <w:left w:val="single" w:sz="8" w:space="0" w:color="auto"/>
              <w:bottom w:val="nil"/>
              <w:right w:val="single" w:sz="8" w:space="0" w:color="auto"/>
            </w:tcBorders>
            <w:shd w:val="clear" w:color="auto" w:fill="auto"/>
            <w:noWrap/>
            <w:vAlign w:val="center"/>
            <w:hideMark/>
          </w:tcPr>
          <w:p w14:paraId="2C0C1584"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6 727 924</w:t>
            </w:r>
          </w:p>
        </w:tc>
        <w:tc>
          <w:tcPr>
            <w:tcW w:w="1465" w:type="dxa"/>
            <w:tcBorders>
              <w:top w:val="nil"/>
              <w:left w:val="nil"/>
              <w:bottom w:val="nil"/>
              <w:right w:val="single" w:sz="4" w:space="0" w:color="auto"/>
            </w:tcBorders>
            <w:vAlign w:val="center"/>
          </w:tcPr>
          <w:p w14:paraId="66A22F3C"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7 027 075</w:t>
            </w:r>
          </w:p>
        </w:tc>
      </w:tr>
      <w:tr w:rsidR="00645E6F" w:rsidRPr="008D0165" w14:paraId="39610021"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1535E7CD"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4.</w:t>
            </w:r>
          </w:p>
        </w:tc>
        <w:tc>
          <w:tcPr>
            <w:tcW w:w="4098" w:type="dxa"/>
            <w:tcBorders>
              <w:top w:val="nil"/>
              <w:left w:val="nil"/>
              <w:bottom w:val="nil"/>
              <w:right w:val="nil"/>
            </w:tcBorders>
            <w:shd w:val="clear" w:color="auto" w:fill="auto"/>
            <w:noWrap/>
            <w:vAlign w:val="center"/>
            <w:hideMark/>
          </w:tcPr>
          <w:p w14:paraId="500A5CA4"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Zasiłki chorobowe</w:t>
            </w:r>
          </w:p>
        </w:tc>
        <w:tc>
          <w:tcPr>
            <w:tcW w:w="1464" w:type="dxa"/>
            <w:tcBorders>
              <w:top w:val="nil"/>
              <w:left w:val="single" w:sz="8" w:space="0" w:color="auto"/>
              <w:bottom w:val="nil"/>
              <w:right w:val="single" w:sz="8" w:space="0" w:color="auto"/>
            </w:tcBorders>
            <w:vAlign w:val="center"/>
          </w:tcPr>
          <w:p w14:paraId="3890F01F"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12 181 959</w:t>
            </w:r>
          </w:p>
        </w:tc>
        <w:tc>
          <w:tcPr>
            <w:tcW w:w="1465" w:type="dxa"/>
            <w:tcBorders>
              <w:top w:val="nil"/>
              <w:left w:val="single" w:sz="8" w:space="0" w:color="auto"/>
              <w:bottom w:val="nil"/>
              <w:right w:val="single" w:sz="8" w:space="0" w:color="auto"/>
            </w:tcBorders>
            <w:shd w:val="clear" w:color="auto" w:fill="auto"/>
            <w:noWrap/>
            <w:vAlign w:val="center"/>
            <w:hideMark/>
          </w:tcPr>
          <w:p w14:paraId="2B58A85C"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14 093 007</w:t>
            </w:r>
          </w:p>
        </w:tc>
        <w:tc>
          <w:tcPr>
            <w:tcW w:w="1465" w:type="dxa"/>
            <w:tcBorders>
              <w:top w:val="nil"/>
              <w:left w:val="nil"/>
              <w:bottom w:val="nil"/>
              <w:right w:val="single" w:sz="4" w:space="0" w:color="auto"/>
            </w:tcBorders>
            <w:vAlign w:val="center"/>
          </w:tcPr>
          <w:p w14:paraId="033F95C3"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14 776 840</w:t>
            </w:r>
          </w:p>
        </w:tc>
      </w:tr>
      <w:tr w:rsidR="00645E6F" w:rsidRPr="008D0165" w14:paraId="6CD25040"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594EC4DC"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5.</w:t>
            </w:r>
          </w:p>
        </w:tc>
        <w:tc>
          <w:tcPr>
            <w:tcW w:w="4098" w:type="dxa"/>
            <w:tcBorders>
              <w:top w:val="nil"/>
              <w:left w:val="nil"/>
              <w:bottom w:val="nil"/>
              <w:right w:val="nil"/>
            </w:tcBorders>
            <w:shd w:val="clear" w:color="auto" w:fill="auto"/>
            <w:noWrap/>
            <w:vAlign w:val="center"/>
            <w:hideMark/>
          </w:tcPr>
          <w:p w14:paraId="3DE318B8"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Pozostałe zasiłki i świadczenia</w:t>
            </w:r>
          </w:p>
        </w:tc>
        <w:tc>
          <w:tcPr>
            <w:tcW w:w="1464" w:type="dxa"/>
            <w:tcBorders>
              <w:top w:val="nil"/>
              <w:left w:val="single" w:sz="8" w:space="0" w:color="auto"/>
              <w:bottom w:val="nil"/>
              <w:right w:val="single" w:sz="8" w:space="0" w:color="auto"/>
            </w:tcBorders>
            <w:vAlign w:val="center"/>
          </w:tcPr>
          <w:p w14:paraId="4C381ACB"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13 598 779</w:t>
            </w:r>
          </w:p>
        </w:tc>
        <w:tc>
          <w:tcPr>
            <w:tcW w:w="1465" w:type="dxa"/>
            <w:tcBorders>
              <w:top w:val="nil"/>
              <w:left w:val="single" w:sz="8" w:space="0" w:color="auto"/>
              <w:bottom w:val="nil"/>
              <w:right w:val="single" w:sz="8" w:space="0" w:color="auto"/>
            </w:tcBorders>
            <w:shd w:val="clear" w:color="auto" w:fill="auto"/>
            <w:noWrap/>
            <w:vAlign w:val="center"/>
            <w:hideMark/>
          </w:tcPr>
          <w:p w14:paraId="1F68B052"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17 289 316</w:t>
            </w:r>
          </w:p>
        </w:tc>
        <w:tc>
          <w:tcPr>
            <w:tcW w:w="1465" w:type="dxa"/>
            <w:tcBorders>
              <w:top w:val="nil"/>
              <w:left w:val="nil"/>
              <w:bottom w:val="nil"/>
              <w:right w:val="single" w:sz="4" w:space="0" w:color="auto"/>
            </w:tcBorders>
            <w:vAlign w:val="center"/>
          </w:tcPr>
          <w:p w14:paraId="0E40F3B6"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15 922 921</w:t>
            </w:r>
          </w:p>
        </w:tc>
      </w:tr>
      <w:tr w:rsidR="00645E6F" w:rsidRPr="008D0165" w14:paraId="52608EBD" w14:textId="77777777" w:rsidTr="007566EA">
        <w:trPr>
          <w:trHeight w:val="340"/>
        </w:trPr>
        <w:tc>
          <w:tcPr>
            <w:tcW w:w="580" w:type="dxa"/>
            <w:tcBorders>
              <w:top w:val="nil"/>
              <w:left w:val="single" w:sz="8" w:space="0" w:color="auto"/>
              <w:bottom w:val="nil"/>
              <w:right w:val="single" w:sz="4" w:space="0" w:color="auto"/>
            </w:tcBorders>
            <w:shd w:val="clear" w:color="auto" w:fill="auto"/>
            <w:noWrap/>
            <w:vAlign w:val="center"/>
            <w:hideMark/>
          </w:tcPr>
          <w:p w14:paraId="5B5D9DDC"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6.</w:t>
            </w:r>
          </w:p>
        </w:tc>
        <w:tc>
          <w:tcPr>
            <w:tcW w:w="4098" w:type="dxa"/>
            <w:tcBorders>
              <w:top w:val="nil"/>
              <w:left w:val="nil"/>
              <w:bottom w:val="nil"/>
              <w:right w:val="nil"/>
            </w:tcBorders>
            <w:shd w:val="clear" w:color="auto" w:fill="auto"/>
            <w:noWrap/>
            <w:vAlign w:val="center"/>
            <w:hideMark/>
          </w:tcPr>
          <w:p w14:paraId="317DEF71"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Prewencja rentowa</w:t>
            </w:r>
          </w:p>
        </w:tc>
        <w:tc>
          <w:tcPr>
            <w:tcW w:w="1464" w:type="dxa"/>
            <w:tcBorders>
              <w:top w:val="nil"/>
              <w:left w:val="single" w:sz="8" w:space="0" w:color="auto"/>
              <w:bottom w:val="nil"/>
              <w:right w:val="single" w:sz="8" w:space="0" w:color="auto"/>
            </w:tcBorders>
            <w:vAlign w:val="center"/>
          </w:tcPr>
          <w:p w14:paraId="475798D1"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204 225</w:t>
            </w:r>
          </w:p>
        </w:tc>
        <w:tc>
          <w:tcPr>
            <w:tcW w:w="1465" w:type="dxa"/>
            <w:tcBorders>
              <w:top w:val="nil"/>
              <w:left w:val="single" w:sz="8" w:space="0" w:color="auto"/>
              <w:bottom w:val="nil"/>
              <w:right w:val="single" w:sz="8" w:space="0" w:color="auto"/>
            </w:tcBorders>
            <w:shd w:val="clear" w:color="auto" w:fill="auto"/>
            <w:noWrap/>
            <w:vAlign w:val="center"/>
            <w:hideMark/>
          </w:tcPr>
          <w:p w14:paraId="068E70CE"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67 401</w:t>
            </w:r>
          </w:p>
        </w:tc>
        <w:tc>
          <w:tcPr>
            <w:tcW w:w="1465" w:type="dxa"/>
            <w:tcBorders>
              <w:top w:val="nil"/>
              <w:left w:val="nil"/>
              <w:bottom w:val="nil"/>
              <w:right w:val="single" w:sz="4" w:space="0" w:color="auto"/>
            </w:tcBorders>
            <w:vAlign w:val="center"/>
          </w:tcPr>
          <w:p w14:paraId="218A5160"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100 881</w:t>
            </w:r>
          </w:p>
        </w:tc>
      </w:tr>
      <w:tr w:rsidR="00645E6F" w:rsidRPr="008D0165" w14:paraId="2DC4DFBA" w14:textId="77777777" w:rsidTr="007566EA">
        <w:trPr>
          <w:trHeight w:val="340"/>
        </w:trPr>
        <w:tc>
          <w:tcPr>
            <w:tcW w:w="580" w:type="dxa"/>
            <w:tcBorders>
              <w:top w:val="nil"/>
              <w:left w:val="single" w:sz="8" w:space="0" w:color="auto"/>
              <w:bottom w:val="single" w:sz="8" w:space="0" w:color="auto"/>
              <w:right w:val="single" w:sz="4" w:space="0" w:color="auto"/>
            </w:tcBorders>
            <w:shd w:val="clear" w:color="auto" w:fill="auto"/>
            <w:noWrap/>
            <w:vAlign w:val="center"/>
            <w:hideMark/>
          </w:tcPr>
          <w:p w14:paraId="5D50D1B5" w14:textId="77777777" w:rsidR="00645E6F" w:rsidRPr="008D0165" w:rsidRDefault="00645E6F" w:rsidP="00645E6F">
            <w:pPr>
              <w:spacing w:after="0" w:line="240" w:lineRule="auto"/>
              <w:jc w:val="center"/>
              <w:rPr>
                <w:rFonts w:eastAsia="Times New Roman" w:cstheme="minorHAnsi"/>
                <w:sz w:val="24"/>
                <w:szCs w:val="24"/>
                <w:lang w:eastAsia="pl-PL"/>
              </w:rPr>
            </w:pPr>
            <w:r w:rsidRPr="008D0165">
              <w:rPr>
                <w:rFonts w:eastAsia="Times New Roman" w:cstheme="minorHAnsi"/>
                <w:sz w:val="24"/>
                <w:szCs w:val="24"/>
                <w:lang w:eastAsia="pl-PL"/>
              </w:rPr>
              <w:t>7.</w:t>
            </w:r>
          </w:p>
        </w:tc>
        <w:tc>
          <w:tcPr>
            <w:tcW w:w="4098" w:type="dxa"/>
            <w:tcBorders>
              <w:top w:val="nil"/>
              <w:left w:val="nil"/>
              <w:bottom w:val="single" w:sz="8" w:space="0" w:color="auto"/>
              <w:right w:val="nil"/>
            </w:tcBorders>
            <w:shd w:val="clear" w:color="auto" w:fill="auto"/>
            <w:noWrap/>
            <w:vAlign w:val="center"/>
            <w:hideMark/>
          </w:tcPr>
          <w:p w14:paraId="0089FFEC" w14:textId="77777777" w:rsidR="00645E6F" w:rsidRPr="008D0165" w:rsidRDefault="00645E6F" w:rsidP="00645E6F">
            <w:pPr>
              <w:spacing w:after="0" w:line="240" w:lineRule="auto"/>
              <w:rPr>
                <w:rFonts w:eastAsia="Times New Roman" w:cstheme="minorHAnsi"/>
                <w:sz w:val="24"/>
                <w:szCs w:val="24"/>
                <w:lang w:eastAsia="pl-PL"/>
              </w:rPr>
            </w:pPr>
            <w:r w:rsidRPr="008D0165">
              <w:rPr>
                <w:rFonts w:eastAsia="Times New Roman" w:cstheme="minorHAnsi"/>
                <w:sz w:val="24"/>
                <w:szCs w:val="24"/>
                <w:lang w:eastAsia="pl-PL"/>
              </w:rPr>
              <w:t>Prewencja wypadkowa</w:t>
            </w:r>
          </w:p>
        </w:tc>
        <w:tc>
          <w:tcPr>
            <w:tcW w:w="1464" w:type="dxa"/>
            <w:tcBorders>
              <w:top w:val="nil"/>
              <w:left w:val="single" w:sz="8" w:space="0" w:color="auto"/>
              <w:bottom w:val="single" w:sz="8" w:space="0" w:color="auto"/>
              <w:right w:val="single" w:sz="8" w:space="0" w:color="auto"/>
            </w:tcBorders>
            <w:vAlign w:val="center"/>
          </w:tcPr>
          <w:p w14:paraId="492BBB2E"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cs="Arial"/>
                <w:bCs/>
                <w:sz w:val="24"/>
                <w:szCs w:val="24"/>
              </w:rPr>
              <w:t>89 590</w:t>
            </w:r>
          </w:p>
        </w:tc>
        <w:tc>
          <w:tcPr>
            <w:tcW w:w="1465" w:type="dxa"/>
            <w:tcBorders>
              <w:top w:val="nil"/>
              <w:left w:val="single" w:sz="8" w:space="0" w:color="auto"/>
              <w:bottom w:val="single" w:sz="8" w:space="0" w:color="auto"/>
              <w:right w:val="single" w:sz="8" w:space="0" w:color="auto"/>
            </w:tcBorders>
            <w:shd w:val="clear" w:color="auto" w:fill="auto"/>
            <w:noWrap/>
            <w:vAlign w:val="center"/>
            <w:hideMark/>
          </w:tcPr>
          <w:p w14:paraId="2DB8A144" w14:textId="77777777" w:rsidR="00645E6F" w:rsidRPr="008D0165" w:rsidRDefault="00645E6F" w:rsidP="00645E6F">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73 453</w:t>
            </w:r>
          </w:p>
        </w:tc>
        <w:tc>
          <w:tcPr>
            <w:tcW w:w="1465" w:type="dxa"/>
            <w:tcBorders>
              <w:top w:val="nil"/>
              <w:left w:val="nil"/>
              <w:bottom w:val="single" w:sz="8" w:space="0" w:color="auto"/>
              <w:right w:val="single" w:sz="4" w:space="0" w:color="auto"/>
            </w:tcBorders>
            <w:vAlign w:val="center"/>
          </w:tcPr>
          <w:p w14:paraId="1F0F6C92" w14:textId="77777777" w:rsidR="00645E6F" w:rsidRPr="008D0165" w:rsidRDefault="00645E6F" w:rsidP="0084113E">
            <w:pPr>
              <w:spacing w:after="0" w:line="240" w:lineRule="auto"/>
              <w:jc w:val="right"/>
              <w:rPr>
                <w:rFonts w:eastAsia="Times New Roman" w:cstheme="minorHAnsi"/>
                <w:sz w:val="24"/>
                <w:szCs w:val="24"/>
                <w:lang w:eastAsia="pl-PL"/>
              </w:rPr>
            </w:pPr>
            <w:r w:rsidRPr="008D0165">
              <w:rPr>
                <w:rFonts w:eastAsia="Times New Roman" w:cstheme="minorHAnsi"/>
                <w:sz w:val="24"/>
                <w:szCs w:val="24"/>
                <w:lang w:eastAsia="pl-PL"/>
              </w:rPr>
              <w:t>79 768</w:t>
            </w:r>
          </w:p>
        </w:tc>
      </w:tr>
    </w:tbl>
    <w:p w14:paraId="74C7AF5E" w14:textId="77777777" w:rsidR="00965D1A" w:rsidRPr="008D0165" w:rsidRDefault="00965D1A" w:rsidP="0084113E">
      <w:pPr>
        <w:spacing w:before="120" w:after="120" w:line="23" w:lineRule="atLeast"/>
        <w:jc w:val="both"/>
        <w:rPr>
          <w:b/>
          <w:sz w:val="24"/>
          <w:szCs w:val="24"/>
        </w:rPr>
      </w:pPr>
    </w:p>
    <w:p w14:paraId="2B9FB052" w14:textId="77777777" w:rsidR="00FA550C" w:rsidRPr="008D0165" w:rsidRDefault="00A8736E" w:rsidP="0084113E">
      <w:pPr>
        <w:spacing w:before="120" w:after="120" w:line="23" w:lineRule="atLeast"/>
        <w:jc w:val="both"/>
        <w:rPr>
          <w:b/>
          <w:sz w:val="24"/>
          <w:szCs w:val="24"/>
        </w:rPr>
      </w:pPr>
      <w:r w:rsidRPr="008D0165">
        <w:rPr>
          <w:b/>
          <w:sz w:val="24"/>
          <w:szCs w:val="24"/>
        </w:rPr>
        <w:t>Część B. Plan finansowy w układzie memoriałowym</w:t>
      </w:r>
    </w:p>
    <w:tbl>
      <w:tblPr>
        <w:tblW w:w="9087" w:type="dxa"/>
        <w:tblInd w:w="55" w:type="dxa"/>
        <w:tblCellMar>
          <w:left w:w="70" w:type="dxa"/>
          <w:right w:w="70" w:type="dxa"/>
        </w:tblCellMar>
        <w:tblLook w:val="04A0" w:firstRow="1" w:lastRow="0" w:firstColumn="1" w:lastColumn="0" w:noHBand="0" w:noVBand="1"/>
      </w:tblPr>
      <w:tblGrid>
        <w:gridCol w:w="687"/>
        <w:gridCol w:w="4093"/>
        <w:gridCol w:w="1377"/>
        <w:gridCol w:w="1465"/>
        <w:gridCol w:w="1465"/>
      </w:tblGrid>
      <w:tr w:rsidR="00874F30" w:rsidRPr="008D0165" w14:paraId="124F8067" w14:textId="77777777" w:rsidTr="001E63D2">
        <w:trPr>
          <w:trHeight w:val="340"/>
          <w:tblHeader/>
        </w:trPr>
        <w:tc>
          <w:tcPr>
            <w:tcW w:w="600" w:type="dxa"/>
            <w:vMerge w:val="restart"/>
            <w:tcBorders>
              <w:top w:val="single" w:sz="4" w:space="0" w:color="auto"/>
              <w:left w:val="single" w:sz="8" w:space="0" w:color="auto"/>
              <w:right w:val="single" w:sz="4" w:space="0" w:color="auto"/>
            </w:tcBorders>
            <w:shd w:val="clear" w:color="auto" w:fill="B8CCE4" w:themeFill="accent1" w:themeFillTint="66"/>
            <w:noWrap/>
            <w:vAlign w:val="center"/>
            <w:hideMark/>
          </w:tcPr>
          <w:p w14:paraId="283C0757"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Poz. </w:t>
            </w:r>
          </w:p>
        </w:tc>
        <w:tc>
          <w:tcPr>
            <w:tcW w:w="4093" w:type="dxa"/>
            <w:vMerge w:val="restart"/>
            <w:tcBorders>
              <w:top w:val="single" w:sz="4" w:space="0" w:color="auto"/>
              <w:left w:val="nil"/>
              <w:right w:val="nil"/>
            </w:tcBorders>
            <w:shd w:val="clear" w:color="auto" w:fill="B8CCE4" w:themeFill="accent1" w:themeFillTint="66"/>
            <w:noWrap/>
            <w:vAlign w:val="center"/>
            <w:hideMark/>
          </w:tcPr>
          <w:p w14:paraId="21F26E5F"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Treść</w:t>
            </w:r>
          </w:p>
        </w:tc>
        <w:tc>
          <w:tcPr>
            <w:tcW w:w="1464"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tcPr>
          <w:p w14:paraId="6C80FD36" w14:textId="77777777" w:rsidR="00874F30" w:rsidRPr="008D0165" w:rsidDel="00874F30"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2019</w:t>
            </w:r>
          </w:p>
        </w:tc>
        <w:tc>
          <w:tcPr>
            <w:tcW w:w="1465"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hideMark/>
          </w:tcPr>
          <w:p w14:paraId="2B7F047E"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2020</w:t>
            </w:r>
          </w:p>
        </w:tc>
        <w:tc>
          <w:tcPr>
            <w:tcW w:w="146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2DC23A0" w14:textId="77777777" w:rsidR="00874F30" w:rsidRPr="008D0165" w:rsidRDefault="00874F30"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2021</w:t>
            </w:r>
          </w:p>
        </w:tc>
      </w:tr>
      <w:tr w:rsidR="00874F30" w:rsidRPr="008D0165" w14:paraId="6FF78452" w14:textId="77777777" w:rsidTr="001E63D2">
        <w:trPr>
          <w:trHeight w:val="340"/>
          <w:tblHeader/>
        </w:trPr>
        <w:tc>
          <w:tcPr>
            <w:tcW w:w="600"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tcPr>
          <w:p w14:paraId="0EFDA9A4" w14:textId="77777777" w:rsidR="00874F30" w:rsidRPr="008D0165" w:rsidRDefault="00874F30" w:rsidP="00874F30">
            <w:pPr>
              <w:spacing w:after="0" w:line="23" w:lineRule="atLeast"/>
              <w:jc w:val="center"/>
              <w:rPr>
                <w:rFonts w:eastAsia="Times New Roman" w:cstheme="minorHAnsi"/>
                <w:b/>
                <w:sz w:val="24"/>
                <w:szCs w:val="24"/>
                <w:lang w:eastAsia="pl-PL"/>
              </w:rPr>
            </w:pPr>
          </w:p>
        </w:tc>
        <w:tc>
          <w:tcPr>
            <w:tcW w:w="4093" w:type="dxa"/>
            <w:vMerge/>
            <w:tcBorders>
              <w:top w:val="single" w:sz="4" w:space="0" w:color="auto"/>
              <w:left w:val="nil"/>
              <w:bottom w:val="single" w:sz="4" w:space="0" w:color="auto"/>
              <w:right w:val="nil"/>
            </w:tcBorders>
            <w:shd w:val="clear" w:color="auto" w:fill="B8CCE4" w:themeFill="accent1" w:themeFillTint="66"/>
            <w:noWrap/>
            <w:vAlign w:val="center"/>
          </w:tcPr>
          <w:p w14:paraId="3461B13A" w14:textId="77777777" w:rsidR="00874F30" w:rsidRPr="008D0165" w:rsidRDefault="00874F30" w:rsidP="00874F30">
            <w:pPr>
              <w:spacing w:after="0" w:line="23" w:lineRule="atLeast"/>
              <w:jc w:val="center"/>
              <w:rPr>
                <w:rFonts w:eastAsia="Times New Roman" w:cstheme="minorHAnsi"/>
                <w:b/>
                <w:sz w:val="24"/>
                <w:szCs w:val="24"/>
                <w:lang w:eastAsia="pl-PL"/>
              </w:rPr>
            </w:pPr>
          </w:p>
        </w:tc>
        <w:tc>
          <w:tcPr>
            <w:tcW w:w="4394" w:type="dxa"/>
            <w:gridSpan w:val="3"/>
            <w:tcBorders>
              <w:top w:val="single" w:sz="4" w:space="0" w:color="auto"/>
              <w:left w:val="single" w:sz="8" w:space="0" w:color="auto"/>
              <w:bottom w:val="single" w:sz="4" w:space="0" w:color="auto"/>
              <w:right w:val="single" w:sz="4" w:space="0" w:color="auto"/>
            </w:tcBorders>
            <w:shd w:val="clear" w:color="auto" w:fill="B8CCE4" w:themeFill="accent1" w:themeFillTint="66"/>
            <w:vAlign w:val="center"/>
          </w:tcPr>
          <w:p w14:paraId="22D8BDD6" w14:textId="77777777" w:rsidR="00874F30" w:rsidRPr="008D0165" w:rsidDel="00874F30" w:rsidRDefault="00874F30" w:rsidP="00874F30">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w tys. zł</w:t>
            </w:r>
          </w:p>
        </w:tc>
      </w:tr>
      <w:tr w:rsidR="00874F30" w:rsidRPr="008D0165" w14:paraId="632C90A5" w14:textId="77777777" w:rsidTr="001E63D2">
        <w:trPr>
          <w:trHeight w:val="270"/>
          <w:tblHeader/>
        </w:trPr>
        <w:tc>
          <w:tcPr>
            <w:tcW w:w="600" w:type="dxa"/>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059C25DE"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1</w:t>
            </w:r>
          </w:p>
        </w:tc>
        <w:tc>
          <w:tcPr>
            <w:tcW w:w="4093" w:type="dxa"/>
            <w:tcBorders>
              <w:top w:val="single" w:sz="4" w:space="0" w:color="auto"/>
              <w:left w:val="nil"/>
              <w:bottom w:val="single" w:sz="4" w:space="0" w:color="auto"/>
              <w:right w:val="nil"/>
            </w:tcBorders>
            <w:shd w:val="clear" w:color="auto" w:fill="B8CCE4" w:themeFill="accent1" w:themeFillTint="66"/>
            <w:noWrap/>
            <w:vAlign w:val="center"/>
            <w:hideMark/>
          </w:tcPr>
          <w:p w14:paraId="526574AA"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2</w:t>
            </w:r>
          </w:p>
        </w:tc>
        <w:tc>
          <w:tcPr>
            <w:tcW w:w="1464"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tcPr>
          <w:p w14:paraId="19396E62"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3</w:t>
            </w:r>
          </w:p>
        </w:tc>
        <w:tc>
          <w:tcPr>
            <w:tcW w:w="1465" w:type="dxa"/>
            <w:tcBorders>
              <w:top w:val="single" w:sz="4" w:space="0" w:color="auto"/>
              <w:left w:val="single" w:sz="8" w:space="0" w:color="auto"/>
              <w:bottom w:val="single" w:sz="4" w:space="0" w:color="auto"/>
              <w:right w:val="single" w:sz="8" w:space="0" w:color="auto"/>
            </w:tcBorders>
            <w:shd w:val="clear" w:color="auto" w:fill="B8CCE4" w:themeFill="accent1" w:themeFillTint="66"/>
            <w:noWrap/>
            <w:vAlign w:val="center"/>
            <w:hideMark/>
          </w:tcPr>
          <w:p w14:paraId="4B4C6A29"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4</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4D918873" w14:textId="77777777" w:rsidR="00874F30" w:rsidRPr="008D0165" w:rsidRDefault="00874F30"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5</w:t>
            </w:r>
          </w:p>
        </w:tc>
      </w:tr>
      <w:tr w:rsidR="00645E6F" w:rsidRPr="008D0165" w14:paraId="4AE853E8" w14:textId="77777777" w:rsidTr="001E63D2">
        <w:trPr>
          <w:trHeight w:val="340"/>
        </w:trPr>
        <w:tc>
          <w:tcPr>
            <w:tcW w:w="600" w:type="dxa"/>
            <w:tcBorders>
              <w:top w:val="single" w:sz="4" w:space="0" w:color="auto"/>
              <w:left w:val="single" w:sz="8" w:space="0" w:color="auto"/>
              <w:bottom w:val="single" w:sz="8" w:space="0" w:color="auto"/>
              <w:right w:val="nil"/>
            </w:tcBorders>
            <w:shd w:val="clear" w:color="auto" w:fill="auto"/>
            <w:noWrap/>
            <w:vAlign w:val="center"/>
            <w:hideMark/>
          </w:tcPr>
          <w:p w14:paraId="3FB60739" w14:textId="77777777" w:rsidR="00645E6F" w:rsidRPr="008D0165" w:rsidRDefault="00645E6F"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w:t>
            </w:r>
          </w:p>
        </w:tc>
        <w:tc>
          <w:tcPr>
            <w:tcW w:w="4093" w:type="dxa"/>
            <w:tcBorders>
              <w:top w:val="single" w:sz="4" w:space="0" w:color="auto"/>
              <w:left w:val="single" w:sz="8" w:space="0" w:color="auto"/>
              <w:bottom w:val="single" w:sz="8" w:space="0" w:color="auto"/>
              <w:right w:val="nil"/>
            </w:tcBorders>
            <w:shd w:val="clear" w:color="auto" w:fill="auto"/>
            <w:noWrap/>
            <w:vAlign w:val="center"/>
            <w:hideMark/>
          </w:tcPr>
          <w:p w14:paraId="453FE428" w14:textId="77777777" w:rsidR="00645E6F" w:rsidRPr="008D0165" w:rsidRDefault="00645E6F"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Stan funduszu na początek roku</w:t>
            </w:r>
          </w:p>
        </w:tc>
        <w:tc>
          <w:tcPr>
            <w:tcW w:w="1464" w:type="dxa"/>
            <w:tcBorders>
              <w:top w:val="single" w:sz="4" w:space="0" w:color="auto"/>
              <w:left w:val="single" w:sz="8" w:space="0" w:color="auto"/>
              <w:bottom w:val="single" w:sz="8" w:space="0" w:color="auto"/>
              <w:right w:val="single" w:sz="8" w:space="0" w:color="auto"/>
            </w:tcBorders>
            <w:vAlign w:val="center"/>
          </w:tcPr>
          <w:p w14:paraId="3F20B330"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cs="Arial"/>
                <w:b/>
                <w:bCs/>
                <w:sz w:val="24"/>
                <w:szCs w:val="24"/>
              </w:rPr>
              <w:t>4 660 464</w:t>
            </w:r>
          </w:p>
        </w:tc>
        <w:tc>
          <w:tcPr>
            <w:tcW w:w="14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871E6A"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4 208 150</w:t>
            </w:r>
          </w:p>
        </w:tc>
        <w:tc>
          <w:tcPr>
            <w:tcW w:w="1465" w:type="dxa"/>
            <w:tcBorders>
              <w:top w:val="single" w:sz="4" w:space="0" w:color="auto"/>
              <w:left w:val="nil"/>
              <w:bottom w:val="single" w:sz="8" w:space="0" w:color="auto"/>
              <w:right w:val="single" w:sz="4" w:space="0" w:color="auto"/>
            </w:tcBorders>
            <w:shd w:val="clear" w:color="auto" w:fill="auto"/>
            <w:noWrap/>
            <w:vAlign w:val="center"/>
            <w:hideMark/>
          </w:tcPr>
          <w:p w14:paraId="2EA6AA84"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17 726 714</w:t>
            </w:r>
          </w:p>
        </w:tc>
      </w:tr>
      <w:tr w:rsidR="00645E6F" w:rsidRPr="008D0165" w14:paraId="7CE1965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DE7CFD6"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3" w:type="dxa"/>
            <w:tcBorders>
              <w:top w:val="nil"/>
              <w:left w:val="nil"/>
              <w:bottom w:val="nil"/>
              <w:right w:val="nil"/>
            </w:tcBorders>
            <w:shd w:val="clear" w:color="auto" w:fill="auto"/>
            <w:noWrap/>
            <w:vAlign w:val="center"/>
            <w:hideMark/>
          </w:tcPr>
          <w:p w14:paraId="511D1570"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Środki pieniężne</w:t>
            </w:r>
          </w:p>
        </w:tc>
        <w:tc>
          <w:tcPr>
            <w:tcW w:w="1464" w:type="dxa"/>
            <w:tcBorders>
              <w:top w:val="nil"/>
              <w:left w:val="single" w:sz="8" w:space="0" w:color="auto"/>
              <w:bottom w:val="nil"/>
              <w:right w:val="single" w:sz="8" w:space="0" w:color="auto"/>
            </w:tcBorders>
            <w:vAlign w:val="center"/>
          </w:tcPr>
          <w:p w14:paraId="63CC5B9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2 485 534</w:t>
            </w:r>
          </w:p>
        </w:tc>
        <w:tc>
          <w:tcPr>
            <w:tcW w:w="1465" w:type="dxa"/>
            <w:tcBorders>
              <w:top w:val="nil"/>
              <w:left w:val="single" w:sz="8" w:space="0" w:color="auto"/>
              <w:bottom w:val="nil"/>
              <w:right w:val="single" w:sz="8" w:space="0" w:color="auto"/>
            </w:tcBorders>
            <w:shd w:val="clear" w:color="auto" w:fill="auto"/>
            <w:noWrap/>
            <w:vAlign w:val="center"/>
            <w:hideMark/>
          </w:tcPr>
          <w:p w14:paraId="31E21A3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1 703 910</w:t>
            </w:r>
          </w:p>
        </w:tc>
        <w:tc>
          <w:tcPr>
            <w:tcW w:w="1465" w:type="dxa"/>
            <w:tcBorders>
              <w:top w:val="nil"/>
              <w:left w:val="nil"/>
              <w:bottom w:val="nil"/>
              <w:right w:val="single" w:sz="4" w:space="0" w:color="auto"/>
            </w:tcBorders>
            <w:shd w:val="clear" w:color="auto" w:fill="auto"/>
            <w:noWrap/>
            <w:vAlign w:val="center"/>
            <w:hideMark/>
          </w:tcPr>
          <w:p w14:paraId="4A1403C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14 445 735</w:t>
            </w:r>
          </w:p>
        </w:tc>
      </w:tr>
      <w:tr w:rsidR="00645E6F" w:rsidRPr="008D0165" w14:paraId="45E82A6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550CE5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3" w:type="dxa"/>
            <w:tcBorders>
              <w:top w:val="nil"/>
              <w:left w:val="nil"/>
              <w:bottom w:val="nil"/>
              <w:right w:val="nil"/>
            </w:tcBorders>
            <w:shd w:val="clear" w:color="auto" w:fill="auto"/>
            <w:noWrap/>
            <w:vAlign w:val="center"/>
            <w:hideMark/>
          </w:tcPr>
          <w:p w14:paraId="380981F4"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Należności</w:t>
            </w:r>
          </w:p>
        </w:tc>
        <w:tc>
          <w:tcPr>
            <w:tcW w:w="1464" w:type="dxa"/>
            <w:tcBorders>
              <w:top w:val="nil"/>
              <w:left w:val="single" w:sz="8" w:space="0" w:color="auto"/>
              <w:bottom w:val="nil"/>
              <w:right w:val="single" w:sz="8" w:space="0" w:color="auto"/>
            </w:tcBorders>
            <w:vAlign w:val="center"/>
          </w:tcPr>
          <w:p w14:paraId="5FCB4215"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10 780 764</w:t>
            </w:r>
          </w:p>
        </w:tc>
        <w:tc>
          <w:tcPr>
            <w:tcW w:w="1465" w:type="dxa"/>
            <w:tcBorders>
              <w:top w:val="nil"/>
              <w:left w:val="single" w:sz="8" w:space="0" w:color="auto"/>
              <w:bottom w:val="nil"/>
              <w:right w:val="single" w:sz="8" w:space="0" w:color="auto"/>
            </w:tcBorders>
            <w:shd w:val="clear" w:color="auto" w:fill="auto"/>
            <w:noWrap/>
            <w:vAlign w:val="center"/>
            <w:hideMark/>
          </w:tcPr>
          <w:p w14:paraId="13B314A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11 126 525</w:t>
            </w:r>
          </w:p>
        </w:tc>
        <w:tc>
          <w:tcPr>
            <w:tcW w:w="1465" w:type="dxa"/>
            <w:tcBorders>
              <w:top w:val="nil"/>
              <w:left w:val="nil"/>
              <w:bottom w:val="nil"/>
              <w:right w:val="single" w:sz="4" w:space="0" w:color="auto"/>
            </w:tcBorders>
            <w:shd w:val="clear" w:color="auto" w:fill="auto"/>
            <w:noWrap/>
            <w:vAlign w:val="center"/>
            <w:hideMark/>
          </w:tcPr>
          <w:p w14:paraId="582CB35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13 876 772</w:t>
            </w:r>
          </w:p>
        </w:tc>
      </w:tr>
      <w:tr w:rsidR="00645E6F" w:rsidRPr="008D0165" w14:paraId="292161E9"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6AF948C"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3" w:type="dxa"/>
            <w:tcBorders>
              <w:top w:val="nil"/>
              <w:left w:val="nil"/>
              <w:bottom w:val="nil"/>
              <w:right w:val="nil"/>
            </w:tcBorders>
            <w:shd w:val="clear" w:color="auto" w:fill="auto"/>
            <w:noWrap/>
            <w:vAlign w:val="center"/>
            <w:hideMark/>
          </w:tcPr>
          <w:p w14:paraId="48E2A49D"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Zobowiązania, w tym z tytułu:</w:t>
            </w:r>
          </w:p>
        </w:tc>
        <w:tc>
          <w:tcPr>
            <w:tcW w:w="1464" w:type="dxa"/>
            <w:tcBorders>
              <w:top w:val="nil"/>
              <w:left w:val="single" w:sz="8" w:space="0" w:color="auto"/>
              <w:bottom w:val="nil"/>
              <w:right w:val="single" w:sz="8" w:space="0" w:color="auto"/>
            </w:tcBorders>
            <w:vAlign w:val="center"/>
          </w:tcPr>
          <w:p w14:paraId="39D1E84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8 605 834</w:t>
            </w:r>
          </w:p>
        </w:tc>
        <w:tc>
          <w:tcPr>
            <w:tcW w:w="1465" w:type="dxa"/>
            <w:tcBorders>
              <w:top w:val="nil"/>
              <w:left w:val="single" w:sz="8" w:space="0" w:color="auto"/>
              <w:bottom w:val="nil"/>
              <w:right w:val="single" w:sz="8" w:space="0" w:color="auto"/>
            </w:tcBorders>
            <w:shd w:val="clear" w:color="auto" w:fill="auto"/>
            <w:noWrap/>
            <w:vAlign w:val="center"/>
            <w:hideMark/>
          </w:tcPr>
          <w:p w14:paraId="44C91CC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8 622 285</w:t>
            </w:r>
          </w:p>
        </w:tc>
        <w:tc>
          <w:tcPr>
            <w:tcW w:w="1465" w:type="dxa"/>
            <w:tcBorders>
              <w:top w:val="nil"/>
              <w:left w:val="nil"/>
              <w:bottom w:val="nil"/>
              <w:right w:val="single" w:sz="4" w:space="0" w:color="auto"/>
            </w:tcBorders>
            <w:shd w:val="clear" w:color="auto" w:fill="auto"/>
            <w:noWrap/>
            <w:vAlign w:val="center"/>
            <w:hideMark/>
          </w:tcPr>
          <w:p w14:paraId="7261B31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10 595 793</w:t>
            </w:r>
          </w:p>
        </w:tc>
      </w:tr>
      <w:tr w:rsidR="00645E6F" w:rsidRPr="008D0165" w14:paraId="007EFF75"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0B60396"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61B44019" w14:textId="46F14ABE"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zaciągniętego kredytu</w:t>
            </w:r>
          </w:p>
        </w:tc>
        <w:tc>
          <w:tcPr>
            <w:tcW w:w="1464" w:type="dxa"/>
            <w:tcBorders>
              <w:top w:val="nil"/>
              <w:left w:val="single" w:sz="8" w:space="0" w:color="auto"/>
              <w:bottom w:val="nil"/>
              <w:right w:val="single" w:sz="8" w:space="0" w:color="auto"/>
            </w:tcBorders>
            <w:vAlign w:val="center"/>
          </w:tcPr>
          <w:p w14:paraId="5B0BD82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7070F42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3853C37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66E59C6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31AE0B5"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single" w:sz="4" w:space="0" w:color="auto"/>
              <w:right w:val="nil"/>
            </w:tcBorders>
            <w:shd w:val="clear" w:color="auto" w:fill="auto"/>
            <w:noWrap/>
            <w:vAlign w:val="center"/>
            <w:hideMark/>
          </w:tcPr>
          <w:p w14:paraId="592B31E2" w14:textId="38E605B3"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pożyczek z budżetu państwa</w:t>
            </w:r>
          </w:p>
        </w:tc>
        <w:tc>
          <w:tcPr>
            <w:tcW w:w="1464" w:type="dxa"/>
            <w:tcBorders>
              <w:top w:val="nil"/>
              <w:left w:val="single" w:sz="8" w:space="0" w:color="auto"/>
              <w:bottom w:val="single" w:sz="4" w:space="0" w:color="auto"/>
              <w:right w:val="single" w:sz="8" w:space="0" w:color="auto"/>
            </w:tcBorders>
            <w:vAlign w:val="center"/>
          </w:tcPr>
          <w:p w14:paraId="69257DE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single" w:sz="4" w:space="0" w:color="auto"/>
              <w:right w:val="single" w:sz="8" w:space="0" w:color="auto"/>
            </w:tcBorders>
            <w:shd w:val="clear" w:color="auto" w:fill="auto"/>
            <w:noWrap/>
            <w:vAlign w:val="center"/>
            <w:hideMark/>
          </w:tcPr>
          <w:p w14:paraId="5E5D1F4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single" w:sz="4" w:space="0" w:color="auto"/>
              <w:right w:val="single" w:sz="4" w:space="0" w:color="auto"/>
            </w:tcBorders>
            <w:shd w:val="clear" w:color="auto" w:fill="auto"/>
            <w:noWrap/>
            <w:vAlign w:val="center"/>
            <w:hideMark/>
          </w:tcPr>
          <w:p w14:paraId="3585BE63"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7B84B500" w14:textId="77777777" w:rsidTr="002D6B14">
        <w:trPr>
          <w:trHeight w:val="340"/>
        </w:trPr>
        <w:tc>
          <w:tcPr>
            <w:tcW w:w="6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1ADFD5A" w14:textId="77777777" w:rsidR="00645E6F" w:rsidRPr="008D0165" w:rsidRDefault="00645E6F"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II.</w:t>
            </w:r>
          </w:p>
        </w:tc>
        <w:tc>
          <w:tcPr>
            <w:tcW w:w="4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28AE" w14:textId="77777777" w:rsidR="00645E6F" w:rsidRPr="008D0165" w:rsidRDefault="00645E6F"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Przychody</w:t>
            </w:r>
          </w:p>
        </w:tc>
        <w:tc>
          <w:tcPr>
            <w:tcW w:w="1464" w:type="dxa"/>
            <w:tcBorders>
              <w:top w:val="single" w:sz="4" w:space="0" w:color="auto"/>
              <w:left w:val="single" w:sz="4" w:space="0" w:color="auto"/>
              <w:bottom w:val="single" w:sz="4" w:space="0" w:color="auto"/>
              <w:right w:val="single" w:sz="4" w:space="0" w:color="auto"/>
            </w:tcBorders>
            <w:vAlign w:val="center"/>
          </w:tcPr>
          <w:p w14:paraId="716E83E2"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cs="Arial"/>
                <w:b/>
                <w:bCs/>
                <w:sz w:val="24"/>
                <w:szCs w:val="24"/>
              </w:rPr>
              <w:t>246 173 342</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6BCA"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290 808 602</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F36E" w14:textId="77777777" w:rsidR="00645E6F" w:rsidRPr="008D0165" w:rsidRDefault="00645E6F"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274 049 694</w:t>
            </w:r>
          </w:p>
        </w:tc>
      </w:tr>
      <w:tr w:rsidR="00645E6F" w:rsidRPr="008D0165" w14:paraId="1F7D318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D20AC60"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1.</w:t>
            </w:r>
          </w:p>
        </w:tc>
        <w:tc>
          <w:tcPr>
            <w:tcW w:w="4093" w:type="dxa"/>
            <w:tcBorders>
              <w:top w:val="single" w:sz="4" w:space="0" w:color="auto"/>
              <w:left w:val="nil"/>
              <w:bottom w:val="nil"/>
              <w:right w:val="nil"/>
            </w:tcBorders>
            <w:shd w:val="clear" w:color="auto" w:fill="auto"/>
            <w:noWrap/>
            <w:vAlign w:val="center"/>
            <w:hideMark/>
          </w:tcPr>
          <w:p w14:paraId="59819D97"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Dotacje z budżetu państwa</w:t>
            </w:r>
          </w:p>
        </w:tc>
        <w:tc>
          <w:tcPr>
            <w:tcW w:w="1464" w:type="dxa"/>
            <w:tcBorders>
              <w:top w:val="single" w:sz="4" w:space="0" w:color="auto"/>
              <w:left w:val="single" w:sz="8" w:space="0" w:color="auto"/>
              <w:bottom w:val="nil"/>
              <w:right w:val="single" w:sz="8" w:space="0" w:color="auto"/>
            </w:tcBorders>
            <w:vAlign w:val="center"/>
          </w:tcPr>
          <w:p w14:paraId="5C8784F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38 924 954</w:t>
            </w:r>
          </w:p>
        </w:tc>
        <w:tc>
          <w:tcPr>
            <w:tcW w:w="1465" w:type="dxa"/>
            <w:tcBorders>
              <w:top w:val="single" w:sz="4" w:space="0" w:color="auto"/>
              <w:left w:val="single" w:sz="8" w:space="0" w:color="auto"/>
              <w:bottom w:val="nil"/>
              <w:right w:val="single" w:sz="8" w:space="0" w:color="auto"/>
            </w:tcBorders>
            <w:shd w:val="clear" w:color="auto" w:fill="auto"/>
            <w:noWrap/>
            <w:vAlign w:val="center"/>
            <w:hideMark/>
          </w:tcPr>
          <w:p w14:paraId="5604F323"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33 522 023</w:t>
            </w:r>
          </w:p>
        </w:tc>
        <w:tc>
          <w:tcPr>
            <w:tcW w:w="1465" w:type="dxa"/>
            <w:tcBorders>
              <w:top w:val="single" w:sz="4" w:space="0" w:color="auto"/>
              <w:left w:val="nil"/>
              <w:bottom w:val="nil"/>
              <w:right w:val="single" w:sz="4" w:space="0" w:color="auto"/>
            </w:tcBorders>
            <w:shd w:val="clear" w:color="auto" w:fill="auto"/>
            <w:noWrap/>
            <w:vAlign w:val="center"/>
            <w:hideMark/>
          </w:tcPr>
          <w:p w14:paraId="16F065C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34 990 124</w:t>
            </w:r>
          </w:p>
        </w:tc>
      </w:tr>
      <w:tr w:rsidR="00645E6F" w:rsidRPr="008D0165" w14:paraId="4439E6AC"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0E1BE4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3" w:type="dxa"/>
            <w:tcBorders>
              <w:top w:val="nil"/>
              <w:left w:val="nil"/>
              <w:bottom w:val="nil"/>
              <w:right w:val="nil"/>
            </w:tcBorders>
            <w:shd w:val="clear" w:color="auto" w:fill="auto"/>
            <w:noWrap/>
            <w:vAlign w:val="center"/>
            <w:hideMark/>
          </w:tcPr>
          <w:p w14:paraId="0F4E0A35"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Składki przypis </w:t>
            </w:r>
          </w:p>
        </w:tc>
        <w:tc>
          <w:tcPr>
            <w:tcW w:w="1464" w:type="dxa"/>
            <w:tcBorders>
              <w:top w:val="nil"/>
              <w:left w:val="single" w:sz="8" w:space="0" w:color="auto"/>
              <w:bottom w:val="nil"/>
              <w:right w:val="single" w:sz="8" w:space="0" w:color="auto"/>
            </w:tcBorders>
            <w:vAlign w:val="center"/>
          </w:tcPr>
          <w:p w14:paraId="3FEA474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198 308 441</w:t>
            </w:r>
          </w:p>
        </w:tc>
        <w:tc>
          <w:tcPr>
            <w:tcW w:w="1465" w:type="dxa"/>
            <w:tcBorders>
              <w:top w:val="nil"/>
              <w:left w:val="single" w:sz="8" w:space="0" w:color="auto"/>
              <w:bottom w:val="nil"/>
              <w:right w:val="single" w:sz="8" w:space="0" w:color="auto"/>
            </w:tcBorders>
            <w:shd w:val="clear" w:color="auto" w:fill="auto"/>
            <w:noWrap/>
            <w:vAlign w:val="center"/>
            <w:hideMark/>
          </w:tcPr>
          <w:p w14:paraId="19BC64B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209 139 014</w:t>
            </w:r>
          </w:p>
        </w:tc>
        <w:tc>
          <w:tcPr>
            <w:tcW w:w="1465" w:type="dxa"/>
            <w:tcBorders>
              <w:top w:val="nil"/>
              <w:left w:val="nil"/>
              <w:bottom w:val="nil"/>
              <w:right w:val="single" w:sz="4" w:space="0" w:color="auto"/>
            </w:tcBorders>
            <w:shd w:val="clear" w:color="auto" w:fill="auto"/>
            <w:noWrap/>
            <w:vAlign w:val="center"/>
            <w:hideMark/>
          </w:tcPr>
          <w:p w14:paraId="6B7009E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228 709 606</w:t>
            </w:r>
          </w:p>
        </w:tc>
      </w:tr>
      <w:tr w:rsidR="00645E6F" w:rsidRPr="008D0165" w14:paraId="00CC60A1"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C532E05"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E197858" w14:textId="77FE1BF3"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fundusz emerytalny</w:t>
            </w:r>
          </w:p>
        </w:tc>
        <w:tc>
          <w:tcPr>
            <w:tcW w:w="1464" w:type="dxa"/>
            <w:tcBorders>
              <w:top w:val="nil"/>
              <w:left w:val="single" w:sz="8" w:space="0" w:color="auto"/>
              <w:bottom w:val="nil"/>
              <w:right w:val="single" w:sz="8" w:space="0" w:color="auto"/>
            </w:tcBorders>
            <w:vAlign w:val="center"/>
          </w:tcPr>
          <w:p w14:paraId="522A8BA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122 026 305</w:t>
            </w:r>
          </w:p>
        </w:tc>
        <w:tc>
          <w:tcPr>
            <w:tcW w:w="1465" w:type="dxa"/>
            <w:tcBorders>
              <w:top w:val="nil"/>
              <w:left w:val="single" w:sz="8" w:space="0" w:color="auto"/>
              <w:bottom w:val="nil"/>
              <w:right w:val="single" w:sz="8" w:space="0" w:color="auto"/>
            </w:tcBorders>
            <w:shd w:val="clear" w:color="auto" w:fill="auto"/>
            <w:noWrap/>
            <w:vAlign w:val="center"/>
            <w:hideMark/>
          </w:tcPr>
          <w:p w14:paraId="453B7A2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128 871 351</w:t>
            </w:r>
          </w:p>
        </w:tc>
        <w:tc>
          <w:tcPr>
            <w:tcW w:w="1465" w:type="dxa"/>
            <w:tcBorders>
              <w:top w:val="nil"/>
              <w:left w:val="nil"/>
              <w:bottom w:val="nil"/>
              <w:right w:val="single" w:sz="4" w:space="0" w:color="auto"/>
            </w:tcBorders>
            <w:shd w:val="clear" w:color="auto" w:fill="auto"/>
            <w:noWrap/>
            <w:vAlign w:val="center"/>
            <w:hideMark/>
          </w:tcPr>
          <w:p w14:paraId="15C9FBC5"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140 974 983</w:t>
            </w:r>
          </w:p>
        </w:tc>
      </w:tr>
      <w:tr w:rsidR="00645E6F" w:rsidRPr="008D0165" w14:paraId="059EC10E"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BA3AC79"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1C6957" w14:textId="1099F7E5"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fundusz rentowy</w:t>
            </w:r>
          </w:p>
        </w:tc>
        <w:tc>
          <w:tcPr>
            <w:tcW w:w="1464" w:type="dxa"/>
            <w:tcBorders>
              <w:top w:val="nil"/>
              <w:left w:val="single" w:sz="8" w:space="0" w:color="auto"/>
              <w:bottom w:val="nil"/>
              <w:right w:val="single" w:sz="8" w:space="0" w:color="auto"/>
            </w:tcBorders>
            <w:vAlign w:val="center"/>
          </w:tcPr>
          <w:p w14:paraId="0A01E335"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52 349 676</w:t>
            </w:r>
          </w:p>
        </w:tc>
        <w:tc>
          <w:tcPr>
            <w:tcW w:w="1465" w:type="dxa"/>
            <w:tcBorders>
              <w:top w:val="nil"/>
              <w:left w:val="single" w:sz="8" w:space="0" w:color="auto"/>
              <w:bottom w:val="nil"/>
              <w:right w:val="single" w:sz="8" w:space="0" w:color="auto"/>
            </w:tcBorders>
            <w:shd w:val="clear" w:color="auto" w:fill="auto"/>
            <w:noWrap/>
            <w:vAlign w:val="center"/>
            <w:hideMark/>
          </w:tcPr>
          <w:p w14:paraId="05762F5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55 189 207</w:t>
            </w:r>
          </w:p>
        </w:tc>
        <w:tc>
          <w:tcPr>
            <w:tcW w:w="1465" w:type="dxa"/>
            <w:tcBorders>
              <w:top w:val="nil"/>
              <w:left w:val="nil"/>
              <w:bottom w:val="nil"/>
              <w:right w:val="single" w:sz="4" w:space="0" w:color="auto"/>
            </w:tcBorders>
            <w:shd w:val="clear" w:color="auto" w:fill="auto"/>
            <w:noWrap/>
            <w:vAlign w:val="center"/>
            <w:hideMark/>
          </w:tcPr>
          <w:p w14:paraId="2203C4B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60 319 963</w:t>
            </w:r>
          </w:p>
        </w:tc>
      </w:tr>
      <w:tr w:rsidR="00645E6F" w:rsidRPr="008D0165" w14:paraId="3CCE2C10"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660F361"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0659A0B" w14:textId="065963FC"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fundusz chorobowy</w:t>
            </w:r>
          </w:p>
        </w:tc>
        <w:tc>
          <w:tcPr>
            <w:tcW w:w="1464" w:type="dxa"/>
            <w:tcBorders>
              <w:top w:val="nil"/>
              <w:left w:val="single" w:sz="8" w:space="0" w:color="auto"/>
              <w:bottom w:val="nil"/>
              <w:right w:val="single" w:sz="8" w:space="0" w:color="auto"/>
            </w:tcBorders>
            <w:vAlign w:val="center"/>
          </w:tcPr>
          <w:p w14:paraId="14D36E9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15 667 967</w:t>
            </w:r>
          </w:p>
        </w:tc>
        <w:tc>
          <w:tcPr>
            <w:tcW w:w="1465" w:type="dxa"/>
            <w:tcBorders>
              <w:top w:val="nil"/>
              <w:left w:val="single" w:sz="8" w:space="0" w:color="auto"/>
              <w:bottom w:val="nil"/>
              <w:right w:val="single" w:sz="8" w:space="0" w:color="auto"/>
            </w:tcBorders>
            <w:shd w:val="clear" w:color="auto" w:fill="auto"/>
            <w:noWrap/>
            <w:vAlign w:val="center"/>
            <w:hideMark/>
          </w:tcPr>
          <w:p w14:paraId="0E4755F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16 473 811</w:t>
            </w:r>
          </w:p>
        </w:tc>
        <w:tc>
          <w:tcPr>
            <w:tcW w:w="1465" w:type="dxa"/>
            <w:tcBorders>
              <w:top w:val="nil"/>
              <w:left w:val="nil"/>
              <w:bottom w:val="nil"/>
              <w:right w:val="single" w:sz="4" w:space="0" w:color="auto"/>
            </w:tcBorders>
            <w:shd w:val="clear" w:color="auto" w:fill="auto"/>
            <w:noWrap/>
            <w:vAlign w:val="center"/>
            <w:hideMark/>
          </w:tcPr>
          <w:p w14:paraId="61BA229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18 067 074</w:t>
            </w:r>
          </w:p>
        </w:tc>
      </w:tr>
      <w:tr w:rsidR="00645E6F" w:rsidRPr="008D0165" w14:paraId="264780F9"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C7D2B8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8FC4324" w14:textId="0EF848A5"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fundusz wypadkowy</w:t>
            </w:r>
          </w:p>
        </w:tc>
        <w:tc>
          <w:tcPr>
            <w:tcW w:w="1464" w:type="dxa"/>
            <w:tcBorders>
              <w:top w:val="nil"/>
              <w:left w:val="single" w:sz="8" w:space="0" w:color="auto"/>
              <w:bottom w:val="nil"/>
              <w:right w:val="single" w:sz="8" w:space="0" w:color="auto"/>
            </w:tcBorders>
            <w:vAlign w:val="center"/>
          </w:tcPr>
          <w:p w14:paraId="00A8BF8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8 264 493</w:t>
            </w:r>
          </w:p>
        </w:tc>
        <w:tc>
          <w:tcPr>
            <w:tcW w:w="1465" w:type="dxa"/>
            <w:tcBorders>
              <w:top w:val="nil"/>
              <w:left w:val="single" w:sz="8" w:space="0" w:color="auto"/>
              <w:bottom w:val="nil"/>
              <w:right w:val="single" w:sz="8" w:space="0" w:color="auto"/>
            </w:tcBorders>
            <w:shd w:val="clear" w:color="auto" w:fill="auto"/>
            <w:noWrap/>
            <w:vAlign w:val="center"/>
            <w:hideMark/>
          </w:tcPr>
          <w:p w14:paraId="64C7826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8 604 645</w:t>
            </w:r>
          </w:p>
        </w:tc>
        <w:tc>
          <w:tcPr>
            <w:tcW w:w="1465" w:type="dxa"/>
            <w:tcBorders>
              <w:top w:val="nil"/>
              <w:left w:val="nil"/>
              <w:bottom w:val="nil"/>
              <w:right w:val="single" w:sz="4" w:space="0" w:color="auto"/>
            </w:tcBorders>
            <w:shd w:val="clear" w:color="auto" w:fill="auto"/>
            <w:noWrap/>
            <w:vAlign w:val="center"/>
            <w:hideMark/>
          </w:tcPr>
          <w:p w14:paraId="54E3127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9 347 586</w:t>
            </w:r>
          </w:p>
        </w:tc>
      </w:tr>
      <w:tr w:rsidR="00645E6F" w:rsidRPr="008D0165" w14:paraId="4B70FF80"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02B96F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3.</w:t>
            </w:r>
          </w:p>
        </w:tc>
        <w:tc>
          <w:tcPr>
            <w:tcW w:w="4093" w:type="dxa"/>
            <w:tcBorders>
              <w:top w:val="nil"/>
              <w:left w:val="nil"/>
              <w:bottom w:val="nil"/>
              <w:right w:val="nil"/>
            </w:tcBorders>
            <w:shd w:val="clear" w:color="auto" w:fill="auto"/>
            <w:noWrap/>
            <w:vAlign w:val="center"/>
            <w:hideMark/>
          </w:tcPr>
          <w:p w14:paraId="434B58A6"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Wpłaty z OFE</w:t>
            </w:r>
          </w:p>
        </w:tc>
        <w:tc>
          <w:tcPr>
            <w:tcW w:w="1464" w:type="dxa"/>
            <w:tcBorders>
              <w:top w:val="nil"/>
              <w:left w:val="single" w:sz="8" w:space="0" w:color="auto"/>
              <w:bottom w:val="nil"/>
              <w:right w:val="single" w:sz="8" w:space="0" w:color="auto"/>
            </w:tcBorders>
            <w:vAlign w:val="center"/>
          </w:tcPr>
          <w:p w14:paraId="3C94A6C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6 925 574</w:t>
            </w:r>
          </w:p>
        </w:tc>
        <w:tc>
          <w:tcPr>
            <w:tcW w:w="1465" w:type="dxa"/>
            <w:tcBorders>
              <w:top w:val="nil"/>
              <w:left w:val="single" w:sz="8" w:space="0" w:color="auto"/>
              <w:bottom w:val="nil"/>
              <w:right w:val="single" w:sz="8" w:space="0" w:color="auto"/>
            </w:tcBorders>
            <w:shd w:val="clear" w:color="auto" w:fill="auto"/>
            <w:noWrap/>
            <w:vAlign w:val="center"/>
            <w:hideMark/>
          </w:tcPr>
          <w:p w14:paraId="2DCE1AC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5 731 099</w:t>
            </w:r>
          </w:p>
        </w:tc>
        <w:tc>
          <w:tcPr>
            <w:tcW w:w="1465" w:type="dxa"/>
            <w:tcBorders>
              <w:top w:val="nil"/>
              <w:left w:val="nil"/>
              <w:bottom w:val="nil"/>
              <w:right w:val="single" w:sz="4" w:space="0" w:color="auto"/>
            </w:tcBorders>
            <w:shd w:val="clear" w:color="auto" w:fill="auto"/>
            <w:noWrap/>
            <w:vAlign w:val="center"/>
            <w:hideMark/>
          </w:tcPr>
          <w:p w14:paraId="56E5DD8B"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7 325 221</w:t>
            </w:r>
          </w:p>
        </w:tc>
      </w:tr>
      <w:tr w:rsidR="00645E6F" w:rsidRPr="008D0165" w14:paraId="4254E07B" w14:textId="77777777" w:rsidTr="002B646E">
        <w:trPr>
          <w:trHeight w:val="454"/>
        </w:trPr>
        <w:tc>
          <w:tcPr>
            <w:tcW w:w="600" w:type="dxa"/>
            <w:tcBorders>
              <w:top w:val="nil"/>
              <w:left w:val="single" w:sz="8" w:space="0" w:color="auto"/>
              <w:right w:val="single" w:sz="4" w:space="0" w:color="auto"/>
            </w:tcBorders>
            <w:shd w:val="clear" w:color="auto" w:fill="auto"/>
            <w:noWrap/>
            <w:vAlign w:val="center"/>
            <w:hideMark/>
          </w:tcPr>
          <w:p w14:paraId="4906C1D1" w14:textId="77777777" w:rsidR="00645E6F"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w:t>
            </w:r>
            <w:r w:rsidR="00645E6F" w:rsidRPr="008D0165">
              <w:rPr>
                <w:rFonts w:eastAsia="Times New Roman" w:cstheme="minorHAnsi"/>
                <w:sz w:val="24"/>
                <w:szCs w:val="24"/>
                <w:lang w:eastAsia="pl-PL"/>
              </w:rPr>
              <w:t>4.</w:t>
            </w:r>
          </w:p>
        </w:tc>
        <w:tc>
          <w:tcPr>
            <w:tcW w:w="4093" w:type="dxa"/>
            <w:tcBorders>
              <w:top w:val="nil"/>
              <w:left w:val="nil"/>
              <w:right w:val="nil"/>
            </w:tcBorders>
            <w:shd w:val="clear" w:color="auto" w:fill="auto"/>
            <w:vAlign w:val="center"/>
            <w:hideMark/>
          </w:tcPr>
          <w:p w14:paraId="2346537B"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Środki z FRD pochodzące z przeniesienia aktywów z OFE oraz odsetki od tych aktywów</w:t>
            </w:r>
          </w:p>
        </w:tc>
        <w:tc>
          <w:tcPr>
            <w:tcW w:w="1464" w:type="dxa"/>
            <w:tcBorders>
              <w:top w:val="nil"/>
              <w:left w:val="single" w:sz="8" w:space="0" w:color="auto"/>
              <w:right w:val="single" w:sz="8" w:space="0" w:color="auto"/>
            </w:tcBorders>
            <w:vAlign w:val="center"/>
          </w:tcPr>
          <w:p w14:paraId="5BFD666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right w:val="single" w:sz="8" w:space="0" w:color="auto"/>
            </w:tcBorders>
            <w:shd w:val="clear" w:color="auto" w:fill="auto"/>
            <w:noWrap/>
            <w:vAlign w:val="center"/>
            <w:hideMark/>
          </w:tcPr>
          <w:p w14:paraId="234D892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right w:val="single" w:sz="4" w:space="0" w:color="auto"/>
            </w:tcBorders>
            <w:shd w:val="clear" w:color="auto" w:fill="auto"/>
            <w:noWrap/>
            <w:vAlign w:val="center"/>
            <w:hideMark/>
          </w:tcPr>
          <w:p w14:paraId="7092946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40ADB6AE" w14:textId="77777777" w:rsidTr="007566EA">
        <w:trPr>
          <w:trHeight w:val="454"/>
        </w:trPr>
        <w:tc>
          <w:tcPr>
            <w:tcW w:w="600" w:type="dxa"/>
            <w:tcBorders>
              <w:top w:val="nil"/>
              <w:left w:val="single" w:sz="8" w:space="0" w:color="auto"/>
              <w:bottom w:val="nil"/>
              <w:right w:val="single" w:sz="4" w:space="0" w:color="auto"/>
            </w:tcBorders>
            <w:shd w:val="clear" w:color="auto" w:fill="auto"/>
            <w:noWrap/>
            <w:vAlign w:val="center"/>
            <w:hideMark/>
          </w:tcPr>
          <w:p w14:paraId="4D34A23A"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5.</w:t>
            </w:r>
          </w:p>
        </w:tc>
        <w:tc>
          <w:tcPr>
            <w:tcW w:w="4093" w:type="dxa"/>
            <w:tcBorders>
              <w:top w:val="nil"/>
              <w:left w:val="nil"/>
              <w:bottom w:val="nil"/>
              <w:right w:val="nil"/>
            </w:tcBorders>
            <w:shd w:val="clear" w:color="auto" w:fill="auto"/>
            <w:noWrap/>
            <w:vAlign w:val="center"/>
            <w:hideMark/>
          </w:tcPr>
          <w:p w14:paraId="77407936"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Środki z FRD na uzupełnienie niedoboru funduszu emerytalnego</w:t>
            </w:r>
          </w:p>
        </w:tc>
        <w:tc>
          <w:tcPr>
            <w:tcW w:w="1464" w:type="dxa"/>
            <w:tcBorders>
              <w:top w:val="nil"/>
              <w:left w:val="single" w:sz="8" w:space="0" w:color="auto"/>
              <w:bottom w:val="nil"/>
              <w:right w:val="single" w:sz="8" w:space="0" w:color="auto"/>
            </w:tcBorders>
            <w:vAlign w:val="center"/>
          </w:tcPr>
          <w:p w14:paraId="7F770D4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1544E543"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0F1C030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41F5A4CA" w14:textId="77777777" w:rsidTr="002B646E">
        <w:trPr>
          <w:trHeight w:val="34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3460A73"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 6.</w:t>
            </w:r>
          </w:p>
        </w:tc>
        <w:tc>
          <w:tcPr>
            <w:tcW w:w="4093" w:type="dxa"/>
            <w:tcBorders>
              <w:top w:val="nil"/>
              <w:left w:val="nil"/>
              <w:bottom w:val="single" w:sz="4" w:space="0" w:color="auto"/>
              <w:right w:val="nil"/>
            </w:tcBorders>
            <w:shd w:val="clear" w:color="auto" w:fill="auto"/>
            <w:noWrap/>
            <w:vAlign w:val="center"/>
            <w:hideMark/>
          </w:tcPr>
          <w:p w14:paraId="110BC46F"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przychody (przypis)</w:t>
            </w:r>
          </w:p>
        </w:tc>
        <w:tc>
          <w:tcPr>
            <w:tcW w:w="1464" w:type="dxa"/>
            <w:tcBorders>
              <w:top w:val="nil"/>
              <w:left w:val="single" w:sz="8" w:space="0" w:color="auto"/>
              <w:bottom w:val="single" w:sz="4" w:space="0" w:color="auto"/>
              <w:right w:val="single" w:sz="8" w:space="0" w:color="auto"/>
            </w:tcBorders>
            <w:vAlign w:val="center"/>
          </w:tcPr>
          <w:p w14:paraId="0B7B83F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1 966 569</w:t>
            </w:r>
          </w:p>
        </w:tc>
        <w:tc>
          <w:tcPr>
            <w:tcW w:w="1465" w:type="dxa"/>
            <w:tcBorders>
              <w:top w:val="nil"/>
              <w:left w:val="single" w:sz="8" w:space="0" w:color="auto"/>
              <w:bottom w:val="single" w:sz="4" w:space="0" w:color="auto"/>
              <w:right w:val="single" w:sz="8" w:space="0" w:color="auto"/>
            </w:tcBorders>
            <w:shd w:val="clear" w:color="auto" w:fill="auto"/>
            <w:noWrap/>
            <w:vAlign w:val="center"/>
            <w:hideMark/>
          </w:tcPr>
          <w:p w14:paraId="1C82193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30 347 509</w:t>
            </w:r>
          </w:p>
        </w:tc>
        <w:tc>
          <w:tcPr>
            <w:tcW w:w="1465" w:type="dxa"/>
            <w:tcBorders>
              <w:top w:val="nil"/>
              <w:left w:val="nil"/>
              <w:bottom w:val="single" w:sz="4" w:space="0" w:color="auto"/>
              <w:right w:val="single" w:sz="4" w:space="0" w:color="auto"/>
            </w:tcBorders>
            <w:shd w:val="clear" w:color="auto" w:fill="auto"/>
            <w:noWrap/>
            <w:vAlign w:val="center"/>
            <w:hideMark/>
          </w:tcPr>
          <w:p w14:paraId="460ED45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2 046 030</w:t>
            </w:r>
          </w:p>
        </w:tc>
      </w:tr>
      <w:tr w:rsidR="00645E6F" w:rsidRPr="008D0165" w14:paraId="20D908B2" w14:textId="77777777" w:rsidTr="002B646E">
        <w:trPr>
          <w:trHeight w:val="340"/>
        </w:trPr>
        <w:tc>
          <w:tcPr>
            <w:tcW w:w="600" w:type="dxa"/>
            <w:tcBorders>
              <w:top w:val="single" w:sz="4" w:space="0" w:color="auto"/>
              <w:left w:val="single" w:sz="8" w:space="0" w:color="auto"/>
              <w:bottom w:val="nil"/>
              <w:right w:val="single" w:sz="4" w:space="0" w:color="auto"/>
            </w:tcBorders>
            <w:shd w:val="clear" w:color="auto" w:fill="auto"/>
            <w:noWrap/>
            <w:vAlign w:val="center"/>
            <w:hideMark/>
          </w:tcPr>
          <w:p w14:paraId="07BFAB4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6.1</w:t>
            </w:r>
            <w:r w:rsidR="00D438DB" w:rsidRPr="008D0165">
              <w:rPr>
                <w:rFonts w:eastAsia="Times New Roman" w:cstheme="minorHAnsi"/>
                <w:sz w:val="24"/>
                <w:szCs w:val="24"/>
                <w:lang w:eastAsia="pl-PL"/>
              </w:rPr>
              <w:t>.</w:t>
            </w:r>
          </w:p>
        </w:tc>
        <w:tc>
          <w:tcPr>
            <w:tcW w:w="4093" w:type="dxa"/>
            <w:tcBorders>
              <w:top w:val="single" w:sz="4" w:space="0" w:color="auto"/>
              <w:left w:val="nil"/>
              <w:bottom w:val="nil"/>
              <w:right w:val="nil"/>
            </w:tcBorders>
            <w:shd w:val="clear" w:color="auto" w:fill="auto"/>
            <w:noWrap/>
            <w:vAlign w:val="center"/>
            <w:hideMark/>
          </w:tcPr>
          <w:p w14:paraId="5F1AB116" w14:textId="2A358B95"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t>
            </w:r>
            <w:r w:rsidR="00C97DE5">
              <w:rPr>
                <w:rFonts w:eastAsia="Times New Roman" w:cstheme="minorHAnsi"/>
                <w:sz w:val="24"/>
                <w:szCs w:val="24"/>
                <w:lang w:eastAsia="pl-PL"/>
              </w:rPr>
              <w:t xml:space="preserve"> </w:t>
            </w:r>
            <w:r w:rsidRPr="008D0165">
              <w:rPr>
                <w:rFonts w:eastAsia="Times New Roman" w:cstheme="minorHAnsi"/>
                <w:sz w:val="24"/>
                <w:szCs w:val="24"/>
                <w:lang w:eastAsia="pl-PL"/>
              </w:rPr>
              <w:t>fundusz emerytalny</w:t>
            </w:r>
          </w:p>
        </w:tc>
        <w:tc>
          <w:tcPr>
            <w:tcW w:w="1464" w:type="dxa"/>
            <w:tcBorders>
              <w:top w:val="single" w:sz="4" w:space="0" w:color="auto"/>
              <w:left w:val="single" w:sz="8" w:space="0" w:color="auto"/>
              <w:bottom w:val="nil"/>
              <w:right w:val="single" w:sz="8" w:space="0" w:color="auto"/>
            </w:tcBorders>
            <w:vAlign w:val="center"/>
          </w:tcPr>
          <w:p w14:paraId="1E08813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1 364 456</w:t>
            </w:r>
          </w:p>
        </w:tc>
        <w:tc>
          <w:tcPr>
            <w:tcW w:w="1465" w:type="dxa"/>
            <w:tcBorders>
              <w:top w:val="single" w:sz="4" w:space="0" w:color="auto"/>
              <w:left w:val="single" w:sz="8" w:space="0" w:color="auto"/>
              <w:bottom w:val="nil"/>
              <w:right w:val="single" w:sz="8" w:space="0" w:color="auto"/>
            </w:tcBorders>
            <w:shd w:val="clear" w:color="auto" w:fill="auto"/>
            <w:noWrap/>
            <w:vAlign w:val="center"/>
            <w:hideMark/>
          </w:tcPr>
          <w:p w14:paraId="47520E3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1 344 461</w:t>
            </w:r>
          </w:p>
        </w:tc>
        <w:tc>
          <w:tcPr>
            <w:tcW w:w="1465" w:type="dxa"/>
            <w:tcBorders>
              <w:top w:val="single" w:sz="4" w:space="0" w:color="auto"/>
              <w:left w:val="nil"/>
              <w:bottom w:val="nil"/>
              <w:right w:val="single" w:sz="4" w:space="0" w:color="auto"/>
            </w:tcBorders>
            <w:shd w:val="clear" w:color="auto" w:fill="auto"/>
            <w:noWrap/>
            <w:vAlign w:val="center"/>
            <w:hideMark/>
          </w:tcPr>
          <w:p w14:paraId="31F8621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1 406 853</w:t>
            </w:r>
          </w:p>
        </w:tc>
      </w:tr>
      <w:tr w:rsidR="00645E6F" w:rsidRPr="008D0165" w14:paraId="3D2D39F6"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12F4871"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DFADE3B" w14:textId="0B96A34D"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t>
            </w:r>
            <w:r w:rsidR="00C97DE5">
              <w:rPr>
                <w:rFonts w:eastAsia="Times New Roman" w:cstheme="minorHAnsi"/>
                <w:sz w:val="24"/>
                <w:szCs w:val="24"/>
                <w:lang w:eastAsia="pl-PL"/>
              </w:rPr>
              <w:t xml:space="preserve"> </w:t>
            </w:r>
            <w:r w:rsidRPr="008D0165">
              <w:rPr>
                <w:rFonts w:eastAsia="Times New Roman" w:cstheme="minorHAnsi"/>
                <w:sz w:val="24"/>
                <w:szCs w:val="24"/>
                <w:lang w:eastAsia="pl-PL"/>
              </w:rPr>
              <w:t>fundusz rentowy</w:t>
            </w:r>
          </w:p>
        </w:tc>
        <w:tc>
          <w:tcPr>
            <w:tcW w:w="1464" w:type="dxa"/>
            <w:tcBorders>
              <w:top w:val="nil"/>
              <w:left w:val="single" w:sz="8" w:space="0" w:color="auto"/>
              <w:bottom w:val="nil"/>
              <w:right w:val="single" w:sz="8" w:space="0" w:color="auto"/>
            </w:tcBorders>
            <w:vAlign w:val="center"/>
          </w:tcPr>
          <w:p w14:paraId="2C2C6CB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410 283</w:t>
            </w:r>
          </w:p>
        </w:tc>
        <w:tc>
          <w:tcPr>
            <w:tcW w:w="1465" w:type="dxa"/>
            <w:tcBorders>
              <w:top w:val="nil"/>
              <w:left w:val="single" w:sz="8" w:space="0" w:color="auto"/>
              <w:bottom w:val="nil"/>
              <w:right w:val="single" w:sz="8" w:space="0" w:color="auto"/>
            </w:tcBorders>
            <w:shd w:val="clear" w:color="auto" w:fill="auto"/>
            <w:noWrap/>
            <w:vAlign w:val="center"/>
            <w:hideMark/>
          </w:tcPr>
          <w:p w14:paraId="3F53051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482 222</w:t>
            </w:r>
          </w:p>
        </w:tc>
        <w:tc>
          <w:tcPr>
            <w:tcW w:w="1465" w:type="dxa"/>
            <w:tcBorders>
              <w:top w:val="nil"/>
              <w:left w:val="nil"/>
              <w:bottom w:val="nil"/>
              <w:right w:val="single" w:sz="4" w:space="0" w:color="auto"/>
            </w:tcBorders>
            <w:shd w:val="clear" w:color="auto" w:fill="auto"/>
            <w:noWrap/>
            <w:vAlign w:val="center"/>
            <w:hideMark/>
          </w:tcPr>
          <w:p w14:paraId="6EF80D90"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454 170</w:t>
            </w:r>
          </w:p>
        </w:tc>
      </w:tr>
      <w:tr w:rsidR="00645E6F" w:rsidRPr="008D0165" w14:paraId="7E738605"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B15548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C58A7CB" w14:textId="0A5BCEFF"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t>
            </w:r>
            <w:r w:rsidR="00C97DE5">
              <w:rPr>
                <w:rFonts w:eastAsia="Times New Roman" w:cstheme="minorHAnsi"/>
                <w:sz w:val="24"/>
                <w:szCs w:val="24"/>
                <w:lang w:eastAsia="pl-PL"/>
              </w:rPr>
              <w:t xml:space="preserve"> </w:t>
            </w:r>
            <w:r w:rsidRPr="008D0165">
              <w:rPr>
                <w:rFonts w:eastAsia="Times New Roman" w:cstheme="minorHAnsi"/>
                <w:sz w:val="24"/>
                <w:szCs w:val="24"/>
                <w:lang w:eastAsia="pl-PL"/>
              </w:rPr>
              <w:t>fundusz chorobowy</w:t>
            </w:r>
          </w:p>
        </w:tc>
        <w:tc>
          <w:tcPr>
            <w:tcW w:w="1464" w:type="dxa"/>
            <w:tcBorders>
              <w:top w:val="nil"/>
              <w:left w:val="single" w:sz="8" w:space="0" w:color="auto"/>
              <w:bottom w:val="nil"/>
              <w:right w:val="single" w:sz="8" w:space="0" w:color="auto"/>
            </w:tcBorders>
            <w:vAlign w:val="center"/>
          </w:tcPr>
          <w:p w14:paraId="0029EE0B"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108 542</w:t>
            </w:r>
          </w:p>
        </w:tc>
        <w:tc>
          <w:tcPr>
            <w:tcW w:w="1465" w:type="dxa"/>
            <w:tcBorders>
              <w:top w:val="nil"/>
              <w:left w:val="single" w:sz="8" w:space="0" w:color="auto"/>
              <w:bottom w:val="nil"/>
              <w:right w:val="single" w:sz="8" w:space="0" w:color="auto"/>
            </w:tcBorders>
            <w:shd w:val="clear" w:color="auto" w:fill="auto"/>
            <w:noWrap/>
            <w:vAlign w:val="center"/>
            <w:hideMark/>
          </w:tcPr>
          <w:p w14:paraId="639DC08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121 688</w:t>
            </w:r>
          </w:p>
        </w:tc>
        <w:tc>
          <w:tcPr>
            <w:tcW w:w="1465" w:type="dxa"/>
            <w:tcBorders>
              <w:top w:val="nil"/>
              <w:left w:val="nil"/>
              <w:bottom w:val="nil"/>
              <w:right w:val="single" w:sz="4" w:space="0" w:color="auto"/>
            </w:tcBorders>
            <w:shd w:val="clear" w:color="auto" w:fill="auto"/>
            <w:noWrap/>
            <w:vAlign w:val="center"/>
            <w:hideMark/>
          </w:tcPr>
          <w:p w14:paraId="35F1205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99 511</w:t>
            </w:r>
          </w:p>
        </w:tc>
      </w:tr>
      <w:tr w:rsidR="00645E6F" w:rsidRPr="008D0165" w14:paraId="6963AAC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0E95FC9"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40C6024"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fundusz wypadkowy</w:t>
            </w:r>
          </w:p>
        </w:tc>
        <w:tc>
          <w:tcPr>
            <w:tcW w:w="1464" w:type="dxa"/>
            <w:tcBorders>
              <w:top w:val="nil"/>
              <w:left w:val="single" w:sz="8" w:space="0" w:color="auto"/>
              <w:bottom w:val="nil"/>
              <w:right w:val="single" w:sz="8" w:space="0" w:color="auto"/>
            </w:tcBorders>
            <w:vAlign w:val="center"/>
          </w:tcPr>
          <w:p w14:paraId="69D0E87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83 288</w:t>
            </w:r>
          </w:p>
        </w:tc>
        <w:tc>
          <w:tcPr>
            <w:tcW w:w="1465" w:type="dxa"/>
            <w:tcBorders>
              <w:top w:val="nil"/>
              <w:left w:val="single" w:sz="8" w:space="0" w:color="auto"/>
              <w:bottom w:val="nil"/>
              <w:right w:val="single" w:sz="8" w:space="0" w:color="auto"/>
            </w:tcBorders>
            <w:shd w:val="clear" w:color="auto" w:fill="auto"/>
            <w:noWrap/>
            <w:vAlign w:val="center"/>
            <w:hideMark/>
          </w:tcPr>
          <w:p w14:paraId="0E722D11"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99 138</w:t>
            </w:r>
          </w:p>
        </w:tc>
        <w:tc>
          <w:tcPr>
            <w:tcW w:w="1465" w:type="dxa"/>
            <w:tcBorders>
              <w:top w:val="nil"/>
              <w:left w:val="nil"/>
              <w:bottom w:val="nil"/>
              <w:right w:val="single" w:sz="4" w:space="0" w:color="auto"/>
            </w:tcBorders>
            <w:shd w:val="clear" w:color="auto" w:fill="auto"/>
            <w:noWrap/>
            <w:vAlign w:val="center"/>
            <w:hideMark/>
          </w:tcPr>
          <w:p w14:paraId="4D379BD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85 496</w:t>
            </w:r>
          </w:p>
        </w:tc>
      </w:tr>
      <w:tr w:rsidR="00645E6F" w:rsidRPr="008D0165" w14:paraId="624A1BB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F9B7C4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6.5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AFC2794" w14:textId="221E265C"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środki z Funduszu Przeciwdziałania COVID-19</w:t>
            </w:r>
          </w:p>
        </w:tc>
        <w:tc>
          <w:tcPr>
            <w:tcW w:w="1464" w:type="dxa"/>
            <w:tcBorders>
              <w:top w:val="nil"/>
              <w:left w:val="single" w:sz="8" w:space="0" w:color="auto"/>
              <w:bottom w:val="nil"/>
              <w:right w:val="single" w:sz="8" w:space="0" w:color="auto"/>
            </w:tcBorders>
            <w:vAlign w:val="center"/>
          </w:tcPr>
          <w:p w14:paraId="36874CE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8" w:space="0" w:color="auto"/>
            </w:tcBorders>
            <w:shd w:val="clear" w:color="auto" w:fill="auto"/>
            <w:noWrap/>
            <w:vAlign w:val="center"/>
            <w:hideMark/>
          </w:tcPr>
          <w:p w14:paraId="7F9E28BC"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28 300 000</w:t>
            </w:r>
          </w:p>
        </w:tc>
        <w:tc>
          <w:tcPr>
            <w:tcW w:w="1465" w:type="dxa"/>
            <w:tcBorders>
              <w:top w:val="nil"/>
              <w:left w:val="nil"/>
              <w:bottom w:val="nil"/>
              <w:right w:val="single" w:sz="4" w:space="0" w:color="auto"/>
            </w:tcBorders>
            <w:shd w:val="clear" w:color="auto" w:fill="auto"/>
            <w:noWrap/>
            <w:vAlign w:val="center"/>
            <w:hideMark/>
          </w:tcPr>
          <w:p w14:paraId="718DA6E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51BDFC0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016A6FB"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7.</w:t>
            </w:r>
          </w:p>
        </w:tc>
        <w:tc>
          <w:tcPr>
            <w:tcW w:w="4093" w:type="dxa"/>
            <w:tcBorders>
              <w:top w:val="nil"/>
              <w:left w:val="nil"/>
              <w:bottom w:val="nil"/>
              <w:right w:val="nil"/>
            </w:tcBorders>
            <w:shd w:val="clear" w:color="auto" w:fill="auto"/>
            <w:vAlign w:val="center"/>
            <w:hideMark/>
          </w:tcPr>
          <w:p w14:paraId="1010C10E"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zwiększenia</w:t>
            </w:r>
          </w:p>
        </w:tc>
        <w:tc>
          <w:tcPr>
            <w:tcW w:w="1464" w:type="dxa"/>
            <w:tcBorders>
              <w:top w:val="nil"/>
              <w:left w:val="single" w:sz="8" w:space="0" w:color="auto"/>
              <w:bottom w:val="nil"/>
              <w:right w:val="single" w:sz="8" w:space="0" w:color="auto"/>
            </w:tcBorders>
            <w:vAlign w:val="center"/>
          </w:tcPr>
          <w:p w14:paraId="6DCAEFB4"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47 804</w:t>
            </w:r>
          </w:p>
        </w:tc>
        <w:tc>
          <w:tcPr>
            <w:tcW w:w="1465" w:type="dxa"/>
            <w:tcBorders>
              <w:top w:val="nil"/>
              <w:left w:val="single" w:sz="8" w:space="0" w:color="auto"/>
              <w:bottom w:val="nil"/>
              <w:right w:val="single" w:sz="8" w:space="0" w:color="auto"/>
            </w:tcBorders>
            <w:shd w:val="clear" w:color="auto" w:fill="auto"/>
            <w:noWrap/>
            <w:vAlign w:val="center"/>
            <w:hideMark/>
          </w:tcPr>
          <w:p w14:paraId="1D5AC06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68 957</w:t>
            </w:r>
          </w:p>
        </w:tc>
        <w:tc>
          <w:tcPr>
            <w:tcW w:w="1465" w:type="dxa"/>
            <w:tcBorders>
              <w:top w:val="nil"/>
              <w:left w:val="nil"/>
              <w:bottom w:val="nil"/>
              <w:right w:val="single" w:sz="4" w:space="0" w:color="auto"/>
            </w:tcBorders>
            <w:shd w:val="clear" w:color="auto" w:fill="auto"/>
            <w:noWrap/>
            <w:vAlign w:val="center"/>
            <w:hideMark/>
          </w:tcPr>
          <w:p w14:paraId="3D9329F9"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978 713</w:t>
            </w:r>
          </w:p>
        </w:tc>
      </w:tr>
      <w:tr w:rsidR="00645E6F" w:rsidRPr="008D0165" w14:paraId="1ECC5C8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07AE986"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7.1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65D5DA6" w14:textId="731A948D"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w:t>
            </w:r>
            <w:r w:rsidR="00C97DE5">
              <w:rPr>
                <w:rFonts w:eastAsia="Times New Roman" w:cstheme="minorHAnsi"/>
                <w:sz w:val="24"/>
                <w:szCs w:val="24"/>
                <w:lang w:eastAsia="pl-PL"/>
              </w:rPr>
              <w:t xml:space="preserve"> </w:t>
            </w:r>
            <w:r w:rsidRPr="008D0165">
              <w:rPr>
                <w:rFonts w:eastAsia="Times New Roman" w:cstheme="minorHAnsi"/>
                <w:sz w:val="24"/>
                <w:szCs w:val="24"/>
                <w:lang w:eastAsia="pl-PL"/>
              </w:rPr>
              <w:t>różnice kursowe</w:t>
            </w:r>
          </w:p>
        </w:tc>
        <w:tc>
          <w:tcPr>
            <w:tcW w:w="1464" w:type="dxa"/>
            <w:tcBorders>
              <w:top w:val="nil"/>
              <w:left w:val="single" w:sz="8" w:space="0" w:color="auto"/>
              <w:bottom w:val="nil"/>
              <w:right w:val="single" w:sz="8" w:space="0" w:color="auto"/>
            </w:tcBorders>
            <w:vAlign w:val="center"/>
          </w:tcPr>
          <w:p w14:paraId="46DE63F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10</w:t>
            </w:r>
          </w:p>
        </w:tc>
        <w:tc>
          <w:tcPr>
            <w:tcW w:w="1465" w:type="dxa"/>
            <w:tcBorders>
              <w:top w:val="nil"/>
              <w:left w:val="single" w:sz="8" w:space="0" w:color="auto"/>
              <w:bottom w:val="nil"/>
              <w:right w:val="single" w:sz="8" w:space="0" w:color="auto"/>
            </w:tcBorders>
            <w:shd w:val="clear" w:color="auto" w:fill="auto"/>
            <w:noWrap/>
            <w:vAlign w:val="center"/>
            <w:hideMark/>
          </w:tcPr>
          <w:p w14:paraId="5CAE3568"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21</w:t>
            </w:r>
          </w:p>
        </w:tc>
        <w:tc>
          <w:tcPr>
            <w:tcW w:w="1465" w:type="dxa"/>
            <w:tcBorders>
              <w:top w:val="nil"/>
              <w:left w:val="nil"/>
              <w:bottom w:val="nil"/>
              <w:right w:val="single" w:sz="4" w:space="0" w:color="auto"/>
            </w:tcBorders>
            <w:shd w:val="clear" w:color="auto" w:fill="auto"/>
            <w:noWrap/>
            <w:vAlign w:val="center"/>
            <w:hideMark/>
          </w:tcPr>
          <w:p w14:paraId="2243D19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22</w:t>
            </w:r>
          </w:p>
        </w:tc>
      </w:tr>
      <w:tr w:rsidR="00645E6F" w:rsidRPr="008D0165" w14:paraId="566FF19D"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1069C9C"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7.2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5B2BFED" w14:textId="77E4FFA3"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w:t>
            </w:r>
            <w:r w:rsidR="00C97DE5">
              <w:rPr>
                <w:rFonts w:eastAsia="Times New Roman" w:cstheme="minorHAnsi"/>
                <w:sz w:val="24"/>
                <w:szCs w:val="24"/>
                <w:lang w:eastAsia="pl-PL"/>
              </w:rPr>
              <w:t xml:space="preserve"> </w:t>
            </w:r>
            <w:r w:rsidRPr="008D0165">
              <w:rPr>
                <w:rFonts w:eastAsia="Times New Roman" w:cstheme="minorHAnsi"/>
                <w:sz w:val="24"/>
                <w:szCs w:val="24"/>
                <w:lang w:eastAsia="pl-PL"/>
              </w:rPr>
              <w:t>inne</w:t>
            </w:r>
          </w:p>
        </w:tc>
        <w:tc>
          <w:tcPr>
            <w:tcW w:w="1464" w:type="dxa"/>
            <w:tcBorders>
              <w:top w:val="nil"/>
              <w:left w:val="single" w:sz="8" w:space="0" w:color="auto"/>
              <w:bottom w:val="nil"/>
              <w:right w:val="single" w:sz="8" w:space="0" w:color="auto"/>
            </w:tcBorders>
            <w:vAlign w:val="center"/>
          </w:tcPr>
          <w:p w14:paraId="0579A3D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cs="Arial"/>
                <w:bCs/>
                <w:sz w:val="24"/>
                <w:szCs w:val="24"/>
              </w:rPr>
              <w:t>47 794</w:t>
            </w:r>
          </w:p>
        </w:tc>
        <w:tc>
          <w:tcPr>
            <w:tcW w:w="1465" w:type="dxa"/>
            <w:tcBorders>
              <w:top w:val="nil"/>
              <w:left w:val="single" w:sz="8" w:space="0" w:color="auto"/>
              <w:bottom w:val="nil"/>
              <w:right w:val="single" w:sz="8" w:space="0" w:color="auto"/>
            </w:tcBorders>
            <w:shd w:val="clear" w:color="auto" w:fill="auto"/>
            <w:noWrap/>
            <w:vAlign w:val="center"/>
            <w:hideMark/>
          </w:tcPr>
          <w:p w14:paraId="26903B0A"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68 936</w:t>
            </w:r>
          </w:p>
        </w:tc>
        <w:tc>
          <w:tcPr>
            <w:tcW w:w="1465" w:type="dxa"/>
            <w:tcBorders>
              <w:top w:val="nil"/>
              <w:left w:val="nil"/>
              <w:bottom w:val="nil"/>
              <w:right w:val="single" w:sz="4" w:space="0" w:color="auto"/>
            </w:tcBorders>
            <w:shd w:val="clear" w:color="auto" w:fill="auto"/>
            <w:noWrap/>
            <w:vAlign w:val="center"/>
            <w:hideMark/>
          </w:tcPr>
          <w:p w14:paraId="0635BBBD"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978 691</w:t>
            </w:r>
          </w:p>
        </w:tc>
      </w:tr>
      <w:tr w:rsidR="00645E6F" w:rsidRPr="008D0165" w14:paraId="3A4E216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F94F778"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8.</w:t>
            </w:r>
          </w:p>
        </w:tc>
        <w:tc>
          <w:tcPr>
            <w:tcW w:w="4093" w:type="dxa"/>
            <w:tcBorders>
              <w:top w:val="nil"/>
              <w:left w:val="nil"/>
              <w:bottom w:val="nil"/>
              <w:right w:val="nil"/>
            </w:tcBorders>
            <w:shd w:val="clear" w:color="auto" w:fill="auto"/>
            <w:noWrap/>
            <w:vAlign w:val="center"/>
            <w:hideMark/>
          </w:tcPr>
          <w:p w14:paraId="30E66B7F" w14:textId="77777777"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Wpłaty od jednostek na państwowy fundusz celowy</w:t>
            </w:r>
          </w:p>
        </w:tc>
        <w:tc>
          <w:tcPr>
            <w:tcW w:w="1464" w:type="dxa"/>
            <w:tcBorders>
              <w:top w:val="nil"/>
              <w:left w:val="single" w:sz="8" w:space="0" w:color="auto"/>
              <w:bottom w:val="nil"/>
              <w:right w:val="single" w:sz="8" w:space="0" w:color="auto"/>
            </w:tcBorders>
            <w:vAlign w:val="center"/>
          </w:tcPr>
          <w:p w14:paraId="12B6A3C2"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single" w:sz="8" w:space="0" w:color="auto"/>
              <w:bottom w:val="nil"/>
              <w:right w:val="single" w:sz="8" w:space="0" w:color="auto"/>
            </w:tcBorders>
            <w:shd w:val="clear" w:color="auto" w:fill="auto"/>
            <w:noWrap/>
            <w:vAlign w:val="center"/>
            <w:hideMark/>
          </w:tcPr>
          <w:p w14:paraId="03B4FAEF"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12 000 000</w:t>
            </w:r>
          </w:p>
        </w:tc>
        <w:tc>
          <w:tcPr>
            <w:tcW w:w="1465" w:type="dxa"/>
            <w:tcBorders>
              <w:top w:val="nil"/>
              <w:left w:val="nil"/>
              <w:bottom w:val="nil"/>
              <w:right w:val="single" w:sz="4" w:space="0" w:color="auto"/>
            </w:tcBorders>
            <w:shd w:val="clear" w:color="auto" w:fill="auto"/>
            <w:noWrap/>
            <w:vAlign w:val="center"/>
            <w:hideMark/>
          </w:tcPr>
          <w:p w14:paraId="510B51CE"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645E6F" w:rsidRPr="008D0165" w14:paraId="63593D2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26456E4" w14:textId="77777777" w:rsidR="00645E6F" w:rsidRPr="008D0165" w:rsidRDefault="00645E6F"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8.1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3E6646F0" w14:textId="57EB3AD9" w:rsidR="00645E6F" w:rsidRPr="008D0165" w:rsidRDefault="00645E6F"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bieżące</w:t>
            </w:r>
          </w:p>
        </w:tc>
        <w:tc>
          <w:tcPr>
            <w:tcW w:w="1464" w:type="dxa"/>
            <w:tcBorders>
              <w:top w:val="nil"/>
              <w:left w:val="single" w:sz="8" w:space="0" w:color="auto"/>
              <w:bottom w:val="nil"/>
              <w:right w:val="single" w:sz="8" w:space="0" w:color="auto"/>
            </w:tcBorders>
            <w:vAlign w:val="center"/>
          </w:tcPr>
          <w:p w14:paraId="74BC446B"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single" w:sz="8" w:space="0" w:color="auto"/>
              <w:bottom w:val="nil"/>
              <w:right w:val="single" w:sz="8" w:space="0" w:color="auto"/>
            </w:tcBorders>
            <w:shd w:val="clear" w:color="auto" w:fill="auto"/>
            <w:noWrap/>
            <w:vAlign w:val="center"/>
            <w:hideMark/>
          </w:tcPr>
          <w:p w14:paraId="7599B7E7"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12 000 000</w:t>
            </w:r>
          </w:p>
        </w:tc>
        <w:tc>
          <w:tcPr>
            <w:tcW w:w="1465" w:type="dxa"/>
            <w:tcBorders>
              <w:top w:val="nil"/>
              <w:left w:val="nil"/>
              <w:bottom w:val="nil"/>
              <w:right w:val="single" w:sz="4" w:space="0" w:color="auto"/>
            </w:tcBorders>
            <w:shd w:val="clear" w:color="auto" w:fill="auto"/>
            <w:noWrap/>
            <w:vAlign w:val="center"/>
            <w:hideMark/>
          </w:tcPr>
          <w:p w14:paraId="2530FCA6" w14:textId="77777777" w:rsidR="00645E6F" w:rsidRPr="008D0165" w:rsidRDefault="00645E6F"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4C0E46" w:rsidRPr="008D0165" w14:paraId="27542F87" w14:textId="77777777" w:rsidTr="002D6B14">
        <w:trPr>
          <w:trHeight w:val="34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8BDAA1"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III.</w:t>
            </w:r>
          </w:p>
        </w:tc>
        <w:tc>
          <w:tcPr>
            <w:tcW w:w="4093" w:type="dxa"/>
            <w:tcBorders>
              <w:top w:val="single" w:sz="8" w:space="0" w:color="auto"/>
              <w:left w:val="nil"/>
              <w:bottom w:val="single" w:sz="8" w:space="0" w:color="auto"/>
              <w:right w:val="nil"/>
            </w:tcBorders>
            <w:shd w:val="clear" w:color="auto" w:fill="auto"/>
            <w:noWrap/>
            <w:vAlign w:val="center"/>
            <w:hideMark/>
          </w:tcPr>
          <w:p w14:paraId="1D4F4E0C"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Koszty</w:t>
            </w:r>
          </w:p>
        </w:tc>
        <w:tc>
          <w:tcPr>
            <w:tcW w:w="1464" w:type="dxa"/>
            <w:tcBorders>
              <w:top w:val="single" w:sz="8" w:space="0" w:color="auto"/>
              <w:left w:val="single" w:sz="8" w:space="0" w:color="auto"/>
              <w:bottom w:val="single" w:sz="8" w:space="0" w:color="auto"/>
              <w:right w:val="single" w:sz="8" w:space="0" w:color="auto"/>
            </w:tcBorders>
            <w:vAlign w:val="center"/>
          </w:tcPr>
          <w:p w14:paraId="0671EA12"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sz w:val="24"/>
                <w:szCs w:val="24"/>
              </w:rPr>
              <w:t>246 625 656</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D617F"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277 290 038</w:t>
            </w:r>
          </w:p>
        </w:tc>
        <w:tc>
          <w:tcPr>
            <w:tcW w:w="1465" w:type="dxa"/>
            <w:tcBorders>
              <w:top w:val="single" w:sz="8" w:space="0" w:color="auto"/>
              <w:left w:val="nil"/>
              <w:bottom w:val="single" w:sz="8" w:space="0" w:color="auto"/>
              <w:right w:val="single" w:sz="4" w:space="0" w:color="auto"/>
            </w:tcBorders>
            <w:shd w:val="clear" w:color="auto" w:fill="auto"/>
            <w:noWrap/>
            <w:vAlign w:val="center"/>
            <w:hideMark/>
          </w:tcPr>
          <w:p w14:paraId="77021E60"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284 467 506</w:t>
            </w:r>
          </w:p>
        </w:tc>
      </w:tr>
      <w:tr w:rsidR="004C0E46" w:rsidRPr="008D0165" w14:paraId="7241663B"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3B02230" w14:textId="77777777" w:rsidR="004C0E46"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3" w:type="dxa"/>
            <w:tcBorders>
              <w:top w:val="nil"/>
              <w:left w:val="nil"/>
              <w:bottom w:val="nil"/>
              <w:right w:val="nil"/>
            </w:tcBorders>
            <w:shd w:val="clear" w:color="auto" w:fill="auto"/>
            <w:noWrap/>
            <w:vAlign w:val="center"/>
            <w:hideMark/>
          </w:tcPr>
          <w:p w14:paraId="771C6499"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Transfery na rzecz ludności</w:t>
            </w:r>
          </w:p>
        </w:tc>
        <w:tc>
          <w:tcPr>
            <w:tcW w:w="1464" w:type="dxa"/>
            <w:tcBorders>
              <w:top w:val="nil"/>
              <w:left w:val="single" w:sz="8" w:space="0" w:color="auto"/>
              <w:bottom w:val="nil"/>
              <w:right w:val="single" w:sz="8" w:space="0" w:color="auto"/>
            </w:tcBorders>
            <w:vAlign w:val="center"/>
          </w:tcPr>
          <w:p w14:paraId="174C47A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240 027 979</w:t>
            </w:r>
          </w:p>
        </w:tc>
        <w:tc>
          <w:tcPr>
            <w:tcW w:w="1465" w:type="dxa"/>
            <w:tcBorders>
              <w:top w:val="nil"/>
              <w:left w:val="single" w:sz="8" w:space="0" w:color="auto"/>
              <w:bottom w:val="nil"/>
              <w:right w:val="single" w:sz="8" w:space="0" w:color="auto"/>
            </w:tcBorders>
            <w:shd w:val="clear" w:color="auto" w:fill="auto"/>
            <w:noWrap/>
            <w:vAlign w:val="center"/>
            <w:hideMark/>
          </w:tcPr>
          <w:p w14:paraId="6464C3A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260 467 285</w:t>
            </w:r>
          </w:p>
        </w:tc>
        <w:tc>
          <w:tcPr>
            <w:tcW w:w="1465" w:type="dxa"/>
            <w:tcBorders>
              <w:top w:val="nil"/>
              <w:left w:val="nil"/>
              <w:bottom w:val="nil"/>
              <w:right w:val="single" w:sz="4" w:space="0" w:color="auto"/>
            </w:tcBorders>
            <w:shd w:val="clear" w:color="auto" w:fill="auto"/>
            <w:noWrap/>
            <w:vAlign w:val="center"/>
            <w:hideMark/>
          </w:tcPr>
          <w:p w14:paraId="08B3BC0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276 205 395</w:t>
            </w:r>
          </w:p>
        </w:tc>
      </w:tr>
      <w:tr w:rsidR="004C0E46" w:rsidRPr="008D0165" w14:paraId="5363AD70"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1FBD1C7"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4ABB24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Emerytury i renty (łącznie z dodatkami)</w:t>
            </w:r>
          </w:p>
        </w:tc>
        <w:tc>
          <w:tcPr>
            <w:tcW w:w="1464" w:type="dxa"/>
            <w:tcBorders>
              <w:top w:val="nil"/>
              <w:left w:val="single" w:sz="8" w:space="0" w:color="auto"/>
              <w:bottom w:val="nil"/>
              <w:right w:val="single" w:sz="8" w:space="0" w:color="auto"/>
            </w:tcBorders>
            <w:vAlign w:val="center"/>
          </w:tcPr>
          <w:p w14:paraId="09E4539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214 246 353</w:t>
            </w:r>
          </w:p>
        </w:tc>
        <w:tc>
          <w:tcPr>
            <w:tcW w:w="1465" w:type="dxa"/>
            <w:tcBorders>
              <w:top w:val="nil"/>
              <w:left w:val="single" w:sz="8" w:space="0" w:color="auto"/>
              <w:bottom w:val="nil"/>
              <w:right w:val="single" w:sz="8" w:space="0" w:color="auto"/>
            </w:tcBorders>
            <w:shd w:val="clear" w:color="auto" w:fill="auto"/>
            <w:noWrap/>
            <w:vAlign w:val="center"/>
            <w:hideMark/>
          </w:tcPr>
          <w:p w14:paraId="1766DDD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229 085 247</w:t>
            </w:r>
          </w:p>
        </w:tc>
        <w:tc>
          <w:tcPr>
            <w:tcW w:w="1465" w:type="dxa"/>
            <w:tcBorders>
              <w:top w:val="nil"/>
              <w:left w:val="nil"/>
              <w:bottom w:val="nil"/>
              <w:right w:val="single" w:sz="4" w:space="0" w:color="auto"/>
            </w:tcBorders>
            <w:shd w:val="clear" w:color="auto" w:fill="auto"/>
            <w:noWrap/>
            <w:vAlign w:val="center"/>
            <w:hideMark/>
          </w:tcPr>
          <w:p w14:paraId="60590D6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245 505 490</w:t>
            </w:r>
          </w:p>
        </w:tc>
      </w:tr>
      <w:tr w:rsidR="004C0E46" w:rsidRPr="008D0165" w14:paraId="16F811B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201820C"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EE6D076"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Pozostałe świadczenia</w:t>
            </w:r>
          </w:p>
        </w:tc>
        <w:tc>
          <w:tcPr>
            <w:tcW w:w="1464" w:type="dxa"/>
            <w:tcBorders>
              <w:top w:val="nil"/>
              <w:left w:val="single" w:sz="8" w:space="0" w:color="auto"/>
              <w:bottom w:val="nil"/>
              <w:right w:val="single" w:sz="8" w:space="0" w:color="auto"/>
            </w:tcBorders>
            <w:vAlign w:val="center"/>
          </w:tcPr>
          <w:p w14:paraId="77D8315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25 781 626</w:t>
            </w:r>
          </w:p>
        </w:tc>
        <w:tc>
          <w:tcPr>
            <w:tcW w:w="1465" w:type="dxa"/>
            <w:tcBorders>
              <w:top w:val="nil"/>
              <w:left w:val="single" w:sz="8" w:space="0" w:color="auto"/>
              <w:bottom w:val="nil"/>
              <w:right w:val="single" w:sz="8" w:space="0" w:color="auto"/>
            </w:tcBorders>
            <w:shd w:val="clear" w:color="auto" w:fill="auto"/>
            <w:noWrap/>
            <w:vAlign w:val="center"/>
            <w:hideMark/>
          </w:tcPr>
          <w:p w14:paraId="3BEA5EE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31 382 038</w:t>
            </w:r>
          </w:p>
        </w:tc>
        <w:tc>
          <w:tcPr>
            <w:tcW w:w="1465" w:type="dxa"/>
            <w:tcBorders>
              <w:top w:val="nil"/>
              <w:left w:val="nil"/>
              <w:bottom w:val="nil"/>
              <w:right w:val="single" w:sz="4" w:space="0" w:color="auto"/>
            </w:tcBorders>
            <w:shd w:val="clear" w:color="auto" w:fill="auto"/>
            <w:noWrap/>
            <w:vAlign w:val="center"/>
            <w:hideMark/>
          </w:tcPr>
          <w:p w14:paraId="2946AA1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30 699 905</w:t>
            </w:r>
          </w:p>
        </w:tc>
      </w:tr>
      <w:tr w:rsidR="004C0E46" w:rsidRPr="008D0165" w14:paraId="465E5276"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5CC7FC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14E0CFE" w14:textId="0DC93588"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 koszty przeciwdziałania COVID-19</w:t>
            </w:r>
          </w:p>
        </w:tc>
        <w:tc>
          <w:tcPr>
            <w:tcW w:w="1464" w:type="dxa"/>
            <w:tcBorders>
              <w:top w:val="nil"/>
              <w:left w:val="single" w:sz="8" w:space="0" w:color="auto"/>
              <w:bottom w:val="nil"/>
              <w:right w:val="single" w:sz="8" w:space="0" w:color="auto"/>
            </w:tcBorders>
            <w:vAlign w:val="center"/>
          </w:tcPr>
          <w:p w14:paraId="3A554C1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x</w:t>
            </w:r>
          </w:p>
        </w:tc>
        <w:tc>
          <w:tcPr>
            <w:tcW w:w="1465" w:type="dxa"/>
            <w:tcBorders>
              <w:top w:val="nil"/>
              <w:left w:val="single" w:sz="8" w:space="0" w:color="auto"/>
              <w:bottom w:val="nil"/>
              <w:right w:val="single" w:sz="8" w:space="0" w:color="auto"/>
            </w:tcBorders>
            <w:shd w:val="clear" w:color="auto" w:fill="auto"/>
            <w:noWrap/>
            <w:vAlign w:val="center"/>
            <w:hideMark/>
          </w:tcPr>
          <w:p w14:paraId="75558DD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4 656 599</w:t>
            </w:r>
          </w:p>
        </w:tc>
        <w:tc>
          <w:tcPr>
            <w:tcW w:w="1465" w:type="dxa"/>
            <w:tcBorders>
              <w:top w:val="nil"/>
              <w:left w:val="nil"/>
              <w:bottom w:val="nil"/>
              <w:right w:val="single" w:sz="4" w:space="0" w:color="auto"/>
            </w:tcBorders>
            <w:shd w:val="clear" w:color="auto" w:fill="auto"/>
            <w:noWrap/>
            <w:vAlign w:val="center"/>
            <w:hideMark/>
          </w:tcPr>
          <w:p w14:paraId="6E3019E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3 184 839</w:t>
            </w:r>
          </w:p>
        </w:tc>
      </w:tr>
      <w:tr w:rsidR="004C0E46" w:rsidRPr="008D0165" w14:paraId="518CB1EE"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B8E64D7" w14:textId="77777777" w:rsidR="004C0E46"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w:t>
            </w:r>
          </w:p>
        </w:tc>
        <w:tc>
          <w:tcPr>
            <w:tcW w:w="4093" w:type="dxa"/>
            <w:tcBorders>
              <w:top w:val="nil"/>
              <w:left w:val="nil"/>
              <w:bottom w:val="nil"/>
              <w:right w:val="nil"/>
            </w:tcBorders>
            <w:shd w:val="clear" w:color="auto" w:fill="auto"/>
            <w:noWrap/>
            <w:vAlign w:val="center"/>
            <w:hideMark/>
          </w:tcPr>
          <w:p w14:paraId="10BF5C2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Koszty bieżące</w:t>
            </w:r>
          </w:p>
        </w:tc>
        <w:tc>
          <w:tcPr>
            <w:tcW w:w="1464" w:type="dxa"/>
            <w:tcBorders>
              <w:top w:val="nil"/>
              <w:left w:val="single" w:sz="8" w:space="0" w:color="auto"/>
              <w:bottom w:val="nil"/>
              <w:right w:val="single" w:sz="8" w:space="0" w:color="auto"/>
            </w:tcBorders>
            <w:vAlign w:val="center"/>
          </w:tcPr>
          <w:p w14:paraId="183E378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4 165 114</w:t>
            </w:r>
          </w:p>
        </w:tc>
        <w:tc>
          <w:tcPr>
            <w:tcW w:w="1465" w:type="dxa"/>
            <w:tcBorders>
              <w:top w:val="nil"/>
              <w:left w:val="single" w:sz="8" w:space="0" w:color="auto"/>
              <w:bottom w:val="nil"/>
              <w:right w:val="single" w:sz="8" w:space="0" w:color="auto"/>
            </w:tcBorders>
            <w:shd w:val="clear" w:color="auto" w:fill="auto"/>
            <w:noWrap/>
            <w:vAlign w:val="center"/>
            <w:hideMark/>
          </w:tcPr>
          <w:p w14:paraId="25E5123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4 013 728</w:t>
            </w:r>
          </w:p>
        </w:tc>
        <w:tc>
          <w:tcPr>
            <w:tcW w:w="1465" w:type="dxa"/>
            <w:tcBorders>
              <w:top w:val="nil"/>
              <w:left w:val="nil"/>
              <w:bottom w:val="nil"/>
              <w:right w:val="single" w:sz="4" w:space="0" w:color="auto"/>
            </w:tcBorders>
            <w:shd w:val="clear" w:color="auto" w:fill="auto"/>
            <w:noWrap/>
            <w:vAlign w:val="center"/>
            <w:hideMark/>
          </w:tcPr>
          <w:p w14:paraId="5FF83EC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4 053 410</w:t>
            </w:r>
          </w:p>
        </w:tc>
      </w:tr>
      <w:tr w:rsidR="004C0E46" w:rsidRPr="008D0165" w14:paraId="5F52454A"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D92D14D"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lastRenderedPageBreak/>
              <w:t>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247448A6"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Odpis na działalność ZUS</w:t>
            </w:r>
          </w:p>
        </w:tc>
        <w:tc>
          <w:tcPr>
            <w:tcW w:w="1464" w:type="dxa"/>
            <w:tcBorders>
              <w:top w:val="nil"/>
              <w:left w:val="single" w:sz="8" w:space="0" w:color="auto"/>
              <w:bottom w:val="nil"/>
              <w:right w:val="single" w:sz="8" w:space="0" w:color="auto"/>
            </w:tcBorders>
            <w:vAlign w:val="center"/>
          </w:tcPr>
          <w:p w14:paraId="1C13BB5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3 865 499</w:t>
            </w:r>
          </w:p>
        </w:tc>
        <w:tc>
          <w:tcPr>
            <w:tcW w:w="1465" w:type="dxa"/>
            <w:tcBorders>
              <w:top w:val="nil"/>
              <w:left w:val="single" w:sz="8" w:space="0" w:color="auto"/>
              <w:bottom w:val="nil"/>
              <w:right w:val="single" w:sz="8" w:space="0" w:color="auto"/>
            </w:tcBorders>
            <w:shd w:val="clear" w:color="auto" w:fill="auto"/>
            <w:noWrap/>
            <w:vAlign w:val="center"/>
            <w:hideMark/>
          </w:tcPr>
          <w:p w14:paraId="3C067A1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3 865 499</w:t>
            </w:r>
          </w:p>
        </w:tc>
        <w:tc>
          <w:tcPr>
            <w:tcW w:w="1465" w:type="dxa"/>
            <w:tcBorders>
              <w:top w:val="nil"/>
              <w:left w:val="nil"/>
              <w:bottom w:val="nil"/>
              <w:right w:val="single" w:sz="4" w:space="0" w:color="auto"/>
            </w:tcBorders>
            <w:shd w:val="clear" w:color="auto" w:fill="auto"/>
            <w:noWrap/>
            <w:vAlign w:val="center"/>
            <w:hideMark/>
          </w:tcPr>
          <w:p w14:paraId="5F87298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3 865 499</w:t>
            </w:r>
          </w:p>
        </w:tc>
      </w:tr>
      <w:tr w:rsidR="004C0E46" w:rsidRPr="008D0165" w14:paraId="33B6BA39"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23908C3"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121BBA"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Prewencja rentowa</w:t>
            </w:r>
          </w:p>
        </w:tc>
        <w:tc>
          <w:tcPr>
            <w:tcW w:w="1464" w:type="dxa"/>
            <w:tcBorders>
              <w:top w:val="nil"/>
              <w:left w:val="single" w:sz="8" w:space="0" w:color="auto"/>
              <w:bottom w:val="nil"/>
              <w:right w:val="single" w:sz="8" w:space="0" w:color="auto"/>
            </w:tcBorders>
            <w:vAlign w:val="center"/>
          </w:tcPr>
          <w:p w14:paraId="7EBE5DD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204 225</w:t>
            </w:r>
          </w:p>
        </w:tc>
        <w:tc>
          <w:tcPr>
            <w:tcW w:w="1465" w:type="dxa"/>
            <w:tcBorders>
              <w:top w:val="nil"/>
              <w:left w:val="single" w:sz="8" w:space="0" w:color="auto"/>
              <w:bottom w:val="nil"/>
              <w:right w:val="single" w:sz="8" w:space="0" w:color="auto"/>
            </w:tcBorders>
            <w:shd w:val="clear" w:color="auto" w:fill="auto"/>
            <w:noWrap/>
            <w:vAlign w:val="center"/>
            <w:hideMark/>
          </w:tcPr>
          <w:p w14:paraId="68233F4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67 401</w:t>
            </w:r>
          </w:p>
        </w:tc>
        <w:tc>
          <w:tcPr>
            <w:tcW w:w="1465" w:type="dxa"/>
            <w:tcBorders>
              <w:top w:val="nil"/>
              <w:left w:val="nil"/>
              <w:bottom w:val="nil"/>
              <w:right w:val="single" w:sz="4" w:space="0" w:color="auto"/>
            </w:tcBorders>
            <w:shd w:val="clear" w:color="auto" w:fill="auto"/>
            <w:noWrap/>
            <w:vAlign w:val="center"/>
            <w:hideMark/>
          </w:tcPr>
          <w:p w14:paraId="2B3F3A9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100 881</w:t>
            </w:r>
          </w:p>
        </w:tc>
      </w:tr>
      <w:tr w:rsidR="004C0E46" w:rsidRPr="008D0165" w14:paraId="44D9F3C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412E59E"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63FF87C2" w14:textId="77777777" w:rsidR="004C0E46" w:rsidRPr="008D0165" w:rsidRDefault="004C0E46" w:rsidP="00E53127">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Prewencja wypadkowa</w:t>
            </w:r>
          </w:p>
        </w:tc>
        <w:tc>
          <w:tcPr>
            <w:tcW w:w="1464" w:type="dxa"/>
            <w:tcBorders>
              <w:top w:val="nil"/>
              <w:left w:val="single" w:sz="8" w:space="0" w:color="auto"/>
              <w:bottom w:val="nil"/>
              <w:right w:val="single" w:sz="8" w:space="0" w:color="auto"/>
            </w:tcBorders>
            <w:vAlign w:val="center"/>
          </w:tcPr>
          <w:p w14:paraId="5D08018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89 590</w:t>
            </w:r>
          </w:p>
        </w:tc>
        <w:tc>
          <w:tcPr>
            <w:tcW w:w="1465" w:type="dxa"/>
            <w:tcBorders>
              <w:top w:val="nil"/>
              <w:left w:val="single" w:sz="8" w:space="0" w:color="auto"/>
              <w:bottom w:val="nil"/>
              <w:right w:val="single" w:sz="8" w:space="0" w:color="auto"/>
            </w:tcBorders>
            <w:shd w:val="clear" w:color="auto" w:fill="auto"/>
            <w:noWrap/>
            <w:vAlign w:val="center"/>
            <w:hideMark/>
          </w:tcPr>
          <w:p w14:paraId="172E9E8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73 453</w:t>
            </w:r>
          </w:p>
        </w:tc>
        <w:tc>
          <w:tcPr>
            <w:tcW w:w="1465" w:type="dxa"/>
            <w:tcBorders>
              <w:top w:val="nil"/>
              <w:left w:val="nil"/>
              <w:bottom w:val="nil"/>
              <w:right w:val="single" w:sz="4" w:space="0" w:color="auto"/>
            </w:tcBorders>
            <w:shd w:val="clear" w:color="auto" w:fill="auto"/>
            <w:noWrap/>
            <w:vAlign w:val="center"/>
            <w:hideMark/>
          </w:tcPr>
          <w:p w14:paraId="7283C99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79 768</w:t>
            </w:r>
          </w:p>
        </w:tc>
      </w:tr>
      <w:tr w:rsidR="004C0E46" w:rsidRPr="008D0165" w14:paraId="7DB8DA53"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869390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7BCF244"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Koszt obsługi kredytów</w:t>
            </w:r>
          </w:p>
        </w:tc>
        <w:tc>
          <w:tcPr>
            <w:tcW w:w="1464" w:type="dxa"/>
            <w:tcBorders>
              <w:top w:val="nil"/>
              <w:left w:val="single" w:sz="8" w:space="0" w:color="auto"/>
              <w:bottom w:val="nil"/>
              <w:right w:val="single" w:sz="8" w:space="0" w:color="auto"/>
            </w:tcBorders>
            <w:vAlign w:val="center"/>
          </w:tcPr>
          <w:p w14:paraId="26A7145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72C3136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40CC6E8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4C0E46" w:rsidRPr="008D0165" w14:paraId="0BE202F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79CA594"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vAlign w:val="center"/>
            <w:hideMark/>
          </w:tcPr>
          <w:p w14:paraId="0F88E953" w14:textId="77777777" w:rsidR="004C0E46" w:rsidRPr="008D0165" w:rsidRDefault="004C0E46" w:rsidP="0084113E">
            <w:pPr>
              <w:spacing w:after="0" w:line="23" w:lineRule="atLeast"/>
              <w:ind w:firstLineChars="100" w:firstLine="240"/>
              <w:rPr>
                <w:rFonts w:eastAsia="Times New Roman" w:cstheme="minorHAnsi"/>
                <w:sz w:val="24"/>
                <w:szCs w:val="24"/>
                <w:lang w:eastAsia="pl-PL"/>
              </w:rPr>
            </w:pPr>
            <w:r w:rsidRPr="008D0165">
              <w:rPr>
                <w:rFonts w:eastAsia="Times New Roman" w:cstheme="minorHAnsi"/>
                <w:sz w:val="24"/>
                <w:szCs w:val="24"/>
                <w:lang w:eastAsia="pl-PL"/>
              </w:rPr>
              <w:t xml:space="preserve"> Pozostałe koszty </w:t>
            </w:r>
          </w:p>
        </w:tc>
        <w:tc>
          <w:tcPr>
            <w:tcW w:w="1464" w:type="dxa"/>
            <w:tcBorders>
              <w:top w:val="nil"/>
              <w:left w:val="single" w:sz="8" w:space="0" w:color="auto"/>
              <w:bottom w:val="nil"/>
              <w:right w:val="single" w:sz="8" w:space="0" w:color="auto"/>
            </w:tcBorders>
            <w:vAlign w:val="center"/>
          </w:tcPr>
          <w:p w14:paraId="126BBE5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5 800</w:t>
            </w:r>
          </w:p>
        </w:tc>
        <w:tc>
          <w:tcPr>
            <w:tcW w:w="1465" w:type="dxa"/>
            <w:tcBorders>
              <w:top w:val="nil"/>
              <w:left w:val="single" w:sz="8" w:space="0" w:color="auto"/>
              <w:bottom w:val="nil"/>
              <w:right w:val="single" w:sz="8" w:space="0" w:color="auto"/>
            </w:tcBorders>
            <w:shd w:val="clear" w:color="auto" w:fill="auto"/>
            <w:noWrap/>
            <w:vAlign w:val="center"/>
            <w:hideMark/>
          </w:tcPr>
          <w:p w14:paraId="4A72CBE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7 375</w:t>
            </w:r>
          </w:p>
        </w:tc>
        <w:tc>
          <w:tcPr>
            <w:tcW w:w="1465" w:type="dxa"/>
            <w:tcBorders>
              <w:top w:val="nil"/>
              <w:left w:val="nil"/>
              <w:bottom w:val="nil"/>
              <w:right w:val="single" w:sz="4" w:space="0" w:color="auto"/>
            </w:tcBorders>
            <w:shd w:val="clear" w:color="auto" w:fill="auto"/>
            <w:noWrap/>
            <w:vAlign w:val="center"/>
            <w:hideMark/>
          </w:tcPr>
          <w:p w14:paraId="3104454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7 262</w:t>
            </w:r>
          </w:p>
        </w:tc>
      </w:tr>
      <w:tr w:rsidR="004C0E46" w:rsidRPr="008D0165" w14:paraId="6F35C65C"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8989F95" w14:textId="77777777" w:rsidR="004C0E46" w:rsidRPr="008D0165" w:rsidRDefault="00D438DB"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3" w:type="dxa"/>
            <w:tcBorders>
              <w:top w:val="nil"/>
              <w:left w:val="nil"/>
              <w:bottom w:val="nil"/>
              <w:right w:val="nil"/>
            </w:tcBorders>
            <w:shd w:val="clear" w:color="auto" w:fill="auto"/>
            <w:noWrap/>
            <w:vAlign w:val="center"/>
            <w:hideMark/>
          </w:tcPr>
          <w:p w14:paraId="122F1FE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Pozostałe zmniejszenia </w:t>
            </w:r>
          </w:p>
        </w:tc>
        <w:tc>
          <w:tcPr>
            <w:tcW w:w="1464" w:type="dxa"/>
            <w:tcBorders>
              <w:top w:val="nil"/>
              <w:left w:val="single" w:sz="8" w:space="0" w:color="auto"/>
              <w:bottom w:val="nil"/>
              <w:right w:val="single" w:sz="8" w:space="0" w:color="auto"/>
            </w:tcBorders>
            <w:vAlign w:val="center"/>
          </w:tcPr>
          <w:p w14:paraId="34E69AE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2 432 563</w:t>
            </w:r>
          </w:p>
        </w:tc>
        <w:tc>
          <w:tcPr>
            <w:tcW w:w="1465" w:type="dxa"/>
            <w:tcBorders>
              <w:top w:val="nil"/>
              <w:left w:val="single" w:sz="8" w:space="0" w:color="auto"/>
              <w:bottom w:val="nil"/>
              <w:right w:val="single" w:sz="8" w:space="0" w:color="auto"/>
            </w:tcBorders>
            <w:shd w:val="clear" w:color="auto" w:fill="auto"/>
            <w:noWrap/>
            <w:vAlign w:val="center"/>
            <w:hideMark/>
          </w:tcPr>
          <w:p w14:paraId="0DD0A70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12 809 025</w:t>
            </w:r>
          </w:p>
        </w:tc>
        <w:tc>
          <w:tcPr>
            <w:tcW w:w="1465" w:type="dxa"/>
            <w:tcBorders>
              <w:top w:val="nil"/>
              <w:left w:val="nil"/>
              <w:bottom w:val="nil"/>
              <w:right w:val="single" w:sz="4" w:space="0" w:color="auto"/>
            </w:tcBorders>
            <w:shd w:val="clear" w:color="auto" w:fill="auto"/>
            <w:noWrap/>
            <w:vAlign w:val="center"/>
            <w:hideMark/>
          </w:tcPr>
          <w:p w14:paraId="18A4394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4 208 701</w:t>
            </w:r>
          </w:p>
        </w:tc>
      </w:tr>
      <w:tr w:rsidR="004C0E46" w:rsidRPr="008D0165" w14:paraId="45382272"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D079D6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282E3423"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rezerwy oraz odpisy aktualizujące należności</w:t>
            </w:r>
          </w:p>
        </w:tc>
        <w:tc>
          <w:tcPr>
            <w:tcW w:w="1464" w:type="dxa"/>
            <w:tcBorders>
              <w:top w:val="nil"/>
              <w:left w:val="single" w:sz="8" w:space="0" w:color="auto"/>
              <w:bottom w:val="nil"/>
              <w:right w:val="single" w:sz="8" w:space="0" w:color="auto"/>
            </w:tcBorders>
            <w:vAlign w:val="center"/>
          </w:tcPr>
          <w:p w14:paraId="0F92F3B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2 425 589</w:t>
            </w:r>
          </w:p>
        </w:tc>
        <w:tc>
          <w:tcPr>
            <w:tcW w:w="1465" w:type="dxa"/>
            <w:tcBorders>
              <w:top w:val="nil"/>
              <w:left w:val="single" w:sz="8" w:space="0" w:color="auto"/>
              <w:bottom w:val="nil"/>
              <w:right w:val="single" w:sz="8" w:space="0" w:color="auto"/>
            </w:tcBorders>
            <w:shd w:val="clear" w:color="auto" w:fill="auto"/>
            <w:noWrap/>
            <w:vAlign w:val="center"/>
            <w:hideMark/>
          </w:tcPr>
          <w:p w14:paraId="139C748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12 793 879</w:t>
            </w:r>
          </w:p>
        </w:tc>
        <w:tc>
          <w:tcPr>
            <w:tcW w:w="1465" w:type="dxa"/>
            <w:tcBorders>
              <w:top w:val="nil"/>
              <w:left w:val="nil"/>
              <w:bottom w:val="nil"/>
              <w:right w:val="single" w:sz="4" w:space="0" w:color="auto"/>
            </w:tcBorders>
            <w:shd w:val="clear" w:color="auto" w:fill="auto"/>
            <w:noWrap/>
            <w:vAlign w:val="center"/>
            <w:hideMark/>
          </w:tcPr>
          <w:p w14:paraId="742EDF4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4 145 420</w:t>
            </w:r>
          </w:p>
        </w:tc>
      </w:tr>
      <w:tr w:rsidR="004C0E46" w:rsidRPr="008D0165" w14:paraId="7AEE3BCC"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58E5B3D"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4EF54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różnice kursowe</w:t>
            </w:r>
          </w:p>
        </w:tc>
        <w:tc>
          <w:tcPr>
            <w:tcW w:w="1464" w:type="dxa"/>
            <w:tcBorders>
              <w:top w:val="nil"/>
              <w:left w:val="single" w:sz="8" w:space="0" w:color="auto"/>
              <w:bottom w:val="nil"/>
              <w:right w:val="single" w:sz="8" w:space="0" w:color="auto"/>
            </w:tcBorders>
            <w:vAlign w:val="center"/>
          </w:tcPr>
          <w:p w14:paraId="1D2353A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103</w:t>
            </w:r>
          </w:p>
        </w:tc>
        <w:tc>
          <w:tcPr>
            <w:tcW w:w="1465" w:type="dxa"/>
            <w:tcBorders>
              <w:top w:val="nil"/>
              <w:left w:val="single" w:sz="8" w:space="0" w:color="auto"/>
              <w:bottom w:val="nil"/>
              <w:right w:val="single" w:sz="8" w:space="0" w:color="auto"/>
            </w:tcBorders>
            <w:shd w:val="clear" w:color="auto" w:fill="auto"/>
            <w:noWrap/>
            <w:vAlign w:val="center"/>
            <w:hideMark/>
          </w:tcPr>
          <w:p w14:paraId="6F4DA28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106</w:t>
            </w:r>
          </w:p>
        </w:tc>
        <w:tc>
          <w:tcPr>
            <w:tcW w:w="1465" w:type="dxa"/>
            <w:tcBorders>
              <w:top w:val="nil"/>
              <w:left w:val="nil"/>
              <w:bottom w:val="nil"/>
              <w:right w:val="single" w:sz="4" w:space="0" w:color="auto"/>
            </w:tcBorders>
            <w:shd w:val="clear" w:color="auto" w:fill="auto"/>
            <w:noWrap/>
            <w:vAlign w:val="center"/>
            <w:hideMark/>
          </w:tcPr>
          <w:p w14:paraId="10612C5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110</w:t>
            </w:r>
          </w:p>
        </w:tc>
      </w:tr>
      <w:tr w:rsidR="004C0E46" w:rsidRPr="008D0165" w14:paraId="3527D7C8"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0790489"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DAFC652" w14:textId="052D89CF"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t>
            </w:r>
            <w:r w:rsidR="00C97DE5">
              <w:rPr>
                <w:rFonts w:eastAsia="Times New Roman" w:cstheme="minorHAnsi"/>
                <w:sz w:val="24"/>
                <w:szCs w:val="24"/>
                <w:lang w:eastAsia="pl-PL"/>
              </w:rPr>
              <w:t xml:space="preserve"> </w:t>
            </w:r>
            <w:r w:rsidRPr="008D0165">
              <w:rPr>
                <w:rFonts w:eastAsia="Times New Roman" w:cstheme="minorHAnsi"/>
                <w:sz w:val="24"/>
                <w:szCs w:val="24"/>
                <w:lang w:eastAsia="pl-PL"/>
              </w:rPr>
              <w:t>inne</w:t>
            </w:r>
          </w:p>
        </w:tc>
        <w:tc>
          <w:tcPr>
            <w:tcW w:w="1464" w:type="dxa"/>
            <w:tcBorders>
              <w:top w:val="nil"/>
              <w:left w:val="single" w:sz="8" w:space="0" w:color="auto"/>
              <w:bottom w:val="nil"/>
              <w:right w:val="single" w:sz="8" w:space="0" w:color="auto"/>
            </w:tcBorders>
            <w:vAlign w:val="center"/>
          </w:tcPr>
          <w:p w14:paraId="3B582DB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6 871</w:t>
            </w:r>
          </w:p>
        </w:tc>
        <w:tc>
          <w:tcPr>
            <w:tcW w:w="1465" w:type="dxa"/>
            <w:tcBorders>
              <w:top w:val="nil"/>
              <w:left w:val="single" w:sz="8" w:space="0" w:color="auto"/>
              <w:bottom w:val="nil"/>
              <w:right w:val="single" w:sz="8" w:space="0" w:color="auto"/>
            </w:tcBorders>
            <w:shd w:val="clear" w:color="auto" w:fill="auto"/>
            <w:noWrap/>
            <w:vAlign w:val="center"/>
            <w:hideMark/>
          </w:tcPr>
          <w:p w14:paraId="40DF0EA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15 040</w:t>
            </w:r>
          </w:p>
        </w:tc>
        <w:tc>
          <w:tcPr>
            <w:tcW w:w="1465" w:type="dxa"/>
            <w:tcBorders>
              <w:top w:val="nil"/>
              <w:left w:val="nil"/>
              <w:bottom w:val="nil"/>
              <w:right w:val="single" w:sz="4" w:space="0" w:color="auto"/>
            </w:tcBorders>
            <w:shd w:val="clear" w:color="auto" w:fill="auto"/>
            <w:noWrap/>
            <w:vAlign w:val="center"/>
            <w:hideMark/>
          </w:tcPr>
          <w:p w14:paraId="48425E4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63 171</w:t>
            </w:r>
          </w:p>
        </w:tc>
      </w:tr>
      <w:tr w:rsidR="004C0E46" w:rsidRPr="008D0165" w14:paraId="4D3A0EB8" w14:textId="77777777" w:rsidTr="002D6B14">
        <w:trPr>
          <w:trHeight w:val="34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48DF583"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IV.</w:t>
            </w:r>
          </w:p>
        </w:tc>
        <w:tc>
          <w:tcPr>
            <w:tcW w:w="4093" w:type="dxa"/>
            <w:tcBorders>
              <w:top w:val="single" w:sz="8" w:space="0" w:color="auto"/>
              <w:left w:val="nil"/>
              <w:bottom w:val="single" w:sz="8" w:space="0" w:color="auto"/>
              <w:right w:val="nil"/>
            </w:tcBorders>
            <w:shd w:val="clear" w:color="auto" w:fill="auto"/>
            <w:noWrap/>
            <w:vAlign w:val="center"/>
            <w:hideMark/>
          </w:tcPr>
          <w:p w14:paraId="651084F8" w14:textId="1F78433F"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Stan funduszu na koniec roku (I+II</w:t>
            </w:r>
            <w:r w:rsidR="00A435C2">
              <w:rPr>
                <w:rFonts w:eastAsia="Times New Roman" w:cstheme="minorHAnsi"/>
                <w:b/>
                <w:bCs/>
                <w:sz w:val="24"/>
                <w:szCs w:val="24"/>
                <w:lang w:eastAsia="pl-PL"/>
              </w:rPr>
              <w:t>–</w:t>
            </w:r>
            <w:r w:rsidRPr="008D0165">
              <w:rPr>
                <w:rFonts w:eastAsia="Times New Roman" w:cstheme="minorHAnsi"/>
                <w:b/>
                <w:bCs/>
                <w:sz w:val="24"/>
                <w:szCs w:val="24"/>
                <w:lang w:eastAsia="pl-PL"/>
              </w:rPr>
              <w:t>IV)</w:t>
            </w:r>
          </w:p>
        </w:tc>
        <w:tc>
          <w:tcPr>
            <w:tcW w:w="1464" w:type="dxa"/>
            <w:tcBorders>
              <w:top w:val="single" w:sz="8" w:space="0" w:color="auto"/>
              <w:left w:val="single" w:sz="8" w:space="0" w:color="auto"/>
              <w:bottom w:val="single" w:sz="8" w:space="0" w:color="auto"/>
              <w:right w:val="single" w:sz="8" w:space="0" w:color="auto"/>
            </w:tcBorders>
            <w:vAlign w:val="center"/>
          </w:tcPr>
          <w:p w14:paraId="45CA0AE4"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sz w:val="24"/>
                <w:szCs w:val="24"/>
              </w:rPr>
              <w:t>4 208 150</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109CC6"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17 726 714</w:t>
            </w:r>
          </w:p>
        </w:tc>
        <w:tc>
          <w:tcPr>
            <w:tcW w:w="1465" w:type="dxa"/>
            <w:tcBorders>
              <w:top w:val="single" w:sz="8" w:space="0" w:color="auto"/>
              <w:left w:val="nil"/>
              <w:bottom w:val="single" w:sz="8" w:space="0" w:color="auto"/>
              <w:right w:val="single" w:sz="4" w:space="0" w:color="auto"/>
            </w:tcBorders>
            <w:shd w:val="clear" w:color="auto" w:fill="auto"/>
            <w:noWrap/>
            <w:vAlign w:val="center"/>
            <w:hideMark/>
          </w:tcPr>
          <w:p w14:paraId="5F5B50DD"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7 308 902</w:t>
            </w:r>
          </w:p>
        </w:tc>
      </w:tr>
      <w:tr w:rsidR="004C0E46" w:rsidRPr="008D0165" w14:paraId="64D9F7F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75379EB"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r w:rsidRPr="008D0165">
              <w:rPr>
                <w:rFonts w:eastAsia="Times New Roman" w:cstheme="minorHAnsi"/>
                <w:b/>
                <w:bCs/>
                <w:sz w:val="24"/>
                <w:szCs w:val="24"/>
                <w:lang w:eastAsia="pl-PL"/>
              </w:rPr>
              <w:t>.</w:t>
            </w:r>
          </w:p>
        </w:tc>
        <w:tc>
          <w:tcPr>
            <w:tcW w:w="4093" w:type="dxa"/>
            <w:tcBorders>
              <w:top w:val="nil"/>
              <w:left w:val="nil"/>
              <w:bottom w:val="nil"/>
              <w:right w:val="nil"/>
            </w:tcBorders>
            <w:shd w:val="clear" w:color="auto" w:fill="auto"/>
            <w:noWrap/>
            <w:vAlign w:val="center"/>
            <w:hideMark/>
          </w:tcPr>
          <w:p w14:paraId="6878F46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Środki pieniężne</w:t>
            </w:r>
          </w:p>
        </w:tc>
        <w:tc>
          <w:tcPr>
            <w:tcW w:w="1464" w:type="dxa"/>
            <w:tcBorders>
              <w:top w:val="nil"/>
              <w:left w:val="single" w:sz="8" w:space="0" w:color="auto"/>
              <w:bottom w:val="nil"/>
              <w:right w:val="single" w:sz="8" w:space="0" w:color="auto"/>
            </w:tcBorders>
            <w:vAlign w:val="center"/>
          </w:tcPr>
          <w:p w14:paraId="0343F61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1 703 910</w:t>
            </w:r>
          </w:p>
        </w:tc>
        <w:tc>
          <w:tcPr>
            <w:tcW w:w="1465" w:type="dxa"/>
            <w:tcBorders>
              <w:top w:val="nil"/>
              <w:left w:val="single" w:sz="8" w:space="0" w:color="auto"/>
              <w:bottom w:val="nil"/>
              <w:right w:val="single" w:sz="8" w:space="0" w:color="auto"/>
            </w:tcBorders>
            <w:shd w:val="clear" w:color="auto" w:fill="auto"/>
            <w:noWrap/>
            <w:vAlign w:val="center"/>
            <w:hideMark/>
          </w:tcPr>
          <w:p w14:paraId="6143D94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14 445 735</w:t>
            </w:r>
          </w:p>
        </w:tc>
        <w:tc>
          <w:tcPr>
            <w:tcW w:w="1465" w:type="dxa"/>
            <w:tcBorders>
              <w:top w:val="nil"/>
              <w:left w:val="nil"/>
              <w:bottom w:val="nil"/>
              <w:right w:val="single" w:sz="4" w:space="0" w:color="auto"/>
            </w:tcBorders>
            <w:shd w:val="clear" w:color="auto" w:fill="auto"/>
            <w:noWrap/>
            <w:vAlign w:val="center"/>
            <w:hideMark/>
          </w:tcPr>
          <w:p w14:paraId="02F3FA6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5 565 186</w:t>
            </w:r>
          </w:p>
        </w:tc>
      </w:tr>
      <w:tr w:rsidR="004C0E46" w:rsidRPr="008D0165" w14:paraId="7C440F5F"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90AA19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 xml:space="preserve">2.   </w:t>
            </w:r>
          </w:p>
        </w:tc>
        <w:tc>
          <w:tcPr>
            <w:tcW w:w="4093" w:type="dxa"/>
            <w:tcBorders>
              <w:top w:val="nil"/>
              <w:left w:val="nil"/>
              <w:bottom w:val="nil"/>
              <w:right w:val="nil"/>
            </w:tcBorders>
            <w:shd w:val="clear" w:color="auto" w:fill="auto"/>
            <w:noWrap/>
            <w:vAlign w:val="center"/>
            <w:hideMark/>
          </w:tcPr>
          <w:p w14:paraId="47E4F23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Należności</w:t>
            </w:r>
          </w:p>
        </w:tc>
        <w:tc>
          <w:tcPr>
            <w:tcW w:w="1464" w:type="dxa"/>
            <w:tcBorders>
              <w:top w:val="nil"/>
              <w:left w:val="single" w:sz="8" w:space="0" w:color="auto"/>
              <w:bottom w:val="nil"/>
              <w:right w:val="single" w:sz="8" w:space="0" w:color="auto"/>
            </w:tcBorders>
            <w:vAlign w:val="center"/>
          </w:tcPr>
          <w:p w14:paraId="352C3CA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11 126 525</w:t>
            </w:r>
          </w:p>
        </w:tc>
        <w:tc>
          <w:tcPr>
            <w:tcW w:w="1465" w:type="dxa"/>
            <w:tcBorders>
              <w:top w:val="nil"/>
              <w:left w:val="single" w:sz="8" w:space="0" w:color="auto"/>
              <w:bottom w:val="nil"/>
              <w:right w:val="single" w:sz="8" w:space="0" w:color="auto"/>
            </w:tcBorders>
            <w:shd w:val="clear" w:color="auto" w:fill="auto"/>
            <w:noWrap/>
            <w:vAlign w:val="center"/>
            <w:hideMark/>
          </w:tcPr>
          <w:p w14:paraId="7D20DB3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13 876 772</w:t>
            </w:r>
          </w:p>
        </w:tc>
        <w:tc>
          <w:tcPr>
            <w:tcW w:w="1465" w:type="dxa"/>
            <w:tcBorders>
              <w:top w:val="nil"/>
              <w:left w:val="nil"/>
              <w:bottom w:val="nil"/>
              <w:right w:val="single" w:sz="4" w:space="0" w:color="auto"/>
            </w:tcBorders>
            <w:shd w:val="clear" w:color="auto" w:fill="auto"/>
            <w:noWrap/>
            <w:vAlign w:val="center"/>
            <w:hideMark/>
          </w:tcPr>
          <w:p w14:paraId="7086BE6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13 949 689</w:t>
            </w:r>
          </w:p>
        </w:tc>
      </w:tr>
      <w:tr w:rsidR="004C0E46" w:rsidRPr="008D0165" w14:paraId="2B7DDFC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A0E9D2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w:t>
            </w:r>
          </w:p>
        </w:tc>
        <w:tc>
          <w:tcPr>
            <w:tcW w:w="4093" w:type="dxa"/>
            <w:tcBorders>
              <w:top w:val="nil"/>
              <w:left w:val="nil"/>
              <w:bottom w:val="nil"/>
              <w:right w:val="nil"/>
            </w:tcBorders>
            <w:shd w:val="clear" w:color="auto" w:fill="auto"/>
            <w:noWrap/>
            <w:vAlign w:val="center"/>
            <w:hideMark/>
          </w:tcPr>
          <w:p w14:paraId="7DAEF14C"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xml:space="preserve"> Zobowiązania, w tym z tytułu:</w:t>
            </w:r>
          </w:p>
        </w:tc>
        <w:tc>
          <w:tcPr>
            <w:tcW w:w="1464" w:type="dxa"/>
            <w:tcBorders>
              <w:top w:val="nil"/>
              <w:left w:val="single" w:sz="8" w:space="0" w:color="auto"/>
              <w:bottom w:val="nil"/>
              <w:right w:val="single" w:sz="8" w:space="0" w:color="auto"/>
            </w:tcBorders>
            <w:vAlign w:val="center"/>
          </w:tcPr>
          <w:p w14:paraId="3B6BE98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8 622 285</w:t>
            </w:r>
          </w:p>
        </w:tc>
        <w:tc>
          <w:tcPr>
            <w:tcW w:w="1465" w:type="dxa"/>
            <w:tcBorders>
              <w:top w:val="nil"/>
              <w:left w:val="single" w:sz="8" w:space="0" w:color="auto"/>
              <w:bottom w:val="nil"/>
              <w:right w:val="single" w:sz="8" w:space="0" w:color="auto"/>
            </w:tcBorders>
            <w:shd w:val="clear" w:color="auto" w:fill="auto"/>
            <w:noWrap/>
            <w:vAlign w:val="center"/>
            <w:hideMark/>
          </w:tcPr>
          <w:p w14:paraId="35EB59E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10 595 793</w:t>
            </w:r>
          </w:p>
        </w:tc>
        <w:tc>
          <w:tcPr>
            <w:tcW w:w="1465" w:type="dxa"/>
            <w:tcBorders>
              <w:top w:val="nil"/>
              <w:left w:val="nil"/>
              <w:bottom w:val="nil"/>
              <w:right w:val="single" w:sz="4" w:space="0" w:color="auto"/>
            </w:tcBorders>
            <w:shd w:val="clear" w:color="auto" w:fill="auto"/>
            <w:noWrap/>
            <w:vAlign w:val="center"/>
            <w:hideMark/>
          </w:tcPr>
          <w:p w14:paraId="20E5D08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12 205 973</w:t>
            </w:r>
          </w:p>
        </w:tc>
      </w:tr>
      <w:tr w:rsidR="004C0E46" w:rsidRPr="008D0165" w14:paraId="28329B97" w14:textId="77777777" w:rsidTr="002D6B14">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16FE9E2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104FA61" w14:textId="796119F1"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zaciągniętego kredytu</w:t>
            </w:r>
          </w:p>
        </w:tc>
        <w:tc>
          <w:tcPr>
            <w:tcW w:w="1464" w:type="dxa"/>
            <w:tcBorders>
              <w:top w:val="nil"/>
              <w:left w:val="single" w:sz="8" w:space="0" w:color="auto"/>
              <w:bottom w:val="nil"/>
              <w:right w:val="single" w:sz="8" w:space="0" w:color="auto"/>
            </w:tcBorders>
            <w:vAlign w:val="center"/>
          </w:tcPr>
          <w:p w14:paraId="7706436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nil"/>
              <w:right w:val="single" w:sz="8" w:space="0" w:color="auto"/>
            </w:tcBorders>
            <w:shd w:val="clear" w:color="auto" w:fill="auto"/>
            <w:noWrap/>
            <w:vAlign w:val="center"/>
            <w:hideMark/>
          </w:tcPr>
          <w:p w14:paraId="4654193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nil"/>
              <w:right w:val="single" w:sz="4" w:space="0" w:color="auto"/>
            </w:tcBorders>
            <w:shd w:val="clear" w:color="auto" w:fill="auto"/>
            <w:noWrap/>
            <w:vAlign w:val="center"/>
            <w:hideMark/>
          </w:tcPr>
          <w:p w14:paraId="2358FEC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r w:rsidR="004C0E46" w:rsidRPr="008D0165" w14:paraId="12935B2C" w14:textId="77777777" w:rsidTr="002D6B14">
        <w:trPr>
          <w:trHeight w:val="340"/>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14:paraId="3887C96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single" w:sz="8" w:space="0" w:color="auto"/>
              <w:right w:val="nil"/>
            </w:tcBorders>
            <w:shd w:val="clear" w:color="auto" w:fill="auto"/>
            <w:noWrap/>
            <w:vAlign w:val="center"/>
            <w:hideMark/>
          </w:tcPr>
          <w:p w14:paraId="4C4603DA" w14:textId="18031E52"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pożyczek z budżetu państwa</w:t>
            </w:r>
          </w:p>
        </w:tc>
        <w:tc>
          <w:tcPr>
            <w:tcW w:w="1464" w:type="dxa"/>
            <w:tcBorders>
              <w:top w:val="nil"/>
              <w:left w:val="single" w:sz="8" w:space="0" w:color="auto"/>
              <w:bottom w:val="single" w:sz="8" w:space="0" w:color="auto"/>
              <w:right w:val="single" w:sz="8" w:space="0" w:color="auto"/>
            </w:tcBorders>
            <w:vAlign w:val="center"/>
          </w:tcPr>
          <w:p w14:paraId="350EAC1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sz w:val="24"/>
                <w:szCs w:val="24"/>
              </w:rPr>
              <w:t>0</w:t>
            </w:r>
          </w:p>
        </w:tc>
        <w:tc>
          <w:tcPr>
            <w:tcW w:w="1465" w:type="dxa"/>
            <w:tcBorders>
              <w:top w:val="nil"/>
              <w:left w:val="single" w:sz="8" w:space="0" w:color="auto"/>
              <w:bottom w:val="single" w:sz="8" w:space="0" w:color="auto"/>
              <w:right w:val="single" w:sz="8" w:space="0" w:color="auto"/>
            </w:tcBorders>
            <w:shd w:val="clear" w:color="auto" w:fill="auto"/>
            <w:noWrap/>
            <w:vAlign w:val="center"/>
            <w:hideMark/>
          </w:tcPr>
          <w:p w14:paraId="0EEBFB4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single" w:sz="8" w:space="0" w:color="auto"/>
              <w:right w:val="single" w:sz="4" w:space="0" w:color="auto"/>
            </w:tcBorders>
            <w:shd w:val="clear" w:color="auto" w:fill="auto"/>
            <w:noWrap/>
            <w:vAlign w:val="center"/>
            <w:hideMark/>
          </w:tcPr>
          <w:p w14:paraId="0E13398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r>
    </w:tbl>
    <w:p w14:paraId="3A1D5A03" w14:textId="77777777" w:rsidR="00FC39E3" w:rsidRDefault="00FC39E3" w:rsidP="0084113E">
      <w:pPr>
        <w:spacing w:before="120" w:after="120" w:line="23" w:lineRule="atLeast"/>
        <w:jc w:val="both"/>
        <w:rPr>
          <w:b/>
          <w:sz w:val="24"/>
          <w:szCs w:val="24"/>
        </w:rPr>
      </w:pPr>
    </w:p>
    <w:p w14:paraId="1312F351" w14:textId="77777777" w:rsidR="00FC39E3" w:rsidRDefault="00FC39E3" w:rsidP="0084113E">
      <w:pPr>
        <w:spacing w:before="120" w:after="120" w:line="23" w:lineRule="atLeast"/>
        <w:jc w:val="both"/>
        <w:rPr>
          <w:b/>
          <w:sz w:val="24"/>
          <w:szCs w:val="24"/>
        </w:rPr>
      </w:pPr>
    </w:p>
    <w:p w14:paraId="590D362D" w14:textId="77777777" w:rsidR="00FC39E3" w:rsidRDefault="00FC39E3" w:rsidP="0084113E">
      <w:pPr>
        <w:spacing w:before="120" w:after="120" w:line="23" w:lineRule="atLeast"/>
        <w:jc w:val="both"/>
        <w:rPr>
          <w:b/>
          <w:sz w:val="24"/>
          <w:szCs w:val="24"/>
        </w:rPr>
      </w:pPr>
    </w:p>
    <w:p w14:paraId="6AE44EB0" w14:textId="77777777" w:rsidR="00FA550C" w:rsidRPr="008D0165" w:rsidRDefault="00A8736E" w:rsidP="0084113E">
      <w:pPr>
        <w:spacing w:before="120" w:after="120" w:line="23" w:lineRule="atLeast"/>
        <w:jc w:val="both"/>
        <w:rPr>
          <w:b/>
          <w:sz w:val="24"/>
          <w:szCs w:val="24"/>
        </w:rPr>
      </w:pPr>
      <w:r w:rsidRPr="008D0165">
        <w:rPr>
          <w:b/>
          <w:sz w:val="24"/>
          <w:szCs w:val="24"/>
        </w:rPr>
        <w:t>Część C. Dane statystyczne</w:t>
      </w:r>
    </w:p>
    <w:tbl>
      <w:tblPr>
        <w:tblW w:w="9087" w:type="dxa"/>
        <w:tblInd w:w="55" w:type="dxa"/>
        <w:tblLayout w:type="fixed"/>
        <w:tblCellMar>
          <w:left w:w="70" w:type="dxa"/>
          <w:right w:w="70" w:type="dxa"/>
        </w:tblCellMar>
        <w:tblLook w:val="04A0" w:firstRow="1" w:lastRow="0" w:firstColumn="1" w:lastColumn="0" w:noHBand="0" w:noVBand="1"/>
      </w:tblPr>
      <w:tblGrid>
        <w:gridCol w:w="600"/>
        <w:gridCol w:w="4093"/>
        <w:gridCol w:w="1464"/>
        <w:gridCol w:w="1465"/>
        <w:gridCol w:w="1465"/>
      </w:tblGrid>
      <w:tr w:rsidR="00D43CA5" w:rsidRPr="008D0165" w14:paraId="2D359CF6" w14:textId="77777777" w:rsidTr="00B52F09">
        <w:trPr>
          <w:cantSplit/>
          <w:trHeight w:val="340"/>
          <w:tblHeader/>
        </w:trPr>
        <w:tc>
          <w:tcPr>
            <w:tcW w:w="600" w:type="dxa"/>
            <w:vMerge w:val="restart"/>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53AB96D2"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Poz.</w:t>
            </w:r>
          </w:p>
        </w:tc>
        <w:tc>
          <w:tcPr>
            <w:tcW w:w="4093" w:type="dxa"/>
            <w:vMerge w:val="restart"/>
            <w:tcBorders>
              <w:top w:val="single" w:sz="4" w:space="0" w:color="auto"/>
              <w:left w:val="nil"/>
              <w:bottom w:val="single" w:sz="4" w:space="0" w:color="auto"/>
              <w:right w:val="nil"/>
            </w:tcBorders>
            <w:shd w:val="clear" w:color="auto" w:fill="B8CCE4" w:themeFill="accent1" w:themeFillTint="66"/>
            <w:noWrap/>
            <w:vAlign w:val="center"/>
            <w:hideMark/>
          </w:tcPr>
          <w:p w14:paraId="78C5CAE1"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Treść</w:t>
            </w:r>
          </w:p>
        </w:tc>
        <w:tc>
          <w:tcPr>
            <w:tcW w:w="1464" w:type="dxa"/>
            <w:tcBorders>
              <w:top w:val="single" w:sz="4" w:space="0" w:color="auto"/>
              <w:left w:val="single" w:sz="8" w:space="0" w:color="auto"/>
              <w:bottom w:val="single" w:sz="4" w:space="0" w:color="auto"/>
              <w:right w:val="single" w:sz="8" w:space="0" w:color="auto"/>
            </w:tcBorders>
            <w:shd w:val="clear" w:color="auto" w:fill="B8CCE4" w:themeFill="accent1" w:themeFillTint="66"/>
            <w:vAlign w:val="center"/>
          </w:tcPr>
          <w:p w14:paraId="57051CB6" w14:textId="77777777" w:rsidR="00D43CA5" w:rsidRPr="008D0165" w:rsidDel="00D43CA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2019</w:t>
            </w:r>
          </w:p>
        </w:tc>
        <w:tc>
          <w:tcPr>
            <w:tcW w:w="1465" w:type="dxa"/>
            <w:tcBorders>
              <w:top w:val="single" w:sz="4" w:space="0" w:color="auto"/>
              <w:left w:val="single" w:sz="8" w:space="0" w:color="auto"/>
              <w:bottom w:val="single" w:sz="4" w:space="0" w:color="auto"/>
              <w:right w:val="single" w:sz="4" w:space="0" w:color="auto"/>
            </w:tcBorders>
            <w:shd w:val="clear" w:color="auto" w:fill="B8CCE4" w:themeFill="accent1" w:themeFillTint="66"/>
            <w:vAlign w:val="center"/>
            <w:hideMark/>
          </w:tcPr>
          <w:p w14:paraId="7A2B5F6F"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2020</w:t>
            </w:r>
          </w:p>
        </w:tc>
        <w:tc>
          <w:tcPr>
            <w:tcW w:w="146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CF9260C" w14:textId="77777777" w:rsidR="00D43CA5" w:rsidRPr="008D0165" w:rsidRDefault="00D43CA5" w:rsidP="0084113E">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2021</w:t>
            </w:r>
          </w:p>
        </w:tc>
      </w:tr>
      <w:tr w:rsidR="00D43CA5" w:rsidRPr="008D0165" w14:paraId="0BB46A04" w14:textId="77777777" w:rsidTr="00B52F09">
        <w:trPr>
          <w:cantSplit/>
          <w:trHeight w:val="340"/>
          <w:tblHeader/>
        </w:trPr>
        <w:tc>
          <w:tcPr>
            <w:tcW w:w="600"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noWrap/>
            <w:vAlign w:val="center"/>
          </w:tcPr>
          <w:p w14:paraId="7CD353EB" w14:textId="77777777" w:rsidR="00D43CA5" w:rsidRPr="008D0165" w:rsidRDefault="00D43CA5" w:rsidP="0086212C">
            <w:pPr>
              <w:spacing w:after="0" w:line="23" w:lineRule="atLeast"/>
              <w:jc w:val="center"/>
              <w:rPr>
                <w:rFonts w:eastAsia="Times New Roman" w:cstheme="minorHAnsi"/>
                <w:b/>
                <w:sz w:val="24"/>
                <w:szCs w:val="24"/>
                <w:lang w:eastAsia="pl-PL"/>
              </w:rPr>
            </w:pPr>
          </w:p>
        </w:tc>
        <w:tc>
          <w:tcPr>
            <w:tcW w:w="4093" w:type="dxa"/>
            <w:vMerge/>
            <w:tcBorders>
              <w:top w:val="single" w:sz="4" w:space="0" w:color="auto"/>
              <w:left w:val="nil"/>
              <w:bottom w:val="single" w:sz="4" w:space="0" w:color="auto"/>
              <w:right w:val="nil"/>
            </w:tcBorders>
            <w:shd w:val="clear" w:color="auto" w:fill="B8CCE4" w:themeFill="accent1" w:themeFillTint="66"/>
            <w:noWrap/>
            <w:vAlign w:val="center"/>
          </w:tcPr>
          <w:p w14:paraId="5247544F" w14:textId="77777777" w:rsidR="00D43CA5" w:rsidRPr="008D0165" w:rsidRDefault="00D43CA5" w:rsidP="0086212C">
            <w:pPr>
              <w:spacing w:after="0" w:line="23" w:lineRule="atLeast"/>
              <w:jc w:val="center"/>
              <w:rPr>
                <w:rFonts w:eastAsia="Times New Roman" w:cstheme="minorHAnsi"/>
                <w:b/>
                <w:sz w:val="24"/>
                <w:szCs w:val="24"/>
                <w:lang w:eastAsia="pl-PL"/>
              </w:rPr>
            </w:pPr>
          </w:p>
        </w:tc>
        <w:tc>
          <w:tcPr>
            <w:tcW w:w="4394" w:type="dxa"/>
            <w:gridSpan w:val="3"/>
            <w:tcBorders>
              <w:top w:val="single" w:sz="4" w:space="0" w:color="auto"/>
              <w:left w:val="single" w:sz="8" w:space="0" w:color="auto"/>
              <w:bottom w:val="single" w:sz="4" w:space="0" w:color="auto"/>
              <w:right w:val="single" w:sz="4" w:space="0" w:color="auto"/>
            </w:tcBorders>
            <w:shd w:val="clear" w:color="auto" w:fill="B8CCE4" w:themeFill="accent1" w:themeFillTint="66"/>
            <w:vAlign w:val="center"/>
          </w:tcPr>
          <w:p w14:paraId="157A30F2" w14:textId="77777777" w:rsidR="00D43CA5" w:rsidRPr="008D0165" w:rsidRDefault="00D43CA5" w:rsidP="00D43CA5">
            <w:pPr>
              <w:spacing w:after="0" w:line="23" w:lineRule="atLeast"/>
              <w:jc w:val="center"/>
              <w:rPr>
                <w:rFonts w:eastAsia="Times New Roman" w:cstheme="minorHAnsi"/>
                <w:b/>
                <w:sz w:val="24"/>
                <w:szCs w:val="24"/>
                <w:lang w:eastAsia="pl-PL"/>
              </w:rPr>
            </w:pPr>
            <w:r w:rsidRPr="008D0165">
              <w:rPr>
                <w:rFonts w:eastAsia="Times New Roman" w:cstheme="minorHAnsi"/>
                <w:b/>
                <w:sz w:val="24"/>
                <w:szCs w:val="24"/>
                <w:lang w:eastAsia="pl-PL"/>
              </w:rPr>
              <w:t>w tys. zł</w:t>
            </w:r>
          </w:p>
        </w:tc>
      </w:tr>
      <w:tr w:rsidR="00D43CA5" w:rsidRPr="008D0165" w14:paraId="1F3CA66B" w14:textId="77777777" w:rsidTr="00B52F09">
        <w:trPr>
          <w:cantSplit/>
          <w:trHeight w:val="285"/>
          <w:tblHeader/>
        </w:trPr>
        <w:tc>
          <w:tcPr>
            <w:tcW w:w="600" w:type="dxa"/>
            <w:tcBorders>
              <w:top w:val="single" w:sz="4" w:space="0" w:color="auto"/>
              <w:left w:val="single" w:sz="8" w:space="0" w:color="auto"/>
              <w:bottom w:val="single" w:sz="8" w:space="0" w:color="auto"/>
              <w:right w:val="single" w:sz="4" w:space="0" w:color="auto"/>
            </w:tcBorders>
            <w:shd w:val="clear" w:color="auto" w:fill="B8CCE4" w:themeFill="accent1" w:themeFillTint="66"/>
            <w:noWrap/>
            <w:vAlign w:val="center"/>
            <w:hideMark/>
          </w:tcPr>
          <w:p w14:paraId="2353D47A"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1</w:t>
            </w:r>
          </w:p>
        </w:tc>
        <w:tc>
          <w:tcPr>
            <w:tcW w:w="4093" w:type="dxa"/>
            <w:tcBorders>
              <w:top w:val="single" w:sz="4" w:space="0" w:color="auto"/>
              <w:left w:val="nil"/>
              <w:bottom w:val="single" w:sz="8" w:space="0" w:color="auto"/>
              <w:right w:val="nil"/>
            </w:tcBorders>
            <w:shd w:val="clear" w:color="auto" w:fill="B8CCE4" w:themeFill="accent1" w:themeFillTint="66"/>
            <w:noWrap/>
            <w:vAlign w:val="center"/>
            <w:hideMark/>
          </w:tcPr>
          <w:p w14:paraId="620B0890"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2</w:t>
            </w:r>
          </w:p>
        </w:tc>
        <w:tc>
          <w:tcPr>
            <w:tcW w:w="1464"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14:paraId="5C5457A6"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3</w:t>
            </w:r>
          </w:p>
        </w:tc>
        <w:tc>
          <w:tcPr>
            <w:tcW w:w="1465" w:type="dxa"/>
            <w:tcBorders>
              <w:top w:val="single" w:sz="4" w:space="0" w:color="auto"/>
              <w:left w:val="single" w:sz="8" w:space="0" w:color="auto"/>
              <w:bottom w:val="single" w:sz="8" w:space="0" w:color="auto"/>
              <w:right w:val="single" w:sz="8" w:space="0" w:color="auto"/>
            </w:tcBorders>
            <w:shd w:val="clear" w:color="auto" w:fill="B8CCE4" w:themeFill="accent1" w:themeFillTint="66"/>
            <w:noWrap/>
            <w:vAlign w:val="center"/>
            <w:hideMark/>
          </w:tcPr>
          <w:p w14:paraId="2AB36541"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4</w:t>
            </w:r>
          </w:p>
        </w:tc>
        <w:tc>
          <w:tcPr>
            <w:tcW w:w="1465" w:type="dxa"/>
            <w:tcBorders>
              <w:top w:val="single" w:sz="4" w:space="0" w:color="auto"/>
              <w:left w:val="single" w:sz="4" w:space="0" w:color="auto"/>
              <w:bottom w:val="single" w:sz="8" w:space="0" w:color="auto"/>
              <w:right w:val="single" w:sz="4" w:space="0" w:color="auto"/>
            </w:tcBorders>
            <w:shd w:val="clear" w:color="auto" w:fill="B8CCE4" w:themeFill="accent1" w:themeFillTint="66"/>
            <w:noWrap/>
            <w:vAlign w:val="center"/>
            <w:hideMark/>
          </w:tcPr>
          <w:p w14:paraId="3F40424F" w14:textId="77777777" w:rsidR="00D43CA5" w:rsidRPr="008D0165" w:rsidRDefault="00D43CA5" w:rsidP="0084113E">
            <w:pPr>
              <w:spacing w:after="0" w:line="23" w:lineRule="atLeast"/>
              <w:jc w:val="center"/>
              <w:rPr>
                <w:rFonts w:eastAsia="Times New Roman" w:cstheme="minorHAnsi"/>
                <w:i/>
                <w:sz w:val="24"/>
                <w:szCs w:val="24"/>
                <w:lang w:eastAsia="pl-PL"/>
              </w:rPr>
            </w:pPr>
            <w:r w:rsidRPr="008D0165">
              <w:rPr>
                <w:rFonts w:eastAsia="Times New Roman" w:cstheme="minorHAnsi"/>
                <w:i/>
                <w:sz w:val="24"/>
                <w:szCs w:val="24"/>
                <w:lang w:eastAsia="pl-PL"/>
              </w:rPr>
              <w:t>5</w:t>
            </w:r>
          </w:p>
        </w:tc>
      </w:tr>
      <w:tr w:rsidR="004C0E46" w:rsidRPr="008D0165" w14:paraId="2A2527A2" w14:textId="77777777" w:rsidTr="007566EA">
        <w:trPr>
          <w:trHeight w:val="34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C928EA"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I</w:t>
            </w:r>
          </w:p>
        </w:tc>
        <w:tc>
          <w:tcPr>
            <w:tcW w:w="4093" w:type="dxa"/>
            <w:tcBorders>
              <w:top w:val="single" w:sz="8" w:space="0" w:color="auto"/>
              <w:left w:val="nil"/>
              <w:bottom w:val="single" w:sz="8" w:space="0" w:color="auto"/>
              <w:right w:val="nil"/>
            </w:tcBorders>
            <w:shd w:val="clear" w:color="auto" w:fill="auto"/>
            <w:noWrap/>
            <w:vAlign w:val="center"/>
            <w:hideMark/>
          </w:tcPr>
          <w:p w14:paraId="6433953D"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Koszty</w:t>
            </w:r>
          </w:p>
        </w:tc>
        <w:tc>
          <w:tcPr>
            <w:tcW w:w="1464" w:type="dxa"/>
            <w:tcBorders>
              <w:top w:val="single" w:sz="8" w:space="0" w:color="auto"/>
              <w:left w:val="single" w:sz="8" w:space="0" w:color="auto"/>
              <w:bottom w:val="single" w:sz="8" w:space="0" w:color="auto"/>
              <w:right w:val="single" w:sz="8" w:space="0" w:color="auto"/>
            </w:tcBorders>
            <w:vAlign w:val="center"/>
          </w:tcPr>
          <w:p w14:paraId="29F1254B"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244 192 228</w:t>
            </w:r>
          </w:p>
        </w:tc>
        <w:tc>
          <w:tcPr>
            <w:tcW w:w="14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3089D0"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264 481 379</w:t>
            </w:r>
          </w:p>
        </w:tc>
        <w:tc>
          <w:tcPr>
            <w:tcW w:w="1465" w:type="dxa"/>
            <w:tcBorders>
              <w:top w:val="single" w:sz="8" w:space="0" w:color="auto"/>
              <w:left w:val="nil"/>
              <w:bottom w:val="single" w:sz="8" w:space="0" w:color="auto"/>
              <w:right w:val="single" w:sz="4" w:space="0" w:color="auto"/>
            </w:tcBorders>
            <w:shd w:val="clear" w:color="auto" w:fill="auto"/>
            <w:noWrap/>
            <w:vAlign w:val="center"/>
            <w:hideMark/>
          </w:tcPr>
          <w:p w14:paraId="1823A2B1"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280 258 661 </w:t>
            </w:r>
          </w:p>
        </w:tc>
      </w:tr>
      <w:tr w:rsidR="004C0E46" w:rsidRPr="008D0165" w14:paraId="32FA3004" w14:textId="77777777" w:rsidTr="00351DCC">
        <w:trPr>
          <w:trHeight w:val="340"/>
        </w:trPr>
        <w:tc>
          <w:tcPr>
            <w:tcW w:w="600" w:type="dxa"/>
            <w:tcBorders>
              <w:top w:val="single" w:sz="8" w:space="0" w:color="auto"/>
              <w:left w:val="single" w:sz="8" w:space="0" w:color="auto"/>
              <w:bottom w:val="nil"/>
              <w:right w:val="single" w:sz="4" w:space="0" w:color="auto"/>
            </w:tcBorders>
            <w:shd w:val="clear" w:color="auto" w:fill="F2F2F2" w:themeFill="background1" w:themeFillShade="F2"/>
            <w:noWrap/>
            <w:vAlign w:val="center"/>
            <w:hideMark/>
          </w:tcPr>
          <w:p w14:paraId="6E6E48B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w:t>
            </w:r>
          </w:p>
        </w:tc>
        <w:tc>
          <w:tcPr>
            <w:tcW w:w="4093" w:type="dxa"/>
            <w:tcBorders>
              <w:top w:val="single" w:sz="8" w:space="0" w:color="auto"/>
              <w:left w:val="nil"/>
              <w:bottom w:val="nil"/>
              <w:right w:val="nil"/>
            </w:tcBorders>
            <w:shd w:val="clear" w:color="auto" w:fill="F2F2F2" w:themeFill="background1" w:themeFillShade="F2"/>
            <w:noWrap/>
            <w:vAlign w:val="center"/>
            <w:hideMark/>
          </w:tcPr>
          <w:p w14:paraId="17E79C26" w14:textId="77777777" w:rsidR="004C0E46" w:rsidRPr="008D0165" w:rsidRDefault="004C0E46" w:rsidP="0084113E">
            <w:pPr>
              <w:spacing w:after="0" w:line="23" w:lineRule="atLeast"/>
              <w:rPr>
                <w:rFonts w:eastAsia="Times New Roman" w:cstheme="minorHAnsi"/>
                <w:b/>
                <w:sz w:val="24"/>
                <w:szCs w:val="24"/>
                <w:lang w:eastAsia="pl-PL"/>
              </w:rPr>
            </w:pPr>
            <w:r w:rsidRPr="008D0165">
              <w:rPr>
                <w:rFonts w:eastAsia="Times New Roman" w:cstheme="minorHAnsi"/>
                <w:b/>
                <w:sz w:val="24"/>
                <w:szCs w:val="24"/>
                <w:lang w:eastAsia="pl-PL"/>
              </w:rPr>
              <w:t>Fundusz emerytalny</w:t>
            </w:r>
          </w:p>
        </w:tc>
        <w:tc>
          <w:tcPr>
            <w:tcW w:w="1464" w:type="dxa"/>
            <w:tcBorders>
              <w:top w:val="single" w:sz="8" w:space="0" w:color="auto"/>
              <w:left w:val="single" w:sz="8" w:space="0" w:color="auto"/>
              <w:bottom w:val="nil"/>
              <w:right w:val="single" w:sz="8" w:space="0" w:color="auto"/>
            </w:tcBorders>
            <w:shd w:val="clear" w:color="auto" w:fill="F2F2F2" w:themeFill="background1" w:themeFillShade="F2"/>
            <w:vAlign w:val="center"/>
          </w:tcPr>
          <w:p w14:paraId="2B5E1C5F" w14:textId="77777777" w:rsidR="004C0E46" w:rsidRPr="008D0165" w:rsidRDefault="004C0E46" w:rsidP="0084113E">
            <w:pPr>
              <w:spacing w:after="0" w:line="23" w:lineRule="atLeast"/>
              <w:jc w:val="right"/>
              <w:rPr>
                <w:rFonts w:eastAsia="Times New Roman" w:cstheme="minorHAnsi"/>
                <w:b/>
                <w:sz w:val="24"/>
                <w:szCs w:val="24"/>
                <w:lang w:eastAsia="pl-PL"/>
              </w:rPr>
            </w:pPr>
            <w:r w:rsidRPr="008D0165">
              <w:rPr>
                <w:rFonts w:cs="Arial"/>
                <w:b/>
                <w:bCs/>
                <w:color w:val="000000"/>
                <w:sz w:val="24"/>
                <w:szCs w:val="24"/>
              </w:rPr>
              <w:t>165 311 410</w:t>
            </w:r>
          </w:p>
        </w:tc>
        <w:tc>
          <w:tcPr>
            <w:tcW w:w="1465" w:type="dxa"/>
            <w:tcBorders>
              <w:top w:val="single" w:sz="8" w:space="0" w:color="auto"/>
              <w:left w:val="single" w:sz="8" w:space="0" w:color="auto"/>
              <w:bottom w:val="nil"/>
              <w:right w:val="single" w:sz="4" w:space="0" w:color="auto"/>
            </w:tcBorders>
            <w:shd w:val="clear" w:color="auto" w:fill="F2F2F2" w:themeFill="background1" w:themeFillShade="F2"/>
            <w:noWrap/>
            <w:vAlign w:val="center"/>
            <w:hideMark/>
          </w:tcPr>
          <w:p w14:paraId="547335B0" w14:textId="77777777" w:rsidR="004C0E46" w:rsidRPr="008D0165" w:rsidRDefault="004C0E46" w:rsidP="0084113E">
            <w:pPr>
              <w:spacing w:after="0" w:line="23" w:lineRule="atLeast"/>
              <w:jc w:val="right"/>
              <w:rPr>
                <w:rFonts w:eastAsia="Times New Roman" w:cstheme="minorHAnsi"/>
                <w:b/>
                <w:sz w:val="24"/>
                <w:szCs w:val="24"/>
                <w:lang w:eastAsia="pl-PL"/>
              </w:rPr>
            </w:pPr>
            <w:r w:rsidRPr="008D0165">
              <w:rPr>
                <w:rFonts w:eastAsia="Times New Roman" w:cstheme="minorHAnsi"/>
                <w:b/>
                <w:sz w:val="24"/>
                <w:szCs w:val="24"/>
                <w:lang w:eastAsia="pl-PL"/>
              </w:rPr>
              <w:t>178 439 254</w:t>
            </w:r>
          </w:p>
        </w:tc>
        <w:tc>
          <w:tcPr>
            <w:tcW w:w="1465" w:type="dxa"/>
            <w:tcBorders>
              <w:top w:val="single" w:sz="8" w:space="0" w:color="auto"/>
              <w:left w:val="nil"/>
              <w:bottom w:val="nil"/>
              <w:right w:val="single" w:sz="4" w:space="0" w:color="auto"/>
            </w:tcBorders>
            <w:shd w:val="clear" w:color="auto" w:fill="F2F2F2" w:themeFill="background1" w:themeFillShade="F2"/>
            <w:noWrap/>
            <w:vAlign w:val="center"/>
            <w:hideMark/>
          </w:tcPr>
          <w:p w14:paraId="62DF7E39"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193 151 335 </w:t>
            </w:r>
          </w:p>
        </w:tc>
      </w:tr>
      <w:tr w:rsidR="004C0E46" w:rsidRPr="008D0165" w14:paraId="1AC02516"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310E517"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A3182D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Emerytury</w:t>
            </w:r>
          </w:p>
        </w:tc>
        <w:tc>
          <w:tcPr>
            <w:tcW w:w="1464" w:type="dxa"/>
            <w:tcBorders>
              <w:top w:val="nil"/>
              <w:left w:val="single" w:sz="8" w:space="0" w:color="auto"/>
              <w:bottom w:val="nil"/>
              <w:right w:val="single" w:sz="8" w:space="0" w:color="auto"/>
            </w:tcBorders>
            <w:vAlign w:val="center"/>
          </w:tcPr>
          <w:p w14:paraId="58744F2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164 847 036</w:t>
            </w:r>
          </w:p>
        </w:tc>
        <w:tc>
          <w:tcPr>
            <w:tcW w:w="1465" w:type="dxa"/>
            <w:tcBorders>
              <w:top w:val="nil"/>
              <w:left w:val="single" w:sz="8" w:space="0" w:color="auto"/>
              <w:bottom w:val="nil"/>
              <w:right w:val="single" w:sz="4" w:space="0" w:color="auto"/>
            </w:tcBorders>
            <w:shd w:val="clear" w:color="auto" w:fill="auto"/>
            <w:noWrap/>
            <w:vAlign w:val="center"/>
            <w:hideMark/>
          </w:tcPr>
          <w:p w14:paraId="010CC90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177 917 653</w:t>
            </w:r>
          </w:p>
        </w:tc>
        <w:tc>
          <w:tcPr>
            <w:tcW w:w="1465" w:type="dxa"/>
            <w:tcBorders>
              <w:top w:val="nil"/>
              <w:left w:val="nil"/>
              <w:bottom w:val="nil"/>
              <w:right w:val="single" w:sz="4" w:space="0" w:color="auto"/>
            </w:tcBorders>
            <w:shd w:val="clear" w:color="auto" w:fill="auto"/>
            <w:noWrap/>
            <w:vAlign w:val="center"/>
            <w:hideMark/>
          </w:tcPr>
          <w:p w14:paraId="62881CA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192 352 245 </w:t>
            </w:r>
          </w:p>
        </w:tc>
      </w:tr>
      <w:tr w:rsidR="004C0E46" w:rsidRPr="008D0165" w14:paraId="61FC1049"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585B89F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AC7D14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Wypłaty środków z subkonta¹⁾</w:t>
            </w:r>
          </w:p>
        </w:tc>
        <w:tc>
          <w:tcPr>
            <w:tcW w:w="1464" w:type="dxa"/>
            <w:tcBorders>
              <w:top w:val="nil"/>
              <w:left w:val="single" w:sz="8" w:space="0" w:color="auto"/>
              <w:bottom w:val="nil"/>
              <w:right w:val="single" w:sz="8" w:space="0" w:color="auto"/>
            </w:tcBorders>
            <w:vAlign w:val="center"/>
          </w:tcPr>
          <w:p w14:paraId="6EB515E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462 848</w:t>
            </w:r>
          </w:p>
        </w:tc>
        <w:tc>
          <w:tcPr>
            <w:tcW w:w="1465" w:type="dxa"/>
            <w:tcBorders>
              <w:top w:val="nil"/>
              <w:left w:val="single" w:sz="8" w:space="0" w:color="auto"/>
              <w:bottom w:val="nil"/>
              <w:right w:val="single" w:sz="4" w:space="0" w:color="auto"/>
            </w:tcBorders>
            <w:shd w:val="clear" w:color="auto" w:fill="auto"/>
            <w:noWrap/>
            <w:vAlign w:val="center"/>
            <w:hideMark/>
          </w:tcPr>
          <w:p w14:paraId="3416B2E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520 358</w:t>
            </w:r>
          </w:p>
        </w:tc>
        <w:tc>
          <w:tcPr>
            <w:tcW w:w="1465" w:type="dxa"/>
            <w:tcBorders>
              <w:top w:val="nil"/>
              <w:left w:val="nil"/>
              <w:bottom w:val="nil"/>
              <w:right w:val="single" w:sz="4" w:space="0" w:color="auto"/>
            </w:tcBorders>
            <w:shd w:val="clear" w:color="auto" w:fill="auto"/>
            <w:noWrap/>
            <w:vAlign w:val="center"/>
            <w:hideMark/>
          </w:tcPr>
          <w:p w14:paraId="65D9722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798 156 </w:t>
            </w:r>
          </w:p>
        </w:tc>
      </w:tr>
      <w:tr w:rsidR="004C0E46" w:rsidRPr="008D0165" w14:paraId="1EFEE675"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1E09B87B"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1.3</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75F7191A"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238AF32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1 526</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249F10F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1 243</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055B6A0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934 </w:t>
            </w:r>
          </w:p>
        </w:tc>
      </w:tr>
      <w:tr w:rsidR="004C0E46" w:rsidRPr="008D0165" w14:paraId="5BF04DFC" w14:textId="77777777" w:rsidTr="00351DCC">
        <w:trPr>
          <w:trHeight w:val="340"/>
        </w:trPr>
        <w:tc>
          <w:tcPr>
            <w:tcW w:w="600"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33DBE987"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2.</w:t>
            </w:r>
          </w:p>
        </w:tc>
        <w:tc>
          <w:tcPr>
            <w:tcW w:w="4093" w:type="dxa"/>
            <w:tcBorders>
              <w:top w:val="single" w:sz="8" w:space="0" w:color="D9D9D9" w:themeColor="background1" w:themeShade="D9"/>
              <w:left w:val="nil"/>
              <w:bottom w:val="nil"/>
              <w:right w:val="nil"/>
            </w:tcBorders>
            <w:shd w:val="clear" w:color="auto" w:fill="F2F2F2" w:themeFill="background1" w:themeFillShade="F2"/>
            <w:noWrap/>
            <w:vAlign w:val="center"/>
            <w:hideMark/>
          </w:tcPr>
          <w:p w14:paraId="169A9D69"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Fundusz rentowy</w:t>
            </w:r>
          </w:p>
        </w:tc>
        <w:tc>
          <w:tcPr>
            <w:tcW w:w="1464" w:type="dxa"/>
            <w:tcBorders>
              <w:top w:val="single" w:sz="8" w:space="0" w:color="D9D9D9" w:themeColor="background1" w:themeShade="D9"/>
              <w:left w:val="single" w:sz="8" w:space="0" w:color="auto"/>
              <w:bottom w:val="nil"/>
              <w:right w:val="single" w:sz="8" w:space="0" w:color="auto"/>
            </w:tcBorders>
            <w:shd w:val="clear" w:color="auto" w:fill="F2F2F2" w:themeFill="background1" w:themeFillShade="F2"/>
            <w:vAlign w:val="center"/>
          </w:tcPr>
          <w:p w14:paraId="449595EB"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47 133 862</w:t>
            </w:r>
          </w:p>
        </w:tc>
        <w:tc>
          <w:tcPr>
            <w:tcW w:w="1465"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39A52AD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48 916 878</w:t>
            </w:r>
          </w:p>
        </w:tc>
        <w:tc>
          <w:tcPr>
            <w:tcW w:w="1465" w:type="dxa"/>
            <w:tcBorders>
              <w:top w:val="single" w:sz="8" w:space="0" w:color="D9D9D9" w:themeColor="background1" w:themeShade="D9"/>
              <w:left w:val="nil"/>
              <w:bottom w:val="nil"/>
              <w:right w:val="single" w:sz="4" w:space="0" w:color="auto"/>
            </w:tcBorders>
            <w:shd w:val="clear" w:color="auto" w:fill="F2F2F2" w:themeFill="background1" w:themeFillShade="F2"/>
            <w:noWrap/>
            <w:vAlign w:val="center"/>
            <w:hideMark/>
          </w:tcPr>
          <w:p w14:paraId="106A5FF7"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51 209 986 </w:t>
            </w:r>
          </w:p>
        </w:tc>
      </w:tr>
      <w:tr w:rsidR="004C0E46" w:rsidRPr="008D0165" w14:paraId="3C82F033"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CECB2C9"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F9394A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Renty</w:t>
            </w:r>
          </w:p>
        </w:tc>
        <w:tc>
          <w:tcPr>
            <w:tcW w:w="1464" w:type="dxa"/>
            <w:tcBorders>
              <w:top w:val="nil"/>
              <w:left w:val="single" w:sz="8" w:space="0" w:color="auto"/>
              <w:bottom w:val="nil"/>
              <w:right w:val="single" w:sz="8" w:space="0" w:color="auto"/>
            </w:tcBorders>
            <w:vAlign w:val="center"/>
          </w:tcPr>
          <w:p w14:paraId="2BB97C2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38 153 941</w:t>
            </w:r>
          </w:p>
        </w:tc>
        <w:tc>
          <w:tcPr>
            <w:tcW w:w="1465" w:type="dxa"/>
            <w:tcBorders>
              <w:top w:val="nil"/>
              <w:left w:val="single" w:sz="8" w:space="0" w:color="auto"/>
              <w:bottom w:val="nil"/>
              <w:right w:val="single" w:sz="4" w:space="0" w:color="auto"/>
            </w:tcBorders>
            <w:shd w:val="clear" w:color="auto" w:fill="auto"/>
            <w:noWrap/>
            <w:vAlign w:val="center"/>
            <w:hideMark/>
          </w:tcPr>
          <w:p w14:paraId="05DD406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39 598 011</w:t>
            </w:r>
          </w:p>
        </w:tc>
        <w:tc>
          <w:tcPr>
            <w:tcW w:w="1465" w:type="dxa"/>
            <w:tcBorders>
              <w:top w:val="nil"/>
              <w:left w:val="nil"/>
              <w:bottom w:val="nil"/>
              <w:right w:val="single" w:sz="4" w:space="0" w:color="auto"/>
            </w:tcBorders>
            <w:shd w:val="clear" w:color="auto" w:fill="auto"/>
            <w:noWrap/>
            <w:vAlign w:val="center"/>
            <w:hideMark/>
          </w:tcPr>
          <w:p w14:paraId="13FBC36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41 625 769 </w:t>
            </w:r>
          </w:p>
        </w:tc>
      </w:tr>
      <w:tr w:rsidR="004C0E46" w:rsidRPr="008D0165" w14:paraId="424BDBE7"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645A27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38761262"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Emerytury przyznane z urzędu zamiast renty</w:t>
            </w:r>
          </w:p>
        </w:tc>
        <w:tc>
          <w:tcPr>
            <w:tcW w:w="1464" w:type="dxa"/>
            <w:tcBorders>
              <w:top w:val="nil"/>
              <w:left w:val="single" w:sz="8" w:space="0" w:color="auto"/>
              <w:bottom w:val="nil"/>
              <w:right w:val="single" w:sz="8" w:space="0" w:color="auto"/>
            </w:tcBorders>
            <w:vAlign w:val="center"/>
          </w:tcPr>
          <w:p w14:paraId="24AC161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1 234 860</w:t>
            </w:r>
          </w:p>
        </w:tc>
        <w:tc>
          <w:tcPr>
            <w:tcW w:w="1465" w:type="dxa"/>
            <w:tcBorders>
              <w:top w:val="nil"/>
              <w:left w:val="single" w:sz="8" w:space="0" w:color="auto"/>
              <w:bottom w:val="nil"/>
              <w:right w:val="single" w:sz="4" w:space="0" w:color="auto"/>
            </w:tcBorders>
            <w:shd w:val="clear" w:color="auto" w:fill="auto"/>
            <w:noWrap/>
            <w:vAlign w:val="center"/>
            <w:hideMark/>
          </w:tcPr>
          <w:p w14:paraId="78D7433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1 185 689</w:t>
            </w:r>
          </w:p>
        </w:tc>
        <w:tc>
          <w:tcPr>
            <w:tcW w:w="1465" w:type="dxa"/>
            <w:tcBorders>
              <w:top w:val="nil"/>
              <w:left w:val="nil"/>
              <w:bottom w:val="nil"/>
              <w:right w:val="single" w:sz="4" w:space="0" w:color="auto"/>
            </w:tcBorders>
            <w:shd w:val="clear" w:color="auto" w:fill="auto"/>
            <w:noWrap/>
            <w:vAlign w:val="center"/>
            <w:hideMark/>
          </w:tcPr>
          <w:p w14:paraId="7539B7C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911 467 </w:t>
            </w:r>
          </w:p>
        </w:tc>
      </w:tr>
      <w:tr w:rsidR="004C0E46" w:rsidRPr="008D0165" w14:paraId="799F0C90" w14:textId="77777777" w:rsidTr="007566EA">
        <w:trPr>
          <w:trHeight w:val="454"/>
        </w:trPr>
        <w:tc>
          <w:tcPr>
            <w:tcW w:w="600" w:type="dxa"/>
            <w:tcBorders>
              <w:top w:val="nil"/>
              <w:left w:val="single" w:sz="8" w:space="0" w:color="auto"/>
              <w:bottom w:val="nil"/>
              <w:right w:val="single" w:sz="4" w:space="0" w:color="auto"/>
            </w:tcBorders>
            <w:shd w:val="clear" w:color="auto" w:fill="auto"/>
            <w:noWrap/>
            <w:vAlign w:val="center"/>
            <w:hideMark/>
          </w:tcPr>
          <w:p w14:paraId="734016F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vAlign w:val="center"/>
            <w:hideMark/>
          </w:tcPr>
          <w:p w14:paraId="7CBCF636"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Dodatki do emerytur i rent: pielęgnacyjne, dla sierot zupełnych i za tajne nauczanie</w:t>
            </w:r>
          </w:p>
        </w:tc>
        <w:tc>
          <w:tcPr>
            <w:tcW w:w="1464" w:type="dxa"/>
            <w:tcBorders>
              <w:top w:val="nil"/>
              <w:left w:val="single" w:sz="8" w:space="0" w:color="auto"/>
              <w:bottom w:val="nil"/>
              <w:right w:val="single" w:sz="8" w:space="0" w:color="auto"/>
            </w:tcBorders>
            <w:vAlign w:val="center"/>
          </w:tcPr>
          <w:p w14:paraId="783E6DB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6 147 667</w:t>
            </w:r>
          </w:p>
        </w:tc>
        <w:tc>
          <w:tcPr>
            <w:tcW w:w="1465" w:type="dxa"/>
            <w:tcBorders>
              <w:top w:val="nil"/>
              <w:left w:val="single" w:sz="8" w:space="0" w:color="auto"/>
              <w:bottom w:val="nil"/>
              <w:right w:val="single" w:sz="4" w:space="0" w:color="auto"/>
            </w:tcBorders>
            <w:shd w:val="clear" w:color="auto" w:fill="auto"/>
            <w:noWrap/>
            <w:vAlign w:val="center"/>
            <w:hideMark/>
          </w:tcPr>
          <w:p w14:paraId="0E04590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6 523 758</w:t>
            </w:r>
          </w:p>
        </w:tc>
        <w:tc>
          <w:tcPr>
            <w:tcW w:w="1465" w:type="dxa"/>
            <w:tcBorders>
              <w:top w:val="nil"/>
              <w:left w:val="nil"/>
              <w:bottom w:val="nil"/>
              <w:right w:val="single" w:sz="4" w:space="0" w:color="auto"/>
            </w:tcBorders>
            <w:shd w:val="clear" w:color="auto" w:fill="auto"/>
            <w:noWrap/>
            <w:vAlign w:val="center"/>
            <w:hideMark/>
          </w:tcPr>
          <w:p w14:paraId="57D74C8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6 818 990 </w:t>
            </w:r>
          </w:p>
        </w:tc>
      </w:tr>
      <w:tr w:rsidR="004C0E46" w:rsidRPr="008D0165" w14:paraId="736BB2F5"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5B1DB6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33A2E2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pogrzebowe</w:t>
            </w:r>
          </w:p>
        </w:tc>
        <w:tc>
          <w:tcPr>
            <w:tcW w:w="1464" w:type="dxa"/>
            <w:tcBorders>
              <w:top w:val="nil"/>
              <w:left w:val="single" w:sz="8" w:space="0" w:color="auto"/>
              <w:bottom w:val="nil"/>
              <w:right w:val="single" w:sz="8" w:space="0" w:color="auto"/>
            </w:tcBorders>
            <w:vAlign w:val="center"/>
          </w:tcPr>
          <w:p w14:paraId="1A0A133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1 391 681</w:t>
            </w:r>
          </w:p>
        </w:tc>
        <w:tc>
          <w:tcPr>
            <w:tcW w:w="1465" w:type="dxa"/>
            <w:tcBorders>
              <w:top w:val="nil"/>
              <w:left w:val="single" w:sz="8" w:space="0" w:color="auto"/>
              <w:bottom w:val="nil"/>
              <w:right w:val="single" w:sz="4" w:space="0" w:color="auto"/>
            </w:tcBorders>
            <w:shd w:val="clear" w:color="auto" w:fill="auto"/>
            <w:noWrap/>
            <w:vAlign w:val="center"/>
            <w:hideMark/>
          </w:tcPr>
          <w:p w14:paraId="0F901EE4"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1 540 997</w:t>
            </w:r>
          </w:p>
        </w:tc>
        <w:tc>
          <w:tcPr>
            <w:tcW w:w="1465" w:type="dxa"/>
            <w:tcBorders>
              <w:top w:val="nil"/>
              <w:left w:val="nil"/>
              <w:bottom w:val="nil"/>
              <w:right w:val="single" w:sz="4" w:space="0" w:color="auto"/>
            </w:tcBorders>
            <w:shd w:val="clear" w:color="auto" w:fill="auto"/>
            <w:noWrap/>
            <w:vAlign w:val="center"/>
            <w:hideMark/>
          </w:tcPr>
          <w:p w14:paraId="26FDD89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1 751 788 </w:t>
            </w:r>
          </w:p>
        </w:tc>
      </w:tr>
      <w:tr w:rsidR="004C0E46" w:rsidRPr="008D0165" w14:paraId="76ED67F6"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5BD5C7D"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2.4.1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C91E813" w14:textId="386B9AF9"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koszty przeciwdziałania COVID-19</w:t>
            </w:r>
          </w:p>
        </w:tc>
        <w:tc>
          <w:tcPr>
            <w:tcW w:w="1464" w:type="dxa"/>
            <w:tcBorders>
              <w:top w:val="nil"/>
              <w:left w:val="single" w:sz="8" w:space="0" w:color="auto"/>
              <w:bottom w:val="nil"/>
              <w:right w:val="single" w:sz="8" w:space="0" w:color="auto"/>
            </w:tcBorders>
            <w:vAlign w:val="center"/>
          </w:tcPr>
          <w:p w14:paraId="1480F16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4" w:space="0" w:color="auto"/>
            </w:tcBorders>
            <w:shd w:val="clear" w:color="auto" w:fill="auto"/>
            <w:noWrap/>
            <w:vAlign w:val="center"/>
            <w:hideMark/>
          </w:tcPr>
          <w:p w14:paraId="31B8CCD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114 100</w:t>
            </w:r>
          </w:p>
        </w:tc>
        <w:tc>
          <w:tcPr>
            <w:tcW w:w="1465" w:type="dxa"/>
            <w:tcBorders>
              <w:top w:val="nil"/>
              <w:left w:val="nil"/>
              <w:bottom w:val="nil"/>
              <w:right w:val="single" w:sz="4" w:space="0" w:color="auto"/>
            </w:tcBorders>
            <w:shd w:val="clear" w:color="auto" w:fill="auto"/>
            <w:noWrap/>
            <w:vAlign w:val="center"/>
            <w:hideMark/>
          </w:tcPr>
          <w:p w14:paraId="1997FDB9" w14:textId="77777777" w:rsidR="004C0E46" w:rsidRPr="008D0165" w:rsidRDefault="004C0E46" w:rsidP="0084113E">
            <w:pPr>
              <w:spacing w:after="0" w:line="23" w:lineRule="atLeast"/>
              <w:jc w:val="right"/>
              <w:rPr>
                <w:rFonts w:eastAsia="Times New Roman" w:cstheme="minorHAnsi"/>
                <w:i/>
                <w:iCs/>
                <w:sz w:val="24"/>
                <w:szCs w:val="24"/>
                <w:lang w:eastAsia="pl-PL"/>
              </w:rPr>
            </w:pPr>
            <w:r w:rsidRPr="008D0165">
              <w:rPr>
                <w:rFonts w:eastAsia="Times New Roman" w:cstheme="minorHAnsi"/>
                <w:i/>
                <w:iCs/>
                <w:sz w:val="24"/>
                <w:szCs w:val="24"/>
                <w:lang w:eastAsia="pl-PL"/>
              </w:rPr>
              <w:t xml:space="preserve">229 655 </w:t>
            </w:r>
          </w:p>
        </w:tc>
      </w:tr>
      <w:tr w:rsidR="004C0E46" w:rsidRPr="008D0165" w14:paraId="73926AC2"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CBA4CB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621CF3B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nil"/>
              <w:right w:val="single" w:sz="8" w:space="0" w:color="auto"/>
            </w:tcBorders>
            <w:vAlign w:val="center"/>
          </w:tcPr>
          <w:p w14:paraId="0BBFD13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1 488</w:t>
            </w:r>
          </w:p>
        </w:tc>
        <w:tc>
          <w:tcPr>
            <w:tcW w:w="1465" w:type="dxa"/>
            <w:tcBorders>
              <w:top w:val="nil"/>
              <w:left w:val="single" w:sz="8" w:space="0" w:color="auto"/>
              <w:bottom w:val="nil"/>
              <w:right w:val="single" w:sz="4" w:space="0" w:color="auto"/>
            </w:tcBorders>
            <w:shd w:val="clear" w:color="auto" w:fill="auto"/>
            <w:noWrap/>
            <w:vAlign w:val="center"/>
            <w:hideMark/>
          </w:tcPr>
          <w:p w14:paraId="58CAC56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1 022</w:t>
            </w:r>
          </w:p>
        </w:tc>
        <w:tc>
          <w:tcPr>
            <w:tcW w:w="1465" w:type="dxa"/>
            <w:tcBorders>
              <w:top w:val="nil"/>
              <w:left w:val="nil"/>
              <w:bottom w:val="nil"/>
              <w:right w:val="single" w:sz="4" w:space="0" w:color="auto"/>
            </w:tcBorders>
            <w:shd w:val="clear" w:color="auto" w:fill="auto"/>
            <w:noWrap/>
            <w:vAlign w:val="center"/>
            <w:hideMark/>
          </w:tcPr>
          <w:p w14:paraId="7603319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1 091 </w:t>
            </w:r>
          </w:p>
        </w:tc>
      </w:tr>
      <w:tr w:rsidR="004C0E46" w:rsidRPr="008D0165" w14:paraId="37CD0B31"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53168CE3"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2.6</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2327B669"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Prewencja rentowa</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458D9AB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204 225</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6475E7C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67 401</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1A4A849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100 881 </w:t>
            </w:r>
          </w:p>
        </w:tc>
      </w:tr>
      <w:tr w:rsidR="004C0E46" w:rsidRPr="008D0165" w14:paraId="67A8AA82" w14:textId="77777777" w:rsidTr="00351DCC">
        <w:trPr>
          <w:trHeight w:val="340"/>
        </w:trPr>
        <w:tc>
          <w:tcPr>
            <w:tcW w:w="600"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50332014"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3.</w:t>
            </w:r>
          </w:p>
        </w:tc>
        <w:tc>
          <w:tcPr>
            <w:tcW w:w="4093" w:type="dxa"/>
            <w:tcBorders>
              <w:top w:val="single" w:sz="8" w:space="0" w:color="D9D9D9" w:themeColor="background1" w:themeShade="D9"/>
              <w:left w:val="nil"/>
              <w:bottom w:val="nil"/>
              <w:right w:val="nil"/>
            </w:tcBorders>
            <w:shd w:val="clear" w:color="auto" w:fill="F2F2F2" w:themeFill="background1" w:themeFillShade="F2"/>
            <w:noWrap/>
            <w:vAlign w:val="center"/>
            <w:hideMark/>
          </w:tcPr>
          <w:p w14:paraId="546291D4"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Fundusz chorobowy</w:t>
            </w:r>
          </w:p>
        </w:tc>
        <w:tc>
          <w:tcPr>
            <w:tcW w:w="1464" w:type="dxa"/>
            <w:tcBorders>
              <w:top w:val="single" w:sz="8" w:space="0" w:color="D9D9D9" w:themeColor="background1" w:themeShade="D9"/>
              <w:left w:val="single" w:sz="8" w:space="0" w:color="auto"/>
              <w:bottom w:val="nil"/>
              <w:right w:val="single" w:sz="8" w:space="0" w:color="auto"/>
            </w:tcBorders>
            <w:shd w:val="clear" w:color="auto" w:fill="F2F2F2" w:themeFill="background1" w:themeFillShade="F2"/>
            <w:vAlign w:val="center"/>
          </w:tcPr>
          <w:p w14:paraId="648167CD"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22 803 729</w:t>
            </w:r>
          </w:p>
        </w:tc>
        <w:tc>
          <w:tcPr>
            <w:tcW w:w="1465"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537811F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28 265 135</w:t>
            </w:r>
          </w:p>
        </w:tc>
        <w:tc>
          <w:tcPr>
            <w:tcW w:w="1465" w:type="dxa"/>
            <w:tcBorders>
              <w:top w:val="single" w:sz="8" w:space="0" w:color="D9D9D9" w:themeColor="background1" w:themeShade="D9"/>
              <w:left w:val="nil"/>
              <w:bottom w:val="nil"/>
              <w:right w:val="single" w:sz="4" w:space="0" w:color="auto"/>
            </w:tcBorders>
            <w:shd w:val="clear" w:color="auto" w:fill="F2F2F2" w:themeFill="background1" w:themeFillShade="F2"/>
            <w:noWrap/>
            <w:vAlign w:val="center"/>
            <w:hideMark/>
          </w:tcPr>
          <w:p w14:paraId="4057140A"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27 046 679 </w:t>
            </w:r>
          </w:p>
        </w:tc>
      </w:tr>
      <w:tr w:rsidR="004C0E46" w:rsidRPr="008D0165" w14:paraId="2F3453F0"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4CA2262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39D7ED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chorobowe</w:t>
            </w:r>
          </w:p>
        </w:tc>
        <w:tc>
          <w:tcPr>
            <w:tcW w:w="1464" w:type="dxa"/>
            <w:tcBorders>
              <w:top w:val="nil"/>
              <w:left w:val="single" w:sz="8" w:space="0" w:color="auto"/>
              <w:bottom w:val="nil"/>
              <w:right w:val="single" w:sz="8" w:space="0" w:color="auto"/>
            </w:tcBorders>
            <w:vAlign w:val="center"/>
          </w:tcPr>
          <w:p w14:paraId="4C185A3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11 509 792</w:t>
            </w:r>
          </w:p>
        </w:tc>
        <w:tc>
          <w:tcPr>
            <w:tcW w:w="1465" w:type="dxa"/>
            <w:tcBorders>
              <w:top w:val="nil"/>
              <w:left w:val="single" w:sz="8" w:space="0" w:color="auto"/>
              <w:bottom w:val="nil"/>
              <w:right w:val="single" w:sz="4" w:space="0" w:color="auto"/>
            </w:tcBorders>
            <w:shd w:val="clear" w:color="auto" w:fill="auto"/>
            <w:noWrap/>
            <w:vAlign w:val="center"/>
            <w:hideMark/>
          </w:tcPr>
          <w:p w14:paraId="5D4AEFB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13 468 284</w:t>
            </w:r>
          </w:p>
        </w:tc>
        <w:tc>
          <w:tcPr>
            <w:tcW w:w="1465" w:type="dxa"/>
            <w:tcBorders>
              <w:top w:val="nil"/>
              <w:left w:val="nil"/>
              <w:bottom w:val="nil"/>
              <w:right w:val="single" w:sz="4" w:space="0" w:color="auto"/>
            </w:tcBorders>
            <w:shd w:val="clear" w:color="auto" w:fill="auto"/>
            <w:noWrap/>
            <w:vAlign w:val="center"/>
            <w:hideMark/>
          </w:tcPr>
          <w:p w14:paraId="1EDA13B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14 112 517 </w:t>
            </w:r>
          </w:p>
        </w:tc>
      </w:tr>
      <w:tr w:rsidR="004C0E46" w:rsidRPr="008D0165" w14:paraId="32F67494"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584F7F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9291658" w14:textId="35C9FA23"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koszty przeciwdziałania COVID-19</w:t>
            </w:r>
          </w:p>
        </w:tc>
        <w:tc>
          <w:tcPr>
            <w:tcW w:w="1464" w:type="dxa"/>
            <w:tcBorders>
              <w:top w:val="nil"/>
              <w:left w:val="single" w:sz="8" w:space="0" w:color="auto"/>
              <w:bottom w:val="nil"/>
              <w:right w:val="single" w:sz="8" w:space="0" w:color="auto"/>
            </w:tcBorders>
            <w:vAlign w:val="center"/>
          </w:tcPr>
          <w:p w14:paraId="184B0B7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4" w:space="0" w:color="auto"/>
            </w:tcBorders>
            <w:shd w:val="clear" w:color="auto" w:fill="auto"/>
            <w:noWrap/>
            <w:vAlign w:val="center"/>
            <w:hideMark/>
          </w:tcPr>
          <w:p w14:paraId="12043B8A"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1 941 086</w:t>
            </w:r>
          </w:p>
        </w:tc>
        <w:tc>
          <w:tcPr>
            <w:tcW w:w="1465" w:type="dxa"/>
            <w:tcBorders>
              <w:top w:val="nil"/>
              <w:left w:val="nil"/>
              <w:bottom w:val="nil"/>
              <w:right w:val="single" w:sz="4" w:space="0" w:color="auto"/>
            </w:tcBorders>
            <w:shd w:val="clear" w:color="auto" w:fill="auto"/>
            <w:noWrap/>
            <w:vAlign w:val="center"/>
            <w:hideMark/>
          </w:tcPr>
          <w:p w14:paraId="476CC60B"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2 171 407 </w:t>
            </w:r>
          </w:p>
        </w:tc>
      </w:tr>
      <w:tr w:rsidR="004C0E46" w:rsidRPr="008D0165" w14:paraId="3C9B300C"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3E330C7"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2DD3020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macierzyńskie</w:t>
            </w:r>
          </w:p>
        </w:tc>
        <w:tc>
          <w:tcPr>
            <w:tcW w:w="1464" w:type="dxa"/>
            <w:tcBorders>
              <w:top w:val="nil"/>
              <w:left w:val="single" w:sz="8" w:space="0" w:color="auto"/>
              <w:bottom w:val="nil"/>
              <w:right w:val="single" w:sz="8" w:space="0" w:color="auto"/>
            </w:tcBorders>
            <w:vAlign w:val="center"/>
          </w:tcPr>
          <w:p w14:paraId="1302C30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8 479 239</w:t>
            </w:r>
          </w:p>
        </w:tc>
        <w:tc>
          <w:tcPr>
            <w:tcW w:w="1465" w:type="dxa"/>
            <w:tcBorders>
              <w:top w:val="nil"/>
              <w:left w:val="single" w:sz="8" w:space="0" w:color="auto"/>
              <w:bottom w:val="nil"/>
              <w:right w:val="single" w:sz="4" w:space="0" w:color="auto"/>
            </w:tcBorders>
            <w:shd w:val="clear" w:color="auto" w:fill="auto"/>
            <w:noWrap/>
            <w:vAlign w:val="center"/>
            <w:hideMark/>
          </w:tcPr>
          <w:p w14:paraId="6C00CB9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8 954 625</w:t>
            </w:r>
          </w:p>
        </w:tc>
        <w:tc>
          <w:tcPr>
            <w:tcW w:w="1465" w:type="dxa"/>
            <w:tcBorders>
              <w:top w:val="nil"/>
              <w:left w:val="nil"/>
              <w:bottom w:val="nil"/>
              <w:right w:val="single" w:sz="4" w:space="0" w:color="auto"/>
            </w:tcBorders>
            <w:shd w:val="clear" w:color="auto" w:fill="auto"/>
            <w:noWrap/>
            <w:vAlign w:val="center"/>
            <w:hideMark/>
          </w:tcPr>
          <w:p w14:paraId="759051B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9 023 029 </w:t>
            </w:r>
          </w:p>
        </w:tc>
      </w:tr>
      <w:tr w:rsidR="004C0E46" w:rsidRPr="008D0165" w14:paraId="0CB75F8E"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88F051E"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11C411B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opiekuńcze</w:t>
            </w:r>
          </w:p>
        </w:tc>
        <w:tc>
          <w:tcPr>
            <w:tcW w:w="1464" w:type="dxa"/>
            <w:tcBorders>
              <w:top w:val="nil"/>
              <w:left w:val="single" w:sz="8" w:space="0" w:color="auto"/>
              <w:bottom w:val="nil"/>
              <w:right w:val="single" w:sz="8" w:space="0" w:color="auto"/>
            </w:tcBorders>
            <w:vAlign w:val="center"/>
          </w:tcPr>
          <w:p w14:paraId="29E752D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1 076 763</w:t>
            </w:r>
          </w:p>
        </w:tc>
        <w:tc>
          <w:tcPr>
            <w:tcW w:w="1465" w:type="dxa"/>
            <w:tcBorders>
              <w:top w:val="nil"/>
              <w:left w:val="single" w:sz="8" w:space="0" w:color="auto"/>
              <w:bottom w:val="nil"/>
              <w:right w:val="single" w:sz="4" w:space="0" w:color="auto"/>
            </w:tcBorders>
            <w:shd w:val="clear" w:color="auto" w:fill="auto"/>
            <w:noWrap/>
            <w:vAlign w:val="center"/>
            <w:hideMark/>
          </w:tcPr>
          <w:p w14:paraId="2A62145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3 723 289</w:t>
            </w:r>
          </w:p>
        </w:tc>
        <w:tc>
          <w:tcPr>
            <w:tcW w:w="1465" w:type="dxa"/>
            <w:tcBorders>
              <w:top w:val="nil"/>
              <w:left w:val="nil"/>
              <w:bottom w:val="nil"/>
              <w:right w:val="single" w:sz="4" w:space="0" w:color="auto"/>
            </w:tcBorders>
            <w:shd w:val="clear" w:color="auto" w:fill="auto"/>
            <w:noWrap/>
            <w:vAlign w:val="center"/>
            <w:hideMark/>
          </w:tcPr>
          <w:p w14:paraId="0FB4233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1 728 794 </w:t>
            </w:r>
          </w:p>
        </w:tc>
      </w:tr>
      <w:tr w:rsidR="004C0E46" w:rsidRPr="008D0165" w14:paraId="158C3576"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1D9800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3.1.1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010BA1F" w14:textId="4AB296C6"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 koszty przeciwdziałania COVID-19</w:t>
            </w:r>
          </w:p>
        </w:tc>
        <w:tc>
          <w:tcPr>
            <w:tcW w:w="1464" w:type="dxa"/>
            <w:tcBorders>
              <w:top w:val="nil"/>
              <w:left w:val="single" w:sz="8" w:space="0" w:color="auto"/>
              <w:bottom w:val="nil"/>
              <w:right w:val="single" w:sz="8" w:space="0" w:color="auto"/>
            </w:tcBorders>
            <w:vAlign w:val="center"/>
          </w:tcPr>
          <w:p w14:paraId="5CC11898"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x</w:t>
            </w:r>
          </w:p>
        </w:tc>
        <w:tc>
          <w:tcPr>
            <w:tcW w:w="1465" w:type="dxa"/>
            <w:tcBorders>
              <w:top w:val="nil"/>
              <w:left w:val="single" w:sz="8" w:space="0" w:color="auto"/>
              <w:bottom w:val="nil"/>
              <w:right w:val="single" w:sz="4" w:space="0" w:color="auto"/>
            </w:tcBorders>
            <w:shd w:val="clear" w:color="auto" w:fill="auto"/>
            <w:noWrap/>
            <w:vAlign w:val="center"/>
            <w:hideMark/>
          </w:tcPr>
          <w:p w14:paraId="76D9572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2 601 413</w:t>
            </w:r>
          </w:p>
        </w:tc>
        <w:tc>
          <w:tcPr>
            <w:tcW w:w="1465" w:type="dxa"/>
            <w:tcBorders>
              <w:top w:val="nil"/>
              <w:left w:val="nil"/>
              <w:bottom w:val="nil"/>
              <w:right w:val="single" w:sz="4" w:space="0" w:color="auto"/>
            </w:tcBorders>
            <w:shd w:val="clear" w:color="auto" w:fill="auto"/>
            <w:noWrap/>
            <w:vAlign w:val="center"/>
            <w:hideMark/>
          </w:tcPr>
          <w:p w14:paraId="0AF2895C" w14:textId="77777777" w:rsidR="004C0E46" w:rsidRPr="008D0165" w:rsidRDefault="004C0E46" w:rsidP="0084113E">
            <w:pPr>
              <w:spacing w:after="0" w:line="23" w:lineRule="atLeast"/>
              <w:jc w:val="right"/>
              <w:rPr>
                <w:rFonts w:eastAsia="Times New Roman" w:cstheme="minorHAnsi"/>
                <w:i/>
                <w:iCs/>
                <w:sz w:val="24"/>
                <w:szCs w:val="24"/>
                <w:lang w:eastAsia="pl-PL"/>
              </w:rPr>
            </w:pPr>
            <w:r w:rsidRPr="008D0165">
              <w:rPr>
                <w:rFonts w:eastAsia="Times New Roman" w:cstheme="minorHAnsi"/>
                <w:i/>
                <w:iCs/>
                <w:sz w:val="24"/>
                <w:szCs w:val="24"/>
                <w:lang w:eastAsia="pl-PL"/>
              </w:rPr>
              <w:t xml:space="preserve">783 777 </w:t>
            </w:r>
          </w:p>
        </w:tc>
      </w:tr>
      <w:tr w:rsidR="004C0E46" w:rsidRPr="008D0165" w14:paraId="4DA691D9"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EEBBBB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48C6E9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Świadczenia rehabilitacyjne</w:t>
            </w:r>
          </w:p>
        </w:tc>
        <w:tc>
          <w:tcPr>
            <w:tcW w:w="1464" w:type="dxa"/>
            <w:tcBorders>
              <w:top w:val="nil"/>
              <w:left w:val="single" w:sz="8" w:space="0" w:color="auto"/>
              <w:bottom w:val="nil"/>
              <w:right w:val="single" w:sz="8" w:space="0" w:color="auto"/>
            </w:tcBorders>
            <w:vAlign w:val="center"/>
          </w:tcPr>
          <w:p w14:paraId="4A7C336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1 729 575</w:t>
            </w:r>
          </w:p>
        </w:tc>
        <w:tc>
          <w:tcPr>
            <w:tcW w:w="1465" w:type="dxa"/>
            <w:tcBorders>
              <w:top w:val="nil"/>
              <w:left w:val="single" w:sz="8" w:space="0" w:color="auto"/>
              <w:bottom w:val="nil"/>
              <w:right w:val="single" w:sz="4" w:space="0" w:color="auto"/>
            </w:tcBorders>
            <w:shd w:val="clear" w:color="auto" w:fill="auto"/>
            <w:noWrap/>
            <w:vAlign w:val="center"/>
            <w:hideMark/>
          </w:tcPr>
          <w:p w14:paraId="19CDFE5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2 109 368</w:t>
            </w:r>
          </w:p>
        </w:tc>
        <w:tc>
          <w:tcPr>
            <w:tcW w:w="1465" w:type="dxa"/>
            <w:tcBorders>
              <w:top w:val="nil"/>
              <w:left w:val="nil"/>
              <w:bottom w:val="nil"/>
              <w:right w:val="single" w:sz="4" w:space="0" w:color="auto"/>
            </w:tcBorders>
            <w:shd w:val="clear" w:color="auto" w:fill="auto"/>
            <w:noWrap/>
            <w:vAlign w:val="center"/>
            <w:hideMark/>
          </w:tcPr>
          <w:p w14:paraId="0EA43C3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2 172 880 </w:t>
            </w:r>
          </w:p>
        </w:tc>
      </w:tr>
      <w:tr w:rsidR="004C0E46" w:rsidRPr="008D0165" w14:paraId="13A6BEC8"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A360E72"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6D4F25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nil"/>
              <w:right w:val="single" w:sz="8" w:space="0" w:color="auto"/>
            </w:tcBorders>
            <w:vAlign w:val="center"/>
          </w:tcPr>
          <w:p w14:paraId="426300E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2 560</w:t>
            </w:r>
          </w:p>
        </w:tc>
        <w:tc>
          <w:tcPr>
            <w:tcW w:w="1465" w:type="dxa"/>
            <w:tcBorders>
              <w:top w:val="nil"/>
              <w:left w:val="single" w:sz="8" w:space="0" w:color="auto"/>
              <w:bottom w:val="nil"/>
              <w:right w:val="single" w:sz="4" w:space="0" w:color="auto"/>
            </w:tcBorders>
            <w:shd w:val="clear" w:color="auto" w:fill="auto"/>
            <w:noWrap/>
            <w:vAlign w:val="center"/>
            <w:hideMark/>
          </w:tcPr>
          <w:p w14:paraId="6B256D76"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2 194</w:t>
            </w:r>
          </w:p>
        </w:tc>
        <w:tc>
          <w:tcPr>
            <w:tcW w:w="1465" w:type="dxa"/>
            <w:tcBorders>
              <w:top w:val="nil"/>
              <w:left w:val="nil"/>
              <w:bottom w:val="nil"/>
              <w:right w:val="single" w:sz="4" w:space="0" w:color="auto"/>
            </w:tcBorders>
            <w:shd w:val="clear" w:color="auto" w:fill="auto"/>
            <w:noWrap/>
            <w:vAlign w:val="center"/>
            <w:hideMark/>
          </w:tcPr>
          <w:p w14:paraId="15E52AC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2 197 </w:t>
            </w:r>
          </w:p>
        </w:tc>
      </w:tr>
      <w:tr w:rsidR="004C0E46" w:rsidRPr="008D0165" w14:paraId="3057D83A"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7EF1B1C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3.6</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193D34AC"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Wynagrodzenia dla płatników składek</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5C1A723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5 800</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7D9B951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7 375</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54B49F8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7 262 </w:t>
            </w:r>
          </w:p>
        </w:tc>
      </w:tr>
      <w:tr w:rsidR="004C0E46" w:rsidRPr="008D0165" w14:paraId="63C0AE4E" w14:textId="77777777" w:rsidTr="00351DCC">
        <w:trPr>
          <w:trHeight w:val="340"/>
        </w:trPr>
        <w:tc>
          <w:tcPr>
            <w:tcW w:w="600"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350F0409"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4.</w:t>
            </w:r>
          </w:p>
        </w:tc>
        <w:tc>
          <w:tcPr>
            <w:tcW w:w="4093" w:type="dxa"/>
            <w:tcBorders>
              <w:top w:val="single" w:sz="8" w:space="0" w:color="D9D9D9" w:themeColor="background1" w:themeShade="D9"/>
              <w:left w:val="nil"/>
              <w:bottom w:val="nil"/>
              <w:right w:val="nil"/>
            </w:tcBorders>
            <w:shd w:val="clear" w:color="auto" w:fill="F2F2F2" w:themeFill="background1" w:themeFillShade="F2"/>
            <w:noWrap/>
            <w:vAlign w:val="center"/>
            <w:hideMark/>
          </w:tcPr>
          <w:p w14:paraId="1C1A9461"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Fundusz wypadkowy</w:t>
            </w:r>
          </w:p>
        </w:tc>
        <w:tc>
          <w:tcPr>
            <w:tcW w:w="1464" w:type="dxa"/>
            <w:tcBorders>
              <w:top w:val="single" w:sz="8" w:space="0" w:color="D9D9D9" w:themeColor="background1" w:themeShade="D9"/>
              <w:left w:val="single" w:sz="8" w:space="0" w:color="auto"/>
              <w:bottom w:val="nil"/>
              <w:right w:val="single" w:sz="8" w:space="0" w:color="auto"/>
            </w:tcBorders>
            <w:shd w:val="clear" w:color="auto" w:fill="F2F2F2" w:themeFill="background1" w:themeFillShade="F2"/>
            <w:vAlign w:val="center"/>
          </w:tcPr>
          <w:p w14:paraId="42BB0F2D"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5 077 728</w:t>
            </w:r>
          </w:p>
        </w:tc>
        <w:tc>
          <w:tcPr>
            <w:tcW w:w="1465" w:type="dxa"/>
            <w:tcBorders>
              <w:top w:val="single" w:sz="8" w:space="0" w:color="D9D9D9" w:themeColor="background1" w:themeShade="D9"/>
              <w:left w:val="single" w:sz="8" w:space="0" w:color="auto"/>
              <w:bottom w:val="nil"/>
              <w:right w:val="single" w:sz="4" w:space="0" w:color="auto"/>
            </w:tcBorders>
            <w:shd w:val="clear" w:color="auto" w:fill="F2F2F2" w:themeFill="background1" w:themeFillShade="F2"/>
            <w:noWrap/>
            <w:vAlign w:val="center"/>
            <w:hideMark/>
          </w:tcPr>
          <w:p w14:paraId="1D420532"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4 994 613</w:t>
            </w:r>
          </w:p>
        </w:tc>
        <w:tc>
          <w:tcPr>
            <w:tcW w:w="1465" w:type="dxa"/>
            <w:tcBorders>
              <w:top w:val="single" w:sz="8" w:space="0" w:color="D9D9D9" w:themeColor="background1" w:themeShade="D9"/>
              <w:left w:val="nil"/>
              <w:bottom w:val="nil"/>
              <w:right w:val="single" w:sz="4" w:space="0" w:color="auto"/>
            </w:tcBorders>
            <w:shd w:val="clear" w:color="auto" w:fill="F2F2F2" w:themeFill="background1" w:themeFillShade="F2"/>
            <w:noWrap/>
            <w:vAlign w:val="center"/>
            <w:hideMark/>
          </w:tcPr>
          <w:p w14:paraId="08CE0C76"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4 985 162 </w:t>
            </w:r>
          </w:p>
        </w:tc>
      </w:tr>
      <w:tr w:rsidR="004C0E46" w:rsidRPr="008D0165" w14:paraId="29B20A2D"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1EBE350"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4.1</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17C735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Renty</w:t>
            </w:r>
          </w:p>
        </w:tc>
        <w:tc>
          <w:tcPr>
            <w:tcW w:w="1464" w:type="dxa"/>
            <w:tcBorders>
              <w:top w:val="nil"/>
              <w:left w:val="single" w:sz="8" w:space="0" w:color="auto"/>
              <w:bottom w:val="nil"/>
              <w:right w:val="single" w:sz="8" w:space="0" w:color="auto"/>
            </w:tcBorders>
            <w:vAlign w:val="center"/>
          </w:tcPr>
          <w:p w14:paraId="1E62A80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3 664 432</w:t>
            </w:r>
          </w:p>
        </w:tc>
        <w:tc>
          <w:tcPr>
            <w:tcW w:w="1465" w:type="dxa"/>
            <w:tcBorders>
              <w:top w:val="nil"/>
              <w:left w:val="single" w:sz="8" w:space="0" w:color="auto"/>
              <w:bottom w:val="nil"/>
              <w:right w:val="single" w:sz="4" w:space="0" w:color="auto"/>
            </w:tcBorders>
            <w:shd w:val="clear" w:color="auto" w:fill="auto"/>
            <w:noWrap/>
            <w:vAlign w:val="center"/>
            <w:hideMark/>
          </w:tcPr>
          <w:p w14:paraId="49D3F37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3 656 051</w:t>
            </w:r>
          </w:p>
        </w:tc>
        <w:tc>
          <w:tcPr>
            <w:tcW w:w="1465" w:type="dxa"/>
            <w:tcBorders>
              <w:top w:val="nil"/>
              <w:left w:val="nil"/>
              <w:bottom w:val="nil"/>
              <w:right w:val="single" w:sz="4" w:space="0" w:color="auto"/>
            </w:tcBorders>
            <w:shd w:val="clear" w:color="auto" w:fill="auto"/>
            <w:noWrap/>
            <w:vAlign w:val="center"/>
            <w:hideMark/>
          </w:tcPr>
          <w:p w14:paraId="632F53E3"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3 588 934 </w:t>
            </w:r>
          </w:p>
        </w:tc>
      </w:tr>
      <w:tr w:rsidR="004C0E46" w:rsidRPr="008D0165" w14:paraId="7A9620CA"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2E3D2A9A"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4.2</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7B983001"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Dodatki do rent: pielęgnacyjne i dla sierot zupełnych</w:t>
            </w:r>
          </w:p>
        </w:tc>
        <w:tc>
          <w:tcPr>
            <w:tcW w:w="1464" w:type="dxa"/>
            <w:tcBorders>
              <w:top w:val="nil"/>
              <w:left w:val="single" w:sz="8" w:space="0" w:color="auto"/>
              <w:bottom w:val="nil"/>
              <w:right w:val="single" w:sz="8" w:space="0" w:color="auto"/>
            </w:tcBorders>
            <w:vAlign w:val="center"/>
          </w:tcPr>
          <w:p w14:paraId="1876A34E"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198 439</w:t>
            </w:r>
          </w:p>
        </w:tc>
        <w:tc>
          <w:tcPr>
            <w:tcW w:w="1465" w:type="dxa"/>
            <w:tcBorders>
              <w:top w:val="nil"/>
              <w:left w:val="single" w:sz="8" w:space="0" w:color="auto"/>
              <w:bottom w:val="nil"/>
              <w:right w:val="single" w:sz="4" w:space="0" w:color="auto"/>
            </w:tcBorders>
            <w:shd w:val="clear" w:color="auto" w:fill="auto"/>
            <w:noWrap/>
            <w:vAlign w:val="center"/>
            <w:hideMark/>
          </w:tcPr>
          <w:p w14:paraId="1A63B47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204 166</w:t>
            </w:r>
          </w:p>
        </w:tc>
        <w:tc>
          <w:tcPr>
            <w:tcW w:w="1465" w:type="dxa"/>
            <w:tcBorders>
              <w:top w:val="nil"/>
              <w:left w:val="nil"/>
              <w:bottom w:val="nil"/>
              <w:right w:val="single" w:sz="4" w:space="0" w:color="auto"/>
            </w:tcBorders>
            <w:shd w:val="clear" w:color="auto" w:fill="auto"/>
            <w:noWrap/>
            <w:vAlign w:val="center"/>
            <w:hideMark/>
          </w:tcPr>
          <w:p w14:paraId="7E0E030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208 085 </w:t>
            </w:r>
          </w:p>
        </w:tc>
      </w:tr>
      <w:tr w:rsidR="004C0E46" w:rsidRPr="008D0165" w14:paraId="720D0A92"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6C74E715"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4.3</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5BD1FAA7"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Zasiłki chorobowe</w:t>
            </w:r>
          </w:p>
        </w:tc>
        <w:tc>
          <w:tcPr>
            <w:tcW w:w="1464" w:type="dxa"/>
            <w:tcBorders>
              <w:top w:val="nil"/>
              <w:left w:val="single" w:sz="8" w:space="0" w:color="auto"/>
              <w:bottom w:val="nil"/>
              <w:right w:val="single" w:sz="8" w:space="0" w:color="auto"/>
            </w:tcBorders>
            <w:vAlign w:val="center"/>
          </w:tcPr>
          <w:p w14:paraId="2189B36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672 167</w:t>
            </w:r>
          </w:p>
        </w:tc>
        <w:tc>
          <w:tcPr>
            <w:tcW w:w="1465" w:type="dxa"/>
            <w:tcBorders>
              <w:top w:val="nil"/>
              <w:left w:val="single" w:sz="8" w:space="0" w:color="auto"/>
              <w:bottom w:val="nil"/>
              <w:right w:val="single" w:sz="4" w:space="0" w:color="auto"/>
            </w:tcBorders>
            <w:shd w:val="clear" w:color="auto" w:fill="auto"/>
            <w:noWrap/>
            <w:vAlign w:val="center"/>
            <w:hideMark/>
          </w:tcPr>
          <w:p w14:paraId="3AB4755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624 723</w:t>
            </w:r>
          </w:p>
        </w:tc>
        <w:tc>
          <w:tcPr>
            <w:tcW w:w="1465" w:type="dxa"/>
            <w:tcBorders>
              <w:top w:val="nil"/>
              <w:left w:val="nil"/>
              <w:bottom w:val="nil"/>
              <w:right w:val="single" w:sz="4" w:space="0" w:color="auto"/>
            </w:tcBorders>
            <w:shd w:val="clear" w:color="auto" w:fill="auto"/>
            <w:noWrap/>
            <w:vAlign w:val="center"/>
            <w:hideMark/>
          </w:tcPr>
          <w:p w14:paraId="3806A5A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664 323 </w:t>
            </w:r>
          </w:p>
        </w:tc>
      </w:tr>
      <w:tr w:rsidR="004C0E46" w:rsidRPr="008D0165" w14:paraId="07AE2B2D"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95B714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4.4</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414D24F"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Jednorazowe odszkodowania</w:t>
            </w:r>
          </w:p>
        </w:tc>
        <w:tc>
          <w:tcPr>
            <w:tcW w:w="1464" w:type="dxa"/>
            <w:tcBorders>
              <w:top w:val="nil"/>
              <w:left w:val="single" w:sz="8" w:space="0" w:color="auto"/>
              <w:bottom w:val="nil"/>
              <w:right w:val="single" w:sz="8" w:space="0" w:color="auto"/>
            </w:tcBorders>
            <w:vAlign w:val="center"/>
          </w:tcPr>
          <w:p w14:paraId="6DD4F8BD"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327 987</w:t>
            </w:r>
          </w:p>
        </w:tc>
        <w:tc>
          <w:tcPr>
            <w:tcW w:w="1465" w:type="dxa"/>
            <w:tcBorders>
              <w:top w:val="nil"/>
              <w:left w:val="single" w:sz="8" w:space="0" w:color="auto"/>
              <w:bottom w:val="nil"/>
              <w:right w:val="single" w:sz="4" w:space="0" w:color="auto"/>
            </w:tcBorders>
            <w:shd w:val="clear" w:color="auto" w:fill="auto"/>
            <w:noWrap/>
            <w:vAlign w:val="center"/>
            <w:hideMark/>
          </w:tcPr>
          <w:p w14:paraId="1E5754E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291 663</w:t>
            </w:r>
          </w:p>
        </w:tc>
        <w:tc>
          <w:tcPr>
            <w:tcW w:w="1465" w:type="dxa"/>
            <w:tcBorders>
              <w:top w:val="nil"/>
              <w:left w:val="nil"/>
              <w:bottom w:val="nil"/>
              <w:right w:val="single" w:sz="4" w:space="0" w:color="auto"/>
            </w:tcBorders>
            <w:shd w:val="clear" w:color="auto" w:fill="auto"/>
            <w:noWrap/>
            <w:vAlign w:val="center"/>
            <w:hideMark/>
          </w:tcPr>
          <w:p w14:paraId="17613801"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306 959 </w:t>
            </w:r>
          </w:p>
        </w:tc>
      </w:tr>
      <w:tr w:rsidR="004C0E46" w:rsidRPr="008D0165" w14:paraId="62D0C891"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3FBB024A"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4.5</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453996B"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Świadczenia rehabilitacyjne</w:t>
            </w:r>
          </w:p>
        </w:tc>
        <w:tc>
          <w:tcPr>
            <w:tcW w:w="1464" w:type="dxa"/>
            <w:tcBorders>
              <w:top w:val="nil"/>
              <w:left w:val="single" w:sz="8" w:space="0" w:color="auto"/>
              <w:bottom w:val="nil"/>
              <w:right w:val="single" w:sz="8" w:space="0" w:color="auto"/>
            </w:tcBorders>
            <w:vAlign w:val="center"/>
          </w:tcPr>
          <w:p w14:paraId="16314AC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124 338</w:t>
            </w:r>
          </w:p>
        </w:tc>
        <w:tc>
          <w:tcPr>
            <w:tcW w:w="1465" w:type="dxa"/>
            <w:tcBorders>
              <w:top w:val="nil"/>
              <w:left w:val="single" w:sz="8" w:space="0" w:color="auto"/>
              <w:bottom w:val="nil"/>
              <w:right w:val="single" w:sz="4" w:space="0" w:color="auto"/>
            </w:tcBorders>
            <w:shd w:val="clear" w:color="auto" w:fill="auto"/>
            <w:noWrap/>
            <w:vAlign w:val="center"/>
            <w:hideMark/>
          </w:tcPr>
          <w:p w14:paraId="7C0DA06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143 867</w:t>
            </w:r>
          </w:p>
        </w:tc>
        <w:tc>
          <w:tcPr>
            <w:tcW w:w="1465" w:type="dxa"/>
            <w:tcBorders>
              <w:top w:val="nil"/>
              <w:left w:val="nil"/>
              <w:bottom w:val="nil"/>
              <w:right w:val="single" w:sz="4" w:space="0" w:color="auto"/>
            </w:tcBorders>
            <w:shd w:val="clear" w:color="auto" w:fill="auto"/>
            <w:noWrap/>
            <w:vAlign w:val="center"/>
            <w:hideMark/>
          </w:tcPr>
          <w:p w14:paraId="31CEBA6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136 336 </w:t>
            </w:r>
          </w:p>
        </w:tc>
      </w:tr>
      <w:tr w:rsidR="004C0E46" w:rsidRPr="008D0165" w14:paraId="49E5ABA7"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7EAB5EC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lastRenderedPageBreak/>
              <w:t>4.6</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0F5F0A87"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świadczenia</w:t>
            </w:r>
          </w:p>
        </w:tc>
        <w:tc>
          <w:tcPr>
            <w:tcW w:w="1464" w:type="dxa"/>
            <w:tcBorders>
              <w:top w:val="nil"/>
              <w:left w:val="single" w:sz="8" w:space="0" w:color="auto"/>
              <w:bottom w:val="nil"/>
              <w:right w:val="single" w:sz="8" w:space="0" w:color="auto"/>
            </w:tcBorders>
            <w:vAlign w:val="center"/>
          </w:tcPr>
          <w:p w14:paraId="4C238C9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775</w:t>
            </w:r>
          </w:p>
        </w:tc>
        <w:tc>
          <w:tcPr>
            <w:tcW w:w="1465" w:type="dxa"/>
            <w:tcBorders>
              <w:top w:val="nil"/>
              <w:left w:val="single" w:sz="8" w:space="0" w:color="auto"/>
              <w:bottom w:val="nil"/>
              <w:right w:val="single" w:sz="4" w:space="0" w:color="auto"/>
            </w:tcBorders>
            <w:shd w:val="clear" w:color="auto" w:fill="auto"/>
            <w:noWrap/>
            <w:vAlign w:val="center"/>
            <w:hideMark/>
          </w:tcPr>
          <w:p w14:paraId="0AD696B7"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690</w:t>
            </w:r>
          </w:p>
        </w:tc>
        <w:tc>
          <w:tcPr>
            <w:tcW w:w="1465" w:type="dxa"/>
            <w:tcBorders>
              <w:top w:val="nil"/>
              <w:left w:val="nil"/>
              <w:bottom w:val="nil"/>
              <w:right w:val="single" w:sz="4" w:space="0" w:color="auto"/>
            </w:tcBorders>
            <w:shd w:val="clear" w:color="auto" w:fill="auto"/>
            <w:noWrap/>
            <w:vAlign w:val="center"/>
            <w:hideMark/>
          </w:tcPr>
          <w:p w14:paraId="6560B3FC"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757 </w:t>
            </w:r>
          </w:p>
        </w:tc>
      </w:tr>
      <w:tr w:rsidR="004C0E46" w:rsidRPr="008D0165" w14:paraId="671C54E5" w14:textId="77777777" w:rsidTr="007566EA">
        <w:trPr>
          <w:trHeight w:val="340"/>
        </w:trPr>
        <w:tc>
          <w:tcPr>
            <w:tcW w:w="600" w:type="dxa"/>
            <w:tcBorders>
              <w:top w:val="nil"/>
              <w:left w:val="single" w:sz="8" w:space="0" w:color="auto"/>
              <w:bottom w:val="nil"/>
              <w:right w:val="single" w:sz="4" w:space="0" w:color="auto"/>
            </w:tcBorders>
            <w:shd w:val="clear" w:color="auto" w:fill="auto"/>
            <w:noWrap/>
            <w:vAlign w:val="center"/>
            <w:hideMark/>
          </w:tcPr>
          <w:p w14:paraId="0AF70F18"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4.7</w:t>
            </w:r>
            <w:r w:rsidR="00D438DB" w:rsidRPr="008D0165">
              <w:rPr>
                <w:rFonts w:eastAsia="Times New Roman" w:cstheme="minorHAnsi"/>
                <w:sz w:val="24"/>
                <w:szCs w:val="24"/>
                <w:lang w:eastAsia="pl-PL"/>
              </w:rPr>
              <w:t>.</w:t>
            </w:r>
          </w:p>
        </w:tc>
        <w:tc>
          <w:tcPr>
            <w:tcW w:w="4093" w:type="dxa"/>
            <w:tcBorders>
              <w:top w:val="nil"/>
              <w:left w:val="nil"/>
              <w:bottom w:val="nil"/>
              <w:right w:val="nil"/>
            </w:tcBorders>
            <w:shd w:val="clear" w:color="auto" w:fill="auto"/>
            <w:noWrap/>
            <w:vAlign w:val="center"/>
            <w:hideMark/>
          </w:tcPr>
          <w:p w14:paraId="430AD500"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Prewencja wypadkowa</w:t>
            </w:r>
          </w:p>
        </w:tc>
        <w:tc>
          <w:tcPr>
            <w:tcW w:w="1464" w:type="dxa"/>
            <w:tcBorders>
              <w:top w:val="nil"/>
              <w:left w:val="single" w:sz="8" w:space="0" w:color="auto"/>
              <w:bottom w:val="nil"/>
              <w:right w:val="single" w:sz="8" w:space="0" w:color="auto"/>
            </w:tcBorders>
            <w:vAlign w:val="center"/>
          </w:tcPr>
          <w:p w14:paraId="119A2D3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89 590</w:t>
            </w:r>
          </w:p>
        </w:tc>
        <w:tc>
          <w:tcPr>
            <w:tcW w:w="1465" w:type="dxa"/>
            <w:tcBorders>
              <w:top w:val="nil"/>
              <w:left w:val="single" w:sz="8" w:space="0" w:color="auto"/>
              <w:bottom w:val="nil"/>
              <w:right w:val="single" w:sz="4" w:space="0" w:color="auto"/>
            </w:tcBorders>
            <w:shd w:val="clear" w:color="auto" w:fill="auto"/>
            <w:noWrap/>
            <w:vAlign w:val="center"/>
            <w:hideMark/>
          </w:tcPr>
          <w:p w14:paraId="62C4F350"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73 453</w:t>
            </w:r>
          </w:p>
        </w:tc>
        <w:tc>
          <w:tcPr>
            <w:tcW w:w="1465" w:type="dxa"/>
            <w:tcBorders>
              <w:top w:val="nil"/>
              <w:left w:val="nil"/>
              <w:bottom w:val="nil"/>
              <w:right w:val="single" w:sz="4" w:space="0" w:color="auto"/>
            </w:tcBorders>
            <w:shd w:val="clear" w:color="auto" w:fill="auto"/>
            <w:noWrap/>
            <w:vAlign w:val="center"/>
            <w:hideMark/>
          </w:tcPr>
          <w:p w14:paraId="38B73295"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79 768 </w:t>
            </w:r>
          </w:p>
        </w:tc>
      </w:tr>
      <w:tr w:rsidR="004C0E46" w:rsidRPr="008D0165" w14:paraId="62965921" w14:textId="77777777" w:rsidTr="00D438DB">
        <w:trPr>
          <w:trHeight w:val="340"/>
        </w:trPr>
        <w:tc>
          <w:tcPr>
            <w:tcW w:w="600"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44F1BC11" w14:textId="77777777" w:rsidR="004C0E46" w:rsidRPr="008D0165" w:rsidRDefault="004C0E46" w:rsidP="0084113E">
            <w:pPr>
              <w:spacing w:after="0" w:line="23" w:lineRule="atLeast"/>
              <w:jc w:val="center"/>
              <w:rPr>
                <w:rFonts w:eastAsia="Times New Roman" w:cstheme="minorHAnsi"/>
                <w:sz w:val="24"/>
                <w:szCs w:val="24"/>
                <w:lang w:eastAsia="pl-PL"/>
              </w:rPr>
            </w:pPr>
            <w:r w:rsidRPr="008D0165">
              <w:rPr>
                <w:rFonts w:eastAsia="Times New Roman" w:cstheme="minorHAnsi"/>
                <w:sz w:val="24"/>
                <w:szCs w:val="24"/>
                <w:lang w:eastAsia="pl-PL"/>
              </w:rPr>
              <w:t>4.8</w:t>
            </w:r>
            <w:r w:rsidR="00D438DB" w:rsidRPr="008D0165">
              <w:rPr>
                <w:rFonts w:eastAsia="Times New Roman" w:cstheme="minorHAnsi"/>
                <w:sz w:val="24"/>
                <w:szCs w:val="24"/>
                <w:lang w:eastAsia="pl-PL"/>
              </w:rPr>
              <w:t>.</w:t>
            </w:r>
          </w:p>
        </w:tc>
        <w:tc>
          <w:tcPr>
            <w:tcW w:w="4093" w:type="dxa"/>
            <w:tcBorders>
              <w:top w:val="nil"/>
              <w:left w:val="nil"/>
              <w:bottom w:val="single" w:sz="8" w:space="0" w:color="D9D9D9" w:themeColor="background1" w:themeShade="D9"/>
              <w:right w:val="nil"/>
            </w:tcBorders>
            <w:shd w:val="clear" w:color="auto" w:fill="auto"/>
            <w:noWrap/>
            <w:vAlign w:val="center"/>
            <w:hideMark/>
          </w:tcPr>
          <w:p w14:paraId="08C8C114" w14:textId="77777777" w:rsidR="004C0E46" w:rsidRPr="008D0165" w:rsidRDefault="004C0E46" w:rsidP="0084113E">
            <w:pPr>
              <w:spacing w:after="0" w:line="23" w:lineRule="atLeast"/>
              <w:rPr>
                <w:rFonts w:eastAsia="Times New Roman" w:cstheme="minorHAnsi"/>
                <w:sz w:val="24"/>
                <w:szCs w:val="24"/>
                <w:lang w:eastAsia="pl-PL"/>
              </w:rPr>
            </w:pPr>
            <w:r w:rsidRPr="008D0165">
              <w:rPr>
                <w:rFonts w:eastAsia="Times New Roman" w:cstheme="minorHAnsi"/>
                <w:sz w:val="24"/>
                <w:szCs w:val="24"/>
                <w:lang w:eastAsia="pl-PL"/>
              </w:rPr>
              <w:t>Pozostałe wydatki</w:t>
            </w:r>
          </w:p>
        </w:tc>
        <w:tc>
          <w:tcPr>
            <w:tcW w:w="1464" w:type="dxa"/>
            <w:tcBorders>
              <w:top w:val="nil"/>
              <w:left w:val="single" w:sz="8" w:space="0" w:color="auto"/>
              <w:bottom w:val="single" w:sz="8" w:space="0" w:color="D9D9D9" w:themeColor="background1" w:themeShade="D9"/>
              <w:right w:val="single" w:sz="8" w:space="0" w:color="auto"/>
            </w:tcBorders>
            <w:vAlign w:val="center"/>
          </w:tcPr>
          <w:p w14:paraId="18A3DB22"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cs="Arial"/>
                <w:bCs/>
                <w:color w:val="000000"/>
                <w:sz w:val="24"/>
                <w:szCs w:val="24"/>
              </w:rPr>
              <w:t>0</w:t>
            </w:r>
          </w:p>
        </w:tc>
        <w:tc>
          <w:tcPr>
            <w:tcW w:w="1465" w:type="dxa"/>
            <w:tcBorders>
              <w:top w:val="nil"/>
              <w:left w:val="single" w:sz="8" w:space="0" w:color="auto"/>
              <w:bottom w:val="single" w:sz="8" w:space="0" w:color="D9D9D9" w:themeColor="background1" w:themeShade="D9"/>
              <w:right w:val="single" w:sz="4" w:space="0" w:color="auto"/>
            </w:tcBorders>
            <w:shd w:val="clear" w:color="auto" w:fill="auto"/>
            <w:noWrap/>
            <w:vAlign w:val="center"/>
            <w:hideMark/>
          </w:tcPr>
          <w:p w14:paraId="611A6A09"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0</w:t>
            </w:r>
          </w:p>
        </w:tc>
        <w:tc>
          <w:tcPr>
            <w:tcW w:w="1465" w:type="dxa"/>
            <w:tcBorders>
              <w:top w:val="nil"/>
              <w:left w:val="nil"/>
              <w:bottom w:val="single" w:sz="8" w:space="0" w:color="D9D9D9" w:themeColor="background1" w:themeShade="D9"/>
              <w:right w:val="single" w:sz="4" w:space="0" w:color="auto"/>
            </w:tcBorders>
            <w:shd w:val="clear" w:color="auto" w:fill="auto"/>
            <w:noWrap/>
            <w:vAlign w:val="center"/>
            <w:hideMark/>
          </w:tcPr>
          <w:p w14:paraId="4D62CE6F" w14:textId="77777777" w:rsidR="004C0E46" w:rsidRPr="008D0165" w:rsidRDefault="004C0E46" w:rsidP="0084113E">
            <w:pPr>
              <w:spacing w:after="0" w:line="23" w:lineRule="atLeast"/>
              <w:jc w:val="right"/>
              <w:rPr>
                <w:rFonts w:eastAsia="Times New Roman" w:cstheme="minorHAnsi"/>
                <w:sz w:val="24"/>
                <w:szCs w:val="24"/>
                <w:lang w:eastAsia="pl-PL"/>
              </w:rPr>
            </w:pPr>
            <w:r w:rsidRPr="008D0165">
              <w:rPr>
                <w:rFonts w:eastAsia="Times New Roman" w:cstheme="minorHAnsi"/>
                <w:sz w:val="24"/>
                <w:szCs w:val="24"/>
                <w:lang w:eastAsia="pl-PL"/>
              </w:rPr>
              <w:t xml:space="preserve">0 </w:t>
            </w:r>
          </w:p>
        </w:tc>
      </w:tr>
      <w:tr w:rsidR="004C0E46" w:rsidRPr="008D0165" w14:paraId="4D9EFCB6" w14:textId="77777777" w:rsidTr="00351DCC">
        <w:trPr>
          <w:trHeight w:val="340"/>
        </w:trPr>
        <w:tc>
          <w:tcPr>
            <w:tcW w:w="600" w:type="dxa"/>
            <w:tcBorders>
              <w:top w:val="single" w:sz="8" w:space="0" w:color="D9D9D9" w:themeColor="background1" w:themeShade="D9"/>
              <w:left w:val="single" w:sz="8" w:space="0" w:color="auto"/>
              <w:bottom w:val="single" w:sz="8" w:space="0" w:color="D9D9D9" w:themeColor="background1" w:themeShade="D9"/>
              <w:right w:val="single" w:sz="4" w:space="0" w:color="auto"/>
            </w:tcBorders>
            <w:shd w:val="clear" w:color="auto" w:fill="F2F2F2" w:themeFill="background1" w:themeFillShade="F2"/>
            <w:noWrap/>
            <w:vAlign w:val="center"/>
            <w:hideMark/>
          </w:tcPr>
          <w:p w14:paraId="3CE63AE7"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5.</w:t>
            </w:r>
          </w:p>
        </w:tc>
        <w:tc>
          <w:tcPr>
            <w:tcW w:w="4093" w:type="dxa"/>
            <w:tcBorders>
              <w:top w:val="single" w:sz="8" w:space="0" w:color="D9D9D9" w:themeColor="background1" w:themeShade="D9"/>
              <w:left w:val="nil"/>
              <w:bottom w:val="single" w:sz="8" w:space="0" w:color="D9D9D9" w:themeColor="background1" w:themeShade="D9"/>
              <w:right w:val="nil"/>
            </w:tcBorders>
            <w:shd w:val="clear" w:color="auto" w:fill="F2F2F2" w:themeFill="background1" w:themeFillShade="F2"/>
            <w:noWrap/>
            <w:vAlign w:val="center"/>
            <w:hideMark/>
          </w:tcPr>
          <w:p w14:paraId="676E89AE"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Odpis na działalność Zakładu Ubezpieczeń Społecznych</w:t>
            </w:r>
          </w:p>
        </w:tc>
        <w:tc>
          <w:tcPr>
            <w:tcW w:w="1464" w:type="dxa"/>
            <w:tcBorders>
              <w:top w:val="single" w:sz="8" w:space="0" w:color="D9D9D9" w:themeColor="background1" w:themeShade="D9"/>
              <w:left w:val="single" w:sz="8" w:space="0" w:color="auto"/>
              <w:bottom w:val="single" w:sz="8" w:space="0" w:color="D9D9D9" w:themeColor="background1" w:themeShade="D9"/>
              <w:right w:val="single" w:sz="8" w:space="0" w:color="auto"/>
            </w:tcBorders>
            <w:shd w:val="clear" w:color="auto" w:fill="F2F2F2" w:themeFill="background1" w:themeFillShade="F2"/>
            <w:vAlign w:val="center"/>
          </w:tcPr>
          <w:p w14:paraId="16A4C948"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
                <w:bCs/>
                <w:color w:val="000000"/>
                <w:sz w:val="24"/>
                <w:szCs w:val="24"/>
              </w:rPr>
              <w:t>3 865 499</w:t>
            </w:r>
          </w:p>
        </w:tc>
        <w:tc>
          <w:tcPr>
            <w:tcW w:w="1465" w:type="dxa"/>
            <w:tcBorders>
              <w:top w:val="single" w:sz="8" w:space="0" w:color="D9D9D9" w:themeColor="background1" w:themeShade="D9"/>
              <w:left w:val="single" w:sz="8" w:space="0" w:color="auto"/>
              <w:bottom w:val="single" w:sz="8" w:space="0" w:color="D9D9D9" w:themeColor="background1" w:themeShade="D9"/>
              <w:right w:val="single" w:sz="4" w:space="0" w:color="auto"/>
            </w:tcBorders>
            <w:shd w:val="clear" w:color="auto" w:fill="F2F2F2" w:themeFill="background1" w:themeFillShade="F2"/>
            <w:noWrap/>
            <w:vAlign w:val="center"/>
            <w:hideMark/>
          </w:tcPr>
          <w:p w14:paraId="4ACA864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3 865 499</w:t>
            </w:r>
          </w:p>
        </w:tc>
        <w:tc>
          <w:tcPr>
            <w:tcW w:w="1465" w:type="dxa"/>
            <w:tcBorders>
              <w:top w:val="single" w:sz="8" w:space="0" w:color="D9D9D9" w:themeColor="background1" w:themeShade="D9"/>
              <w:left w:val="nil"/>
              <w:bottom w:val="single" w:sz="8" w:space="0" w:color="D9D9D9" w:themeColor="background1" w:themeShade="D9"/>
              <w:right w:val="single" w:sz="4" w:space="0" w:color="auto"/>
            </w:tcBorders>
            <w:shd w:val="clear" w:color="auto" w:fill="F2F2F2" w:themeFill="background1" w:themeFillShade="F2"/>
            <w:noWrap/>
            <w:vAlign w:val="center"/>
            <w:hideMark/>
          </w:tcPr>
          <w:p w14:paraId="568F2C2F"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3 865 499 </w:t>
            </w:r>
          </w:p>
        </w:tc>
      </w:tr>
      <w:tr w:rsidR="004C0E46" w:rsidRPr="008D0165" w14:paraId="07B99868" w14:textId="77777777" w:rsidTr="00351DCC">
        <w:trPr>
          <w:trHeight w:val="340"/>
        </w:trPr>
        <w:tc>
          <w:tcPr>
            <w:tcW w:w="600" w:type="dxa"/>
            <w:tcBorders>
              <w:top w:val="single" w:sz="8" w:space="0" w:color="D9D9D9" w:themeColor="background1" w:themeShade="D9"/>
              <w:left w:val="single" w:sz="8" w:space="0" w:color="auto"/>
              <w:bottom w:val="single" w:sz="4" w:space="0" w:color="auto"/>
              <w:right w:val="single" w:sz="4" w:space="0" w:color="auto"/>
            </w:tcBorders>
            <w:shd w:val="clear" w:color="auto" w:fill="F2F2F2" w:themeFill="background1" w:themeFillShade="F2"/>
            <w:noWrap/>
            <w:vAlign w:val="center"/>
            <w:hideMark/>
          </w:tcPr>
          <w:p w14:paraId="6751B2B3" w14:textId="77777777" w:rsidR="004C0E46" w:rsidRPr="008D0165" w:rsidRDefault="004C0E46" w:rsidP="0084113E">
            <w:pPr>
              <w:spacing w:after="0" w:line="23" w:lineRule="atLeast"/>
              <w:jc w:val="center"/>
              <w:rPr>
                <w:rFonts w:eastAsia="Times New Roman" w:cstheme="minorHAnsi"/>
                <w:b/>
                <w:bCs/>
                <w:sz w:val="24"/>
                <w:szCs w:val="24"/>
                <w:lang w:eastAsia="pl-PL"/>
              </w:rPr>
            </w:pPr>
            <w:r w:rsidRPr="008D0165">
              <w:rPr>
                <w:rFonts w:eastAsia="Times New Roman" w:cstheme="minorHAnsi"/>
                <w:b/>
                <w:bCs/>
                <w:sz w:val="24"/>
                <w:szCs w:val="24"/>
                <w:lang w:eastAsia="pl-PL"/>
              </w:rPr>
              <w:t>6.</w:t>
            </w:r>
          </w:p>
        </w:tc>
        <w:tc>
          <w:tcPr>
            <w:tcW w:w="4093" w:type="dxa"/>
            <w:tcBorders>
              <w:top w:val="single" w:sz="8" w:space="0" w:color="D9D9D9" w:themeColor="background1" w:themeShade="D9"/>
              <w:left w:val="nil"/>
              <w:bottom w:val="single" w:sz="4" w:space="0" w:color="auto"/>
              <w:right w:val="nil"/>
            </w:tcBorders>
            <w:shd w:val="clear" w:color="auto" w:fill="F2F2F2" w:themeFill="background1" w:themeFillShade="F2"/>
            <w:noWrap/>
            <w:vAlign w:val="center"/>
            <w:hideMark/>
          </w:tcPr>
          <w:p w14:paraId="44415C09" w14:textId="77777777" w:rsidR="004C0E46" w:rsidRPr="008D0165" w:rsidRDefault="004C0E46" w:rsidP="0084113E">
            <w:pPr>
              <w:spacing w:after="0" w:line="23" w:lineRule="atLeast"/>
              <w:rPr>
                <w:rFonts w:eastAsia="Times New Roman" w:cstheme="minorHAnsi"/>
                <w:b/>
                <w:bCs/>
                <w:sz w:val="24"/>
                <w:szCs w:val="24"/>
                <w:lang w:eastAsia="pl-PL"/>
              </w:rPr>
            </w:pPr>
            <w:r w:rsidRPr="008D0165">
              <w:rPr>
                <w:rFonts w:eastAsia="Times New Roman" w:cstheme="minorHAnsi"/>
                <w:b/>
                <w:bCs/>
                <w:sz w:val="24"/>
                <w:szCs w:val="24"/>
                <w:lang w:eastAsia="pl-PL"/>
              </w:rPr>
              <w:t>Koszt obsługi kredytów</w:t>
            </w:r>
          </w:p>
        </w:tc>
        <w:tc>
          <w:tcPr>
            <w:tcW w:w="1464" w:type="dxa"/>
            <w:tcBorders>
              <w:top w:val="single" w:sz="8" w:space="0" w:color="D9D9D9" w:themeColor="background1" w:themeShade="D9"/>
              <w:left w:val="single" w:sz="8" w:space="0" w:color="auto"/>
              <w:bottom w:val="single" w:sz="4" w:space="0" w:color="auto"/>
              <w:right w:val="single" w:sz="8" w:space="0" w:color="auto"/>
            </w:tcBorders>
            <w:shd w:val="clear" w:color="auto" w:fill="F2F2F2" w:themeFill="background1" w:themeFillShade="F2"/>
            <w:vAlign w:val="center"/>
          </w:tcPr>
          <w:p w14:paraId="1A74AB66"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cs="Arial"/>
                <w:bCs/>
                <w:color w:val="000000"/>
                <w:sz w:val="24"/>
                <w:szCs w:val="24"/>
              </w:rPr>
              <w:t>0</w:t>
            </w:r>
          </w:p>
        </w:tc>
        <w:tc>
          <w:tcPr>
            <w:tcW w:w="1465" w:type="dxa"/>
            <w:tcBorders>
              <w:top w:val="single" w:sz="8" w:space="0" w:color="D9D9D9" w:themeColor="background1" w:themeShade="D9"/>
              <w:left w:val="single" w:sz="8" w:space="0" w:color="auto"/>
              <w:bottom w:val="single" w:sz="4" w:space="0" w:color="auto"/>
              <w:right w:val="single" w:sz="4" w:space="0" w:color="auto"/>
            </w:tcBorders>
            <w:shd w:val="clear" w:color="auto" w:fill="F2F2F2" w:themeFill="background1" w:themeFillShade="F2"/>
            <w:noWrap/>
            <w:vAlign w:val="center"/>
            <w:hideMark/>
          </w:tcPr>
          <w:p w14:paraId="08E031A3"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0</w:t>
            </w:r>
          </w:p>
        </w:tc>
        <w:tc>
          <w:tcPr>
            <w:tcW w:w="1465" w:type="dxa"/>
            <w:tcBorders>
              <w:top w:val="single" w:sz="8" w:space="0" w:color="D9D9D9" w:themeColor="background1" w:themeShade="D9"/>
              <w:left w:val="nil"/>
              <w:bottom w:val="single" w:sz="4" w:space="0" w:color="auto"/>
              <w:right w:val="single" w:sz="4" w:space="0" w:color="auto"/>
            </w:tcBorders>
            <w:shd w:val="clear" w:color="auto" w:fill="F2F2F2" w:themeFill="background1" w:themeFillShade="F2"/>
            <w:noWrap/>
            <w:vAlign w:val="center"/>
            <w:hideMark/>
          </w:tcPr>
          <w:p w14:paraId="1BDCFBEE" w14:textId="77777777" w:rsidR="004C0E46" w:rsidRPr="008D0165" w:rsidRDefault="004C0E46" w:rsidP="0084113E">
            <w:pPr>
              <w:spacing w:after="0" w:line="23" w:lineRule="atLeast"/>
              <w:jc w:val="right"/>
              <w:rPr>
                <w:rFonts w:eastAsia="Times New Roman" w:cstheme="minorHAnsi"/>
                <w:b/>
                <w:bCs/>
                <w:sz w:val="24"/>
                <w:szCs w:val="24"/>
                <w:lang w:eastAsia="pl-PL"/>
              </w:rPr>
            </w:pPr>
            <w:r w:rsidRPr="008D0165">
              <w:rPr>
                <w:rFonts w:eastAsia="Times New Roman" w:cstheme="minorHAnsi"/>
                <w:b/>
                <w:bCs/>
                <w:sz w:val="24"/>
                <w:szCs w:val="24"/>
                <w:lang w:eastAsia="pl-PL"/>
              </w:rPr>
              <w:t xml:space="preserve">0 </w:t>
            </w:r>
          </w:p>
        </w:tc>
      </w:tr>
    </w:tbl>
    <w:p w14:paraId="76187112" w14:textId="58A9711E" w:rsidR="00583D25" w:rsidRPr="00A77D1A" w:rsidRDefault="00583D25" w:rsidP="00D84E29">
      <w:pPr>
        <w:spacing w:before="120" w:after="120" w:line="23" w:lineRule="atLeast"/>
        <w:jc w:val="both"/>
        <w:rPr>
          <w:sz w:val="18"/>
          <w:szCs w:val="18"/>
        </w:rPr>
      </w:pPr>
      <w:r w:rsidRPr="00A77D1A">
        <w:rPr>
          <w:sz w:val="18"/>
          <w:szCs w:val="18"/>
        </w:rPr>
        <w:t>Źródło: ZUS</w:t>
      </w:r>
    </w:p>
    <w:p w14:paraId="22B6AE96" w14:textId="0E8F414E" w:rsidR="00B46848" w:rsidRPr="008D0165" w:rsidRDefault="00B46848" w:rsidP="00FC39E3">
      <w:pPr>
        <w:pStyle w:val="Akapitzlist"/>
        <w:numPr>
          <w:ilvl w:val="0"/>
          <w:numId w:val="14"/>
        </w:numPr>
        <w:spacing w:before="120" w:after="120" w:line="23" w:lineRule="atLeast"/>
        <w:ind w:left="284" w:hanging="284"/>
        <w:contextualSpacing w:val="0"/>
        <w:jc w:val="both"/>
        <w:rPr>
          <w:b/>
          <w:sz w:val="24"/>
          <w:szCs w:val="24"/>
        </w:rPr>
      </w:pPr>
      <w:r w:rsidRPr="008D0165">
        <w:rPr>
          <w:b/>
          <w:sz w:val="24"/>
          <w:szCs w:val="24"/>
        </w:rPr>
        <w:t>Emerytury realizowane przez Zakład Ubezpieczeń Społecznych</w:t>
      </w:r>
    </w:p>
    <w:p w14:paraId="55546B76" w14:textId="1F1E4B06" w:rsidR="00AD7C89" w:rsidRPr="008D0165" w:rsidRDefault="00AD7C89" w:rsidP="00FC39E3">
      <w:pPr>
        <w:spacing w:before="120" w:after="120"/>
        <w:jc w:val="both"/>
        <w:rPr>
          <w:sz w:val="24"/>
          <w:szCs w:val="24"/>
        </w:rPr>
      </w:pPr>
      <w:r w:rsidRPr="008D0165">
        <w:rPr>
          <w:sz w:val="24"/>
          <w:szCs w:val="24"/>
        </w:rPr>
        <w:t xml:space="preserve">Liczbę osób, którym w </w:t>
      </w:r>
      <w:r w:rsidR="00DB0FA1" w:rsidRPr="008D0165">
        <w:rPr>
          <w:sz w:val="24"/>
          <w:szCs w:val="24"/>
        </w:rPr>
        <w:t>latach 2019–2021</w:t>
      </w:r>
      <w:r w:rsidRPr="008D0165">
        <w:rPr>
          <w:sz w:val="24"/>
          <w:szCs w:val="24"/>
        </w:rPr>
        <w:t xml:space="preserve"> przyznano i wypł</w:t>
      </w:r>
      <w:r w:rsidR="00C47C0F" w:rsidRPr="008D0165">
        <w:rPr>
          <w:sz w:val="24"/>
          <w:szCs w:val="24"/>
        </w:rPr>
        <w:t>acono emeryturę nowosystemową w </w:t>
      </w:r>
      <w:r w:rsidRPr="008D0165">
        <w:rPr>
          <w:sz w:val="24"/>
          <w:szCs w:val="24"/>
        </w:rPr>
        <w:t>przywróconym wieku emerytalnym p</w:t>
      </w:r>
      <w:r w:rsidR="008C0CDB">
        <w:rPr>
          <w:sz w:val="24"/>
          <w:szCs w:val="24"/>
        </w:rPr>
        <w:t>rzedstawia poniższe zestawienie.</w:t>
      </w:r>
    </w:p>
    <w:p w14:paraId="22AB65D6" w14:textId="77777777" w:rsidR="00AD7C89" w:rsidRPr="008D0165" w:rsidRDefault="00AD7C89" w:rsidP="0084113E">
      <w:pPr>
        <w:spacing w:before="120" w:after="120" w:line="23" w:lineRule="atLeast"/>
        <w:jc w:val="both"/>
        <w:rPr>
          <w:b/>
          <w:sz w:val="24"/>
          <w:szCs w:val="24"/>
        </w:rPr>
      </w:pPr>
      <w:r w:rsidRPr="008D0165">
        <w:rPr>
          <w:b/>
          <w:sz w:val="24"/>
          <w:szCs w:val="24"/>
        </w:rPr>
        <w:t xml:space="preserve">Tabela </w:t>
      </w:r>
      <w:r w:rsidR="00E861F0" w:rsidRPr="008D0165">
        <w:rPr>
          <w:b/>
          <w:sz w:val="24"/>
          <w:szCs w:val="24"/>
        </w:rPr>
        <w:t>6</w:t>
      </w:r>
      <w:r w:rsidR="001C3EF6" w:rsidRPr="008D0165">
        <w:rPr>
          <w:b/>
          <w:sz w:val="24"/>
          <w:szCs w:val="24"/>
        </w:rPr>
        <w:t>. Liczba osób, którym przyznano emerytury w</w:t>
      </w:r>
      <w:r w:rsidR="00817245" w:rsidRPr="008D0165">
        <w:rPr>
          <w:b/>
          <w:sz w:val="24"/>
          <w:szCs w:val="24"/>
        </w:rPr>
        <w:t>edłu</w:t>
      </w:r>
      <w:r w:rsidR="001C3EF6" w:rsidRPr="008D0165">
        <w:rPr>
          <w:b/>
          <w:sz w:val="24"/>
          <w:szCs w:val="24"/>
        </w:rPr>
        <w:t>g nowych zas</w:t>
      </w:r>
      <w:r w:rsidR="00817245" w:rsidRPr="008D0165">
        <w:rPr>
          <w:b/>
          <w:sz w:val="24"/>
          <w:szCs w:val="24"/>
        </w:rPr>
        <w:t>ad w latach 2019–</w:t>
      </w:r>
      <w:r w:rsidR="001C3EF6" w:rsidRPr="008D0165">
        <w:rPr>
          <w:b/>
          <w:sz w:val="24"/>
          <w:szCs w:val="24"/>
        </w:rPr>
        <w:t>2021 w</w:t>
      </w:r>
      <w:r w:rsidR="00817245" w:rsidRPr="008D0165">
        <w:rPr>
          <w:b/>
          <w:sz w:val="24"/>
          <w:szCs w:val="24"/>
        </w:rPr>
        <w:t> </w:t>
      </w:r>
      <w:r w:rsidR="001C3EF6" w:rsidRPr="008D0165">
        <w:rPr>
          <w:b/>
          <w:sz w:val="24"/>
          <w:szCs w:val="24"/>
        </w:rPr>
        <w:t>podziale na płeć i opóźnienie przejścia na świadczenie</w:t>
      </w:r>
    </w:p>
    <w:tbl>
      <w:tblPr>
        <w:tblW w:w="9087" w:type="dxa"/>
        <w:tblInd w:w="55" w:type="dxa"/>
        <w:tblCellMar>
          <w:left w:w="70" w:type="dxa"/>
          <w:right w:w="70" w:type="dxa"/>
        </w:tblCellMar>
        <w:tblLook w:val="04A0" w:firstRow="1" w:lastRow="0" w:firstColumn="1" w:lastColumn="0" w:noHBand="0" w:noVBand="1"/>
      </w:tblPr>
      <w:tblGrid>
        <w:gridCol w:w="1008"/>
        <w:gridCol w:w="1559"/>
        <w:gridCol w:w="1559"/>
        <w:gridCol w:w="1559"/>
        <w:gridCol w:w="1560"/>
        <w:gridCol w:w="1842"/>
      </w:tblGrid>
      <w:tr w:rsidR="001C3EF6" w:rsidRPr="008D0165" w14:paraId="0868C43F" w14:textId="77777777" w:rsidTr="00CC66DD">
        <w:trPr>
          <w:trHeight w:val="340"/>
          <w:tblHeader/>
        </w:trPr>
        <w:tc>
          <w:tcPr>
            <w:tcW w:w="1008" w:type="dxa"/>
            <w:vMerge w:val="restart"/>
            <w:tcBorders>
              <w:top w:val="single" w:sz="8" w:space="0" w:color="auto"/>
              <w:left w:val="single" w:sz="8" w:space="0" w:color="auto"/>
              <w:bottom w:val="single" w:sz="8" w:space="0" w:color="000000"/>
              <w:right w:val="single" w:sz="4" w:space="0" w:color="auto"/>
            </w:tcBorders>
            <w:shd w:val="clear" w:color="auto" w:fill="B8CCE4" w:themeFill="accent1" w:themeFillTint="66"/>
            <w:noWrap/>
            <w:vAlign w:val="center"/>
            <w:hideMark/>
          </w:tcPr>
          <w:p w14:paraId="246E7FA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Rok</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hideMark/>
          </w:tcPr>
          <w:p w14:paraId="3E2443B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liczba emerytur</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przyznanych</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po raz pierwszy</w:t>
            </w:r>
          </w:p>
        </w:tc>
        <w:tc>
          <w:tcPr>
            <w:tcW w:w="6520" w:type="dxa"/>
            <w:gridSpan w:val="4"/>
            <w:tcBorders>
              <w:top w:val="single" w:sz="8" w:space="0" w:color="auto"/>
              <w:left w:val="nil"/>
              <w:bottom w:val="single" w:sz="4" w:space="0" w:color="auto"/>
              <w:right w:val="single" w:sz="8" w:space="0" w:color="000000"/>
            </w:tcBorders>
            <w:shd w:val="clear" w:color="auto" w:fill="B8CCE4" w:themeFill="accent1" w:themeFillTint="66"/>
            <w:noWrap/>
            <w:vAlign w:val="center"/>
            <w:hideMark/>
          </w:tcPr>
          <w:p w14:paraId="1046D51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z tego:</w:t>
            </w:r>
          </w:p>
        </w:tc>
      </w:tr>
      <w:tr w:rsidR="001C3EF6" w:rsidRPr="008D0165" w14:paraId="3000CE86" w14:textId="77777777" w:rsidTr="00CC66DD">
        <w:trPr>
          <w:trHeight w:val="340"/>
          <w:tblHeader/>
        </w:trPr>
        <w:tc>
          <w:tcPr>
            <w:tcW w:w="1008" w:type="dxa"/>
            <w:vMerge/>
            <w:tcBorders>
              <w:top w:val="single" w:sz="8" w:space="0" w:color="auto"/>
              <w:left w:val="single" w:sz="8" w:space="0" w:color="auto"/>
              <w:bottom w:val="single" w:sz="8" w:space="0" w:color="000000"/>
              <w:right w:val="single" w:sz="4" w:space="0" w:color="auto"/>
            </w:tcBorders>
            <w:shd w:val="clear" w:color="auto" w:fill="B8CCE4" w:themeFill="accent1" w:themeFillTint="66"/>
            <w:vAlign w:val="center"/>
            <w:hideMark/>
          </w:tcPr>
          <w:p w14:paraId="363D5AE9" w14:textId="77777777" w:rsidR="001C3EF6" w:rsidRPr="00FC39E3" w:rsidRDefault="001C3EF6" w:rsidP="00FE72EC">
            <w:pPr>
              <w:spacing w:after="0" w:line="240" w:lineRule="auto"/>
              <w:rPr>
                <w:rFonts w:eastAsia="Times New Roman" w:cstheme="minorHAnsi"/>
                <w:color w:val="000000"/>
                <w:sz w:val="20"/>
                <w:szCs w:val="20"/>
                <w:lang w:eastAsia="pl-PL"/>
              </w:rPr>
            </w:pPr>
          </w:p>
        </w:tc>
        <w:tc>
          <w:tcPr>
            <w:tcW w:w="1559" w:type="dxa"/>
            <w:vMerge/>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hideMark/>
          </w:tcPr>
          <w:p w14:paraId="6AD5750F" w14:textId="77777777" w:rsidR="001C3EF6" w:rsidRPr="00FC39E3" w:rsidRDefault="001C3EF6" w:rsidP="00FE72EC">
            <w:pPr>
              <w:spacing w:after="0" w:line="240" w:lineRule="auto"/>
              <w:rPr>
                <w:rFonts w:eastAsia="Times New Roman" w:cstheme="minorHAnsi"/>
                <w:color w:val="000000"/>
                <w:sz w:val="20"/>
                <w:szCs w:val="20"/>
                <w:lang w:eastAsia="pl-PL"/>
              </w:rPr>
            </w:pPr>
          </w:p>
        </w:tc>
        <w:tc>
          <w:tcPr>
            <w:tcW w:w="1559" w:type="dxa"/>
            <w:tcBorders>
              <w:top w:val="nil"/>
              <w:left w:val="nil"/>
              <w:bottom w:val="nil"/>
              <w:right w:val="single" w:sz="4" w:space="0" w:color="auto"/>
            </w:tcBorders>
            <w:shd w:val="clear" w:color="auto" w:fill="B8CCE4" w:themeFill="accent1" w:themeFillTint="66"/>
            <w:vAlign w:val="center"/>
            <w:hideMark/>
          </w:tcPr>
          <w:p w14:paraId="19F8A72E"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dokładnie w wieku emerytalnym</w:t>
            </w:r>
          </w:p>
        </w:tc>
        <w:tc>
          <w:tcPr>
            <w:tcW w:w="1559" w:type="dxa"/>
            <w:tcBorders>
              <w:top w:val="nil"/>
              <w:left w:val="nil"/>
              <w:bottom w:val="nil"/>
              <w:right w:val="single" w:sz="4" w:space="0" w:color="auto"/>
            </w:tcBorders>
            <w:shd w:val="clear" w:color="auto" w:fill="B8CCE4" w:themeFill="accent1" w:themeFillTint="66"/>
            <w:vAlign w:val="center"/>
            <w:hideMark/>
          </w:tcPr>
          <w:p w14:paraId="7332446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w wieku wyższym</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od wieku emerytalnego</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od 1 do 11 miesięcy</w:t>
            </w:r>
          </w:p>
        </w:tc>
        <w:tc>
          <w:tcPr>
            <w:tcW w:w="1560" w:type="dxa"/>
            <w:tcBorders>
              <w:top w:val="nil"/>
              <w:left w:val="nil"/>
              <w:bottom w:val="nil"/>
              <w:right w:val="single" w:sz="4" w:space="0" w:color="auto"/>
            </w:tcBorders>
            <w:shd w:val="clear" w:color="auto" w:fill="B8CCE4" w:themeFill="accent1" w:themeFillTint="66"/>
            <w:vAlign w:val="center"/>
            <w:hideMark/>
          </w:tcPr>
          <w:p w14:paraId="6EEECFC3" w14:textId="77777777" w:rsidR="00FC773A"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w wieku wyższym</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o dokładnie rok</w:t>
            </w:r>
          </w:p>
          <w:p w14:paraId="6A76580A" w14:textId="35C202B6"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 12 miesięcy)</w:t>
            </w:r>
          </w:p>
        </w:tc>
        <w:tc>
          <w:tcPr>
            <w:tcW w:w="1842" w:type="dxa"/>
            <w:tcBorders>
              <w:top w:val="nil"/>
              <w:left w:val="nil"/>
              <w:bottom w:val="nil"/>
              <w:right w:val="single" w:sz="8" w:space="0" w:color="auto"/>
            </w:tcBorders>
            <w:shd w:val="clear" w:color="auto" w:fill="B8CCE4" w:themeFill="accent1" w:themeFillTint="66"/>
            <w:vAlign w:val="center"/>
            <w:hideMark/>
          </w:tcPr>
          <w:p w14:paraId="17AA4E42" w14:textId="77777777" w:rsidR="00FC773A"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w wieku wyższym</w:t>
            </w:r>
            <w:r w:rsidR="00123C59" w:rsidRPr="00FC39E3">
              <w:rPr>
                <w:rFonts w:eastAsia="Times New Roman" w:cstheme="minorHAnsi"/>
                <w:color w:val="000000"/>
                <w:sz w:val="20"/>
                <w:szCs w:val="20"/>
                <w:lang w:eastAsia="pl-PL"/>
              </w:rPr>
              <w:t xml:space="preserve"> </w:t>
            </w:r>
            <w:r w:rsidRPr="00FC39E3">
              <w:rPr>
                <w:rFonts w:eastAsia="Times New Roman" w:cstheme="minorHAnsi"/>
                <w:color w:val="000000"/>
                <w:sz w:val="20"/>
                <w:szCs w:val="20"/>
                <w:lang w:eastAsia="pl-PL"/>
              </w:rPr>
              <w:t>niż rok</w:t>
            </w:r>
          </w:p>
          <w:p w14:paraId="591C5BF6" w14:textId="5AA56F43"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(&gt; 12 miesięcy)</w:t>
            </w:r>
          </w:p>
        </w:tc>
      </w:tr>
      <w:tr w:rsidR="001C3EF6" w:rsidRPr="008D0165" w14:paraId="2A76C538" w14:textId="77777777" w:rsidTr="00CC66DD">
        <w:trPr>
          <w:trHeight w:val="340"/>
          <w:tblHeader/>
        </w:trPr>
        <w:tc>
          <w:tcPr>
            <w:tcW w:w="1008" w:type="dxa"/>
            <w:vMerge/>
            <w:tcBorders>
              <w:top w:val="single" w:sz="8" w:space="0" w:color="auto"/>
              <w:left w:val="single" w:sz="8" w:space="0" w:color="auto"/>
              <w:bottom w:val="single" w:sz="8" w:space="0" w:color="000000"/>
              <w:right w:val="single" w:sz="4" w:space="0" w:color="auto"/>
            </w:tcBorders>
            <w:shd w:val="clear" w:color="auto" w:fill="B8CCE4" w:themeFill="accent1" w:themeFillTint="66"/>
            <w:vAlign w:val="center"/>
            <w:hideMark/>
          </w:tcPr>
          <w:p w14:paraId="29FFC292" w14:textId="77777777" w:rsidR="001C3EF6" w:rsidRPr="00FC39E3" w:rsidRDefault="001C3EF6" w:rsidP="00FE72EC">
            <w:pPr>
              <w:spacing w:after="0" w:line="240" w:lineRule="auto"/>
              <w:rPr>
                <w:rFonts w:eastAsia="Times New Roman" w:cstheme="minorHAnsi"/>
                <w:color w:val="000000"/>
                <w:sz w:val="20"/>
                <w:szCs w:val="20"/>
                <w:lang w:eastAsia="pl-PL"/>
              </w:rPr>
            </w:pPr>
          </w:p>
        </w:tc>
        <w:tc>
          <w:tcPr>
            <w:tcW w:w="1559"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53D8375A"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kol.1</w:t>
            </w:r>
          </w:p>
        </w:tc>
        <w:tc>
          <w:tcPr>
            <w:tcW w:w="1559"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28D04925"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kol.2</w:t>
            </w:r>
          </w:p>
        </w:tc>
        <w:tc>
          <w:tcPr>
            <w:tcW w:w="1559"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5992D4ED"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kol.3</w:t>
            </w:r>
          </w:p>
        </w:tc>
        <w:tc>
          <w:tcPr>
            <w:tcW w:w="1560" w:type="dxa"/>
            <w:tcBorders>
              <w:top w:val="single" w:sz="4" w:space="0" w:color="auto"/>
              <w:left w:val="nil"/>
              <w:bottom w:val="single" w:sz="8" w:space="0" w:color="auto"/>
              <w:right w:val="single" w:sz="4" w:space="0" w:color="auto"/>
            </w:tcBorders>
            <w:shd w:val="clear" w:color="auto" w:fill="B8CCE4" w:themeFill="accent1" w:themeFillTint="66"/>
            <w:vAlign w:val="center"/>
            <w:hideMark/>
          </w:tcPr>
          <w:p w14:paraId="70FF62AF"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kol.4</w:t>
            </w:r>
          </w:p>
        </w:tc>
        <w:tc>
          <w:tcPr>
            <w:tcW w:w="1842" w:type="dxa"/>
            <w:tcBorders>
              <w:top w:val="single" w:sz="4" w:space="0" w:color="auto"/>
              <w:left w:val="nil"/>
              <w:bottom w:val="single" w:sz="8" w:space="0" w:color="auto"/>
              <w:right w:val="single" w:sz="8" w:space="0" w:color="auto"/>
            </w:tcBorders>
            <w:shd w:val="clear" w:color="auto" w:fill="B8CCE4" w:themeFill="accent1" w:themeFillTint="66"/>
            <w:vAlign w:val="center"/>
            <w:hideMark/>
          </w:tcPr>
          <w:p w14:paraId="1079C492" w14:textId="77777777" w:rsidR="001C3EF6" w:rsidRPr="00FC39E3" w:rsidRDefault="001C3EF6" w:rsidP="00FE72EC">
            <w:pPr>
              <w:spacing w:after="0" w:line="240" w:lineRule="auto"/>
              <w:jc w:val="center"/>
              <w:rPr>
                <w:rFonts w:eastAsia="Times New Roman" w:cstheme="minorHAnsi"/>
                <w:i/>
                <w:color w:val="000000"/>
                <w:sz w:val="20"/>
                <w:szCs w:val="20"/>
                <w:lang w:eastAsia="pl-PL"/>
              </w:rPr>
            </w:pPr>
            <w:r w:rsidRPr="00FC39E3">
              <w:rPr>
                <w:rFonts w:eastAsia="Times New Roman" w:cstheme="minorHAnsi"/>
                <w:i/>
                <w:color w:val="000000"/>
                <w:sz w:val="20"/>
                <w:szCs w:val="20"/>
                <w:lang w:eastAsia="pl-PL"/>
              </w:rPr>
              <w:t>kol.5</w:t>
            </w:r>
          </w:p>
        </w:tc>
      </w:tr>
      <w:tr w:rsidR="001C3EF6" w:rsidRPr="008D0165" w14:paraId="7CDDA39D" w14:textId="77777777" w:rsidTr="00FE72EC">
        <w:trPr>
          <w:trHeight w:val="340"/>
        </w:trPr>
        <w:tc>
          <w:tcPr>
            <w:tcW w:w="1008" w:type="dxa"/>
            <w:tcBorders>
              <w:top w:val="nil"/>
              <w:left w:val="single" w:sz="8" w:space="0" w:color="auto"/>
              <w:bottom w:val="single" w:sz="4" w:space="0" w:color="auto"/>
              <w:right w:val="single" w:sz="4" w:space="0" w:color="auto"/>
            </w:tcBorders>
            <w:shd w:val="clear" w:color="000000" w:fill="DCE6F1"/>
            <w:noWrap/>
            <w:vAlign w:val="center"/>
            <w:hideMark/>
          </w:tcPr>
          <w:p w14:paraId="2978C751"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2019</w:t>
            </w:r>
          </w:p>
        </w:tc>
        <w:tc>
          <w:tcPr>
            <w:tcW w:w="1559" w:type="dxa"/>
            <w:tcBorders>
              <w:top w:val="nil"/>
              <w:left w:val="nil"/>
              <w:bottom w:val="single" w:sz="4" w:space="0" w:color="auto"/>
              <w:right w:val="single" w:sz="4" w:space="0" w:color="auto"/>
            </w:tcBorders>
            <w:shd w:val="clear" w:color="000000" w:fill="DCE6F1"/>
            <w:noWrap/>
            <w:vAlign w:val="center"/>
            <w:hideMark/>
          </w:tcPr>
          <w:p w14:paraId="19833D54"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291 554</w:t>
            </w:r>
          </w:p>
        </w:tc>
        <w:tc>
          <w:tcPr>
            <w:tcW w:w="1559" w:type="dxa"/>
            <w:tcBorders>
              <w:top w:val="nil"/>
              <w:left w:val="nil"/>
              <w:bottom w:val="single" w:sz="4" w:space="0" w:color="auto"/>
              <w:right w:val="single" w:sz="4" w:space="0" w:color="auto"/>
            </w:tcBorders>
            <w:shd w:val="clear" w:color="000000" w:fill="DCE6F1"/>
            <w:noWrap/>
            <w:vAlign w:val="center"/>
            <w:hideMark/>
          </w:tcPr>
          <w:p w14:paraId="5AD47D41"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176 123</w:t>
            </w:r>
          </w:p>
        </w:tc>
        <w:tc>
          <w:tcPr>
            <w:tcW w:w="1559" w:type="dxa"/>
            <w:tcBorders>
              <w:top w:val="nil"/>
              <w:left w:val="nil"/>
              <w:bottom w:val="single" w:sz="4" w:space="0" w:color="auto"/>
              <w:right w:val="single" w:sz="4" w:space="0" w:color="auto"/>
            </w:tcBorders>
            <w:shd w:val="clear" w:color="000000" w:fill="DCE6F1"/>
            <w:noWrap/>
            <w:vAlign w:val="center"/>
            <w:hideMark/>
          </w:tcPr>
          <w:p w14:paraId="24D61A3B"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72 615</w:t>
            </w:r>
          </w:p>
        </w:tc>
        <w:tc>
          <w:tcPr>
            <w:tcW w:w="1560" w:type="dxa"/>
            <w:tcBorders>
              <w:top w:val="nil"/>
              <w:left w:val="nil"/>
              <w:bottom w:val="single" w:sz="4" w:space="0" w:color="auto"/>
              <w:right w:val="single" w:sz="4" w:space="0" w:color="auto"/>
            </w:tcBorders>
            <w:shd w:val="clear" w:color="000000" w:fill="DCE6F1"/>
            <w:noWrap/>
            <w:vAlign w:val="center"/>
            <w:hideMark/>
          </w:tcPr>
          <w:p w14:paraId="44B90753"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2 731</w:t>
            </w:r>
          </w:p>
        </w:tc>
        <w:tc>
          <w:tcPr>
            <w:tcW w:w="1842" w:type="dxa"/>
            <w:tcBorders>
              <w:top w:val="nil"/>
              <w:left w:val="nil"/>
              <w:bottom w:val="single" w:sz="4" w:space="0" w:color="auto"/>
              <w:right w:val="single" w:sz="8" w:space="0" w:color="auto"/>
            </w:tcBorders>
            <w:shd w:val="clear" w:color="000000" w:fill="DCE6F1"/>
            <w:noWrap/>
            <w:vAlign w:val="center"/>
            <w:hideMark/>
          </w:tcPr>
          <w:p w14:paraId="095AD658"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40 085</w:t>
            </w:r>
          </w:p>
        </w:tc>
      </w:tr>
      <w:tr w:rsidR="001C3EF6" w:rsidRPr="008D0165" w14:paraId="411D8A70" w14:textId="77777777" w:rsidTr="00FE72EC">
        <w:trPr>
          <w:trHeight w:val="34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14:paraId="5DDAC055"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1559" w:type="dxa"/>
            <w:tcBorders>
              <w:top w:val="nil"/>
              <w:left w:val="nil"/>
              <w:bottom w:val="single" w:sz="4" w:space="0" w:color="auto"/>
              <w:right w:val="single" w:sz="4" w:space="0" w:color="auto"/>
            </w:tcBorders>
            <w:shd w:val="clear" w:color="auto" w:fill="auto"/>
            <w:noWrap/>
            <w:vAlign w:val="center"/>
            <w:hideMark/>
          </w:tcPr>
          <w:p w14:paraId="2C11784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105 417</w:t>
            </w:r>
          </w:p>
        </w:tc>
        <w:tc>
          <w:tcPr>
            <w:tcW w:w="1559" w:type="dxa"/>
            <w:tcBorders>
              <w:top w:val="nil"/>
              <w:left w:val="nil"/>
              <w:bottom w:val="single" w:sz="4" w:space="0" w:color="auto"/>
              <w:right w:val="single" w:sz="4" w:space="0" w:color="auto"/>
            </w:tcBorders>
            <w:shd w:val="clear" w:color="auto" w:fill="auto"/>
            <w:noWrap/>
            <w:vAlign w:val="center"/>
            <w:hideMark/>
          </w:tcPr>
          <w:p w14:paraId="3540689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71 659</w:t>
            </w:r>
          </w:p>
        </w:tc>
        <w:tc>
          <w:tcPr>
            <w:tcW w:w="1559" w:type="dxa"/>
            <w:tcBorders>
              <w:top w:val="nil"/>
              <w:left w:val="nil"/>
              <w:bottom w:val="single" w:sz="4" w:space="0" w:color="auto"/>
              <w:right w:val="single" w:sz="4" w:space="0" w:color="auto"/>
            </w:tcBorders>
            <w:shd w:val="clear" w:color="auto" w:fill="auto"/>
            <w:noWrap/>
            <w:vAlign w:val="center"/>
            <w:hideMark/>
          </w:tcPr>
          <w:p w14:paraId="02F8CA5D"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23 512</w:t>
            </w:r>
          </w:p>
        </w:tc>
        <w:tc>
          <w:tcPr>
            <w:tcW w:w="1560" w:type="dxa"/>
            <w:tcBorders>
              <w:top w:val="nil"/>
              <w:left w:val="nil"/>
              <w:bottom w:val="single" w:sz="4" w:space="0" w:color="auto"/>
              <w:right w:val="single" w:sz="4" w:space="0" w:color="auto"/>
            </w:tcBorders>
            <w:shd w:val="clear" w:color="auto" w:fill="auto"/>
            <w:noWrap/>
            <w:vAlign w:val="center"/>
            <w:hideMark/>
          </w:tcPr>
          <w:p w14:paraId="1D78080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767</w:t>
            </w:r>
          </w:p>
        </w:tc>
        <w:tc>
          <w:tcPr>
            <w:tcW w:w="1842" w:type="dxa"/>
            <w:tcBorders>
              <w:top w:val="nil"/>
              <w:left w:val="nil"/>
              <w:bottom w:val="single" w:sz="4" w:space="0" w:color="auto"/>
              <w:right w:val="single" w:sz="8" w:space="0" w:color="auto"/>
            </w:tcBorders>
            <w:shd w:val="clear" w:color="auto" w:fill="auto"/>
            <w:noWrap/>
            <w:vAlign w:val="center"/>
            <w:hideMark/>
          </w:tcPr>
          <w:p w14:paraId="20D9083B"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9 479</w:t>
            </w:r>
          </w:p>
        </w:tc>
      </w:tr>
      <w:tr w:rsidR="001C3EF6" w:rsidRPr="008D0165" w14:paraId="1E8A9B60" w14:textId="77777777" w:rsidTr="00FE72EC">
        <w:trPr>
          <w:trHeight w:val="34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14:paraId="2554BDB6" w14:textId="2E6448D0" w:rsidR="001C3EF6" w:rsidRPr="00FC39E3" w:rsidRDefault="006216AD" w:rsidP="00FE72E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w:t>
            </w:r>
            <w:r w:rsidR="001C3EF6" w:rsidRPr="00FC39E3">
              <w:rPr>
                <w:rFonts w:eastAsia="Times New Roman" w:cstheme="minorHAnsi"/>
                <w:color w:val="000000"/>
                <w:sz w:val="20"/>
                <w:szCs w:val="20"/>
                <w:lang w:eastAsia="pl-PL"/>
              </w:rPr>
              <w:t>obiety</w:t>
            </w:r>
          </w:p>
        </w:tc>
        <w:tc>
          <w:tcPr>
            <w:tcW w:w="1559" w:type="dxa"/>
            <w:tcBorders>
              <w:top w:val="nil"/>
              <w:left w:val="nil"/>
              <w:bottom w:val="single" w:sz="8" w:space="0" w:color="auto"/>
              <w:right w:val="single" w:sz="4" w:space="0" w:color="auto"/>
            </w:tcBorders>
            <w:shd w:val="clear" w:color="auto" w:fill="auto"/>
            <w:noWrap/>
            <w:vAlign w:val="center"/>
            <w:hideMark/>
          </w:tcPr>
          <w:p w14:paraId="3EFEAC7C"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186 137</w:t>
            </w:r>
          </w:p>
        </w:tc>
        <w:tc>
          <w:tcPr>
            <w:tcW w:w="1559" w:type="dxa"/>
            <w:tcBorders>
              <w:top w:val="nil"/>
              <w:left w:val="nil"/>
              <w:bottom w:val="single" w:sz="8" w:space="0" w:color="auto"/>
              <w:right w:val="single" w:sz="4" w:space="0" w:color="auto"/>
            </w:tcBorders>
            <w:shd w:val="clear" w:color="auto" w:fill="auto"/>
            <w:noWrap/>
            <w:vAlign w:val="center"/>
            <w:hideMark/>
          </w:tcPr>
          <w:p w14:paraId="4B2BE1D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104 464</w:t>
            </w:r>
          </w:p>
        </w:tc>
        <w:tc>
          <w:tcPr>
            <w:tcW w:w="1559" w:type="dxa"/>
            <w:tcBorders>
              <w:top w:val="nil"/>
              <w:left w:val="nil"/>
              <w:bottom w:val="single" w:sz="8" w:space="0" w:color="auto"/>
              <w:right w:val="single" w:sz="4" w:space="0" w:color="auto"/>
            </w:tcBorders>
            <w:shd w:val="clear" w:color="auto" w:fill="auto"/>
            <w:noWrap/>
            <w:vAlign w:val="center"/>
            <w:hideMark/>
          </w:tcPr>
          <w:p w14:paraId="6D8307C8"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49 103</w:t>
            </w:r>
          </w:p>
        </w:tc>
        <w:tc>
          <w:tcPr>
            <w:tcW w:w="1560" w:type="dxa"/>
            <w:tcBorders>
              <w:top w:val="nil"/>
              <w:left w:val="nil"/>
              <w:bottom w:val="single" w:sz="8" w:space="0" w:color="auto"/>
              <w:right w:val="single" w:sz="4" w:space="0" w:color="auto"/>
            </w:tcBorders>
            <w:shd w:val="clear" w:color="auto" w:fill="auto"/>
            <w:noWrap/>
            <w:vAlign w:val="center"/>
            <w:hideMark/>
          </w:tcPr>
          <w:p w14:paraId="56CE8355"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1 964</w:t>
            </w:r>
          </w:p>
        </w:tc>
        <w:tc>
          <w:tcPr>
            <w:tcW w:w="1842" w:type="dxa"/>
            <w:tcBorders>
              <w:top w:val="nil"/>
              <w:left w:val="nil"/>
              <w:bottom w:val="single" w:sz="8" w:space="0" w:color="auto"/>
              <w:right w:val="single" w:sz="8" w:space="0" w:color="auto"/>
            </w:tcBorders>
            <w:shd w:val="clear" w:color="auto" w:fill="auto"/>
            <w:noWrap/>
            <w:vAlign w:val="center"/>
            <w:hideMark/>
          </w:tcPr>
          <w:p w14:paraId="4B914180"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30 606</w:t>
            </w:r>
          </w:p>
        </w:tc>
      </w:tr>
      <w:tr w:rsidR="001C3EF6" w:rsidRPr="008D0165" w14:paraId="42FD0FF9" w14:textId="77777777" w:rsidTr="00FE72EC">
        <w:trPr>
          <w:trHeight w:val="340"/>
        </w:trPr>
        <w:tc>
          <w:tcPr>
            <w:tcW w:w="1008" w:type="dxa"/>
            <w:tcBorders>
              <w:top w:val="nil"/>
              <w:left w:val="single" w:sz="8" w:space="0" w:color="auto"/>
              <w:bottom w:val="single" w:sz="4" w:space="0" w:color="auto"/>
              <w:right w:val="single" w:sz="4" w:space="0" w:color="auto"/>
            </w:tcBorders>
            <w:shd w:val="clear" w:color="000000" w:fill="DCE6F1"/>
            <w:noWrap/>
            <w:vAlign w:val="center"/>
            <w:hideMark/>
          </w:tcPr>
          <w:p w14:paraId="46777D7A"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2020</w:t>
            </w:r>
          </w:p>
        </w:tc>
        <w:tc>
          <w:tcPr>
            <w:tcW w:w="1559" w:type="dxa"/>
            <w:tcBorders>
              <w:top w:val="nil"/>
              <w:left w:val="nil"/>
              <w:bottom w:val="single" w:sz="4" w:space="0" w:color="auto"/>
              <w:right w:val="single" w:sz="4" w:space="0" w:color="auto"/>
            </w:tcBorders>
            <w:shd w:val="clear" w:color="000000" w:fill="DCE6F1"/>
            <w:noWrap/>
            <w:vAlign w:val="center"/>
            <w:hideMark/>
          </w:tcPr>
          <w:p w14:paraId="711595B9"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284 153</w:t>
            </w:r>
          </w:p>
        </w:tc>
        <w:tc>
          <w:tcPr>
            <w:tcW w:w="1559" w:type="dxa"/>
            <w:tcBorders>
              <w:top w:val="nil"/>
              <w:left w:val="nil"/>
              <w:bottom w:val="single" w:sz="4" w:space="0" w:color="auto"/>
              <w:right w:val="single" w:sz="4" w:space="0" w:color="auto"/>
            </w:tcBorders>
            <w:shd w:val="clear" w:color="000000" w:fill="DCE6F1"/>
            <w:noWrap/>
            <w:vAlign w:val="center"/>
            <w:hideMark/>
          </w:tcPr>
          <w:p w14:paraId="641DC354"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177 397</w:t>
            </w:r>
          </w:p>
        </w:tc>
        <w:tc>
          <w:tcPr>
            <w:tcW w:w="1559" w:type="dxa"/>
            <w:tcBorders>
              <w:top w:val="nil"/>
              <w:left w:val="nil"/>
              <w:bottom w:val="single" w:sz="4" w:space="0" w:color="auto"/>
              <w:right w:val="single" w:sz="4" w:space="0" w:color="auto"/>
            </w:tcBorders>
            <w:shd w:val="clear" w:color="000000" w:fill="DCE6F1"/>
            <w:noWrap/>
            <w:vAlign w:val="center"/>
            <w:hideMark/>
          </w:tcPr>
          <w:p w14:paraId="64DB67B9"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70 189</w:t>
            </w:r>
          </w:p>
        </w:tc>
        <w:tc>
          <w:tcPr>
            <w:tcW w:w="1560" w:type="dxa"/>
            <w:tcBorders>
              <w:top w:val="nil"/>
              <w:left w:val="nil"/>
              <w:bottom w:val="single" w:sz="4" w:space="0" w:color="auto"/>
              <w:right w:val="single" w:sz="4" w:space="0" w:color="auto"/>
            </w:tcBorders>
            <w:shd w:val="clear" w:color="000000" w:fill="DCE6F1"/>
            <w:noWrap/>
            <w:vAlign w:val="center"/>
            <w:hideMark/>
          </w:tcPr>
          <w:p w14:paraId="502707DC"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1 862</w:t>
            </w:r>
          </w:p>
        </w:tc>
        <w:tc>
          <w:tcPr>
            <w:tcW w:w="1842" w:type="dxa"/>
            <w:tcBorders>
              <w:top w:val="nil"/>
              <w:left w:val="nil"/>
              <w:bottom w:val="single" w:sz="4" w:space="0" w:color="auto"/>
              <w:right w:val="single" w:sz="8" w:space="0" w:color="auto"/>
            </w:tcBorders>
            <w:shd w:val="clear" w:color="000000" w:fill="DCE6F1"/>
            <w:noWrap/>
            <w:vAlign w:val="center"/>
            <w:hideMark/>
          </w:tcPr>
          <w:p w14:paraId="04657318"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34 705</w:t>
            </w:r>
          </w:p>
        </w:tc>
      </w:tr>
      <w:tr w:rsidR="001C3EF6" w:rsidRPr="008D0165" w14:paraId="62626EE2" w14:textId="77777777" w:rsidTr="00FE72EC">
        <w:trPr>
          <w:trHeight w:val="34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14:paraId="015A9C67"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1559" w:type="dxa"/>
            <w:tcBorders>
              <w:top w:val="nil"/>
              <w:left w:val="nil"/>
              <w:bottom w:val="single" w:sz="4" w:space="0" w:color="auto"/>
              <w:right w:val="single" w:sz="4" w:space="0" w:color="auto"/>
            </w:tcBorders>
            <w:shd w:val="clear" w:color="auto" w:fill="auto"/>
            <w:noWrap/>
            <w:vAlign w:val="center"/>
            <w:hideMark/>
          </w:tcPr>
          <w:p w14:paraId="0C2EBFD6"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110 987</w:t>
            </w:r>
          </w:p>
        </w:tc>
        <w:tc>
          <w:tcPr>
            <w:tcW w:w="1559" w:type="dxa"/>
            <w:tcBorders>
              <w:top w:val="nil"/>
              <w:left w:val="nil"/>
              <w:bottom w:val="single" w:sz="4" w:space="0" w:color="auto"/>
              <w:right w:val="single" w:sz="4" w:space="0" w:color="auto"/>
            </w:tcBorders>
            <w:shd w:val="clear" w:color="auto" w:fill="auto"/>
            <w:noWrap/>
            <w:vAlign w:val="center"/>
            <w:hideMark/>
          </w:tcPr>
          <w:p w14:paraId="788232DB"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78 574</w:t>
            </w:r>
          </w:p>
        </w:tc>
        <w:tc>
          <w:tcPr>
            <w:tcW w:w="1559" w:type="dxa"/>
            <w:tcBorders>
              <w:top w:val="nil"/>
              <w:left w:val="nil"/>
              <w:bottom w:val="single" w:sz="4" w:space="0" w:color="auto"/>
              <w:right w:val="single" w:sz="4" w:space="0" w:color="auto"/>
            </w:tcBorders>
            <w:shd w:val="clear" w:color="auto" w:fill="auto"/>
            <w:noWrap/>
            <w:vAlign w:val="center"/>
            <w:hideMark/>
          </w:tcPr>
          <w:p w14:paraId="35E5F727"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23 905</w:t>
            </w:r>
          </w:p>
        </w:tc>
        <w:tc>
          <w:tcPr>
            <w:tcW w:w="1560" w:type="dxa"/>
            <w:tcBorders>
              <w:top w:val="nil"/>
              <w:left w:val="nil"/>
              <w:bottom w:val="single" w:sz="4" w:space="0" w:color="auto"/>
              <w:right w:val="single" w:sz="4" w:space="0" w:color="auto"/>
            </w:tcBorders>
            <w:shd w:val="clear" w:color="auto" w:fill="auto"/>
            <w:noWrap/>
            <w:vAlign w:val="center"/>
            <w:hideMark/>
          </w:tcPr>
          <w:p w14:paraId="52477180"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521</w:t>
            </w:r>
          </w:p>
        </w:tc>
        <w:tc>
          <w:tcPr>
            <w:tcW w:w="1842" w:type="dxa"/>
            <w:tcBorders>
              <w:top w:val="nil"/>
              <w:left w:val="nil"/>
              <w:bottom w:val="single" w:sz="4" w:space="0" w:color="auto"/>
              <w:right w:val="single" w:sz="8" w:space="0" w:color="auto"/>
            </w:tcBorders>
            <w:shd w:val="clear" w:color="auto" w:fill="auto"/>
            <w:noWrap/>
            <w:vAlign w:val="center"/>
            <w:hideMark/>
          </w:tcPr>
          <w:p w14:paraId="19DA2FA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7 987</w:t>
            </w:r>
          </w:p>
        </w:tc>
      </w:tr>
      <w:tr w:rsidR="001C3EF6" w:rsidRPr="008D0165" w14:paraId="1472828D" w14:textId="77777777" w:rsidTr="00FE72EC">
        <w:trPr>
          <w:trHeight w:val="34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14:paraId="7544B8CD" w14:textId="584A13ED" w:rsidR="001C3EF6" w:rsidRPr="00FC39E3" w:rsidRDefault="006216AD" w:rsidP="00FE72E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w:t>
            </w:r>
            <w:r w:rsidR="001C3EF6" w:rsidRPr="00FC39E3">
              <w:rPr>
                <w:rFonts w:eastAsia="Times New Roman" w:cstheme="minorHAnsi"/>
                <w:color w:val="000000"/>
                <w:sz w:val="20"/>
                <w:szCs w:val="20"/>
                <w:lang w:eastAsia="pl-PL"/>
              </w:rPr>
              <w:t>obiety</w:t>
            </w:r>
          </w:p>
        </w:tc>
        <w:tc>
          <w:tcPr>
            <w:tcW w:w="1559" w:type="dxa"/>
            <w:tcBorders>
              <w:top w:val="nil"/>
              <w:left w:val="nil"/>
              <w:bottom w:val="single" w:sz="8" w:space="0" w:color="auto"/>
              <w:right w:val="single" w:sz="4" w:space="0" w:color="auto"/>
            </w:tcBorders>
            <w:shd w:val="clear" w:color="auto" w:fill="auto"/>
            <w:noWrap/>
            <w:vAlign w:val="center"/>
            <w:hideMark/>
          </w:tcPr>
          <w:p w14:paraId="68729578"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173 166</w:t>
            </w:r>
          </w:p>
        </w:tc>
        <w:tc>
          <w:tcPr>
            <w:tcW w:w="1559" w:type="dxa"/>
            <w:tcBorders>
              <w:top w:val="nil"/>
              <w:left w:val="nil"/>
              <w:bottom w:val="single" w:sz="8" w:space="0" w:color="auto"/>
              <w:right w:val="single" w:sz="4" w:space="0" w:color="auto"/>
            </w:tcBorders>
            <w:shd w:val="clear" w:color="auto" w:fill="auto"/>
            <w:noWrap/>
            <w:vAlign w:val="center"/>
            <w:hideMark/>
          </w:tcPr>
          <w:p w14:paraId="0EDD065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98 823</w:t>
            </w:r>
          </w:p>
        </w:tc>
        <w:tc>
          <w:tcPr>
            <w:tcW w:w="1559" w:type="dxa"/>
            <w:tcBorders>
              <w:top w:val="nil"/>
              <w:left w:val="nil"/>
              <w:bottom w:val="single" w:sz="8" w:space="0" w:color="auto"/>
              <w:right w:val="single" w:sz="4" w:space="0" w:color="auto"/>
            </w:tcBorders>
            <w:shd w:val="clear" w:color="auto" w:fill="auto"/>
            <w:noWrap/>
            <w:vAlign w:val="center"/>
            <w:hideMark/>
          </w:tcPr>
          <w:p w14:paraId="5048369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46 284</w:t>
            </w:r>
          </w:p>
        </w:tc>
        <w:tc>
          <w:tcPr>
            <w:tcW w:w="1560" w:type="dxa"/>
            <w:tcBorders>
              <w:top w:val="nil"/>
              <w:left w:val="nil"/>
              <w:bottom w:val="single" w:sz="8" w:space="0" w:color="auto"/>
              <w:right w:val="single" w:sz="4" w:space="0" w:color="auto"/>
            </w:tcBorders>
            <w:shd w:val="clear" w:color="auto" w:fill="auto"/>
            <w:noWrap/>
            <w:vAlign w:val="center"/>
            <w:hideMark/>
          </w:tcPr>
          <w:p w14:paraId="7D62ADD8"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1 341</w:t>
            </w:r>
          </w:p>
        </w:tc>
        <w:tc>
          <w:tcPr>
            <w:tcW w:w="1842" w:type="dxa"/>
            <w:tcBorders>
              <w:top w:val="nil"/>
              <w:left w:val="nil"/>
              <w:bottom w:val="single" w:sz="8" w:space="0" w:color="auto"/>
              <w:right w:val="single" w:sz="8" w:space="0" w:color="auto"/>
            </w:tcBorders>
            <w:shd w:val="clear" w:color="auto" w:fill="auto"/>
            <w:noWrap/>
            <w:vAlign w:val="center"/>
            <w:hideMark/>
          </w:tcPr>
          <w:p w14:paraId="4DB42EC1"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26 718</w:t>
            </w:r>
          </w:p>
        </w:tc>
      </w:tr>
      <w:tr w:rsidR="001C3EF6" w:rsidRPr="008D0165" w14:paraId="36F82145" w14:textId="77777777" w:rsidTr="00FE72EC">
        <w:trPr>
          <w:trHeight w:val="340"/>
        </w:trPr>
        <w:tc>
          <w:tcPr>
            <w:tcW w:w="1008" w:type="dxa"/>
            <w:tcBorders>
              <w:top w:val="nil"/>
              <w:left w:val="single" w:sz="8" w:space="0" w:color="auto"/>
              <w:bottom w:val="single" w:sz="4" w:space="0" w:color="auto"/>
              <w:right w:val="single" w:sz="4" w:space="0" w:color="auto"/>
            </w:tcBorders>
            <w:shd w:val="clear" w:color="000000" w:fill="DCE6F1"/>
            <w:noWrap/>
            <w:vAlign w:val="center"/>
            <w:hideMark/>
          </w:tcPr>
          <w:p w14:paraId="080705EF"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2021</w:t>
            </w:r>
          </w:p>
        </w:tc>
        <w:tc>
          <w:tcPr>
            <w:tcW w:w="1559" w:type="dxa"/>
            <w:tcBorders>
              <w:top w:val="nil"/>
              <w:left w:val="nil"/>
              <w:bottom w:val="single" w:sz="4" w:space="0" w:color="auto"/>
              <w:right w:val="single" w:sz="4" w:space="0" w:color="auto"/>
            </w:tcBorders>
            <w:shd w:val="clear" w:color="000000" w:fill="DCE6F1"/>
            <w:noWrap/>
            <w:vAlign w:val="center"/>
            <w:hideMark/>
          </w:tcPr>
          <w:p w14:paraId="107B69D5"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285 282</w:t>
            </w:r>
          </w:p>
        </w:tc>
        <w:tc>
          <w:tcPr>
            <w:tcW w:w="1559" w:type="dxa"/>
            <w:tcBorders>
              <w:top w:val="nil"/>
              <w:left w:val="nil"/>
              <w:bottom w:val="single" w:sz="4" w:space="0" w:color="auto"/>
              <w:right w:val="single" w:sz="4" w:space="0" w:color="auto"/>
            </w:tcBorders>
            <w:shd w:val="clear" w:color="000000" w:fill="DCE6F1"/>
            <w:noWrap/>
            <w:vAlign w:val="center"/>
            <w:hideMark/>
          </w:tcPr>
          <w:p w14:paraId="6997D935"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194 420</w:t>
            </w:r>
          </w:p>
        </w:tc>
        <w:tc>
          <w:tcPr>
            <w:tcW w:w="1559" w:type="dxa"/>
            <w:tcBorders>
              <w:top w:val="nil"/>
              <w:left w:val="nil"/>
              <w:bottom w:val="single" w:sz="4" w:space="0" w:color="auto"/>
              <w:right w:val="single" w:sz="4" w:space="0" w:color="auto"/>
            </w:tcBorders>
            <w:shd w:val="clear" w:color="000000" w:fill="DCE6F1"/>
            <w:noWrap/>
            <w:vAlign w:val="center"/>
            <w:hideMark/>
          </w:tcPr>
          <w:p w14:paraId="0174B560"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59 851</w:t>
            </w:r>
          </w:p>
        </w:tc>
        <w:tc>
          <w:tcPr>
            <w:tcW w:w="1560" w:type="dxa"/>
            <w:tcBorders>
              <w:top w:val="nil"/>
              <w:left w:val="nil"/>
              <w:bottom w:val="single" w:sz="4" w:space="0" w:color="auto"/>
              <w:right w:val="single" w:sz="4" w:space="0" w:color="auto"/>
            </w:tcBorders>
            <w:shd w:val="clear" w:color="000000" w:fill="DCE6F1"/>
            <w:noWrap/>
            <w:vAlign w:val="center"/>
            <w:hideMark/>
          </w:tcPr>
          <w:p w14:paraId="755EE5A9"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1 652</w:t>
            </w:r>
          </w:p>
        </w:tc>
        <w:tc>
          <w:tcPr>
            <w:tcW w:w="1842" w:type="dxa"/>
            <w:tcBorders>
              <w:top w:val="nil"/>
              <w:left w:val="nil"/>
              <w:bottom w:val="single" w:sz="4" w:space="0" w:color="auto"/>
              <w:right w:val="single" w:sz="8" w:space="0" w:color="auto"/>
            </w:tcBorders>
            <w:shd w:val="clear" w:color="000000" w:fill="DCE6F1"/>
            <w:noWrap/>
            <w:vAlign w:val="center"/>
            <w:hideMark/>
          </w:tcPr>
          <w:p w14:paraId="549D70AB" w14:textId="77777777" w:rsidR="001C3EF6" w:rsidRPr="00FC39E3" w:rsidRDefault="001C3EF6" w:rsidP="00FE72EC">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29 359</w:t>
            </w:r>
          </w:p>
        </w:tc>
      </w:tr>
      <w:tr w:rsidR="001C3EF6" w:rsidRPr="008D0165" w14:paraId="4F242D81" w14:textId="77777777" w:rsidTr="00FE72EC">
        <w:trPr>
          <w:trHeight w:val="34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14:paraId="6821230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1559" w:type="dxa"/>
            <w:tcBorders>
              <w:top w:val="nil"/>
              <w:left w:val="nil"/>
              <w:bottom w:val="single" w:sz="4" w:space="0" w:color="auto"/>
              <w:right w:val="single" w:sz="4" w:space="0" w:color="auto"/>
            </w:tcBorders>
            <w:shd w:val="clear" w:color="auto" w:fill="auto"/>
            <w:noWrap/>
            <w:vAlign w:val="center"/>
            <w:hideMark/>
          </w:tcPr>
          <w:p w14:paraId="5A4A21B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120 926</w:t>
            </w:r>
          </w:p>
        </w:tc>
        <w:tc>
          <w:tcPr>
            <w:tcW w:w="1559" w:type="dxa"/>
            <w:tcBorders>
              <w:top w:val="nil"/>
              <w:left w:val="nil"/>
              <w:bottom w:val="single" w:sz="4" w:space="0" w:color="auto"/>
              <w:right w:val="single" w:sz="4" w:space="0" w:color="auto"/>
            </w:tcBorders>
            <w:shd w:val="clear" w:color="auto" w:fill="auto"/>
            <w:noWrap/>
            <w:vAlign w:val="center"/>
            <w:hideMark/>
          </w:tcPr>
          <w:p w14:paraId="68FBE5E2"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92 085</w:t>
            </w:r>
          </w:p>
        </w:tc>
        <w:tc>
          <w:tcPr>
            <w:tcW w:w="1559" w:type="dxa"/>
            <w:tcBorders>
              <w:top w:val="nil"/>
              <w:left w:val="nil"/>
              <w:bottom w:val="single" w:sz="4" w:space="0" w:color="auto"/>
              <w:right w:val="single" w:sz="4" w:space="0" w:color="auto"/>
            </w:tcBorders>
            <w:shd w:val="clear" w:color="auto" w:fill="auto"/>
            <w:noWrap/>
            <w:vAlign w:val="center"/>
            <w:hideMark/>
          </w:tcPr>
          <w:p w14:paraId="22AEF3BB"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21 322</w:t>
            </w:r>
          </w:p>
        </w:tc>
        <w:tc>
          <w:tcPr>
            <w:tcW w:w="1560" w:type="dxa"/>
            <w:tcBorders>
              <w:top w:val="nil"/>
              <w:left w:val="nil"/>
              <w:bottom w:val="single" w:sz="4" w:space="0" w:color="auto"/>
              <w:right w:val="single" w:sz="4" w:space="0" w:color="auto"/>
            </w:tcBorders>
            <w:shd w:val="clear" w:color="auto" w:fill="auto"/>
            <w:noWrap/>
            <w:vAlign w:val="center"/>
            <w:hideMark/>
          </w:tcPr>
          <w:p w14:paraId="2CC9249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456</w:t>
            </w:r>
          </w:p>
        </w:tc>
        <w:tc>
          <w:tcPr>
            <w:tcW w:w="1842" w:type="dxa"/>
            <w:tcBorders>
              <w:top w:val="nil"/>
              <w:left w:val="nil"/>
              <w:bottom w:val="single" w:sz="4" w:space="0" w:color="auto"/>
              <w:right w:val="single" w:sz="8" w:space="0" w:color="auto"/>
            </w:tcBorders>
            <w:shd w:val="clear" w:color="auto" w:fill="auto"/>
            <w:noWrap/>
            <w:vAlign w:val="center"/>
            <w:hideMark/>
          </w:tcPr>
          <w:p w14:paraId="3B8DEF5A"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7 063</w:t>
            </w:r>
          </w:p>
        </w:tc>
      </w:tr>
      <w:tr w:rsidR="001C3EF6" w:rsidRPr="008D0165" w14:paraId="407A8971" w14:textId="77777777" w:rsidTr="00FE72EC">
        <w:trPr>
          <w:trHeight w:val="34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14:paraId="39F29796" w14:textId="70B8F440" w:rsidR="001C3EF6" w:rsidRPr="00FC39E3" w:rsidRDefault="006216AD" w:rsidP="00FE72EC">
            <w:pPr>
              <w:spacing w:after="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k</w:t>
            </w:r>
            <w:r w:rsidR="001C3EF6" w:rsidRPr="00FC39E3">
              <w:rPr>
                <w:rFonts w:eastAsia="Times New Roman" w:cstheme="minorHAnsi"/>
                <w:color w:val="000000"/>
                <w:sz w:val="20"/>
                <w:szCs w:val="20"/>
                <w:lang w:eastAsia="pl-PL"/>
              </w:rPr>
              <w:t>obiety</w:t>
            </w:r>
          </w:p>
        </w:tc>
        <w:tc>
          <w:tcPr>
            <w:tcW w:w="1559" w:type="dxa"/>
            <w:tcBorders>
              <w:top w:val="nil"/>
              <w:left w:val="nil"/>
              <w:bottom w:val="single" w:sz="8" w:space="0" w:color="auto"/>
              <w:right w:val="single" w:sz="4" w:space="0" w:color="auto"/>
            </w:tcBorders>
            <w:shd w:val="clear" w:color="auto" w:fill="auto"/>
            <w:noWrap/>
            <w:vAlign w:val="center"/>
            <w:hideMark/>
          </w:tcPr>
          <w:p w14:paraId="2AAE3AA6"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164 356</w:t>
            </w:r>
          </w:p>
        </w:tc>
        <w:tc>
          <w:tcPr>
            <w:tcW w:w="1559" w:type="dxa"/>
            <w:tcBorders>
              <w:top w:val="nil"/>
              <w:left w:val="nil"/>
              <w:bottom w:val="single" w:sz="8" w:space="0" w:color="auto"/>
              <w:right w:val="single" w:sz="4" w:space="0" w:color="auto"/>
            </w:tcBorders>
            <w:shd w:val="clear" w:color="auto" w:fill="auto"/>
            <w:noWrap/>
            <w:vAlign w:val="center"/>
            <w:hideMark/>
          </w:tcPr>
          <w:p w14:paraId="790CAE05"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102 335</w:t>
            </w:r>
          </w:p>
        </w:tc>
        <w:tc>
          <w:tcPr>
            <w:tcW w:w="1559" w:type="dxa"/>
            <w:tcBorders>
              <w:top w:val="nil"/>
              <w:left w:val="nil"/>
              <w:bottom w:val="single" w:sz="8" w:space="0" w:color="auto"/>
              <w:right w:val="single" w:sz="4" w:space="0" w:color="auto"/>
            </w:tcBorders>
            <w:shd w:val="clear" w:color="auto" w:fill="auto"/>
            <w:noWrap/>
            <w:vAlign w:val="center"/>
            <w:hideMark/>
          </w:tcPr>
          <w:p w14:paraId="767CED19"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38 529</w:t>
            </w:r>
          </w:p>
        </w:tc>
        <w:tc>
          <w:tcPr>
            <w:tcW w:w="1560" w:type="dxa"/>
            <w:tcBorders>
              <w:top w:val="nil"/>
              <w:left w:val="nil"/>
              <w:bottom w:val="single" w:sz="8" w:space="0" w:color="auto"/>
              <w:right w:val="single" w:sz="4" w:space="0" w:color="auto"/>
            </w:tcBorders>
            <w:shd w:val="clear" w:color="auto" w:fill="auto"/>
            <w:noWrap/>
            <w:vAlign w:val="center"/>
            <w:hideMark/>
          </w:tcPr>
          <w:p w14:paraId="31A0DEE1"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1 196</w:t>
            </w:r>
          </w:p>
        </w:tc>
        <w:tc>
          <w:tcPr>
            <w:tcW w:w="1842" w:type="dxa"/>
            <w:tcBorders>
              <w:top w:val="nil"/>
              <w:left w:val="nil"/>
              <w:bottom w:val="single" w:sz="8" w:space="0" w:color="auto"/>
              <w:right w:val="single" w:sz="8" w:space="0" w:color="auto"/>
            </w:tcBorders>
            <w:shd w:val="clear" w:color="auto" w:fill="auto"/>
            <w:noWrap/>
            <w:vAlign w:val="center"/>
            <w:hideMark/>
          </w:tcPr>
          <w:p w14:paraId="03932EE4" w14:textId="77777777" w:rsidR="001C3EF6" w:rsidRPr="00FC39E3" w:rsidRDefault="001C3EF6" w:rsidP="00FE72EC">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22 296</w:t>
            </w:r>
          </w:p>
        </w:tc>
      </w:tr>
    </w:tbl>
    <w:p w14:paraId="37F778C3" w14:textId="6BEF482B" w:rsidR="00AD7C89" w:rsidRPr="00A77D1A" w:rsidRDefault="001C3EF6" w:rsidP="0084113E">
      <w:pPr>
        <w:spacing w:before="120" w:after="120" w:line="23" w:lineRule="atLeast"/>
        <w:jc w:val="both"/>
        <w:rPr>
          <w:rFonts w:cstheme="minorHAnsi"/>
          <w:i/>
          <w:iCs/>
          <w:color w:val="000000"/>
          <w:sz w:val="18"/>
          <w:szCs w:val="18"/>
        </w:rPr>
      </w:pPr>
      <w:r w:rsidRPr="008D0165">
        <w:rPr>
          <w:rFonts w:cstheme="minorHAnsi"/>
          <w:i/>
          <w:iCs/>
          <w:color w:val="000000"/>
          <w:sz w:val="24"/>
          <w:szCs w:val="24"/>
          <w:vertAlign w:val="superscript"/>
        </w:rPr>
        <w:t>*)</w:t>
      </w:r>
      <w:r w:rsidRPr="008D0165">
        <w:rPr>
          <w:rFonts w:cstheme="minorHAnsi"/>
          <w:i/>
          <w:iCs/>
          <w:color w:val="000000"/>
          <w:sz w:val="24"/>
          <w:szCs w:val="24"/>
        </w:rPr>
        <w:t xml:space="preserve"> </w:t>
      </w:r>
      <w:r w:rsidRPr="00A77D1A">
        <w:rPr>
          <w:rFonts w:cstheme="minorHAnsi"/>
          <w:i/>
          <w:iCs/>
          <w:color w:val="000000"/>
          <w:sz w:val="18"/>
          <w:szCs w:val="18"/>
        </w:rPr>
        <w:t>W analizie wzięto pod uwagę tylko emerytury nowosystemowe, do których prawo przysługuje po osiągnięciu ustawowego wieku emerytalnego (o którym mowa w art. 24 ustawy o emeryturach i rentach z FUS). Badano liczbę pełnych miesięcy od</w:t>
      </w:r>
      <w:r w:rsidR="008123D6">
        <w:rPr>
          <w:rFonts w:cstheme="minorHAnsi"/>
          <w:i/>
          <w:iCs/>
          <w:color w:val="000000"/>
          <w:sz w:val="18"/>
          <w:szCs w:val="18"/>
        </w:rPr>
        <w:t> </w:t>
      </w:r>
      <w:r w:rsidRPr="00A77D1A">
        <w:rPr>
          <w:rFonts w:cstheme="minorHAnsi"/>
          <w:i/>
          <w:iCs/>
          <w:color w:val="000000"/>
          <w:sz w:val="18"/>
          <w:szCs w:val="18"/>
        </w:rPr>
        <w:t>osiągnięcia odpowiedniego – dla danej płci i daty urodzenia – wieku emerytalnego do dnia przyznania prawa do emerytury.</w:t>
      </w:r>
    </w:p>
    <w:p w14:paraId="2BE099F9" w14:textId="1D80A262" w:rsidR="004762A5" w:rsidRPr="00A77D1A" w:rsidRDefault="008123D6" w:rsidP="0084113E">
      <w:pPr>
        <w:spacing w:before="120" w:after="120" w:line="23" w:lineRule="atLeast"/>
        <w:jc w:val="both"/>
        <w:rPr>
          <w:rFonts w:cstheme="minorHAnsi"/>
          <w:sz w:val="18"/>
          <w:szCs w:val="18"/>
        </w:rPr>
      </w:pPr>
      <w:r>
        <w:rPr>
          <w:rFonts w:cstheme="minorHAnsi"/>
          <w:sz w:val="18"/>
          <w:szCs w:val="18"/>
        </w:rPr>
        <w:t>Źródło: ZUS</w:t>
      </w:r>
    </w:p>
    <w:p w14:paraId="627FA3B8" w14:textId="1E70A793" w:rsidR="00E335DB" w:rsidRPr="008D0165" w:rsidRDefault="00132B37" w:rsidP="00FC39E3">
      <w:pPr>
        <w:spacing w:before="120" w:after="120"/>
        <w:jc w:val="both"/>
        <w:rPr>
          <w:sz w:val="24"/>
          <w:szCs w:val="24"/>
        </w:rPr>
      </w:pPr>
      <w:r w:rsidRPr="008D0165">
        <w:rPr>
          <w:sz w:val="24"/>
          <w:szCs w:val="24"/>
        </w:rPr>
        <w:t>Spośród 205,5 tys. osób, którym przyznano po raz pierwszy i wypłacon</w:t>
      </w:r>
      <w:r w:rsidR="00066039" w:rsidRPr="008D0165">
        <w:rPr>
          <w:sz w:val="24"/>
          <w:szCs w:val="24"/>
        </w:rPr>
        <w:t>o emeryturę w okresie 1.10–31.12.2017 r.</w:t>
      </w:r>
      <w:r w:rsidRPr="008D0165">
        <w:rPr>
          <w:sz w:val="24"/>
          <w:szCs w:val="24"/>
        </w:rPr>
        <w:t xml:space="preserve"> – 65,6%, tj. 134,9 tys.</w:t>
      </w:r>
      <w:r w:rsidR="00EF2B79">
        <w:rPr>
          <w:sz w:val="24"/>
          <w:szCs w:val="24"/>
        </w:rPr>
        <w:t>,</w:t>
      </w:r>
      <w:r w:rsidRPr="008D0165">
        <w:rPr>
          <w:sz w:val="24"/>
          <w:szCs w:val="24"/>
        </w:rPr>
        <w:t xml:space="preserve"> stano</w:t>
      </w:r>
      <w:r w:rsidR="008A7C7D" w:rsidRPr="008D0165">
        <w:rPr>
          <w:sz w:val="24"/>
          <w:szCs w:val="24"/>
        </w:rPr>
        <w:t>wiły ko</w:t>
      </w:r>
      <w:r w:rsidR="002804F7" w:rsidRPr="008D0165">
        <w:rPr>
          <w:sz w:val="24"/>
          <w:szCs w:val="24"/>
        </w:rPr>
        <w:t>biety, a 34,4%, tj. </w:t>
      </w:r>
      <w:r w:rsidR="008A7C7D" w:rsidRPr="008D0165">
        <w:rPr>
          <w:sz w:val="24"/>
          <w:szCs w:val="24"/>
        </w:rPr>
        <w:t>70,6 </w:t>
      </w:r>
      <w:r w:rsidRPr="008D0165">
        <w:rPr>
          <w:sz w:val="24"/>
          <w:szCs w:val="24"/>
        </w:rPr>
        <w:t>tys.</w:t>
      </w:r>
      <w:r w:rsidR="00EF2B79">
        <w:rPr>
          <w:sz w:val="24"/>
          <w:szCs w:val="24"/>
        </w:rPr>
        <w:t>,</w:t>
      </w:r>
      <w:r w:rsidRPr="008D0165">
        <w:rPr>
          <w:sz w:val="24"/>
          <w:szCs w:val="24"/>
        </w:rPr>
        <w:t xml:space="preserve"> stanowili mężczyźni. Natomiast w 2018 r. spośród 282,0 tys. osób, którym przyznano po raz pierwszy i</w:t>
      </w:r>
      <w:r w:rsidR="008123D6">
        <w:rPr>
          <w:sz w:val="24"/>
          <w:szCs w:val="24"/>
        </w:rPr>
        <w:t> </w:t>
      </w:r>
      <w:r w:rsidRPr="008D0165">
        <w:rPr>
          <w:sz w:val="24"/>
          <w:szCs w:val="24"/>
        </w:rPr>
        <w:t>wypłaco</w:t>
      </w:r>
      <w:r w:rsidR="00066039" w:rsidRPr="008D0165">
        <w:rPr>
          <w:sz w:val="24"/>
          <w:szCs w:val="24"/>
        </w:rPr>
        <w:t>no emeryturę w obniżonym wieku –</w:t>
      </w:r>
      <w:r w:rsidRPr="008D0165">
        <w:rPr>
          <w:sz w:val="24"/>
          <w:szCs w:val="24"/>
        </w:rPr>
        <w:t xml:space="preserve"> 63,6%, tj. 179,3 tys.</w:t>
      </w:r>
      <w:r w:rsidR="00EF2B79">
        <w:rPr>
          <w:sz w:val="24"/>
          <w:szCs w:val="24"/>
        </w:rPr>
        <w:t>,</w:t>
      </w:r>
      <w:r w:rsidRPr="008D0165">
        <w:rPr>
          <w:sz w:val="24"/>
          <w:szCs w:val="24"/>
        </w:rPr>
        <w:t xml:space="preserve"> stanowiły kobiety, </w:t>
      </w:r>
      <w:r w:rsidR="002804F7" w:rsidRPr="008D0165">
        <w:rPr>
          <w:sz w:val="24"/>
          <w:szCs w:val="24"/>
        </w:rPr>
        <w:t>a </w:t>
      </w:r>
      <w:r w:rsidRPr="008D0165">
        <w:rPr>
          <w:sz w:val="24"/>
          <w:szCs w:val="24"/>
        </w:rPr>
        <w:t>36,4%, tj. 102,6 tys.</w:t>
      </w:r>
      <w:r w:rsidR="00EF2B79">
        <w:rPr>
          <w:sz w:val="24"/>
          <w:szCs w:val="24"/>
        </w:rPr>
        <w:t>,</w:t>
      </w:r>
      <w:r w:rsidRPr="008D0165">
        <w:rPr>
          <w:sz w:val="24"/>
          <w:szCs w:val="24"/>
        </w:rPr>
        <w:t xml:space="preserve"> stanowili mężczyźni.</w:t>
      </w:r>
      <w:r w:rsidR="00EF36B4" w:rsidRPr="008D0165">
        <w:rPr>
          <w:sz w:val="24"/>
          <w:szCs w:val="24"/>
        </w:rPr>
        <w:t xml:space="preserve"> W 2019 r. po raz pierwszy przyznano emeryturę 302,3 tys. osobom</w:t>
      </w:r>
      <w:r w:rsidR="00455054" w:rsidRPr="008D0165">
        <w:rPr>
          <w:sz w:val="24"/>
          <w:szCs w:val="24"/>
        </w:rPr>
        <w:t xml:space="preserve">, wśród których było 37,8%, tj. </w:t>
      </w:r>
      <w:r w:rsidR="00EF36B4" w:rsidRPr="008D0165">
        <w:rPr>
          <w:sz w:val="24"/>
          <w:szCs w:val="24"/>
        </w:rPr>
        <w:t>114,2 tys.</w:t>
      </w:r>
      <w:r w:rsidR="00EF2B79">
        <w:rPr>
          <w:sz w:val="24"/>
          <w:szCs w:val="24"/>
        </w:rPr>
        <w:t>,</w:t>
      </w:r>
      <w:r w:rsidR="00EF36B4" w:rsidRPr="008D0165">
        <w:rPr>
          <w:sz w:val="24"/>
          <w:szCs w:val="24"/>
        </w:rPr>
        <w:t xml:space="preserve"> mężczyzn</w:t>
      </w:r>
      <w:r w:rsidR="00455054" w:rsidRPr="008D0165">
        <w:rPr>
          <w:sz w:val="24"/>
          <w:szCs w:val="24"/>
        </w:rPr>
        <w:t xml:space="preserve"> oraz</w:t>
      </w:r>
      <w:r w:rsidR="00EF36B4" w:rsidRPr="008D0165">
        <w:rPr>
          <w:sz w:val="24"/>
          <w:szCs w:val="24"/>
        </w:rPr>
        <w:t xml:space="preserve"> </w:t>
      </w:r>
      <w:r w:rsidR="00455054" w:rsidRPr="008D0165">
        <w:rPr>
          <w:sz w:val="24"/>
          <w:szCs w:val="24"/>
        </w:rPr>
        <w:t>62,2%,</w:t>
      </w:r>
      <w:r w:rsidR="00066039" w:rsidRPr="008D0165">
        <w:rPr>
          <w:sz w:val="24"/>
          <w:szCs w:val="24"/>
        </w:rPr>
        <w:t xml:space="preserve"> </w:t>
      </w:r>
      <w:r w:rsidR="00455054" w:rsidRPr="008D0165">
        <w:rPr>
          <w:sz w:val="24"/>
          <w:szCs w:val="24"/>
        </w:rPr>
        <w:t xml:space="preserve">tj. </w:t>
      </w:r>
      <w:r w:rsidR="00EF36B4" w:rsidRPr="008D0165">
        <w:rPr>
          <w:sz w:val="24"/>
          <w:szCs w:val="24"/>
        </w:rPr>
        <w:t>188 tys.</w:t>
      </w:r>
      <w:r w:rsidR="00EF2B79">
        <w:rPr>
          <w:sz w:val="24"/>
          <w:szCs w:val="24"/>
        </w:rPr>
        <w:t>,</w:t>
      </w:r>
      <w:r w:rsidR="00EF36B4" w:rsidRPr="008D0165">
        <w:rPr>
          <w:sz w:val="24"/>
          <w:szCs w:val="24"/>
        </w:rPr>
        <w:t xml:space="preserve"> kobiet</w:t>
      </w:r>
      <w:r w:rsidR="00455054" w:rsidRPr="008D0165">
        <w:rPr>
          <w:sz w:val="24"/>
          <w:szCs w:val="24"/>
        </w:rPr>
        <w:t>.</w:t>
      </w:r>
      <w:r w:rsidR="00EF36B4" w:rsidRPr="008D0165">
        <w:rPr>
          <w:sz w:val="24"/>
          <w:szCs w:val="24"/>
        </w:rPr>
        <w:t xml:space="preserve"> </w:t>
      </w:r>
      <w:r w:rsidR="00455054" w:rsidRPr="008D0165">
        <w:rPr>
          <w:sz w:val="24"/>
          <w:szCs w:val="24"/>
        </w:rPr>
        <w:t>W</w:t>
      </w:r>
      <w:r w:rsidR="008123D6">
        <w:rPr>
          <w:sz w:val="24"/>
          <w:szCs w:val="24"/>
        </w:rPr>
        <w:t> </w:t>
      </w:r>
      <w:r w:rsidR="00EF36B4" w:rsidRPr="008D0165">
        <w:rPr>
          <w:sz w:val="24"/>
          <w:szCs w:val="24"/>
        </w:rPr>
        <w:t xml:space="preserve">2020 r. </w:t>
      </w:r>
      <w:r w:rsidR="00455054" w:rsidRPr="008D0165">
        <w:rPr>
          <w:sz w:val="24"/>
          <w:szCs w:val="24"/>
        </w:rPr>
        <w:t>wartość ta spadła do</w:t>
      </w:r>
      <w:r w:rsidR="00EF36B4" w:rsidRPr="008D0165">
        <w:rPr>
          <w:sz w:val="24"/>
          <w:szCs w:val="24"/>
        </w:rPr>
        <w:t xml:space="preserve"> 293,1 tys. osób</w:t>
      </w:r>
      <w:r w:rsidR="00455054" w:rsidRPr="008D0165">
        <w:rPr>
          <w:sz w:val="24"/>
          <w:szCs w:val="24"/>
        </w:rPr>
        <w:t xml:space="preserve">, przy czym 40,0%, tj. </w:t>
      </w:r>
      <w:r w:rsidR="00EF36B4" w:rsidRPr="008D0165">
        <w:rPr>
          <w:sz w:val="24"/>
          <w:szCs w:val="24"/>
        </w:rPr>
        <w:t>117,2 tys.</w:t>
      </w:r>
      <w:r w:rsidR="00EF2B79">
        <w:rPr>
          <w:sz w:val="24"/>
          <w:szCs w:val="24"/>
        </w:rPr>
        <w:t>,</w:t>
      </w:r>
      <w:r w:rsidR="00EF36B4" w:rsidRPr="008D0165">
        <w:rPr>
          <w:sz w:val="24"/>
          <w:szCs w:val="24"/>
        </w:rPr>
        <w:t xml:space="preserve"> </w:t>
      </w:r>
      <w:r w:rsidR="00455054" w:rsidRPr="008D0165">
        <w:rPr>
          <w:sz w:val="24"/>
          <w:szCs w:val="24"/>
        </w:rPr>
        <w:t xml:space="preserve">stanowili </w:t>
      </w:r>
      <w:r w:rsidR="00EF36B4" w:rsidRPr="008D0165">
        <w:rPr>
          <w:sz w:val="24"/>
          <w:szCs w:val="24"/>
        </w:rPr>
        <w:t>mężczy</w:t>
      </w:r>
      <w:r w:rsidR="00455054" w:rsidRPr="008D0165">
        <w:rPr>
          <w:sz w:val="24"/>
          <w:szCs w:val="24"/>
        </w:rPr>
        <w:t>ź</w:t>
      </w:r>
      <w:r w:rsidR="00EF36B4" w:rsidRPr="008D0165">
        <w:rPr>
          <w:sz w:val="24"/>
          <w:szCs w:val="24"/>
        </w:rPr>
        <w:t>n</w:t>
      </w:r>
      <w:r w:rsidR="00455054" w:rsidRPr="008D0165">
        <w:rPr>
          <w:sz w:val="24"/>
          <w:szCs w:val="24"/>
        </w:rPr>
        <w:t>i, a 60,0%, tj.</w:t>
      </w:r>
      <w:r w:rsidR="002804F7" w:rsidRPr="008D0165">
        <w:rPr>
          <w:sz w:val="24"/>
          <w:szCs w:val="24"/>
        </w:rPr>
        <w:t> </w:t>
      </w:r>
      <w:r w:rsidR="00EF36B4" w:rsidRPr="008D0165">
        <w:rPr>
          <w:sz w:val="24"/>
          <w:szCs w:val="24"/>
        </w:rPr>
        <w:t>175,9 tys.</w:t>
      </w:r>
      <w:r w:rsidR="00EF2B79">
        <w:rPr>
          <w:sz w:val="24"/>
          <w:szCs w:val="24"/>
        </w:rPr>
        <w:t>,</w:t>
      </w:r>
      <w:r w:rsidR="00EF36B4" w:rsidRPr="008D0165">
        <w:rPr>
          <w:sz w:val="24"/>
          <w:szCs w:val="24"/>
        </w:rPr>
        <w:t xml:space="preserve"> kobiet</w:t>
      </w:r>
      <w:r w:rsidR="00455054" w:rsidRPr="008D0165">
        <w:rPr>
          <w:sz w:val="24"/>
          <w:szCs w:val="24"/>
        </w:rPr>
        <w:t>y. N</w:t>
      </w:r>
      <w:r w:rsidR="00EF36B4" w:rsidRPr="008D0165">
        <w:rPr>
          <w:sz w:val="24"/>
          <w:szCs w:val="24"/>
        </w:rPr>
        <w:t>a koniec 2021 r. było to 293,9 osób</w:t>
      </w:r>
      <w:r w:rsidR="007600B3" w:rsidRPr="008D0165">
        <w:rPr>
          <w:sz w:val="24"/>
          <w:szCs w:val="24"/>
        </w:rPr>
        <w:t xml:space="preserve">, w tym </w:t>
      </w:r>
      <w:r w:rsidR="00455054" w:rsidRPr="008D0165">
        <w:rPr>
          <w:sz w:val="24"/>
          <w:szCs w:val="24"/>
        </w:rPr>
        <w:t xml:space="preserve">43,0%, tj. 126,3 </w:t>
      </w:r>
      <w:r w:rsidR="00717776">
        <w:rPr>
          <w:sz w:val="24"/>
          <w:szCs w:val="24"/>
        </w:rPr>
        <w:t>tys.</w:t>
      </w:r>
      <w:r w:rsidR="00EF2B79">
        <w:rPr>
          <w:sz w:val="24"/>
          <w:szCs w:val="24"/>
        </w:rPr>
        <w:t>,</w:t>
      </w:r>
      <w:r w:rsidR="00717776">
        <w:rPr>
          <w:sz w:val="24"/>
          <w:szCs w:val="24"/>
        </w:rPr>
        <w:t xml:space="preserve"> </w:t>
      </w:r>
      <w:r w:rsidR="00455054" w:rsidRPr="008D0165">
        <w:rPr>
          <w:sz w:val="24"/>
          <w:szCs w:val="24"/>
        </w:rPr>
        <w:t>męż</w:t>
      </w:r>
      <w:r w:rsidR="007600B3" w:rsidRPr="008D0165">
        <w:rPr>
          <w:sz w:val="24"/>
          <w:szCs w:val="24"/>
        </w:rPr>
        <w:t>czyzn oraz 57,0% kobiet.</w:t>
      </w:r>
    </w:p>
    <w:p w14:paraId="55B8C7DF" w14:textId="20B84FC4" w:rsidR="00132B37" w:rsidRPr="008D0165" w:rsidRDefault="00132B37" w:rsidP="0084113E">
      <w:pPr>
        <w:spacing w:before="120" w:after="120" w:line="23" w:lineRule="atLeast"/>
        <w:jc w:val="both"/>
        <w:rPr>
          <w:b/>
          <w:sz w:val="24"/>
          <w:szCs w:val="24"/>
        </w:rPr>
      </w:pPr>
      <w:r w:rsidRPr="008D0165">
        <w:rPr>
          <w:b/>
          <w:sz w:val="24"/>
          <w:szCs w:val="24"/>
        </w:rPr>
        <w:lastRenderedPageBreak/>
        <w:t xml:space="preserve">Tabela </w:t>
      </w:r>
      <w:r w:rsidR="00E861F0" w:rsidRPr="008D0165">
        <w:rPr>
          <w:b/>
          <w:sz w:val="24"/>
          <w:szCs w:val="24"/>
        </w:rPr>
        <w:t>7</w:t>
      </w:r>
      <w:r w:rsidRPr="008D0165">
        <w:rPr>
          <w:b/>
          <w:sz w:val="24"/>
          <w:szCs w:val="24"/>
        </w:rPr>
        <w:t xml:space="preserve">. </w:t>
      </w:r>
      <w:r w:rsidR="00D60A5A" w:rsidRPr="008D0165">
        <w:rPr>
          <w:b/>
          <w:sz w:val="24"/>
          <w:szCs w:val="24"/>
        </w:rPr>
        <w:t>Liczba osób, którym przyznano emerytury</w:t>
      </w:r>
      <w:r w:rsidR="00D60A5A" w:rsidRPr="008D0165">
        <w:rPr>
          <w:b/>
          <w:sz w:val="24"/>
          <w:szCs w:val="24"/>
          <w:vertAlign w:val="superscript"/>
        </w:rPr>
        <w:t>*)</w:t>
      </w:r>
      <w:r w:rsidR="00066039" w:rsidRPr="008D0165">
        <w:rPr>
          <w:b/>
          <w:sz w:val="24"/>
          <w:szCs w:val="24"/>
        </w:rPr>
        <w:t xml:space="preserve"> w latach 2019–</w:t>
      </w:r>
      <w:r w:rsidR="00D60A5A" w:rsidRPr="008D0165">
        <w:rPr>
          <w:b/>
          <w:sz w:val="24"/>
          <w:szCs w:val="24"/>
        </w:rPr>
        <w:t>2021 – według wieku i</w:t>
      </w:r>
      <w:r w:rsidR="008123D6">
        <w:rPr>
          <w:b/>
          <w:sz w:val="24"/>
          <w:szCs w:val="24"/>
        </w:rPr>
        <w:t> </w:t>
      </w:r>
      <w:r w:rsidR="00D60A5A" w:rsidRPr="008D0165">
        <w:rPr>
          <w:b/>
          <w:sz w:val="24"/>
          <w:szCs w:val="24"/>
        </w:rPr>
        <w:t>płci</w:t>
      </w:r>
    </w:p>
    <w:tbl>
      <w:tblPr>
        <w:tblW w:w="9229" w:type="dxa"/>
        <w:tblInd w:w="-72" w:type="dxa"/>
        <w:tblCellMar>
          <w:left w:w="70" w:type="dxa"/>
          <w:right w:w="70" w:type="dxa"/>
        </w:tblCellMar>
        <w:tblLook w:val="04A0" w:firstRow="1" w:lastRow="0" w:firstColumn="1" w:lastColumn="0" w:noHBand="0" w:noVBand="1"/>
      </w:tblPr>
      <w:tblGrid>
        <w:gridCol w:w="1067"/>
        <w:gridCol w:w="992"/>
        <w:gridCol w:w="974"/>
        <w:gridCol w:w="851"/>
        <w:gridCol w:w="850"/>
        <w:gridCol w:w="992"/>
        <w:gridCol w:w="851"/>
        <w:gridCol w:w="850"/>
        <w:gridCol w:w="993"/>
        <w:gridCol w:w="850"/>
      </w:tblGrid>
      <w:tr w:rsidR="00D60A5A" w:rsidRPr="008D0165" w14:paraId="1A623DD4" w14:textId="77777777" w:rsidTr="001B0FD0">
        <w:trPr>
          <w:trHeight w:val="340"/>
          <w:tblHeader/>
        </w:trPr>
        <w:tc>
          <w:tcPr>
            <w:tcW w:w="1193" w:type="dxa"/>
            <w:vMerge w:val="restart"/>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2CD8A3C8"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Wiek</w:t>
            </w:r>
            <w:r w:rsidR="005F0B18" w:rsidRPr="00FC39E3">
              <w:rPr>
                <w:rFonts w:eastAsia="Times New Roman" w:cstheme="minorHAnsi"/>
                <w:b/>
                <w:bCs/>
                <w:color w:val="000000"/>
                <w:sz w:val="20"/>
                <w:szCs w:val="20"/>
                <w:lang w:eastAsia="pl-PL"/>
              </w:rPr>
              <w:t xml:space="preserve"> </w:t>
            </w:r>
            <w:r w:rsidRPr="00FC39E3">
              <w:rPr>
                <w:rFonts w:eastAsia="Times New Roman" w:cstheme="minorHAnsi"/>
                <w:b/>
                <w:bCs/>
                <w:color w:val="000000"/>
                <w:sz w:val="20"/>
                <w:szCs w:val="20"/>
                <w:lang w:eastAsia="pl-PL"/>
              </w:rPr>
              <w:t>w latach</w:t>
            </w:r>
          </w:p>
        </w:tc>
        <w:tc>
          <w:tcPr>
            <w:tcW w:w="2650"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0E100D78"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2019</w:t>
            </w:r>
          </w:p>
        </w:tc>
        <w:tc>
          <w:tcPr>
            <w:tcW w:w="269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18E177F5"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2020</w:t>
            </w:r>
          </w:p>
        </w:tc>
        <w:tc>
          <w:tcPr>
            <w:tcW w:w="269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1CC3B0CC"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2021</w:t>
            </w:r>
          </w:p>
        </w:tc>
      </w:tr>
      <w:tr w:rsidR="00D60A5A" w:rsidRPr="008D0165" w14:paraId="63CDC4EE" w14:textId="77777777" w:rsidTr="001B0FD0">
        <w:trPr>
          <w:trHeight w:val="340"/>
          <w:tblHeader/>
        </w:trPr>
        <w:tc>
          <w:tcPr>
            <w:tcW w:w="1193"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45EABEF0" w14:textId="77777777" w:rsidR="00D60A5A" w:rsidRPr="00FC39E3" w:rsidRDefault="00D60A5A" w:rsidP="00EE6F33">
            <w:pPr>
              <w:spacing w:after="0" w:line="240" w:lineRule="auto"/>
              <w:rPr>
                <w:rFonts w:eastAsia="Times New Roman" w:cstheme="minorHAnsi"/>
                <w:b/>
                <w:bCs/>
                <w:color w:val="000000"/>
                <w:sz w:val="20"/>
                <w:szCs w:val="20"/>
                <w:lang w:eastAsia="pl-PL"/>
              </w:rPr>
            </w:pP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14:paraId="59ABDD9E"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Ogółem</w:t>
            </w:r>
          </w:p>
        </w:tc>
        <w:tc>
          <w:tcPr>
            <w:tcW w:w="807" w:type="dxa"/>
            <w:tcBorders>
              <w:top w:val="nil"/>
              <w:left w:val="nil"/>
              <w:bottom w:val="single" w:sz="4" w:space="0" w:color="auto"/>
              <w:right w:val="single" w:sz="4" w:space="0" w:color="auto"/>
            </w:tcBorders>
            <w:shd w:val="clear" w:color="auto" w:fill="B8CCE4" w:themeFill="accent1" w:themeFillTint="66"/>
            <w:noWrap/>
            <w:vAlign w:val="center"/>
            <w:hideMark/>
          </w:tcPr>
          <w:p w14:paraId="3161EDD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851" w:type="dxa"/>
            <w:tcBorders>
              <w:top w:val="nil"/>
              <w:left w:val="nil"/>
              <w:bottom w:val="single" w:sz="4" w:space="0" w:color="auto"/>
              <w:right w:val="double" w:sz="6" w:space="0" w:color="auto"/>
            </w:tcBorders>
            <w:shd w:val="clear" w:color="auto" w:fill="B8CCE4" w:themeFill="accent1" w:themeFillTint="66"/>
            <w:noWrap/>
            <w:vAlign w:val="center"/>
            <w:hideMark/>
          </w:tcPr>
          <w:p w14:paraId="14EDF2C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Kobiety</w:t>
            </w:r>
          </w:p>
        </w:tc>
        <w:tc>
          <w:tcPr>
            <w:tcW w:w="850" w:type="dxa"/>
            <w:tcBorders>
              <w:top w:val="nil"/>
              <w:left w:val="nil"/>
              <w:bottom w:val="single" w:sz="4" w:space="0" w:color="auto"/>
              <w:right w:val="single" w:sz="4" w:space="0" w:color="auto"/>
            </w:tcBorders>
            <w:shd w:val="clear" w:color="auto" w:fill="B8CCE4" w:themeFill="accent1" w:themeFillTint="66"/>
            <w:noWrap/>
            <w:vAlign w:val="center"/>
            <w:hideMark/>
          </w:tcPr>
          <w:p w14:paraId="0786789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Ogółem</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14:paraId="4CCCB4E2"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851" w:type="dxa"/>
            <w:tcBorders>
              <w:top w:val="nil"/>
              <w:left w:val="nil"/>
              <w:bottom w:val="single" w:sz="4" w:space="0" w:color="auto"/>
              <w:right w:val="double" w:sz="6" w:space="0" w:color="auto"/>
            </w:tcBorders>
            <w:shd w:val="clear" w:color="auto" w:fill="B8CCE4" w:themeFill="accent1" w:themeFillTint="66"/>
            <w:noWrap/>
            <w:vAlign w:val="center"/>
            <w:hideMark/>
          </w:tcPr>
          <w:p w14:paraId="64442A4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Kobiety</w:t>
            </w:r>
          </w:p>
        </w:tc>
        <w:tc>
          <w:tcPr>
            <w:tcW w:w="850" w:type="dxa"/>
            <w:tcBorders>
              <w:top w:val="nil"/>
              <w:left w:val="nil"/>
              <w:bottom w:val="single" w:sz="4" w:space="0" w:color="auto"/>
              <w:right w:val="single" w:sz="4" w:space="0" w:color="auto"/>
            </w:tcBorders>
            <w:shd w:val="clear" w:color="auto" w:fill="B8CCE4" w:themeFill="accent1" w:themeFillTint="66"/>
            <w:noWrap/>
            <w:vAlign w:val="center"/>
            <w:hideMark/>
          </w:tcPr>
          <w:p w14:paraId="2615C58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Ogółem</w:t>
            </w:r>
          </w:p>
        </w:tc>
        <w:tc>
          <w:tcPr>
            <w:tcW w:w="993" w:type="dxa"/>
            <w:tcBorders>
              <w:top w:val="nil"/>
              <w:left w:val="nil"/>
              <w:bottom w:val="single" w:sz="4" w:space="0" w:color="auto"/>
              <w:right w:val="single" w:sz="4" w:space="0" w:color="auto"/>
            </w:tcBorders>
            <w:shd w:val="clear" w:color="auto" w:fill="B8CCE4" w:themeFill="accent1" w:themeFillTint="66"/>
            <w:noWrap/>
            <w:vAlign w:val="center"/>
            <w:hideMark/>
          </w:tcPr>
          <w:p w14:paraId="2C476B37"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Mężczyźni</w:t>
            </w:r>
          </w:p>
        </w:tc>
        <w:tc>
          <w:tcPr>
            <w:tcW w:w="850" w:type="dxa"/>
            <w:tcBorders>
              <w:top w:val="nil"/>
              <w:left w:val="nil"/>
              <w:bottom w:val="single" w:sz="4" w:space="0" w:color="auto"/>
              <w:right w:val="double" w:sz="6" w:space="0" w:color="auto"/>
            </w:tcBorders>
            <w:shd w:val="clear" w:color="auto" w:fill="B8CCE4" w:themeFill="accent1" w:themeFillTint="66"/>
            <w:noWrap/>
            <w:vAlign w:val="center"/>
            <w:hideMark/>
          </w:tcPr>
          <w:p w14:paraId="4AE8E609"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Kobiety</w:t>
            </w:r>
          </w:p>
        </w:tc>
      </w:tr>
      <w:tr w:rsidR="00D60A5A" w:rsidRPr="008D0165" w14:paraId="2A57DB7D" w14:textId="77777777" w:rsidTr="001B0FD0">
        <w:trPr>
          <w:trHeight w:val="340"/>
          <w:tblHeader/>
        </w:trPr>
        <w:tc>
          <w:tcPr>
            <w:tcW w:w="1193"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6808BA3F" w14:textId="77777777" w:rsidR="00D60A5A" w:rsidRPr="00FC39E3" w:rsidRDefault="00D60A5A" w:rsidP="00EE6F33">
            <w:pPr>
              <w:spacing w:after="0" w:line="240" w:lineRule="auto"/>
              <w:rPr>
                <w:rFonts w:eastAsia="Times New Roman" w:cstheme="minorHAnsi"/>
                <w:b/>
                <w:bCs/>
                <w:color w:val="000000"/>
                <w:sz w:val="20"/>
                <w:szCs w:val="20"/>
                <w:lang w:eastAsia="pl-PL"/>
              </w:rPr>
            </w:pPr>
          </w:p>
        </w:tc>
        <w:tc>
          <w:tcPr>
            <w:tcW w:w="8036" w:type="dxa"/>
            <w:gridSpan w:val="9"/>
            <w:tcBorders>
              <w:top w:val="single" w:sz="4" w:space="0" w:color="auto"/>
              <w:left w:val="nil"/>
              <w:bottom w:val="single" w:sz="4" w:space="0" w:color="auto"/>
              <w:right w:val="double" w:sz="6" w:space="0" w:color="000000"/>
            </w:tcBorders>
            <w:shd w:val="clear" w:color="auto" w:fill="B8CCE4" w:themeFill="accent1" w:themeFillTint="66"/>
            <w:noWrap/>
            <w:vAlign w:val="center"/>
            <w:hideMark/>
          </w:tcPr>
          <w:p w14:paraId="31DDF049" w14:textId="77777777" w:rsidR="00D60A5A" w:rsidRPr="00FC39E3" w:rsidRDefault="00D60A5A" w:rsidP="00EE6F33">
            <w:pPr>
              <w:spacing w:after="0" w:line="240" w:lineRule="auto"/>
              <w:jc w:val="center"/>
              <w:rPr>
                <w:rFonts w:eastAsia="Times New Roman" w:cstheme="minorHAnsi"/>
                <w:i/>
                <w:iCs/>
                <w:color w:val="000000"/>
                <w:sz w:val="20"/>
                <w:szCs w:val="20"/>
                <w:lang w:eastAsia="pl-PL"/>
              </w:rPr>
            </w:pPr>
            <w:r w:rsidRPr="00FC39E3">
              <w:rPr>
                <w:rFonts w:eastAsia="Times New Roman" w:cstheme="minorHAnsi"/>
                <w:i/>
                <w:iCs/>
                <w:color w:val="000000"/>
                <w:sz w:val="20"/>
                <w:szCs w:val="20"/>
                <w:lang w:eastAsia="pl-PL"/>
              </w:rPr>
              <w:t>w tys.</w:t>
            </w:r>
          </w:p>
        </w:tc>
      </w:tr>
      <w:tr w:rsidR="00D60A5A" w:rsidRPr="008D0165" w14:paraId="6D8337EE" w14:textId="77777777" w:rsidTr="00A447D3">
        <w:trPr>
          <w:trHeight w:val="340"/>
        </w:trPr>
        <w:tc>
          <w:tcPr>
            <w:tcW w:w="1193" w:type="dxa"/>
            <w:tcBorders>
              <w:top w:val="nil"/>
              <w:left w:val="single" w:sz="4" w:space="0" w:color="auto"/>
              <w:bottom w:val="nil"/>
              <w:right w:val="nil"/>
            </w:tcBorders>
            <w:shd w:val="clear" w:color="auto" w:fill="B8CCE4" w:themeFill="accent1" w:themeFillTint="66"/>
            <w:vAlign w:val="center"/>
            <w:hideMark/>
          </w:tcPr>
          <w:p w14:paraId="078C2261" w14:textId="77777777" w:rsidR="00D60A5A" w:rsidRPr="00FC39E3" w:rsidRDefault="00D60A5A" w:rsidP="00EE6F33">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OGÓŁEM</w:t>
            </w:r>
            <w:r w:rsidRPr="00FC39E3">
              <w:rPr>
                <w:rFonts w:eastAsia="Times New Roman" w:cstheme="minorHAnsi"/>
                <w:b/>
                <w:color w:val="000000"/>
                <w:sz w:val="20"/>
                <w:szCs w:val="20"/>
                <w:vertAlign w:val="superscript"/>
                <w:lang w:eastAsia="pl-PL"/>
              </w:rPr>
              <w:t>**)</w:t>
            </w:r>
          </w:p>
        </w:tc>
        <w:tc>
          <w:tcPr>
            <w:tcW w:w="992" w:type="dxa"/>
            <w:tcBorders>
              <w:top w:val="nil"/>
              <w:left w:val="double" w:sz="6" w:space="0" w:color="auto"/>
              <w:bottom w:val="nil"/>
              <w:right w:val="single" w:sz="4" w:space="0" w:color="auto"/>
            </w:tcBorders>
            <w:shd w:val="clear" w:color="auto" w:fill="B8CCE4" w:themeFill="accent1" w:themeFillTint="66"/>
            <w:noWrap/>
            <w:vAlign w:val="center"/>
            <w:hideMark/>
          </w:tcPr>
          <w:p w14:paraId="260FA028"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302,3</w:t>
            </w:r>
          </w:p>
        </w:tc>
        <w:tc>
          <w:tcPr>
            <w:tcW w:w="807" w:type="dxa"/>
            <w:tcBorders>
              <w:top w:val="nil"/>
              <w:left w:val="nil"/>
              <w:bottom w:val="nil"/>
              <w:right w:val="single" w:sz="4" w:space="0" w:color="auto"/>
            </w:tcBorders>
            <w:shd w:val="clear" w:color="auto" w:fill="B8CCE4" w:themeFill="accent1" w:themeFillTint="66"/>
            <w:noWrap/>
            <w:vAlign w:val="center"/>
            <w:hideMark/>
          </w:tcPr>
          <w:p w14:paraId="407FEBDC"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114,2</w:t>
            </w:r>
          </w:p>
        </w:tc>
        <w:tc>
          <w:tcPr>
            <w:tcW w:w="851" w:type="dxa"/>
            <w:tcBorders>
              <w:top w:val="nil"/>
              <w:left w:val="nil"/>
              <w:bottom w:val="nil"/>
              <w:right w:val="double" w:sz="6" w:space="0" w:color="auto"/>
            </w:tcBorders>
            <w:shd w:val="clear" w:color="auto" w:fill="B8CCE4" w:themeFill="accent1" w:themeFillTint="66"/>
            <w:noWrap/>
            <w:vAlign w:val="center"/>
            <w:hideMark/>
          </w:tcPr>
          <w:p w14:paraId="06881BC9"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188,1</w:t>
            </w:r>
          </w:p>
        </w:tc>
        <w:tc>
          <w:tcPr>
            <w:tcW w:w="850" w:type="dxa"/>
            <w:tcBorders>
              <w:top w:val="nil"/>
              <w:left w:val="nil"/>
              <w:bottom w:val="nil"/>
              <w:right w:val="single" w:sz="4" w:space="0" w:color="auto"/>
            </w:tcBorders>
            <w:shd w:val="clear" w:color="auto" w:fill="B8CCE4" w:themeFill="accent1" w:themeFillTint="66"/>
            <w:noWrap/>
            <w:vAlign w:val="center"/>
            <w:hideMark/>
          </w:tcPr>
          <w:p w14:paraId="2E9E9EB9"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293,1</w:t>
            </w:r>
          </w:p>
        </w:tc>
        <w:tc>
          <w:tcPr>
            <w:tcW w:w="992" w:type="dxa"/>
            <w:tcBorders>
              <w:top w:val="nil"/>
              <w:left w:val="nil"/>
              <w:bottom w:val="nil"/>
              <w:right w:val="single" w:sz="4" w:space="0" w:color="auto"/>
            </w:tcBorders>
            <w:shd w:val="clear" w:color="auto" w:fill="B8CCE4" w:themeFill="accent1" w:themeFillTint="66"/>
            <w:noWrap/>
            <w:vAlign w:val="center"/>
            <w:hideMark/>
          </w:tcPr>
          <w:p w14:paraId="163BFB99"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117,2</w:t>
            </w:r>
          </w:p>
        </w:tc>
        <w:tc>
          <w:tcPr>
            <w:tcW w:w="851" w:type="dxa"/>
            <w:tcBorders>
              <w:top w:val="nil"/>
              <w:left w:val="nil"/>
              <w:bottom w:val="nil"/>
              <w:right w:val="double" w:sz="6" w:space="0" w:color="auto"/>
            </w:tcBorders>
            <w:shd w:val="clear" w:color="auto" w:fill="B8CCE4" w:themeFill="accent1" w:themeFillTint="66"/>
            <w:noWrap/>
            <w:vAlign w:val="center"/>
            <w:hideMark/>
          </w:tcPr>
          <w:p w14:paraId="162FCEA3"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175,9</w:t>
            </w:r>
          </w:p>
        </w:tc>
        <w:tc>
          <w:tcPr>
            <w:tcW w:w="850" w:type="dxa"/>
            <w:tcBorders>
              <w:top w:val="nil"/>
              <w:left w:val="nil"/>
              <w:bottom w:val="nil"/>
              <w:right w:val="single" w:sz="4" w:space="0" w:color="auto"/>
            </w:tcBorders>
            <w:shd w:val="clear" w:color="auto" w:fill="B8CCE4" w:themeFill="accent1" w:themeFillTint="66"/>
            <w:noWrap/>
            <w:vAlign w:val="center"/>
            <w:hideMark/>
          </w:tcPr>
          <w:p w14:paraId="43170394"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293,9</w:t>
            </w:r>
          </w:p>
        </w:tc>
        <w:tc>
          <w:tcPr>
            <w:tcW w:w="993" w:type="dxa"/>
            <w:tcBorders>
              <w:top w:val="nil"/>
              <w:left w:val="nil"/>
              <w:bottom w:val="nil"/>
              <w:right w:val="single" w:sz="4" w:space="0" w:color="auto"/>
            </w:tcBorders>
            <w:shd w:val="clear" w:color="auto" w:fill="B8CCE4" w:themeFill="accent1" w:themeFillTint="66"/>
            <w:noWrap/>
            <w:vAlign w:val="center"/>
            <w:hideMark/>
          </w:tcPr>
          <w:p w14:paraId="64F11FBA"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126,3</w:t>
            </w:r>
          </w:p>
        </w:tc>
        <w:tc>
          <w:tcPr>
            <w:tcW w:w="850" w:type="dxa"/>
            <w:tcBorders>
              <w:top w:val="nil"/>
              <w:left w:val="nil"/>
              <w:bottom w:val="nil"/>
              <w:right w:val="double" w:sz="6" w:space="0" w:color="auto"/>
            </w:tcBorders>
            <w:shd w:val="clear" w:color="auto" w:fill="B8CCE4" w:themeFill="accent1" w:themeFillTint="66"/>
            <w:noWrap/>
            <w:vAlign w:val="center"/>
            <w:hideMark/>
          </w:tcPr>
          <w:p w14:paraId="115B100B" w14:textId="77777777" w:rsidR="00D60A5A" w:rsidRPr="00FC39E3" w:rsidRDefault="00D60A5A" w:rsidP="00EE6F33">
            <w:pPr>
              <w:spacing w:after="0" w:line="240" w:lineRule="auto"/>
              <w:jc w:val="center"/>
              <w:rPr>
                <w:rFonts w:eastAsia="Times New Roman" w:cstheme="minorHAnsi"/>
                <w:b/>
                <w:sz w:val="20"/>
                <w:szCs w:val="20"/>
                <w:lang w:eastAsia="pl-PL"/>
              </w:rPr>
            </w:pPr>
            <w:r w:rsidRPr="00FC39E3">
              <w:rPr>
                <w:rFonts w:eastAsia="Times New Roman" w:cstheme="minorHAnsi"/>
                <w:b/>
                <w:sz w:val="20"/>
                <w:szCs w:val="20"/>
                <w:lang w:eastAsia="pl-PL"/>
              </w:rPr>
              <w:t>167,6</w:t>
            </w:r>
          </w:p>
        </w:tc>
      </w:tr>
      <w:tr w:rsidR="00D60A5A" w:rsidRPr="008D0165" w14:paraId="0FF4978D" w14:textId="77777777" w:rsidTr="00A447D3">
        <w:trPr>
          <w:trHeight w:val="340"/>
        </w:trPr>
        <w:tc>
          <w:tcPr>
            <w:tcW w:w="1193" w:type="dxa"/>
            <w:tcBorders>
              <w:top w:val="single" w:sz="4" w:space="0" w:color="auto"/>
              <w:left w:val="single" w:sz="4" w:space="0" w:color="auto"/>
              <w:bottom w:val="nil"/>
              <w:right w:val="nil"/>
            </w:tcBorders>
            <w:shd w:val="clear" w:color="auto" w:fill="auto"/>
            <w:vAlign w:val="center"/>
            <w:hideMark/>
          </w:tcPr>
          <w:p w14:paraId="5E059FAB"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59 lat i mniej</w:t>
            </w:r>
          </w:p>
        </w:tc>
        <w:tc>
          <w:tcPr>
            <w:tcW w:w="992" w:type="dxa"/>
            <w:tcBorders>
              <w:top w:val="single" w:sz="4" w:space="0" w:color="auto"/>
              <w:left w:val="double" w:sz="6" w:space="0" w:color="auto"/>
              <w:bottom w:val="nil"/>
              <w:right w:val="single" w:sz="4" w:space="0" w:color="auto"/>
            </w:tcBorders>
            <w:shd w:val="clear" w:color="auto" w:fill="auto"/>
            <w:noWrap/>
            <w:vAlign w:val="center"/>
            <w:hideMark/>
          </w:tcPr>
          <w:p w14:paraId="18CB46D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5,6</w:t>
            </w:r>
          </w:p>
        </w:tc>
        <w:tc>
          <w:tcPr>
            <w:tcW w:w="807" w:type="dxa"/>
            <w:tcBorders>
              <w:top w:val="single" w:sz="4" w:space="0" w:color="auto"/>
              <w:left w:val="nil"/>
              <w:bottom w:val="nil"/>
              <w:right w:val="single" w:sz="4" w:space="0" w:color="auto"/>
            </w:tcBorders>
            <w:shd w:val="clear" w:color="auto" w:fill="auto"/>
            <w:noWrap/>
            <w:vAlign w:val="center"/>
            <w:hideMark/>
          </w:tcPr>
          <w:p w14:paraId="4969E9F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4,3</w:t>
            </w:r>
          </w:p>
        </w:tc>
        <w:tc>
          <w:tcPr>
            <w:tcW w:w="851" w:type="dxa"/>
            <w:tcBorders>
              <w:top w:val="single" w:sz="4" w:space="0" w:color="auto"/>
              <w:left w:val="nil"/>
              <w:bottom w:val="nil"/>
              <w:right w:val="double" w:sz="6" w:space="0" w:color="auto"/>
            </w:tcBorders>
            <w:shd w:val="clear" w:color="auto" w:fill="auto"/>
            <w:noWrap/>
            <w:vAlign w:val="center"/>
            <w:hideMark/>
          </w:tcPr>
          <w:p w14:paraId="7F41A19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1,2</w:t>
            </w:r>
          </w:p>
        </w:tc>
        <w:tc>
          <w:tcPr>
            <w:tcW w:w="850" w:type="dxa"/>
            <w:tcBorders>
              <w:top w:val="single" w:sz="4" w:space="0" w:color="auto"/>
              <w:left w:val="nil"/>
              <w:bottom w:val="nil"/>
              <w:right w:val="single" w:sz="4" w:space="0" w:color="auto"/>
            </w:tcBorders>
            <w:shd w:val="clear" w:color="auto" w:fill="auto"/>
            <w:noWrap/>
            <w:vAlign w:val="center"/>
            <w:hideMark/>
          </w:tcPr>
          <w:p w14:paraId="13E0F72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4,2</w:t>
            </w:r>
          </w:p>
        </w:tc>
        <w:tc>
          <w:tcPr>
            <w:tcW w:w="992" w:type="dxa"/>
            <w:tcBorders>
              <w:top w:val="single" w:sz="4" w:space="0" w:color="auto"/>
              <w:left w:val="nil"/>
              <w:bottom w:val="nil"/>
              <w:right w:val="single" w:sz="4" w:space="0" w:color="auto"/>
            </w:tcBorders>
            <w:shd w:val="clear" w:color="auto" w:fill="auto"/>
            <w:noWrap/>
            <w:vAlign w:val="center"/>
            <w:hideMark/>
          </w:tcPr>
          <w:p w14:paraId="38771A3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3,7</w:t>
            </w:r>
          </w:p>
        </w:tc>
        <w:tc>
          <w:tcPr>
            <w:tcW w:w="851" w:type="dxa"/>
            <w:tcBorders>
              <w:top w:val="single" w:sz="4" w:space="0" w:color="auto"/>
              <w:left w:val="nil"/>
              <w:bottom w:val="nil"/>
              <w:right w:val="double" w:sz="6" w:space="0" w:color="auto"/>
            </w:tcBorders>
            <w:shd w:val="clear" w:color="auto" w:fill="auto"/>
            <w:noWrap/>
            <w:vAlign w:val="center"/>
            <w:hideMark/>
          </w:tcPr>
          <w:p w14:paraId="4C368C6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c>
          <w:tcPr>
            <w:tcW w:w="850" w:type="dxa"/>
            <w:tcBorders>
              <w:top w:val="single" w:sz="4" w:space="0" w:color="auto"/>
              <w:left w:val="nil"/>
              <w:bottom w:val="nil"/>
              <w:right w:val="single" w:sz="4" w:space="0" w:color="auto"/>
            </w:tcBorders>
            <w:shd w:val="clear" w:color="auto" w:fill="auto"/>
            <w:noWrap/>
            <w:vAlign w:val="center"/>
            <w:hideMark/>
          </w:tcPr>
          <w:p w14:paraId="63B4F0A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3,4</w:t>
            </w:r>
          </w:p>
        </w:tc>
        <w:tc>
          <w:tcPr>
            <w:tcW w:w="993" w:type="dxa"/>
            <w:tcBorders>
              <w:top w:val="single" w:sz="4" w:space="0" w:color="auto"/>
              <w:left w:val="nil"/>
              <w:bottom w:val="nil"/>
              <w:right w:val="single" w:sz="4" w:space="0" w:color="auto"/>
            </w:tcBorders>
            <w:shd w:val="clear" w:color="auto" w:fill="auto"/>
            <w:noWrap/>
            <w:vAlign w:val="center"/>
            <w:hideMark/>
          </w:tcPr>
          <w:p w14:paraId="2F81417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3,1</w:t>
            </w:r>
          </w:p>
        </w:tc>
        <w:tc>
          <w:tcPr>
            <w:tcW w:w="850" w:type="dxa"/>
            <w:tcBorders>
              <w:top w:val="single" w:sz="4" w:space="0" w:color="auto"/>
              <w:left w:val="nil"/>
              <w:bottom w:val="nil"/>
              <w:right w:val="double" w:sz="6" w:space="0" w:color="auto"/>
            </w:tcBorders>
            <w:shd w:val="clear" w:color="auto" w:fill="auto"/>
            <w:noWrap/>
            <w:vAlign w:val="center"/>
            <w:hideMark/>
          </w:tcPr>
          <w:p w14:paraId="0CB8287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r>
      <w:tr w:rsidR="00D60A5A" w:rsidRPr="008D0165" w14:paraId="58E1F2C9"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3566B28C"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60</w:t>
            </w:r>
          </w:p>
        </w:tc>
        <w:tc>
          <w:tcPr>
            <w:tcW w:w="992" w:type="dxa"/>
            <w:tcBorders>
              <w:top w:val="nil"/>
              <w:left w:val="double" w:sz="6" w:space="0" w:color="auto"/>
              <w:bottom w:val="nil"/>
              <w:right w:val="single" w:sz="4" w:space="0" w:color="auto"/>
            </w:tcBorders>
            <w:shd w:val="clear" w:color="auto" w:fill="auto"/>
            <w:noWrap/>
            <w:vAlign w:val="center"/>
            <w:hideMark/>
          </w:tcPr>
          <w:p w14:paraId="3FDC72C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152,8</w:t>
            </w:r>
          </w:p>
        </w:tc>
        <w:tc>
          <w:tcPr>
            <w:tcW w:w="807" w:type="dxa"/>
            <w:tcBorders>
              <w:top w:val="nil"/>
              <w:left w:val="nil"/>
              <w:bottom w:val="nil"/>
              <w:right w:val="single" w:sz="4" w:space="0" w:color="auto"/>
            </w:tcBorders>
            <w:shd w:val="clear" w:color="auto" w:fill="auto"/>
            <w:noWrap/>
            <w:vAlign w:val="center"/>
            <w:hideMark/>
          </w:tcPr>
          <w:p w14:paraId="072C5F4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2,9</w:t>
            </w:r>
          </w:p>
        </w:tc>
        <w:tc>
          <w:tcPr>
            <w:tcW w:w="851" w:type="dxa"/>
            <w:tcBorders>
              <w:top w:val="nil"/>
              <w:left w:val="nil"/>
              <w:bottom w:val="nil"/>
              <w:right w:val="double" w:sz="6" w:space="0" w:color="auto"/>
            </w:tcBorders>
            <w:shd w:val="clear" w:color="auto" w:fill="auto"/>
            <w:noWrap/>
            <w:vAlign w:val="center"/>
            <w:hideMark/>
          </w:tcPr>
          <w:p w14:paraId="4C4F69C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149,8</w:t>
            </w:r>
          </w:p>
        </w:tc>
        <w:tc>
          <w:tcPr>
            <w:tcW w:w="850" w:type="dxa"/>
            <w:tcBorders>
              <w:top w:val="nil"/>
              <w:left w:val="nil"/>
              <w:bottom w:val="nil"/>
              <w:right w:val="single" w:sz="4" w:space="0" w:color="auto"/>
            </w:tcBorders>
            <w:shd w:val="clear" w:color="auto" w:fill="auto"/>
            <w:noWrap/>
            <w:vAlign w:val="center"/>
            <w:hideMark/>
          </w:tcPr>
          <w:p w14:paraId="1D9ABCD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144,7</w:t>
            </w:r>
          </w:p>
        </w:tc>
        <w:tc>
          <w:tcPr>
            <w:tcW w:w="992" w:type="dxa"/>
            <w:tcBorders>
              <w:top w:val="nil"/>
              <w:left w:val="nil"/>
              <w:bottom w:val="nil"/>
              <w:right w:val="single" w:sz="4" w:space="0" w:color="auto"/>
            </w:tcBorders>
            <w:shd w:val="clear" w:color="auto" w:fill="auto"/>
            <w:noWrap/>
            <w:vAlign w:val="center"/>
            <w:hideMark/>
          </w:tcPr>
          <w:p w14:paraId="544C002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0,8</w:t>
            </w:r>
          </w:p>
        </w:tc>
        <w:tc>
          <w:tcPr>
            <w:tcW w:w="851" w:type="dxa"/>
            <w:tcBorders>
              <w:top w:val="nil"/>
              <w:left w:val="nil"/>
              <w:bottom w:val="nil"/>
              <w:right w:val="double" w:sz="6" w:space="0" w:color="auto"/>
            </w:tcBorders>
            <w:shd w:val="clear" w:color="auto" w:fill="auto"/>
            <w:noWrap/>
            <w:vAlign w:val="center"/>
            <w:hideMark/>
          </w:tcPr>
          <w:p w14:paraId="02AF269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143,9</w:t>
            </w:r>
          </w:p>
        </w:tc>
        <w:tc>
          <w:tcPr>
            <w:tcW w:w="850" w:type="dxa"/>
            <w:tcBorders>
              <w:top w:val="nil"/>
              <w:left w:val="nil"/>
              <w:bottom w:val="nil"/>
              <w:right w:val="single" w:sz="4" w:space="0" w:color="auto"/>
            </w:tcBorders>
            <w:shd w:val="clear" w:color="auto" w:fill="auto"/>
            <w:noWrap/>
            <w:vAlign w:val="center"/>
            <w:hideMark/>
          </w:tcPr>
          <w:p w14:paraId="14687F2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141,2</w:t>
            </w:r>
          </w:p>
        </w:tc>
        <w:tc>
          <w:tcPr>
            <w:tcW w:w="993" w:type="dxa"/>
            <w:tcBorders>
              <w:top w:val="nil"/>
              <w:left w:val="nil"/>
              <w:bottom w:val="nil"/>
              <w:right w:val="single" w:sz="4" w:space="0" w:color="auto"/>
            </w:tcBorders>
            <w:shd w:val="clear" w:color="auto" w:fill="auto"/>
            <w:noWrap/>
            <w:vAlign w:val="center"/>
            <w:hideMark/>
          </w:tcPr>
          <w:p w14:paraId="07E36852"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0" w:type="dxa"/>
            <w:tcBorders>
              <w:top w:val="nil"/>
              <w:left w:val="nil"/>
              <w:bottom w:val="nil"/>
              <w:right w:val="double" w:sz="6" w:space="0" w:color="auto"/>
            </w:tcBorders>
            <w:shd w:val="clear" w:color="auto" w:fill="auto"/>
            <w:noWrap/>
            <w:vAlign w:val="center"/>
            <w:hideMark/>
          </w:tcPr>
          <w:p w14:paraId="3A25D82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140,9</w:t>
            </w:r>
          </w:p>
        </w:tc>
      </w:tr>
      <w:tr w:rsidR="00D60A5A" w:rsidRPr="008D0165" w14:paraId="3260F4D0"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6F2BDFB6"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61</w:t>
            </w:r>
          </w:p>
        </w:tc>
        <w:tc>
          <w:tcPr>
            <w:tcW w:w="992" w:type="dxa"/>
            <w:tcBorders>
              <w:top w:val="nil"/>
              <w:left w:val="double" w:sz="6" w:space="0" w:color="auto"/>
              <w:bottom w:val="nil"/>
              <w:right w:val="single" w:sz="4" w:space="0" w:color="auto"/>
            </w:tcBorders>
            <w:shd w:val="clear" w:color="auto" w:fill="auto"/>
            <w:noWrap/>
            <w:vAlign w:val="center"/>
            <w:hideMark/>
          </w:tcPr>
          <w:p w14:paraId="0132290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17,0</w:t>
            </w:r>
          </w:p>
        </w:tc>
        <w:tc>
          <w:tcPr>
            <w:tcW w:w="807" w:type="dxa"/>
            <w:tcBorders>
              <w:top w:val="nil"/>
              <w:left w:val="nil"/>
              <w:bottom w:val="nil"/>
              <w:right w:val="single" w:sz="4" w:space="0" w:color="auto"/>
            </w:tcBorders>
            <w:shd w:val="clear" w:color="auto" w:fill="auto"/>
            <w:noWrap/>
            <w:vAlign w:val="center"/>
            <w:hideMark/>
          </w:tcPr>
          <w:p w14:paraId="7C5CB832"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c>
          <w:tcPr>
            <w:tcW w:w="851" w:type="dxa"/>
            <w:tcBorders>
              <w:top w:val="nil"/>
              <w:left w:val="nil"/>
              <w:bottom w:val="nil"/>
              <w:right w:val="double" w:sz="6" w:space="0" w:color="auto"/>
            </w:tcBorders>
            <w:shd w:val="clear" w:color="auto" w:fill="auto"/>
            <w:noWrap/>
            <w:vAlign w:val="center"/>
            <w:hideMark/>
          </w:tcPr>
          <w:p w14:paraId="0C136163"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16,4</w:t>
            </w:r>
          </w:p>
        </w:tc>
        <w:tc>
          <w:tcPr>
            <w:tcW w:w="850" w:type="dxa"/>
            <w:tcBorders>
              <w:top w:val="nil"/>
              <w:left w:val="nil"/>
              <w:bottom w:val="nil"/>
              <w:right w:val="single" w:sz="4" w:space="0" w:color="auto"/>
            </w:tcBorders>
            <w:shd w:val="clear" w:color="auto" w:fill="auto"/>
            <w:noWrap/>
            <w:vAlign w:val="center"/>
            <w:hideMark/>
          </w:tcPr>
          <w:p w14:paraId="5E8BBE5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13,5</w:t>
            </w:r>
          </w:p>
        </w:tc>
        <w:tc>
          <w:tcPr>
            <w:tcW w:w="992" w:type="dxa"/>
            <w:tcBorders>
              <w:top w:val="nil"/>
              <w:left w:val="nil"/>
              <w:bottom w:val="nil"/>
              <w:right w:val="single" w:sz="4" w:space="0" w:color="auto"/>
            </w:tcBorders>
            <w:shd w:val="clear" w:color="auto" w:fill="auto"/>
            <w:noWrap/>
            <w:vAlign w:val="center"/>
            <w:hideMark/>
          </w:tcPr>
          <w:p w14:paraId="32123CB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c>
          <w:tcPr>
            <w:tcW w:w="851" w:type="dxa"/>
            <w:tcBorders>
              <w:top w:val="nil"/>
              <w:left w:val="nil"/>
              <w:bottom w:val="nil"/>
              <w:right w:val="double" w:sz="6" w:space="0" w:color="auto"/>
            </w:tcBorders>
            <w:shd w:val="clear" w:color="auto" w:fill="auto"/>
            <w:noWrap/>
            <w:vAlign w:val="center"/>
            <w:hideMark/>
          </w:tcPr>
          <w:p w14:paraId="00AF1C6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13,2</w:t>
            </w:r>
          </w:p>
        </w:tc>
        <w:tc>
          <w:tcPr>
            <w:tcW w:w="850" w:type="dxa"/>
            <w:tcBorders>
              <w:top w:val="nil"/>
              <w:left w:val="nil"/>
              <w:bottom w:val="nil"/>
              <w:right w:val="single" w:sz="4" w:space="0" w:color="auto"/>
            </w:tcBorders>
            <w:shd w:val="clear" w:color="auto" w:fill="auto"/>
            <w:noWrap/>
            <w:vAlign w:val="center"/>
            <w:hideMark/>
          </w:tcPr>
          <w:p w14:paraId="58E18DE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10,9</w:t>
            </w:r>
          </w:p>
        </w:tc>
        <w:tc>
          <w:tcPr>
            <w:tcW w:w="993" w:type="dxa"/>
            <w:tcBorders>
              <w:top w:val="nil"/>
              <w:left w:val="nil"/>
              <w:bottom w:val="nil"/>
              <w:right w:val="single" w:sz="4" w:space="0" w:color="auto"/>
            </w:tcBorders>
            <w:shd w:val="clear" w:color="auto" w:fill="auto"/>
            <w:noWrap/>
            <w:vAlign w:val="center"/>
            <w:hideMark/>
          </w:tcPr>
          <w:p w14:paraId="600DEC1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0" w:type="dxa"/>
            <w:tcBorders>
              <w:top w:val="nil"/>
              <w:left w:val="nil"/>
              <w:bottom w:val="nil"/>
              <w:right w:val="double" w:sz="6" w:space="0" w:color="auto"/>
            </w:tcBorders>
            <w:shd w:val="clear" w:color="auto" w:fill="auto"/>
            <w:noWrap/>
            <w:vAlign w:val="center"/>
            <w:hideMark/>
          </w:tcPr>
          <w:p w14:paraId="1127793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10,8</w:t>
            </w:r>
          </w:p>
        </w:tc>
      </w:tr>
      <w:tr w:rsidR="00D60A5A" w:rsidRPr="008D0165" w14:paraId="6572D912"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4C9CA94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62</w:t>
            </w:r>
          </w:p>
        </w:tc>
        <w:tc>
          <w:tcPr>
            <w:tcW w:w="992" w:type="dxa"/>
            <w:tcBorders>
              <w:top w:val="nil"/>
              <w:left w:val="double" w:sz="6" w:space="0" w:color="auto"/>
              <w:bottom w:val="nil"/>
              <w:right w:val="single" w:sz="4" w:space="0" w:color="auto"/>
            </w:tcBorders>
            <w:shd w:val="clear" w:color="auto" w:fill="auto"/>
            <w:noWrap/>
            <w:vAlign w:val="center"/>
            <w:hideMark/>
          </w:tcPr>
          <w:p w14:paraId="3115E65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9,3</w:t>
            </w:r>
          </w:p>
        </w:tc>
        <w:tc>
          <w:tcPr>
            <w:tcW w:w="807" w:type="dxa"/>
            <w:tcBorders>
              <w:top w:val="nil"/>
              <w:left w:val="nil"/>
              <w:bottom w:val="nil"/>
              <w:right w:val="single" w:sz="4" w:space="0" w:color="auto"/>
            </w:tcBorders>
            <w:shd w:val="clear" w:color="auto" w:fill="auto"/>
            <w:noWrap/>
            <w:vAlign w:val="center"/>
            <w:hideMark/>
          </w:tcPr>
          <w:p w14:paraId="3032C5F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1" w:type="dxa"/>
            <w:tcBorders>
              <w:top w:val="nil"/>
              <w:left w:val="nil"/>
              <w:bottom w:val="nil"/>
              <w:right w:val="double" w:sz="6" w:space="0" w:color="auto"/>
            </w:tcBorders>
            <w:shd w:val="clear" w:color="auto" w:fill="auto"/>
            <w:noWrap/>
            <w:vAlign w:val="center"/>
            <w:hideMark/>
          </w:tcPr>
          <w:p w14:paraId="26E1623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9,0</w:t>
            </w:r>
          </w:p>
        </w:tc>
        <w:tc>
          <w:tcPr>
            <w:tcW w:w="850" w:type="dxa"/>
            <w:tcBorders>
              <w:top w:val="nil"/>
              <w:left w:val="nil"/>
              <w:bottom w:val="nil"/>
              <w:right w:val="single" w:sz="4" w:space="0" w:color="auto"/>
            </w:tcBorders>
            <w:shd w:val="clear" w:color="auto" w:fill="auto"/>
            <w:noWrap/>
            <w:vAlign w:val="center"/>
            <w:hideMark/>
          </w:tcPr>
          <w:p w14:paraId="2F815E0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7,5</w:t>
            </w:r>
          </w:p>
        </w:tc>
        <w:tc>
          <w:tcPr>
            <w:tcW w:w="992" w:type="dxa"/>
            <w:tcBorders>
              <w:top w:val="nil"/>
              <w:left w:val="nil"/>
              <w:bottom w:val="nil"/>
              <w:right w:val="single" w:sz="4" w:space="0" w:color="auto"/>
            </w:tcBorders>
            <w:shd w:val="clear" w:color="auto" w:fill="auto"/>
            <w:noWrap/>
            <w:vAlign w:val="center"/>
            <w:hideMark/>
          </w:tcPr>
          <w:p w14:paraId="1101E78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c>
          <w:tcPr>
            <w:tcW w:w="851" w:type="dxa"/>
            <w:tcBorders>
              <w:top w:val="nil"/>
              <w:left w:val="nil"/>
              <w:bottom w:val="nil"/>
              <w:right w:val="double" w:sz="6" w:space="0" w:color="auto"/>
            </w:tcBorders>
            <w:shd w:val="clear" w:color="auto" w:fill="auto"/>
            <w:noWrap/>
            <w:vAlign w:val="center"/>
            <w:hideMark/>
          </w:tcPr>
          <w:p w14:paraId="111CC30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7,3</w:t>
            </w:r>
          </w:p>
        </w:tc>
        <w:tc>
          <w:tcPr>
            <w:tcW w:w="850" w:type="dxa"/>
            <w:tcBorders>
              <w:top w:val="nil"/>
              <w:left w:val="nil"/>
              <w:bottom w:val="nil"/>
              <w:right w:val="single" w:sz="4" w:space="0" w:color="auto"/>
            </w:tcBorders>
            <w:shd w:val="clear" w:color="auto" w:fill="auto"/>
            <w:noWrap/>
            <w:vAlign w:val="center"/>
            <w:hideMark/>
          </w:tcPr>
          <w:p w14:paraId="17718203"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6,0</w:t>
            </w:r>
          </w:p>
        </w:tc>
        <w:tc>
          <w:tcPr>
            <w:tcW w:w="993" w:type="dxa"/>
            <w:tcBorders>
              <w:top w:val="nil"/>
              <w:left w:val="nil"/>
              <w:bottom w:val="nil"/>
              <w:right w:val="single" w:sz="4" w:space="0" w:color="auto"/>
            </w:tcBorders>
            <w:shd w:val="clear" w:color="auto" w:fill="auto"/>
            <w:noWrap/>
            <w:vAlign w:val="center"/>
            <w:hideMark/>
          </w:tcPr>
          <w:p w14:paraId="78956A9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0" w:type="dxa"/>
            <w:tcBorders>
              <w:top w:val="nil"/>
              <w:left w:val="nil"/>
              <w:bottom w:val="nil"/>
              <w:right w:val="double" w:sz="6" w:space="0" w:color="auto"/>
            </w:tcBorders>
            <w:shd w:val="clear" w:color="auto" w:fill="auto"/>
            <w:noWrap/>
            <w:vAlign w:val="center"/>
            <w:hideMark/>
          </w:tcPr>
          <w:p w14:paraId="17279B0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5,9</w:t>
            </w:r>
          </w:p>
        </w:tc>
      </w:tr>
      <w:tr w:rsidR="00D60A5A" w:rsidRPr="008D0165" w14:paraId="0ED2BBAF"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01FE619B"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63</w:t>
            </w:r>
          </w:p>
        </w:tc>
        <w:tc>
          <w:tcPr>
            <w:tcW w:w="992" w:type="dxa"/>
            <w:tcBorders>
              <w:top w:val="nil"/>
              <w:left w:val="double" w:sz="6" w:space="0" w:color="auto"/>
              <w:bottom w:val="nil"/>
              <w:right w:val="single" w:sz="4" w:space="0" w:color="auto"/>
            </w:tcBorders>
            <w:shd w:val="clear" w:color="auto" w:fill="auto"/>
            <w:noWrap/>
            <w:vAlign w:val="center"/>
            <w:hideMark/>
          </w:tcPr>
          <w:p w14:paraId="16F3378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4,4</w:t>
            </w:r>
          </w:p>
        </w:tc>
        <w:tc>
          <w:tcPr>
            <w:tcW w:w="807" w:type="dxa"/>
            <w:tcBorders>
              <w:top w:val="nil"/>
              <w:left w:val="nil"/>
              <w:bottom w:val="nil"/>
              <w:right w:val="single" w:sz="4" w:space="0" w:color="auto"/>
            </w:tcBorders>
            <w:shd w:val="clear" w:color="auto" w:fill="auto"/>
            <w:noWrap/>
            <w:vAlign w:val="center"/>
            <w:hideMark/>
          </w:tcPr>
          <w:p w14:paraId="0BA5DCB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c>
          <w:tcPr>
            <w:tcW w:w="851" w:type="dxa"/>
            <w:tcBorders>
              <w:top w:val="nil"/>
              <w:left w:val="nil"/>
              <w:bottom w:val="nil"/>
              <w:right w:val="double" w:sz="6" w:space="0" w:color="auto"/>
            </w:tcBorders>
            <w:shd w:val="clear" w:color="auto" w:fill="auto"/>
            <w:noWrap/>
            <w:vAlign w:val="center"/>
            <w:hideMark/>
          </w:tcPr>
          <w:p w14:paraId="7510F21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4,2</w:t>
            </w:r>
          </w:p>
        </w:tc>
        <w:tc>
          <w:tcPr>
            <w:tcW w:w="850" w:type="dxa"/>
            <w:tcBorders>
              <w:top w:val="nil"/>
              <w:left w:val="nil"/>
              <w:bottom w:val="nil"/>
              <w:right w:val="single" w:sz="4" w:space="0" w:color="auto"/>
            </w:tcBorders>
            <w:shd w:val="clear" w:color="auto" w:fill="auto"/>
            <w:noWrap/>
            <w:vAlign w:val="center"/>
            <w:hideMark/>
          </w:tcPr>
          <w:p w14:paraId="2624D44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4,4</w:t>
            </w:r>
          </w:p>
        </w:tc>
        <w:tc>
          <w:tcPr>
            <w:tcW w:w="992" w:type="dxa"/>
            <w:tcBorders>
              <w:top w:val="nil"/>
              <w:left w:val="nil"/>
              <w:bottom w:val="nil"/>
              <w:right w:val="single" w:sz="4" w:space="0" w:color="auto"/>
            </w:tcBorders>
            <w:shd w:val="clear" w:color="auto" w:fill="auto"/>
            <w:noWrap/>
            <w:vAlign w:val="center"/>
            <w:hideMark/>
          </w:tcPr>
          <w:p w14:paraId="6DF11D0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1" w:type="dxa"/>
            <w:tcBorders>
              <w:top w:val="nil"/>
              <w:left w:val="nil"/>
              <w:bottom w:val="nil"/>
              <w:right w:val="double" w:sz="6" w:space="0" w:color="auto"/>
            </w:tcBorders>
            <w:shd w:val="clear" w:color="auto" w:fill="auto"/>
            <w:noWrap/>
            <w:vAlign w:val="center"/>
            <w:hideMark/>
          </w:tcPr>
          <w:p w14:paraId="55F3A94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4,3</w:t>
            </w:r>
          </w:p>
        </w:tc>
        <w:tc>
          <w:tcPr>
            <w:tcW w:w="850" w:type="dxa"/>
            <w:tcBorders>
              <w:top w:val="nil"/>
              <w:left w:val="nil"/>
              <w:bottom w:val="nil"/>
              <w:right w:val="single" w:sz="4" w:space="0" w:color="auto"/>
            </w:tcBorders>
            <w:shd w:val="clear" w:color="auto" w:fill="auto"/>
            <w:noWrap/>
            <w:vAlign w:val="center"/>
            <w:hideMark/>
          </w:tcPr>
          <w:p w14:paraId="7FB2D04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3,4</w:t>
            </w:r>
          </w:p>
        </w:tc>
        <w:tc>
          <w:tcPr>
            <w:tcW w:w="993" w:type="dxa"/>
            <w:tcBorders>
              <w:top w:val="nil"/>
              <w:left w:val="nil"/>
              <w:bottom w:val="nil"/>
              <w:right w:val="single" w:sz="4" w:space="0" w:color="auto"/>
            </w:tcBorders>
            <w:shd w:val="clear" w:color="auto" w:fill="auto"/>
            <w:noWrap/>
            <w:vAlign w:val="center"/>
            <w:hideMark/>
          </w:tcPr>
          <w:p w14:paraId="09EE184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0" w:type="dxa"/>
            <w:tcBorders>
              <w:top w:val="nil"/>
              <w:left w:val="nil"/>
              <w:bottom w:val="nil"/>
              <w:right w:val="double" w:sz="6" w:space="0" w:color="auto"/>
            </w:tcBorders>
            <w:shd w:val="clear" w:color="auto" w:fill="auto"/>
            <w:noWrap/>
            <w:vAlign w:val="center"/>
            <w:hideMark/>
          </w:tcPr>
          <w:p w14:paraId="0E27256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3,3</w:t>
            </w:r>
          </w:p>
        </w:tc>
      </w:tr>
      <w:tr w:rsidR="00D60A5A" w:rsidRPr="008D0165" w14:paraId="1983FAD8"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4576E531"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64</w:t>
            </w:r>
          </w:p>
        </w:tc>
        <w:tc>
          <w:tcPr>
            <w:tcW w:w="992" w:type="dxa"/>
            <w:tcBorders>
              <w:top w:val="nil"/>
              <w:left w:val="double" w:sz="6" w:space="0" w:color="auto"/>
              <w:bottom w:val="nil"/>
              <w:right w:val="single" w:sz="4" w:space="0" w:color="auto"/>
            </w:tcBorders>
            <w:shd w:val="clear" w:color="auto" w:fill="auto"/>
            <w:noWrap/>
            <w:vAlign w:val="center"/>
            <w:hideMark/>
          </w:tcPr>
          <w:p w14:paraId="7D43609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2,4</w:t>
            </w:r>
          </w:p>
        </w:tc>
        <w:tc>
          <w:tcPr>
            <w:tcW w:w="807" w:type="dxa"/>
            <w:tcBorders>
              <w:top w:val="nil"/>
              <w:left w:val="nil"/>
              <w:bottom w:val="nil"/>
              <w:right w:val="single" w:sz="4" w:space="0" w:color="auto"/>
            </w:tcBorders>
            <w:shd w:val="clear" w:color="auto" w:fill="auto"/>
            <w:noWrap/>
            <w:vAlign w:val="center"/>
            <w:hideMark/>
          </w:tcPr>
          <w:p w14:paraId="1CDE62B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1" w:type="dxa"/>
            <w:tcBorders>
              <w:top w:val="nil"/>
              <w:left w:val="nil"/>
              <w:bottom w:val="nil"/>
              <w:right w:val="double" w:sz="6" w:space="0" w:color="auto"/>
            </w:tcBorders>
            <w:shd w:val="clear" w:color="auto" w:fill="auto"/>
            <w:noWrap/>
            <w:vAlign w:val="center"/>
            <w:hideMark/>
          </w:tcPr>
          <w:p w14:paraId="1A7EE8A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2,3</w:t>
            </w:r>
          </w:p>
        </w:tc>
        <w:tc>
          <w:tcPr>
            <w:tcW w:w="850" w:type="dxa"/>
            <w:tcBorders>
              <w:top w:val="nil"/>
              <w:left w:val="nil"/>
              <w:bottom w:val="nil"/>
              <w:right w:val="single" w:sz="4" w:space="0" w:color="auto"/>
            </w:tcBorders>
            <w:shd w:val="clear" w:color="auto" w:fill="auto"/>
            <w:noWrap/>
            <w:vAlign w:val="center"/>
            <w:hideMark/>
          </w:tcPr>
          <w:p w14:paraId="11B0B33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2,2</w:t>
            </w:r>
          </w:p>
        </w:tc>
        <w:tc>
          <w:tcPr>
            <w:tcW w:w="992" w:type="dxa"/>
            <w:tcBorders>
              <w:top w:val="nil"/>
              <w:left w:val="nil"/>
              <w:bottom w:val="nil"/>
              <w:right w:val="single" w:sz="4" w:space="0" w:color="auto"/>
            </w:tcBorders>
            <w:shd w:val="clear" w:color="auto" w:fill="auto"/>
            <w:noWrap/>
            <w:vAlign w:val="center"/>
            <w:hideMark/>
          </w:tcPr>
          <w:p w14:paraId="42D7858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0,1</w:t>
            </w:r>
          </w:p>
        </w:tc>
        <w:tc>
          <w:tcPr>
            <w:tcW w:w="851" w:type="dxa"/>
            <w:tcBorders>
              <w:top w:val="nil"/>
              <w:left w:val="nil"/>
              <w:bottom w:val="nil"/>
              <w:right w:val="double" w:sz="6" w:space="0" w:color="auto"/>
            </w:tcBorders>
            <w:shd w:val="clear" w:color="auto" w:fill="auto"/>
            <w:noWrap/>
            <w:vAlign w:val="center"/>
            <w:hideMark/>
          </w:tcPr>
          <w:p w14:paraId="6129F88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2,1</w:t>
            </w:r>
          </w:p>
        </w:tc>
        <w:tc>
          <w:tcPr>
            <w:tcW w:w="850" w:type="dxa"/>
            <w:tcBorders>
              <w:top w:val="nil"/>
              <w:left w:val="nil"/>
              <w:bottom w:val="nil"/>
              <w:right w:val="single" w:sz="4" w:space="0" w:color="auto"/>
            </w:tcBorders>
            <w:shd w:val="clear" w:color="auto" w:fill="auto"/>
            <w:noWrap/>
            <w:vAlign w:val="center"/>
            <w:hideMark/>
          </w:tcPr>
          <w:p w14:paraId="22317D76"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1,9</w:t>
            </w:r>
          </w:p>
        </w:tc>
        <w:tc>
          <w:tcPr>
            <w:tcW w:w="993" w:type="dxa"/>
            <w:tcBorders>
              <w:top w:val="nil"/>
              <w:left w:val="nil"/>
              <w:bottom w:val="nil"/>
              <w:right w:val="single" w:sz="4" w:space="0" w:color="auto"/>
            </w:tcBorders>
            <w:shd w:val="clear" w:color="auto" w:fill="auto"/>
            <w:noWrap/>
            <w:vAlign w:val="center"/>
            <w:hideMark/>
          </w:tcPr>
          <w:p w14:paraId="5FA6E6D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0,0</w:t>
            </w:r>
          </w:p>
        </w:tc>
        <w:tc>
          <w:tcPr>
            <w:tcW w:w="850" w:type="dxa"/>
            <w:tcBorders>
              <w:top w:val="nil"/>
              <w:left w:val="nil"/>
              <w:bottom w:val="nil"/>
              <w:right w:val="double" w:sz="6" w:space="0" w:color="auto"/>
            </w:tcBorders>
            <w:shd w:val="clear" w:color="auto" w:fill="auto"/>
            <w:noWrap/>
            <w:vAlign w:val="center"/>
            <w:hideMark/>
          </w:tcPr>
          <w:p w14:paraId="20F2B12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1,9</w:t>
            </w:r>
          </w:p>
        </w:tc>
      </w:tr>
      <w:tr w:rsidR="00D60A5A" w:rsidRPr="008D0165" w14:paraId="3D755B93"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773AEEBB"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65</w:t>
            </w:r>
          </w:p>
        </w:tc>
        <w:tc>
          <w:tcPr>
            <w:tcW w:w="992" w:type="dxa"/>
            <w:tcBorders>
              <w:top w:val="nil"/>
              <w:left w:val="double" w:sz="6" w:space="0" w:color="auto"/>
              <w:bottom w:val="nil"/>
              <w:right w:val="single" w:sz="4" w:space="0" w:color="auto"/>
            </w:tcBorders>
            <w:shd w:val="clear" w:color="auto" w:fill="auto"/>
            <w:noWrap/>
            <w:vAlign w:val="center"/>
            <w:hideMark/>
          </w:tcPr>
          <w:p w14:paraId="2AE579F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95,8</w:t>
            </w:r>
          </w:p>
        </w:tc>
        <w:tc>
          <w:tcPr>
            <w:tcW w:w="807" w:type="dxa"/>
            <w:tcBorders>
              <w:top w:val="nil"/>
              <w:left w:val="nil"/>
              <w:bottom w:val="nil"/>
              <w:right w:val="single" w:sz="4" w:space="0" w:color="auto"/>
            </w:tcBorders>
            <w:shd w:val="clear" w:color="auto" w:fill="auto"/>
            <w:noWrap/>
            <w:vAlign w:val="center"/>
            <w:hideMark/>
          </w:tcPr>
          <w:p w14:paraId="4084C04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94,0</w:t>
            </w:r>
          </w:p>
        </w:tc>
        <w:tc>
          <w:tcPr>
            <w:tcW w:w="851" w:type="dxa"/>
            <w:tcBorders>
              <w:top w:val="nil"/>
              <w:left w:val="nil"/>
              <w:bottom w:val="nil"/>
              <w:right w:val="double" w:sz="6" w:space="0" w:color="auto"/>
            </w:tcBorders>
            <w:shd w:val="clear" w:color="auto" w:fill="auto"/>
            <w:noWrap/>
            <w:vAlign w:val="center"/>
            <w:hideMark/>
          </w:tcPr>
          <w:p w14:paraId="3FD19C4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1,8</w:t>
            </w:r>
          </w:p>
        </w:tc>
        <w:tc>
          <w:tcPr>
            <w:tcW w:w="850" w:type="dxa"/>
            <w:tcBorders>
              <w:top w:val="nil"/>
              <w:left w:val="nil"/>
              <w:bottom w:val="nil"/>
              <w:right w:val="single" w:sz="4" w:space="0" w:color="auto"/>
            </w:tcBorders>
            <w:shd w:val="clear" w:color="auto" w:fill="auto"/>
            <w:noWrap/>
            <w:vAlign w:val="center"/>
            <w:hideMark/>
          </w:tcPr>
          <w:p w14:paraId="6764BE2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104,5</w:t>
            </w:r>
          </w:p>
        </w:tc>
        <w:tc>
          <w:tcPr>
            <w:tcW w:w="992" w:type="dxa"/>
            <w:tcBorders>
              <w:top w:val="nil"/>
              <w:left w:val="nil"/>
              <w:bottom w:val="nil"/>
              <w:right w:val="single" w:sz="4" w:space="0" w:color="auto"/>
            </w:tcBorders>
            <w:shd w:val="clear" w:color="auto" w:fill="auto"/>
            <w:noWrap/>
            <w:vAlign w:val="center"/>
            <w:hideMark/>
          </w:tcPr>
          <w:p w14:paraId="1EE0F6F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102,6</w:t>
            </w:r>
          </w:p>
        </w:tc>
        <w:tc>
          <w:tcPr>
            <w:tcW w:w="851" w:type="dxa"/>
            <w:tcBorders>
              <w:top w:val="nil"/>
              <w:left w:val="nil"/>
              <w:bottom w:val="nil"/>
              <w:right w:val="double" w:sz="6" w:space="0" w:color="auto"/>
            </w:tcBorders>
            <w:shd w:val="clear" w:color="auto" w:fill="auto"/>
            <w:noWrap/>
            <w:vAlign w:val="center"/>
            <w:hideMark/>
          </w:tcPr>
          <w:p w14:paraId="376FAFD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1,9</w:t>
            </w:r>
          </w:p>
        </w:tc>
        <w:tc>
          <w:tcPr>
            <w:tcW w:w="850" w:type="dxa"/>
            <w:tcBorders>
              <w:top w:val="nil"/>
              <w:left w:val="nil"/>
              <w:bottom w:val="nil"/>
              <w:right w:val="single" w:sz="4" w:space="0" w:color="auto"/>
            </w:tcBorders>
            <w:shd w:val="clear" w:color="auto" w:fill="auto"/>
            <w:noWrap/>
            <w:vAlign w:val="center"/>
            <w:hideMark/>
          </w:tcPr>
          <w:p w14:paraId="52BA58F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116,2</w:t>
            </w:r>
          </w:p>
        </w:tc>
        <w:tc>
          <w:tcPr>
            <w:tcW w:w="993" w:type="dxa"/>
            <w:tcBorders>
              <w:top w:val="nil"/>
              <w:left w:val="nil"/>
              <w:bottom w:val="nil"/>
              <w:right w:val="single" w:sz="4" w:space="0" w:color="auto"/>
            </w:tcBorders>
            <w:shd w:val="clear" w:color="auto" w:fill="auto"/>
            <w:noWrap/>
            <w:vAlign w:val="center"/>
            <w:hideMark/>
          </w:tcPr>
          <w:p w14:paraId="51F512D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114,0</w:t>
            </w:r>
          </w:p>
        </w:tc>
        <w:tc>
          <w:tcPr>
            <w:tcW w:w="850" w:type="dxa"/>
            <w:tcBorders>
              <w:top w:val="nil"/>
              <w:left w:val="nil"/>
              <w:bottom w:val="nil"/>
              <w:right w:val="double" w:sz="6" w:space="0" w:color="auto"/>
            </w:tcBorders>
            <w:shd w:val="clear" w:color="auto" w:fill="auto"/>
            <w:noWrap/>
            <w:vAlign w:val="center"/>
            <w:hideMark/>
          </w:tcPr>
          <w:p w14:paraId="41DFB02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2,2</w:t>
            </w:r>
          </w:p>
        </w:tc>
      </w:tr>
      <w:tr w:rsidR="00D60A5A" w:rsidRPr="008D0165" w14:paraId="3E8CFC2C"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5A46F1F7"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66</w:t>
            </w:r>
          </w:p>
        </w:tc>
        <w:tc>
          <w:tcPr>
            <w:tcW w:w="992" w:type="dxa"/>
            <w:tcBorders>
              <w:top w:val="nil"/>
              <w:left w:val="double" w:sz="6" w:space="0" w:color="auto"/>
              <w:bottom w:val="nil"/>
              <w:right w:val="single" w:sz="4" w:space="0" w:color="auto"/>
            </w:tcBorders>
            <w:shd w:val="clear" w:color="auto" w:fill="auto"/>
            <w:noWrap/>
            <w:vAlign w:val="center"/>
            <w:hideMark/>
          </w:tcPr>
          <w:p w14:paraId="6EBD693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6,4</w:t>
            </w:r>
          </w:p>
        </w:tc>
        <w:tc>
          <w:tcPr>
            <w:tcW w:w="807" w:type="dxa"/>
            <w:tcBorders>
              <w:top w:val="nil"/>
              <w:left w:val="nil"/>
              <w:bottom w:val="nil"/>
              <w:right w:val="single" w:sz="4" w:space="0" w:color="auto"/>
            </w:tcBorders>
            <w:shd w:val="clear" w:color="auto" w:fill="auto"/>
            <w:noWrap/>
            <w:vAlign w:val="center"/>
            <w:hideMark/>
          </w:tcPr>
          <w:p w14:paraId="737A770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5,4</w:t>
            </w:r>
          </w:p>
        </w:tc>
        <w:tc>
          <w:tcPr>
            <w:tcW w:w="851" w:type="dxa"/>
            <w:tcBorders>
              <w:top w:val="nil"/>
              <w:left w:val="nil"/>
              <w:bottom w:val="nil"/>
              <w:right w:val="double" w:sz="6" w:space="0" w:color="auto"/>
            </w:tcBorders>
            <w:shd w:val="clear" w:color="auto" w:fill="auto"/>
            <w:noWrap/>
            <w:vAlign w:val="center"/>
            <w:hideMark/>
          </w:tcPr>
          <w:p w14:paraId="3C35917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0" w:type="dxa"/>
            <w:tcBorders>
              <w:top w:val="nil"/>
              <w:left w:val="nil"/>
              <w:bottom w:val="nil"/>
              <w:right w:val="single" w:sz="4" w:space="0" w:color="auto"/>
            </w:tcBorders>
            <w:shd w:val="clear" w:color="auto" w:fill="auto"/>
            <w:noWrap/>
            <w:vAlign w:val="center"/>
            <w:hideMark/>
          </w:tcPr>
          <w:p w14:paraId="6E1ABCE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5,1</w:t>
            </w:r>
          </w:p>
        </w:tc>
        <w:tc>
          <w:tcPr>
            <w:tcW w:w="992" w:type="dxa"/>
            <w:tcBorders>
              <w:top w:val="nil"/>
              <w:left w:val="nil"/>
              <w:bottom w:val="nil"/>
              <w:right w:val="single" w:sz="4" w:space="0" w:color="auto"/>
            </w:tcBorders>
            <w:shd w:val="clear" w:color="auto" w:fill="auto"/>
            <w:noWrap/>
            <w:vAlign w:val="center"/>
            <w:hideMark/>
          </w:tcPr>
          <w:p w14:paraId="12CCC92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4,2</w:t>
            </w:r>
          </w:p>
        </w:tc>
        <w:tc>
          <w:tcPr>
            <w:tcW w:w="851" w:type="dxa"/>
            <w:tcBorders>
              <w:top w:val="nil"/>
              <w:left w:val="nil"/>
              <w:bottom w:val="nil"/>
              <w:right w:val="double" w:sz="6" w:space="0" w:color="auto"/>
            </w:tcBorders>
            <w:shd w:val="clear" w:color="auto" w:fill="auto"/>
            <w:noWrap/>
            <w:vAlign w:val="center"/>
            <w:hideMark/>
          </w:tcPr>
          <w:p w14:paraId="554C8BE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0,9</w:t>
            </w:r>
          </w:p>
        </w:tc>
        <w:tc>
          <w:tcPr>
            <w:tcW w:w="850" w:type="dxa"/>
            <w:tcBorders>
              <w:top w:val="nil"/>
              <w:left w:val="nil"/>
              <w:bottom w:val="nil"/>
              <w:right w:val="single" w:sz="4" w:space="0" w:color="auto"/>
            </w:tcBorders>
            <w:shd w:val="clear" w:color="auto" w:fill="auto"/>
            <w:noWrap/>
            <w:vAlign w:val="center"/>
            <w:hideMark/>
          </w:tcPr>
          <w:p w14:paraId="749F9DA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4,6</w:t>
            </w:r>
          </w:p>
        </w:tc>
        <w:tc>
          <w:tcPr>
            <w:tcW w:w="993" w:type="dxa"/>
            <w:tcBorders>
              <w:top w:val="nil"/>
              <w:left w:val="nil"/>
              <w:bottom w:val="nil"/>
              <w:right w:val="single" w:sz="4" w:space="0" w:color="auto"/>
            </w:tcBorders>
            <w:shd w:val="clear" w:color="auto" w:fill="auto"/>
            <w:noWrap/>
            <w:vAlign w:val="center"/>
            <w:hideMark/>
          </w:tcPr>
          <w:p w14:paraId="2A707BE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3,8</w:t>
            </w:r>
          </w:p>
        </w:tc>
        <w:tc>
          <w:tcPr>
            <w:tcW w:w="850" w:type="dxa"/>
            <w:tcBorders>
              <w:top w:val="nil"/>
              <w:left w:val="nil"/>
              <w:bottom w:val="nil"/>
              <w:right w:val="double" w:sz="6" w:space="0" w:color="auto"/>
            </w:tcBorders>
            <w:shd w:val="clear" w:color="auto" w:fill="auto"/>
            <w:noWrap/>
            <w:vAlign w:val="center"/>
            <w:hideMark/>
          </w:tcPr>
          <w:p w14:paraId="384EB54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0,8</w:t>
            </w:r>
          </w:p>
        </w:tc>
      </w:tr>
      <w:tr w:rsidR="00D60A5A" w:rsidRPr="008D0165" w14:paraId="06952639"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41B2F13C"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67</w:t>
            </w:r>
          </w:p>
        </w:tc>
        <w:tc>
          <w:tcPr>
            <w:tcW w:w="992" w:type="dxa"/>
            <w:tcBorders>
              <w:top w:val="nil"/>
              <w:left w:val="double" w:sz="6" w:space="0" w:color="auto"/>
              <w:bottom w:val="nil"/>
              <w:right w:val="single" w:sz="4" w:space="0" w:color="auto"/>
            </w:tcBorders>
            <w:shd w:val="clear" w:color="auto" w:fill="auto"/>
            <w:noWrap/>
            <w:vAlign w:val="center"/>
            <w:hideMark/>
          </w:tcPr>
          <w:p w14:paraId="08DD6F0E"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4,1</w:t>
            </w:r>
          </w:p>
        </w:tc>
        <w:tc>
          <w:tcPr>
            <w:tcW w:w="807" w:type="dxa"/>
            <w:tcBorders>
              <w:top w:val="nil"/>
              <w:left w:val="nil"/>
              <w:bottom w:val="nil"/>
              <w:right w:val="single" w:sz="4" w:space="0" w:color="auto"/>
            </w:tcBorders>
            <w:shd w:val="clear" w:color="auto" w:fill="auto"/>
            <w:noWrap/>
            <w:vAlign w:val="center"/>
            <w:hideMark/>
          </w:tcPr>
          <w:p w14:paraId="31FA20E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3,4</w:t>
            </w:r>
          </w:p>
        </w:tc>
        <w:tc>
          <w:tcPr>
            <w:tcW w:w="851" w:type="dxa"/>
            <w:tcBorders>
              <w:top w:val="nil"/>
              <w:left w:val="nil"/>
              <w:bottom w:val="nil"/>
              <w:right w:val="double" w:sz="6" w:space="0" w:color="auto"/>
            </w:tcBorders>
            <w:shd w:val="clear" w:color="auto" w:fill="auto"/>
            <w:noWrap/>
            <w:vAlign w:val="center"/>
            <w:hideMark/>
          </w:tcPr>
          <w:p w14:paraId="63CD66A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0,8</w:t>
            </w:r>
          </w:p>
        </w:tc>
        <w:tc>
          <w:tcPr>
            <w:tcW w:w="850" w:type="dxa"/>
            <w:tcBorders>
              <w:top w:val="nil"/>
              <w:left w:val="nil"/>
              <w:bottom w:val="nil"/>
              <w:right w:val="single" w:sz="4" w:space="0" w:color="auto"/>
            </w:tcBorders>
            <w:shd w:val="clear" w:color="auto" w:fill="auto"/>
            <w:noWrap/>
            <w:vAlign w:val="center"/>
            <w:hideMark/>
          </w:tcPr>
          <w:p w14:paraId="59E816F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3,0</w:t>
            </w:r>
          </w:p>
        </w:tc>
        <w:tc>
          <w:tcPr>
            <w:tcW w:w="992" w:type="dxa"/>
            <w:tcBorders>
              <w:top w:val="nil"/>
              <w:left w:val="nil"/>
              <w:bottom w:val="nil"/>
              <w:right w:val="single" w:sz="4" w:space="0" w:color="auto"/>
            </w:tcBorders>
            <w:shd w:val="clear" w:color="auto" w:fill="auto"/>
            <w:noWrap/>
            <w:vAlign w:val="center"/>
            <w:hideMark/>
          </w:tcPr>
          <w:p w14:paraId="37C5FD10"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2,4</w:t>
            </w:r>
          </w:p>
        </w:tc>
        <w:tc>
          <w:tcPr>
            <w:tcW w:w="851" w:type="dxa"/>
            <w:tcBorders>
              <w:top w:val="nil"/>
              <w:left w:val="nil"/>
              <w:bottom w:val="nil"/>
              <w:right w:val="double" w:sz="6" w:space="0" w:color="auto"/>
            </w:tcBorders>
            <w:shd w:val="clear" w:color="auto" w:fill="auto"/>
            <w:noWrap/>
            <w:vAlign w:val="center"/>
            <w:hideMark/>
          </w:tcPr>
          <w:p w14:paraId="418A27E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c>
          <w:tcPr>
            <w:tcW w:w="850" w:type="dxa"/>
            <w:tcBorders>
              <w:top w:val="nil"/>
              <w:left w:val="nil"/>
              <w:bottom w:val="nil"/>
              <w:right w:val="single" w:sz="4" w:space="0" w:color="auto"/>
            </w:tcBorders>
            <w:shd w:val="clear" w:color="auto" w:fill="auto"/>
            <w:noWrap/>
            <w:vAlign w:val="center"/>
            <w:hideMark/>
          </w:tcPr>
          <w:p w14:paraId="6C29A1A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2,6</w:t>
            </w:r>
          </w:p>
        </w:tc>
        <w:tc>
          <w:tcPr>
            <w:tcW w:w="993" w:type="dxa"/>
            <w:tcBorders>
              <w:top w:val="nil"/>
              <w:left w:val="nil"/>
              <w:bottom w:val="nil"/>
              <w:right w:val="single" w:sz="4" w:space="0" w:color="auto"/>
            </w:tcBorders>
            <w:shd w:val="clear" w:color="auto" w:fill="auto"/>
            <w:noWrap/>
            <w:vAlign w:val="center"/>
            <w:hideMark/>
          </w:tcPr>
          <w:p w14:paraId="142AA01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2,0</w:t>
            </w:r>
          </w:p>
        </w:tc>
        <w:tc>
          <w:tcPr>
            <w:tcW w:w="850" w:type="dxa"/>
            <w:tcBorders>
              <w:top w:val="nil"/>
              <w:left w:val="nil"/>
              <w:bottom w:val="nil"/>
              <w:right w:val="double" w:sz="6" w:space="0" w:color="auto"/>
            </w:tcBorders>
            <w:shd w:val="clear" w:color="auto" w:fill="auto"/>
            <w:noWrap/>
            <w:vAlign w:val="center"/>
            <w:hideMark/>
          </w:tcPr>
          <w:p w14:paraId="424C5CE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r>
      <w:tr w:rsidR="00D60A5A" w:rsidRPr="008D0165" w14:paraId="1E4184CF"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22E80870"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68</w:t>
            </w:r>
          </w:p>
        </w:tc>
        <w:tc>
          <w:tcPr>
            <w:tcW w:w="992" w:type="dxa"/>
            <w:tcBorders>
              <w:top w:val="nil"/>
              <w:left w:val="double" w:sz="6" w:space="0" w:color="auto"/>
              <w:bottom w:val="nil"/>
              <w:right w:val="single" w:sz="4" w:space="0" w:color="auto"/>
            </w:tcBorders>
            <w:shd w:val="clear" w:color="auto" w:fill="auto"/>
            <w:noWrap/>
            <w:vAlign w:val="center"/>
            <w:hideMark/>
          </w:tcPr>
          <w:p w14:paraId="3A987F3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2,1</w:t>
            </w:r>
          </w:p>
        </w:tc>
        <w:tc>
          <w:tcPr>
            <w:tcW w:w="807" w:type="dxa"/>
            <w:tcBorders>
              <w:top w:val="nil"/>
              <w:left w:val="nil"/>
              <w:bottom w:val="nil"/>
              <w:right w:val="single" w:sz="4" w:space="0" w:color="auto"/>
            </w:tcBorders>
            <w:shd w:val="clear" w:color="auto" w:fill="auto"/>
            <w:noWrap/>
            <w:vAlign w:val="center"/>
            <w:hideMark/>
          </w:tcPr>
          <w:p w14:paraId="0755223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1,5</w:t>
            </w:r>
          </w:p>
        </w:tc>
        <w:tc>
          <w:tcPr>
            <w:tcW w:w="851" w:type="dxa"/>
            <w:tcBorders>
              <w:top w:val="nil"/>
              <w:left w:val="nil"/>
              <w:bottom w:val="nil"/>
              <w:right w:val="double" w:sz="6" w:space="0" w:color="auto"/>
            </w:tcBorders>
            <w:shd w:val="clear" w:color="auto" w:fill="auto"/>
            <w:noWrap/>
            <w:vAlign w:val="center"/>
            <w:hideMark/>
          </w:tcPr>
          <w:p w14:paraId="680F866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0,6</w:t>
            </w:r>
          </w:p>
        </w:tc>
        <w:tc>
          <w:tcPr>
            <w:tcW w:w="850" w:type="dxa"/>
            <w:tcBorders>
              <w:top w:val="nil"/>
              <w:left w:val="nil"/>
              <w:bottom w:val="nil"/>
              <w:right w:val="single" w:sz="4" w:space="0" w:color="auto"/>
            </w:tcBorders>
            <w:shd w:val="clear" w:color="auto" w:fill="auto"/>
            <w:noWrap/>
            <w:vAlign w:val="center"/>
            <w:hideMark/>
          </w:tcPr>
          <w:p w14:paraId="36A3199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1,6</w:t>
            </w:r>
          </w:p>
        </w:tc>
        <w:tc>
          <w:tcPr>
            <w:tcW w:w="992" w:type="dxa"/>
            <w:tcBorders>
              <w:top w:val="nil"/>
              <w:left w:val="nil"/>
              <w:bottom w:val="nil"/>
              <w:right w:val="single" w:sz="4" w:space="0" w:color="auto"/>
            </w:tcBorders>
            <w:shd w:val="clear" w:color="auto" w:fill="auto"/>
            <w:noWrap/>
            <w:vAlign w:val="center"/>
            <w:hideMark/>
          </w:tcPr>
          <w:p w14:paraId="2A1AAF32"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w:t>
            </w:r>
          </w:p>
        </w:tc>
        <w:tc>
          <w:tcPr>
            <w:tcW w:w="851" w:type="dxa"/>
            <w:tcBorders>
              <w:top w:val="nil"/>
              <w:left w:val="nil"/>
              <w:bottom w:val="nil"/>
              <w:right w:val="double" w:sz="6" w:space="0" w:color="auto"/>
            </w:tcBorders>
            <w:shd w:val="clear" w:color="auto" w:fill="auto"/>
            <w:noWrap/>
            <w:vAlign w:val="center"/>
            <w:hideMark/>
          </w:tcPr>
          <w:p w14:paraId="5CBFE11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0" w:type="dxa"/>
            <w:tcBorders>
              <w:top w:val="nil"/>
              <w:left w:val="nil"/>
              <w:bottom w:val="nil"/>
              <w:right w:val="single" w:sz="4" w:space="0" w:color="auto"/>
            </w:tcBorders>
            <w:shd w:val="clear" w:color="auto" w:fill="auto"/>
            <w:noWrap/>
            <w:vAlign w:val="center"/>
            <w:hideMark/>
          </w:tcPr>
          <w:p w14:paraId="482BE81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w:t>
            </w:r>
          </w:p>
        </w:tc>
        <w:tc>
          <w:tcPr>
            <w:tcW w:w="993" w:type="dxa"/>
            <w:tcBorders>
              <w:top w:val="nil"/>
              <w:left w:val="nil"/>
              <w:bottom w:val="nil"/>
              <w:right w:val="single" w:sz="4" w:space="0" w:color="auto"/>
            </w:tcBorders>
            <w:shd w:val="clear" w:color="auto" w:fill="auto"/>
            <w:noWrap/>
            <w:vAlign w:val="center"/>
            <w:hideMark/>
          </w:tcPr>
          <w:p w14:paraId="5774341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0" w:type="dxa"/>
            <w:tcBorders>
              <w:top w:val="nil"/>
              <w:left w:val="nil"/>
              <w:bottom w:val="nil"/>
              <w:right w:val="double" w:sz="6" w:space="0" w:color="auto"/>
            </w:tcBorders>
            <w:shd w:val="clear" w:color="auto" w:fill="auto"/>
            <w:noWrap/>
            <w:vAlign w:val="center"/>
            <w:hideMark/>
          </w:tcPr>
          <w:p w14:paraId="1FFF3FDB"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r>
      <w:tr w:rsidR="00D60A5A" w:rsidRPr="008D0165" w14:paraId="26D01E7D"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5290C148"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69</w:t>
            </w:r>
          </w:p>
        </w:tc>
        <w:tc>
          <w:tcPr>
            <w:tcW w:w="992" w:type="dxa"/>
            <w:tcBorders>
              <w:top w:val="nil"/>
              <w:left w:val="double" w:sz="6" w:space="0" w:color="auto"/>
              <w:bottom w:val="nil"/>
              <w:right w:val="single" w:sz="4" w:space="0" w:color="auto"/>
            </w:tcBorders>
            <w:shd w:val="clear" w:color="auto" w:fill="auto"/>
            <w:noWrap/>
            <w:vAlign w:val="center"/>
            <w:hideMark/>
          </w:tcPr>
          <w:p w14:paraId="1653B6F5"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1,2</w:t>
            </w:r>
          </w:p>
        </w:tc>
        <w:tc>
          <w:tcPr>
            <w:tcW w:w="807" w:type="dxa"/>
            <w:tcBorders>
              <w:top w:val="nil"/>
              <w:left w:val="nil"/>
              <w:bottom w:val="nil"/>
              <w:right w:val="single" w:sz="4" w:space="0" w:color="auto"/>
            </w:tcBorders>
            <w:shd w:val="clear" w:color="auto" w:fill="auto"/>
            <w:noWrap/>
            <w:vAlign w:val="center"/>
            <w:hideMark/>
          </w:tcPr>
          <w:p w14:paraId="249E99A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0,7</w:t>
            </w:r>
          </w:p>
        </w:tc>
        <w:tc>
          <w:tcPr>
            <w:tcW w:w="851" w:type="dxa"/>
            <w:tcBorders>
              <w:top w:val="nil"/>
              <w:left w:val="nil"/>
              <w:bottom w:val="nil"/>
              <w:right w:val="double" w:sz="6" w:space="0" w:color="auto"/>
            </w:tcBorders>
            <w:shd w:val="clear" w:color="auto" w:fill="auto"/>
            <w:noWrap/>
            <w:vAlign w:val="center"/>
            <w:hideMark/>
          </w:tcPr>
          <w:p w14:paraId="7378EAB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c>
          <w:tcPr>
            <w:tcW w:w="850" w:type="dxa"/>
            <w:tcBorders>
              <w:top w:val="nil"/>
              <w:left w:val="nil"/>
              <w:bottom w:val="nil"/>
              <w:right w:val="single" w:sz="4" w:space="0" w:color="auto"/>
            </w:tcBorders>
            <w:shd w:val="clear" w:color="auto" w:fill="auto"/>
            <w:noWrap/>
            <w:vAlign w:val="center"/>
            <w:hideMark/>
          </w:tcPr>
          <w:p w14:paraId="00D23D6A"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992" w:type="dxa"/>
            <w:tcBorders>
              <w:top w:val="nil"/>
              <w:left w:val="nil"/>
              <w:bottom w:val="nil"/>
              <w:right w:val="single" w:sz="4" w:space="0" w:color="auto"/>
            </w:tcBorders>
            <w:shd w:val="clear" w:color="auto" w:fill="auto"/>
            <w:noWrap/>
            <w:vAlign w:val="center"/>
            <w:hideMark/>
          </w:tcPr>
          <w:p w14:paraId="1C8ABC97"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0,7</w:t>
            </w:r>
          </w:p>
        </w:tc>
        <w:tc>
          <w:tcPr>
            <w:tcW w:w="851" w:type="dxa"/>
            <w:tcBorders>
              <w:top w:val="nil"/>
              <w:left w:val="nil"/>
              <w:bottom w:val="nil"/>
              <w:right w:val="double" w:sz="6" w:space="0" w:color="auto"/>
            </w:tcBorders>
            <w:shd w:val="clear" w:color="auto" w:fill="auto"/>
            <w:noWrap/>
            <w:vAlign w:val="center"/>
            <w:hideMark/>
          </w:tcPr>
          <w:p w14:paraId="11719F5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0,3</w:t>
            </w:r>
          </w:p>
        </w:tc>
        <w:tc>
          <w:tcPr>
            <w:tcW w:w="850" w:type="dxa"/>
            <w:tcBorders>
              <w:top w:val="nil"/>
              <w:left w:val="nil"/>
              <w:bottom w:val="nil"/>
              <w:right w:val="single" w:sz="4" w:space="0" w:color="auto"/>
            </w:tcBorders>
            <w:shd w:val="clear" w:color="auto" w:fill="auto"/>
            <w:noWrap/>
            <w:vAlign w:val="center"/>
            <w:hideMark/>
          </w:tcPr>
          <w:p w14:paraId="4EFB5BBC"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0,9</w:t>
            </w:r>
          </w:p>
        </w:tc>
        <w:tc>
          <w:tcPr>
            <w:tcW w:w="993" w:type="dxa"/>
            <w:tcBorders>
              <w:top w:val="nil"/>
              <w:left w:val="nil"/>
              <w:bottom w:val="nil"/>
              <w:right w:val="single" w:sz="4" w:space="0" w:color="auto"/>
            </w:tcBorders>
            <w:shd w:val="clear" w:color="auto" w:fill="auto"/>
            <w:noWrap/>
            <w:vAlign w:val="center"/>
            <w:hideMark/>
          </w:tcPr>
          <w:p w14:paraId="1BFB0C2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0,7</w:t>
            </w:r>
          </w:p>
        </w:tc>
        <w:tc>
          <w:tcPr>
            <w:tcW w:w="850" w:type="dxa"/>
            <w:tcBorders>
              <w:top w:val="nil"/>
              <w:left w:val="nil"/>
              <w:bottom w:val="nil"/>
              <w:right w:val="double" w:sz="6" w:space="0" w:color="auto"/>
            </w:tcBorders>
            <w:shd w:val="clear" w:color="auto" w:fill="auto"/>
            <w:noWrap/>
            <w:vAlign w:val="center"/>
            <w:hideMark/>
          </w:tcPr>
          <w:p w14:paraId="090F30CF"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0,2</w:t>
            </w:r>
          </w:p>
        </w:tc>
      </w:tr>
      <w:tr w:rsidR="00D60A5A" w:rsidRPr="008D0165" w14:paraId="5AE5F23F" w14:textId="77777777" w:rsidTr="00A447D3">
        <w:trPr>
          <w:trHeight w:val="340"/>
        </w:trPr>
        <w:tc>
          <w:tcPr>
            <w:tcW w:w="1193" w:type="dxa"/>
            <w:tcBorders>
              <w:top w:val="nil"/>
              <w:left w:val="single" w:sz="4" w:space="0" w:color="auto"/>
              <w:bottom w:val="nil"/>
              <w:right w:val="nil"/>
            </w:tcBorders>
            <w:shd w:val="clear" w:color="auto" w:fill="auto"/>
            <w:vAlign w:val="center"/>
            <w:hideMark/>
          </w:tcPr>
          <w:p w14:paraId="192E581C" w14:textId="77777777" w:rsidR="00D60A5A" w:rsidRPr="00FC39E3" w:rsidRDefault="00D60A5A" w:rsidP="00EE6F33">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70 i więcej</w:t>
            </w:r>
          </w:p>
        </w:tc>
        <w:tc>
          <w:tcPr>
            <w:tcW w:w="992" w:type="dxa"/>
            <w:tcBorders>
              <w:top w:val="nil"/>
              <w:left w:val="double" w:sz="6" w:space="0" w:color="auto"/>
              <w:bottom w:val="nil"/>
              <w:right w:val="single" w:sz="4" w:space="0" w:color="auto"/>
            </w:tcBorders>
            <w:shd w:val="clear" w:color="auto" w:fill="auto"/>
            <w:noWrap/>
            <w:vAlign w:val="center"/>
            <w:hideMark/>
          </w:tcPr>
          <w:p w14:paraId="21F6F49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1,3</w:t>
            </w:r>
          </w:p>
        </w:tc>
        <w:tc>
          <w:tcPr>
            <w:tcW w:w="807" w:type="dxa"/>
            <w:tcBorders>
              <w:top w:val="nil"/>
              <w:left w:val="nil"/>
              <w:bottom w:val="nil"/>
              <w:right w:val="single" w:sz="4" w:space="0" w:color="auto"/>
            </w:tcBorders>
            <w:shd w:val="clear" w:color="auto" w:fill="auto"/>
            <w:noWrap/>
            <w:vAlign w:val="center"/>
            <w:hideMark/>
          </w:tcPr>
          <w:p w14:paraId="1A119368"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0,9</w:t>
            </w:r>
          </w:p>
        </w:tc>
        <w:tc>
          <w:tcPr>
            <w:tcW w:w="851" w:type="dxa"/>
            <w:tcBorders>
              <w:top w:val="nil"/>
              <w:left w:val="nil"/>
              <w:bottom w:val="nil"/>
              <w:right w:val="double" w:sz="6" w:space="0" w:color="auto"/>
            </w:tcBorders>
            <w:shd w:val="clear" w:color="auto" w:fill="auto"/>
            <w:noWrap/>
            <w:vAlign w:val="center"/>
            <w:hideMark/>
          </w:tcPr>
          <w:p w14:paraId="2F50B4C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0,4</w:t>
            </w:r>
          </w:p>
        </w:tc>
        <w:tc>
          <w:tcPr>
            <w:tcW w:w="850" w:type="dxa"/>
            <w:tcBorders>
              <w:top w:val="nil"/>
              <w:left w:val="nil"/>
              <w:bottom w:val="nil"/>
              <w:right w:val="single" w:sz="4" w:space="0" w:color="auto"/>
            </w:tcBorders>
            <w:shd w:val="clear" w:color="auto" w:fill="auto"/>
            <w:noWrap/>
            <w:vAlign w:val="center"/>
            <w:hideMark/>
          </w:tcPr>
          <w:p w14:paraId="46331DE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1,4</w:t>
            </w:r>
          </w:p>
        </w:tc>
        <w:tc>
          <w:tcPr>
            <w:tcW w:w="992" w:type="dxa"/>
            <w:tcBorders>
              <w:top w:val="nil"/>
              <w:left w:val="nil"/>
              <w:bottom w:val="nil"/>
              <w:right w:val="single" w:sz="4" w:space="0" w:color="auto"/>
            </w:tcBorders>
            <w:shd w:val="clear" w:color="auto" w:fill="auto"/>
            <w:noWrap/>
            <w:vAlign w:val="center"/>
            <w:hideMark/>
          </w:tcPr>
          <w:p w14:paraId="320E7C23"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1" w:type="dxa"/>
            <w:tcBorders>
              <w:top w:val="nil"/>
              <w:left w:val="nil"/>
              <w:bottom w:val="nil"/>
              <w:right w:val="double" w:sz="6" w:space="0" w:color="auto"/>
            </w:tcBorders>
            <w:shd w:val="clear" w:color="auto" w:fill="auto"/>
            <w:noWrap/>
            <w:vAlign w:val="center"/>
            <w:hideMark/>
          </w:tcPr>
          <w:p w14:paraId="70BD090D"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c>
          <w:tcPr>
            <w:tcW w:w="850" w:type="dxa"/>
            <w:tcBorders>
              <w:top w:val="nil"/>
              <w:left w:val="nil"/>
              <w:bottom w:val="nil"/>
              <w:right w:val="single" w:sz="4" w:space="0" w:color="auto"/>
            </w:tcBorders>
            <w:shd w:val="clear" w:color="auto" w:fill="auto"/>
            <w:noWrap/>
            <w:vAlign w:val="center"/>
            <w:hideMark/>
          </w:tcPr>
          <w:p w14:paraId="1F113CB9"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1,5</w:t>
            </w:r>
          </w:p>
        </w:tc>
        <w:tc>
          <w:tcPr>
            <w:tcW w:w="993" w:type="dxa"/>
            <w:tcBorders>
              <w:top w:val="nil"/>
              <w:left w:val="nil"/>
              <w:bottom w:val="nil"/>
              <w:right w:val="single" w:sz="4" w:space="0" w:color="auto"/>
            </w:tcBorders>
            <w:shd w:val="clear" w:color="auto" w:fill="auto"/>
            <w:noWrap/>
            <w:vAlign w:val="center"/>
            <w:hideMark/>
          </w:tcPr>
          <w:p w14:paraId="73534891"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1,0</w:t>
            </w:r>
          </w:p>
        </w:tc>
        <w:tc>
          <w:tcPr>
            <w:tcW w:w="850" w:type="dxa"/>
            <w:tcBorders>
              <w:top w:val="nil"/>
              <w:left w:val="nil"/>
              <w:bottom w:val="nil"/>
              <w:right w:val="double" w:sz="6" w:space="0" w:color="auto"/>
            </w:tcBorders>
            <w:shd w:val="clear" w:color="auto" w:fill="auto"/>
            <w:noWrap/>
            <w:vAlign w:val="center"/>
            <w:hideMark/>
          </w:tcPr>
          <w:p w14:paraId="5D13C7D4" w14:textId="77777777" w:rsidR="00D60A5A" w:rsidRPr="00FC39E3" w:rsidRDefault="00D60A5A" w:rsidP="00EE6F33">
            <w:pPr>
              <w:spacing w:after="0" w:line="240" w:lineRule="auto"/>
              <w:jc w:val="center"/>
              <w:rPr>
                <w:rFonts w:eastAsia="Times New Roman" w:cstheme="minorHAnsi"/>
                <w:sz w:val="20"/>
                <w:szCs w:val="20"/>
                <w:lang w:eastAsia="pl-PL"/>
              </w:rPr>
            </w:pPr>
            <w:r w:rsidRPr="00FC39E3">
              <w:rPr>
                <w:rFonts w:eastAsia="Times New Roman" w:cstheme="minorHAnsi"/>
                <w:sz w:val="20"/>
                <w:szCs w:val="20"/>
                <w:lang w:eastAsia="pl-PL"/>
              </w:rPr>
              <w:t>0,5</w:t>
            </w:r>
          </w:p>
        </w:tc>
      </w:tr>
      <w:tr w:rsidR="00D60A5A" w:rsidRPr="008D0165" w14:paraId="62754A6C" w14:textId="77777777" w:rsidTr="001B0FD0">
        <w:trPr>
          <w:trHeight w:val="340"/>
        </w:trPr>
        <w:tc>
          <w:tcPr>
            <w:tcW w:w="1193" w:type="dxa"/>
            <w:tcBorders>
              <w:top w:val="single" w:sz="4" w:space="0" w:color="auto"/>
              <w:left w:val="single" w:sz="4" w:space="0" w:color="auto"/>
              <w:bottom w:val="single" w:sz="4" w:space="0" w:color="auto"/>
              <w:right w:val="nil"/>
            </w:tcBorders>
            <w:shd w:val="clear" w:color="auto" w:fill="B8CCE4" w:themeFill="accent1" w:themeFillTint="66"/>
            <w:vAlign w:val="center"/>
            <w:hideMark/>
          </w:tcPr>
          <w:p w14:paraId="428B39BF" w14:textId="77777777" w:rsidR="00D60A5A" w:rsidRPr="00FC39E3" w:rsidRDefault="00D60A5A" w:rsidP="00EE6F33">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Średni wiek</w:t>
            </w:r>
          </w:p>
        </w:tc>
        <w:tc>
          <w:tcPr>
            <w:tcW w:w="992" w:type="dxa"/>
            <w:tcBorders>
              <w:top w:val="single" w:sz="4" w:space="0" w:color="auto"/>
              <w:left w:val="double" w:sz="6" w:space="0" w:color="auto"/>
              <w:bottom w:val="double" w:sz="6" w:space="0" w:color="auto"/>
              <w:right w:val="single" w:sz="4" w:space="0" w:color="auto"/>
            </w:tcBorders>
            <w:shd w:val="clear" w:color="auto" w:fill="B8CCE4" w:themeFill="accent1" w:themeFillTint="66"/>
            <w:noWrap/>
            <w:vAlign w:val="center"/>
            <w:hideMark/>
          </w:tcPr>
          <w:p w14:paraId="72332C93"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62,1</w:t>
            </w:r>
          </w:p>
        </w:tc>
        <w:tc>
          <w:tcPr>
            <w:tcW w:w="807"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3041FB97"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64,6</w:t>
            </w:r>
          </w:p>
        </w:tc>
        <w:tc>
          <w:tcPr>
            <w:tcW w:w="851" w:type="dxa"/>
            <w:tcBorders>
              <w:top w:val="single" w:sz="4" w:space="0" w:color="auto"/>
              <w:left w:val="nil"/>
              <w:bottom w:val="double" w:sz="6" w:space="0" w:color="auto"/>
              <w:right w:val="double" w:sz="6" w:space="0" w:color="auto"/>
            </w:tcBorders>
            <w:shd w:val="clear" w:color="auto" w:fill="B8CCE4" w:themeFill="accent1" w:themeFillTint="66"/>
            <w:noWrap/>
            <w:vAlign w:val="center"/>
            <w:hideMark/>
          </w:tcPr>
          <w:p w14:paraId="6E5D90D1"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60,7</w:t>
            </w:r>
          </w:p>
        </w:tc>
        <w:tc>
          <w:tcPr>
            <w:tcW w:w="850"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16898E46"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62,3</w:t>
            </w:r>
          </w:p>
        </w:tc>
        <w:tc>
          <w:tcPr>
            <w:tcW w:w="992"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3623E015"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64,8</w:t>
            </w:r>
          </w:p>
        </w:tc>
        <w:tc>
          <w:tcPr>
            <w:tcW w:w="851" w:type="dxa"/>
            <w:tcBorders>
              <w:top w:val="single" w:sz="4" w:space="0" w:color="auto"/>
              <w:left w:val="nil"/>
              <w:bottom w:val="double" w:sz="6" w:space="0" w:color="auto"/>
              <w:right w:val="double" w:sz="6" w:space="0" w:color="auto"/>
            </w:tcBorders>
            <w:shd w:val="clear" w:color="auto" w:fill="B8CCE4" w:themeFill="accent1" w:themeFillTint="66"/>
            <w:noWrap/>
            <w:vAlign w:val="center"/>
            <w:hideMark/>
          </w:tcPr>
          <w:p w14:paraId="19585881"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60,6</w:t>
            </w:r>
          </w:p>
        </w:tc>
        <w:tc>
          <w:tcPr>
            <w:tcW w:w="850"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6D47FC4A"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62,4</w:t>
            </w:r>
          </w:p>
        </w:tc>
        <w:tc>
          <w:tcPr>
            <w:tcW w:w="993" w:type="dxa"/>
            <w:tcBorders>
              <w:top w:val="single" w:sz="4" w:space="0" w:color="auto"/>
              <w:left w:val="nil"/>
              <w:bottom w:val="double" w:sz="6" w:space="0" w:color="auto"/>
              <w:right w:val="single" w:sz="4" w:space="0" w:color="auto"/>
            </w:tcBorders>
            <w:shd w:val="clear" w:color="auto" w:fill="B8CCE4" w:themeFill="accent1" w:themeFillTint="66"/>
            <w:noWrap/>
            <w:vAlign w:val="center"/>
            <w:hideMark/>
          </w:tcPr>
          <w:p w14:paraId="7DA6A242"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64,8</w:t>
            </w:r>
          </w:p>
        </w:tc>
        <w:tc>
          <w:tcPr>
            <w:tcW w:w="850" w:type="dxa"/>
            <w:tcBorders>
              <w:top w:val="single" w:sz="4" w:space="0" w:color="auto"/>
              <w:left w:val="nil"/>
              <w:bottom w:val="double" w:sz="6" w:space="0" w:color="auto"/>
              <w:right w:val="double" w:sz="6" w:space="0" w:color="auto"/>
            </w:tcBorders>
            <w:shd w:val="clear" w:color="auto" w:fill="B8CCE4" w:themeFill="accent1" w:themeFillTint="66"/>
            <w:noWrap/>
            <w:vAlign w:val="center"/>
            <w:hideMark/>
          </w:tcPr>
          <w:p w14:paraId="7CABB615" w14:textId="77777777" w:rsidR="00D60A5A" w:rsidRPr="00FC39E3" w:rsidRDefault="00D60A5A" w:rsidP="00EE6F33">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60,6</w:t>
            </w:r>
          </w:p>
        </w:tc>
      </w:tr>
    </w:tbl>
    <w:p w14:paraId="48B508BF" w14:textId="6B03D76C" w:rsidR="00D60A5A" w:rsidRPr="005C7121" w:rsidRDefault="00D60A5A" w:rsidP="005C7121">
      <w:pPr>
        <w:pStyle w:val="Default"/>
        <w:rPr>
          <w:rFonts w:asciiTheme="minorHAnsi" w:hAnsiTheme="minorHAnsi" w:cstheme="minorHAnsi"/>
          <w:sz w:val="16"/>
          <w:szCs w:val="16"/>
        </w:rPr>
      </w:pPr>
      <w:r w:rsidRPr="005C7121">
        <w:rPr>
          <w:rFonts w:asciiTheme="minorHAnsi" w:hAnsiTheme="minorHAnsi" w:cstheme="minorHAnsi"/>
          <w:sz w:val="16"/>
          <w:szCs w:val="16"/>
          <w:vertAlign w:val="superscript"/>
        </w:rPr>
        <w:t>*)</w:t>
      </w:r>
      <w:r w:rsidR="00B31687">
        <w:rPr>
          <w:rFonts w:asciiTheme="minorHAnsi" w:hAnsiTheme="minorHAnsi" w:cstheme="minorHAnsi"/>
          <w:sz w:val="16"/>
          <w:szCs w:val="16"/>
        </w:rPr>
        <w:t xml:space="preserve"> B</w:t>
      </w:r>
      <w:r w:rsidRPr="005C7121">
        <w:rPr>
          <w:rFonts w:asciiTheme="minorHAnsi" w:hAnsiTheme="minorHAnsi" w:cstheme="minorHAnsi"/>
          <w:sz w:val="16"/>
          <w:szCs w:val="16"/>
        </w:rPr>
        <w:t xml:space="preserve">ez świadczeń międzynarodowych </w:t>
      </w:r>
      <w:r w:rsidR="00066039" w:rsidRPr="005C7121">
        <w:rPr>
          <w:rFonts w:asciiTheme="minorHAnsi" w:hAnsiTheme="minorHAnsi" w:cstheme="minorHAnsi"/>
          <w:sz w:val="16"/>
          <w:szCs w:val="16"/>
        </w:rPr>
        <w:t>i</w:t>
      </w:r>
      <w:r w:rsidRPr="005C7121">
        <w:rPr>
          <w:rFonts w:asciiTheme="minorHAnsi" w:hAnsiTheme="minorHAnsi" w:cstheme="minorHAnsi"/>
          <w:sz w:val="16"/>
          <w:szCs w:val="16"/>
        </w:rPr>
        <w:t xml:space="preserve"> świadczeń pobieranych łącznie ze świadczeniami rolniczymi, bez </w:t>
      </w:r>
      <w:r w:rsidR="00066039" w:rsidRPr="005C7121">
        <w:rPr>
          <w:rFonts w:asciiTheme="minorHAnsi" w:hAnsiTheme="minorHAnsi" w:cstheme="minorHAnsi"/>
          <w:sz w:val="16"/>
          <w:szCs w:val="16"/>
        </w:rPr>
        <w:t>em.</w:t>
      </w:r>
      <w:r w:rsidR="006A716D" w:rsidRPr="005C7121">
        <w:rPr>
          <w:rFonts w:asciiTheme="minorHAnsi" w:hAnsiTheme="minorHAnsi" w:cstheme="minorHAnsi"/>
          <w:sz w:val="16"/>
          <w:szCs w:val="16"/>
        </w:rPr>
        <w:t xml:space="preserve"> </w:t>
      </w:r>
      <w:r w:rsidR="00B31687" w:rsidRPr="005C7121">
        <w:rPr>
          <w:rFonts w:asciiTheme="minorHAnsi" w:hAnsiTheme="minorHAnsi" w:cstheme="minorHAnsi"/>
          <w:sz w:val="16"/>
          <w:szCs w:val="16"/>
        </w:rPr>
        <w:t>P</w:t>
      </w:r>
      <w:r w:rsidR="006A716D" w:rsidRPr="005C7121">
        <w:rPr>
          <w:rFonts w:asciiTheme="minorHAnsi" w:hAnsiTheme="minorHAnsi" w:cstheme="minorHAnsi"/>
          <w:sz w:val="16"/>
          <w:szCs w:val="16"/>
        </w:rPr>
        <w:t>omostowych</w:t>
      </w:r>
      <w:r w:rsidR="00B31687">
        <w:rPr>
          <w:rFonts w:asciiTheme="minorHAnsi" w:hAnsiTheme="minorHAnsi" w:cstheme="minorHAnsi"/>
          <w:sz w:val="16"/>
          <w:szCs w:val="16"/>
        </w:rPr>
        <w:t>.</w:t>
      </w:r>
    </w:p>
    <w:p w14:paraId="641D565C" w14:textId="14168917" w:rsidR="00D60A5A" w:rsidRPr="005C7121" w:rsidRDefault="00D60A5A" w:rsidP="005C7121">
      <w:pPr>
        <w:pStyle w:val="Default"/>
        <w:rPr>
          <w:rFonts w:asciiTheme="minorHAnsi" w:hAnsiTheme="minorHAnsi" w:cstheme="minorHAnsi"/>
          <w:sz w:val="16"/>
          <w:szCs w:val="16"/>
        </w:rPr>
      </w:pPr>
      <w:r w:rsidRPr="005C7121">
        <w:rPr>
          <w:rFonts w:asciiTheme="minorHAnsi" w:hAnsiTheme="minorHAnsi" w:cstheme="minorHAnsi"/>
          <w:sz w:val="16"/>
          <w:szCs w:val="16"/>
          <w:vertAlign w:val="superscript"/>
        </w:rPr>
        <w:t>**)</w:t>
      </w:r>
      <w:r w:rsidR="00B31687">
        <w:rPr>
          <w:rFonts w:asciiTheme="minorHAnsi" w:hAnsiTheme="minorHAnsi" w:cstheme="minorHAnsi"/>
          <w:sz w:val="16"/>
          <w:szCs w:val="16"/>
        </w:rPr>
        <w:t xml:space="preserve"> Z</w:t>
      </w:r>
      <w:r w:rsidRPr="005C7121">
        <w:rPr>
          <w:rFonts w:asciiTheme="minorHAnsi" w:hAnsiTheme="minorHAnsi" w:cstheme="minorHAnsi"/>
          <w:sz w:val="16"/>
          <w:szCs w:val="16"/>
        </w:rPr>
        <w:t>e względu na zaokrąglenia danych w niektórych przypadkach sumy składników mogą się różnić od wielkości ogółem</w:t>
      </w:r>
      <w:r w:rsidR="00B31687">
        <w:rPr>
          <w:rFonts w:asciiTheme="minorHAnsi" w:hAnsiTheme="minorHAnsi" w:cstheme="minorHAnsi"/>
          <w:sz w:val="16"/>
          <w:szCs w:val="16"/>
        </w:rPr>
        <w:t>.</w:t>
      </w:r>
    </w:p>
    <w:p w14:paraId="5486F27E" w14:textId="7F2B217C" w:rsidR="00132B37" w:rsidRPr="005C7121" w:rsidRDefault="008123D6" w:rsidP="005C7121">
      <w:pPr>
        <w:spacing w:after="0" w:line="240" w:lineRule="auto"/>
        <w:jc w:val="both"/>
        <w:rPr>
          <w:rFonts w:cstheme="minorHAnsi"/>
          <w:sz w:val="16"/>
          <w:szCs w:val="16"/>
        </w:rPr>
      </w:pPr>
      <w:r>
        <w:rPr>
          <w:rFonts w:cstheme="minorHAnsi"/>
          <w:sz w:val="16"/>
          <w:szCs w:val="16"/>
        </w:rPr>
        <w:t>Źródło: ZUS</w:t>
      </w:r>
    </w:p>
    <w:p w14:paraId="5811BB44" w14:textId="5EBC66FE" w:rsidR="00B208FA" w:rsidRPr="008D0165" w:rsidRDefault="00132B37" w:rsidP="00FC39E3">
      <w:pPr>
        <w:spacing w:before="120" w:after="120"/>
        <w:jc w:val="both"/>
        <w:rPr>
          <w:sz w:val="24"/>
          <w:szCs w:val="24"/>
        </w:rPr>
      </w:pPr>
      <w:r w:rsidRPr="008D0165">
        <w:rPr>
          <w:sz w:val="24"/>
          <w:szCs w:val="24"/>
        </w:rPr>
        <w:t xml:space="preserve">Przeciętna wysokość emerytury </w:t>
      </w:r>
      <w:r w:rsidR="00B208FA" w:rsidRPr="008D0165">
        <w:rPr>
          <w:sz w:val="24"/>
          <w:szCs w:val="24"/>
        </w:rPr>
        <w:t xml:space="preserve">wypłacanej w </w:t>
      </w:r>
      <w:r w:rsidR="00A27823">
        <w:rPr>
          <w:sz w:val="24"/>
          <w:szCs w:val="24"/>
        </w:rPr>
        <w:t xml:space="preserve">grudniu </w:t>
      </w:r>
      <w:r w:rsidR="00B208FA" w:rsidRPr="008D0165">
        <w:rPr>
          <w:sz w:val="24"/>
          <w:szCs w:val="24"/>
        </w:rPr>
        <w:t xml:space="preserve">2019 </w:t>
      </w:r>
      <w:r w:rsidR="002701FA" w:rsidRPr="008D0165">
        <w:rPr>
          <w:sz w:val="24"/>
          <w:szCs w:val="24"/>
        </w:rPr>
        <w:t xml:space="preserve">r. </w:t>
      </w:r>
      <w:r w:rsidRPr="008D0165">
        <w:rPr>
          <w:sz w:val="24"/>
          <w:szCs w:val="24"/>
        </w:rPr>
        <w:t>wyniosła</w:t>
      </w:r>
      <w:r w:rsidR="00B208FA" w:rsidRPr="008D0165">
        <w:rPr>
          <w:sz w:val="24"/>
          <w:szCs w:val="24"/>
        </w:rPr>
        <w:t xml:space="preserve"> 2</w:t>
      </w:r>
      <w:r w:rsidR="00D21F26" w:rsidRPr="008D0165">
        <w:rPr>
          <w:sz w:val="24"/>
          <w:szCs w:val="24"/>
        </w:rPr>
        <w:t> </w:t>
      </w:r>
      <w:r w:rsidR="00B208FA" w:rsidRPr="008D0165">
        <w:rPr>
          <w:sz w:val="24"/>
          <w:szCs w:val="24"/>
        </w:rPr>
        <w:t>358,39 zł, dla</w:t>
      </w:r>
      <w:r w:rsidR="008123D6">
        <w:rPr>
          <w:sz w:val="24"/>
          <w:szCs w:val="24"/>
        </w:rPr>
        <w:t> </w:t>
      </w:r>
      <w:r w:rsidR="00B208FA" w:rsidRPr="008D0165">
        <w:rPr>
          <w:sz w:val="24"/>
          <w:szCs w:val="24"/>
        </w:rPr>
        <w:t>mężczyzn – 2</w:t>
      </w:r>
      <w:r w:rsidR="00D21F26" w:rsidRPr="008D0165">
        <w:rPr>
          <w:sz w:val="24"/>
          <w:szCs w:val="24"/>
        </w:rPr>
        <w:t> </w:t>
      </w:r>
      <w:r w:rsidR="00B208FA" w:rsidRPr="008D0165">
        <w:rPr>
          <w:sz w:val="24"/>
          <w:szCs w:val="24"/>
        </w:rPr>
        <w:t xml:space="preserve">944,46 zł, </w:t>
      </w:r>
      <w:r w:rsidR="002701FA" w:rsidRPr="008D0165">
        <w:rPr>
          <w:sz w:val="24"/>
          <w:szCs w:val="24"/>
        </w:rPr>
        <w:t xml:space="preserve">dla kobiet – </w:t>
      </w:r>
      <w:r w:rsidR="00B208FA" w:rsidRPr="008D0165">
        <w:rPr>
          <w:sz w:val="24"/>
          <w:szCs w:val="24"/>
        </w:rPr>
        <w:t>1</w:t>
      </w:r>
      <w:r w:rsidR="00D21F26" w:rsidRPr="008D0165">
        <w:rPr>
          <w:sz w:val="24"/>
          <w:szCs w:val="24"/>
        </w:rPr>
        <w:t> </w:t>
      </w:r>
      <w:r w:rsidR="00B208FA" w:rsidRPr="008D0165">
        <w:rPr>
          <w:sz w:val="24"/>
          <w:szCs w:val="24"/>
        </w:rPr>
        <w:t xml:space="preserve">972,56 zł. W kolejnych latach przeciętna ogólna wysokość emerytury rosła odpowiednio o 5,4% w </w:t>
      </w:r>
      <w:r w:rsidR="00A27823">
        <w:rPr>
          <w:sz w:val="24"/>
          <w:szCs w:val="24"/>
        </w:rPr>
        <w:t>grudniu</w:t>
      </w:r>
      <w:r w:rsidR="00A27823" w:rsidRPr="008D0165">
        <w:rPr>
          <w:sz w:val="24"/>
          <w:szCs w:val="24"/>
        </w:rPr>
        <w:t xml:space="preserve"> </w:t>
      </w:r>
      <w:r w:rsidR="00B208FA" w:rsidRPr="008D0165">
        <w:rPr>
          <w:sz w:val="24"/>
          <w:szCs w:val="24"/>
        </w:rPr>
        <w:t xml:space="preserve">2020 </w:t>
      </w:r>
      <w:r w:rsidR="00E81E74">
        <w:rPr>
          <w:sz w:val="24"/>
          <w:szCs w:val="24"/>
        </w:rPr>
        <w:t xml:space="preserve">r. </w:t>
      </w:r>
      <w:r w:rsidR="00B208FA" w:rsidRPr="008D0165">
        <w:rPr>
          <w:sz w:val="24"/>
          <w:szCs w:val="24"/>
        </w:rPr>
        <w:t xml:space="preserve">i 6,7% w </w:t>
      </w:r>
      <w:r w:rsidR="00A27823">
        <w:rPr>
          <w:sz w:val="24"/>
          <w:szCs w:val="24"/>
        </w:rPr>
        <w:t>grudniu</w:t>
      </w:r>
      <w:r w:rsidR="00A27823" w:rsidRPr="008D0165">
        <w:rPr>
          <w:sz w:val="24"/>
          <w:szCs w:val="24"/>
        </w:rPr>
        <w:t xml:space="preserve"> </w:t>
      </w:r>
      <w:r w:rsidR="00B208FA" w:rsidRPr="008D0165">
        <w:rPr>
          <w:sz w:val="24"/>
          <w:szCs w:val="24"/>
        </w:rPr>
        <w:t>2021 r. W</w:t>
      </w:r>
      <w:r w:rsidR="008123D6">
        <w:rPr>
          <w:sz w:val="24"/>
          <w:szCs w:val="24"/>
        </w:rPr>
        <w:t> </w:t>
      </w:r>
      <w:r w:rsidR="00A27823">
        <w:rPr>
          <w:sz w:val="24"/>
          <w:szCs w:val="24"/>
        </w:rPr>
        <w:t>grudniu</w:t>
      </w:r>
      <w:r w:rsidR="00A27823" w:rsidRPr="008D0165">
        <w:rPr>
          <w:sz w:val="24"/>
          <w:szCs w:val="24"/>
        </w:rPr>
        <w:t xml:space="preserve"> </w:t>
      </w:r>
      <w:r w:rsidR="00B208FA" w:rsidRPr="008D0165">
        <w:rPr>
          <w:sz w:val="24"/>
          <w:szCs w:val="24"/>
        </w:rPr>
        <w:t>2020 r. przeciętne świadczenie emerytalne wynosiło 2</w:t>
      </w:r>
      <w:r w:rsidR="00D21F26" w:rsidRPr="008D0165">
        <w:rPr>
          <w:sz w:val="24"/>
          <w:szCs w:val="24"/>
        </w:rPr>
        <w:t> </w:t>
      </w:r>
      <w:r w:rsidR="00B208FA" w:rsidRPr="008D0165">
        <w:rPr>
          <w:sz w:val="24"/>
          <w:szCs w:val="24"/>
        </w:rPr>
        <w:t>486,81 zł, mężczyźni – 3</w:t>
      </w:r>
      <w:r w:rsidR="00D21F26" w:rsidRPr="008D0165">
        <w:rPr>
          <w:sz w:val="24"/>
          <w:szCs w:val="24"/>
        </w:rPr>
        <w:t> </w:t>
      </w:r>
      <w:r w:rsidR="00B208FA" w:rsidRPr="008D0165">
        <w:rPr>
          <w:sz w:val="24"/>
          <w:szCs w:val="24"/>
        </w:rPr>
        <w:t>107,22 zł, kobiety – 2</w:t>
      </w:r>
      <w:r w:rsidR="00D21F26" w:rsidRPr="008D0165">
        <w:rPr>
          <w:sz w:val="24"/>
          <w:szCs w:val="24"/>
        </w:rPr>
        <w:t> </w:t>
      </w:r>
      <w:r w:rsidR="00B208FA" w:rsidRPr="008D0165">
        <w:rPr>
          <w:sz w:val="24"/>
          <w:szCs w:val="24"/>
        </w:rPr>
        <w:t xml:space="preserve">081,81 zł, natomiast w </w:t>
      </w:r>
      <w:r w:rsidR="00A27823">
        <w:rPr>
          <w:sz w:val="24"/>
          <w:szCs w:val="24"/>
        </w:rPr>
        <w:t>grudniu</w:t>
      </w:r>
      <w:r w:rsidR="00A27823" w:rsidRPr="008D0165">
        <w:rPr>
          <w:sz w:val="24"/>
          <w:szCs w:val="24"/>
        </w:rPr>
        <w:t xml:space="preserve"> </w:t>
      </w:r>
      <w:r w:rsidR="00B208FA" w:rsidRPr="008D0165">
        <w:rPr>
          <w:sz w:val="24"/>
          <w:szCs w:val="24"/>
        </w:rPr>
        <w:t>2021 r. było to 2</w:t>
      </w:r>
      <w:r w:rsidR="00D21F26" w:rsidRPr="008D0165">
        <w:rPr>
          <w:sz w:val="24"/>
          <w:szCs w:val="24"/>
        </w:rPr>
        <w:t> </w:t>
      </w:r>
      <w:r w:rsidR="00B208FA" w:rsidRPr="008D0165">
        <w:rPr>
          <w:sz w:val="24"/>
          <w:szCs w:val="24"/>
        </w:rPr>
        <w:t>653,78 zł, mężczyźni – 3</w:t>
      </w:r>
      <w:r w:rsidR="00D21F26" w:rsidRPr="008D0165">
        <w:rPr>
          <w:sz w:val="24"/>
          <w:szCs w:val="24"/>
        </w:rPr>
        <w:t> </w:t>
      </w:r>
      <w:r w:rsidR="00B208FA" w:rsidRPr="008D0165">
        <w:rPr>
          <w:sz w:val="24"/>
          <w:szCs w:val="24"/>
        </w:rPr>
        <w:t>310,57 zł, kobiety – 2</w:t>
      </w:r>
      <w:r w:rsidR="00D21F26" w:rsidRPr="008D0165">
        <w:rPr>
          <w:sz w:val="24"/>
          <w:szCs w:val="24"/>
        </w:rPr>
        <w:t> </w:t>
      </w:r>
      <w:r w:rsidR="00B208FA" w:rsidRPr="008D0165">
        <w:rPr>
          <w:sz w:val="24"/>
          <w:szCs w:val="24"/>
        </w:rPr>
        <w:t xml:space="preserve">225,62 zł. Istnieją istotne różnice w wysokości przeciętnej emerytury ze względu na </w:t>
      </w:r>
      <w:r w:rsidR="00E9179B" w:rsidRPr="008D0165">
        <w:rPr>
          <w:sz w:val="24"/>
          <w:szCs w:val="24"/>
        </w:rPr>
        <w:t>płeć</w:t>
      </w:r>
      <w:r w:rsidR="00B208FA" w:rsidRPr="008D0165">
        <w:rPr>
          <w:sz w:val="24"/>
          <w:szCs w:val="24"/>
        </w:rPr>
        <w:t xml:space="preserve"> i w prezentowanym okresie wartość ta zwiększała się na niekorzyść grupy kobiet: 971,9</w:t>
      </w:r>
      <w:r w:rsidR="00CA48AE" w:rsidRPr="008D0165">
        <w:rPr>
          <w:sz w:val="24"/>
          <w:szCs w:val="24"/>
        </w:rPr>
        <w:t xml:space="preserve"> zł w 2019 r., </w:t>
      </w:r>
      <w:r w:rsidR="00B208FA" w:rsidRPr="008D0165">
        <w:rPr>
          <w:sz w:val="24"/>
          <w:szCs w:val="24"/>
        </w:rPr>
        <w:t>1</w:t>
      </w:r>
      <w:r w:rsidR="00D21F26" w:rsidRPr="008D0165">
        <w:rPr>
          <w:sz w:val="24"/>
          <w:szCs w:val="24"/>
        </w:rPr>
        <w:t> </w:t>
      </w:r>
      <w:r w:rsidR="00B208FA" w:rsidRPr="008D0165">
        <w:rPr>
          <w:sz w:val="24"/>
          <w:szCs w:val="24"/>
        </w:rPr>
        <w:t>025,41</w:t>
      </w:r>
      <w:r w:rsidR="00CA48AE" w:rsidRPr="008D0165">
        <w:rPr>
          <w:sz w:val="24"/>
          <w:szCs w:val="24"/>
        </w:rPr>
        <w:t xml:space="preserve"> zł w 2020 r., </w:t>
      </w:r>
      <w:r w:rsidR="00B208FA" w:rsidRPr="008D0165">
        <w:rPr>
          <w:sz w:val="24"/>
          <w:szCs w:val="24"/>
        </w:rPr>
        <w:t>1</w:t>
      </w:r>
      <w:r w:rsidR="00D21F26" w:rsidRPr="008D0165">
        <w:rPr>
          <w:sz w:val="24"/>
          <w:szCs w:val="24"/>
        </w:rPr>
        <w:t> </w:t>
      </w:r>
      <w:r w:rsidR="00B208FA" w:rsidRPr="008D0165">
        <w:rPr>
          <w:sz w:val="24"/>
          <w:szCs w:val="24"/>
        </w:rPr>
        <w:t>084,95</w:t>
      </w:r>
      <w:r w:rsidR="00CA48AE" w:rsidRPr="008D0165">
        <w:rPr>
          <w:sz w:val="24"/>
          <w:szCs w:val="24"/>
        </w:rPr>
        <w:t xml:space="preserve"> zł w </w:t>
      </w:r>
      <w:r w:rsidR="00A27823">
        <w:rPr>
          <w:sz w:val="24"/>
          <w:szCs w:val="24"/>
        </w:rPr>
        <w:t>grudniu</w:t>
      </w:r>
      <w:r w:rsidR="00A27823" w:rsidRPr="008D0165">
        <w:rPr>
          <w:sz w:val="24"/>
          <w:szCs w:val="24"/>
        </w:rPr>
        <w:t xml:space="preserve"> </w:t>
      </w:r>
      <w:r w:rsidR="00CA48AE" w:rsidRPr="008D0165">
        <w:rPr>
          <w:sz w:val="24"/>
          <w:szCs w:val="24"/>
        </w:rPr>
        <w:t>2021 r.</w:t>
      </w:r>
    </w:p>
    <w:p w14:paraId="3B4A0455" w14:textId="65F43EA3" w:rsidR="00132B37" w:rsidRDefault="00132B37" w:rsidP="00FC39E3">
      <w:pPr>
        <w:spacing w:before="120" w:after="120"/>
        <w:jc w:val="both"/>
        <w:rPr>
          <w:sz w:val="24"/>
          <w:szCs w:val="24"/>
        </w:rPr>
      </w:pPr>
      <w:r w:rsidRPr="008D0165">
        <w:rPr>
          <w:sz w:val="24"/>
          <w:szCs w:val="24"/>
        </w:rPr>
        <w:t xml:space="preserve">Dominującym przedziałem wysokości emerytur </w:t>
      </w:r>
      <w:r w:rsidR="008B6A10" w:rsidRPr="008D0165">
        <w:rPr>
          <w:sz w:val="24"/>
          <w:szCs w:val="24"/>
        </w:rPr>
        <w:t>wypłacanych kobietom</w:t>
      </w:r>
      <w:r w:rsidRPr="008D0165">
        <w:rPr>
          <w:sz w:val="24"/>
          <w:szCs w:val="24"/>
        </w:rPr>
        <w:t xml:space="preserve"> w okresie </w:t>
      </w:r>
      <w:r w:rsidR="006C734D">
        <w:rPr>
          <w:sz w:val="24"/>
          <w:szCs w:val="24"/>
        </w:rPr>
        <w:t>od</w:t>
      </w:r>
      <w:r w:rsidR="008123D6">
        <w:rPr>
          <w:sz w:val="24"/>
          <w:szCs w:val="24"/>
        </w:rPr>
        <w:t> </w:t>
      </w:r>
      <w:r w:rsidR="006C734D">
        <w:rPr>
          <w:sz w:val="24"/>
          <w:szCs w:val="24"/>
        </w:rPr>
        <w:t>2019</w:t>
      </w:r>
      <w:r w:rsidR="008123D6">
        <w:rPr>
          <w:sz w:val="24"/>
          <w:szCs w:val="24"/>
        </w:rPr>
        <w:t> </w:t>
      </w:r>
      <w:r w:rsidR="006C734D">
        <w:rPr>
          <w:sz w:val="24"/>
          <w:szCs w:val="24"/>
        </w:rPr>
        <w:t>do </w:t>
      </w:r>
      <w:r w:rsidR="008B6A10" w:rsidRPr="008D0165">
        <w:rPr>
          <w:sz w:val="24"/>
          <w:szCs w:val="24"/>
        </w:rPr>
        <w:t>2021 r.</w:t>
      </w:r>
      <w:r w:rsidRPr="008D0165">
        <w:rPr>
          <w:sz w:val="24"/>
          <w:szCs w:val="24"/>
        </w:rPr>
        <w:t xml:space="preserve"> był przedział </w:t>
      </w:r>
      <w:r w:rsidR="008B6A10" w:rsidRPr="008D0165">
        <w:rPr>
          <w:sz w:val="24"/>
          <w:szCs w:val="24"/>
        </w:rPr>
        <w:t>1</w:t>
      </w:r>
      <w:r w:rsidR="00D21F26" w:rsidRPr="008D0165">
        <w:rPr>
          <w:sz w:val="24"/>
          <w:szCs w:val="24"/>
        </w:rPr>
        <w:t> </w:t>
      </w:r>
      <w:r w:rsidR="008B6A10" w:rsidRPr="008D0165">
        <w:rPr>
          <w:sz w:val="24"/>
          <w:szCs w:val="24"/>
        </w:rPr>
        <w:t>000</w:t>
      </w:r>
      <w:r w:rsidR="00A435C2">
        <w:rPr>
          <w:sz w:val="24"/>
          <w:szCs w:val="24"/>
        </w:rPr>
        <w:t>–</w:t>
      </w:r>
      <w:r w:rsidR="008B6A10" w:rsidRPr="008D0165">
        <w:rPr>
          <w:sz w:val="24"/>
          <w:szCs w:val="24"/>
        </w:rPr>
        <w:t>2</w:t>
      </w:r>
      <w:r w:rsidR="00D21F26" w:rsidRPr="008D0165">
        <w:rPr>
          <w:sz w:val="24"/>
          <w:szCs w:val="24"/>
        </w:rPr>
        <w:t> </w:t>
      </w:r>
      <w:r w:rsidR="008B6A10" w:rsidRPr="008D0165">
        <w:rPr>
          <w:sz w:val="24"/>
          <w:szCs w:val="24"/>
        </w:rPr>
        <w:t xml:space="preserve">000 zł (odpowiednio w </w:t>
      </w:r>
      <w:r w:rsidR="00A27823">
        <w:rPr>
          <w:sz w:val="24"/>
          <w:szCs w:val="24"/>
        </w:rPr>
        <w:t>grudniu</w:t>
      </w:r>
      <w:r w:rsidR="00A27823" w:rsidRPr="008D0165">
        <w:rPr>
          <w:sz w:val="24"/>
          <w:szCs w:val="24"/>
        </w:rPr>
        <w:t xml:space="preserve"> </w:t>
      </w:r>
      <w:r w:rsidR="008B6A10" w:rsidRPr="008D0165">
        <w:rPr>
          <w:sz w:val="24"/>
          <w:szCs w:val="24"/>
        </w:rPr>
        <w:t xml:space="preserve">2019 r. </w:t>
      </w:r>
      <w:r w:rsidR="00FB017B" w:rsidRPr="008D0165">
        <w:rPr>
          <w:sz w:val="24"/>
          <w:szCs w:val="24"/>
        </w:rPr>
        <w:t>–</w:t>
      </w:r>
      <w:r w:rsidR="008B6A10" w:rsidRPr="008D0165">
        <w:rPr>
          <w:sz w:val="24"/>
          <w:szCs w:val="24"/>
        </w:rPr>
        <w:t xml:space="preserve"> 54,5</w:t>
      </w:r>
      <w:r w:rsidRPr="008D0165">
        <w:rPr>
          <w:sz w:val="24"/>
          <w:szCs w:val="24"/>
        </w:rPr>
        <w:t>%</w:t>
      </w:r>
      <w:r w:rsidR="008B6A10" w:rsidRPr="008D0165">
        <w:rPr>
          <w:sz w:val="24"/>
          <w:szCs w:val="24"/>
        </w:rPr>
        <w:t>, w</w:t>
      </w:r>
      <w:r w:rsidR="008123D6">
        <w:rPr>
          <w:sz w:val="24"/>
          <w:szCs w:val="24"/>
        </w:rPr>
        <w:t> </w:t>
      </w:r>
      <w:r w:rsidR="00A27823">
        <w:rPr>
          <w:sz w:val="24"/>
          <w:szCs w:val="24"/>
        </w:rPr>
        <w:t>grudniu</w:t>
      </w:r>
      <w:r w:rsidR="00A27823" w:rsidRPr="008D0165">
        <w:rPr>
          <w:sz w:val="24"/>
          <w:szCs w:val="24"/>
        </w:rPr>
        <w:t xml:space="preserve"> </w:t>
      </w:r>
      <w:r w:rsidR="008B6A10" w:rsidRPr="008D0165">
        <w:rPr>
          <w:sz w:val="24"/>
          <w:szCs w:val="24"/>
        </w:rPr>
        <w:t>2020</w:t>
      </w:r>
      <w:r w:rsidRPr="008D0165">
        <w:rPr>
          <w:sz w:val="24"/>
          <w:szCs w:val="24"/>
        </w:rPr>
        <w:t xml:space="preserve"> r. </w:t>
      </w:r>
      <w:r w:rsidR="008B6A10" w:rsidRPr="008D0165">
        <w:rPr>
          <w:sz w:val="24"/>
          <w:szCs w:val="24"/>
        </w:rPr>
        <w:t>–</w:t>
      </w:r>
      <w:r w:rsidRPr="008D0165">
        <w:rPr>
          <w:sz w:val="24"/>
          <w:szCs w:val="24"/>
        </w:rPr>
        <w:t xml:space="preserve"> </w:t>
      </w:r>
      <w:r w:rsidR="008B6A10" w:rsidRPr="008D0165">
        <w:rPr>
          <w:sz w:val="24"/>
          <w:szCs w:val="24"/>
        </w:rPr>
        <w:t>49,2</w:t>
      </w:r>
      <w:r w:rsidRPr="008D0165">
        <w:rPr>
          <w:sz w:val="24"/>
          <w:szCs w:val="24"/>
        </w:rPr>
        <w:t>% i</w:t>
      </w:r>
      <w:r w:rsidR="008B6A10" w:rsidRPr="008D0165">
        <w:rPr>
          <w:sz w:val="24"/>
          <w:szCs w:val="24"/>
        </w:rPr>
        <w:t xml:space="preserve"> w </w:t>
      </w:r>
      <w:r w:rsidR="00A27823">
        <w:rPr>
          <w:sz w:val="24"/>
          <w:szCs w:val="24"/>
        </w:rPr>
        <w:t>grudniu</w:t>
      </w:r>
      <w:r w:rsidR="00A27823" w:rsidRPr="008D0165">
        <w:rPr>
          <w:sz w:val="24"/>
          <w:szCs w:val="24"/>
        </w:rPr>
        <w:t xml:space="preserve"> </w:t>
      </w:r>
      <w:r w:rsidR="008B6A10" w:rsidRPr="008D0165">
        <w:rPr>
          <w:sz w:val="24"/>
          <w:szCs w:val="24"/>
        </w:rPr>
        <w:t>2021 r. – 42</w:t>
      </w:r>
      <w:r w:rsidRPr="008D0165">
        <w:rPr>
          <w:sz w:val="24"/>
          <w:szCs w:val="24"/>
        </w:rPr>
        <w:t xml:space="preserve">,3%), </w:t>
      </w:r>
      <w:r w:rsidR="00066039" w:rsidRPr="008D0165">
        <w:rPr>
          <w:sz w:val="24"/>
          <w:szCs w:val="24"/>
        </w:rPr>
        <w:t>a </w:t>
      </w:r>
      <w:r w:rsidRPr="008D0165">
        <w:rPr>
          <w:sz w:val="24"/>
          <w:szCs w:val="24"/>
        </w:rPr>
        <w:t>w przypadku mężczyzn –</w:t>
      </w:r>
      <w:r w:rsidR="00CD7268">
        <w:rPr>
          <w:sz w:val="24"/>
          <w:szCs w:val="24"/>
        </w:rPr>
        <w:t xml:space="preserve"> </w:t>
      </w:r>
      <w:r w:rsidRPr="008D0165">
        <w:rPr>
          <w:sz w:val="24"/>
          <w:szCs w:val="24"/>
        </w:rPr>
        <w:t>przedział 2</w:t>
      </w:r>
      <w:r w:rsidR="00A435C2">
        <w:rPr>
          <w:sz w:val="24"/>
          <w:szCs w:val="24"/>
        </w:rPr>
        <w:t> </w:t>
      </w:r>
      <w:r w:rsidRPr="008D0165">
        <w:rPr>
          <w:sz w:val="24"/>
          <w:szCs w:val="24"/>
        </w:rPr>
        <w:t>000</w:t>
      </w:r>
      <w:r w:rsidR="00A435C2">
        <w:rPr>
          <w:sz w:val="24"/>
          <w:szCs w:val="24"/>
        </w:rPr>
        <w:t>–</w:t>
      </w:r>
      <w:r w:rsidRPr="008D0165">
        <w:rPr>
          <w:sz w:val="24"/>
          <w:szCs w:val="24"/>
        </w:rPr>
        <w:t>3</w:t>
      </w:r>
      <w:r w:rsidR="006C734D">
        <w:rPr>
          <w:sz w:val="24"/>
          <w:szCs w:val="24"/>
        </w:rPr>
        <w:t> 000 </w:t>
      </w:r>
      <w:r w:rsidRPr="008D0165">
        <w:rPr>
          <w:sz w:val="24"/>
          <w:szCs w:val="24"/>
        </w:rPr>
        <w:t>zł (</w:t>
      </w:r>
      <w:r w:rsidR="008B6A10" w:rsidRPr="008D0165">
        <w:rPr>
          <w:sz w:val="24"/>
          <w:szCs w:val="24"/>
        </w:rPr>
        <w:t xml:space="preserve">w </w:t>
      </w:r>
      <w:r w:rsidR="00A27823">
        <w:rPr>
          <w:sz w:val="24"/>
          <w:szCs w:val="24"/>
        </w:rPr>
        <w:t>grudniu</w:t>
      </w:r>
      <w:r w:rsidR="00A27823" w:rsidRPr="008D0165">
        <w:rPr>
          <w:sz w:val="24"/>
          <w:szCs w:val="24"/>
        </w:rPr>
        <w:t xml:space="preserve"> </w:t>
      </w:r>
      <w:r w:rsidR="008B6A10" w:rsidRPr="008D0165">
        <w:rPr>
          <w:sz w:val="24"/>
          <w:szCs w:val="24"/>
        </w:rPr>
        <w:t>2019 r. – 41,2%, w</w:t>
      </w:r>
      <w:r w:rsidR="00A27823" w:rsidRPr="00A27823">
        <w:rPr>
          <w:sz w:val="24"/>
          <w:szCs w:val="24"/>
        </w:rPr>
        <w:t xml:space="preserve"> </w:t>
      </w:r>
      <w:r w:rsidR="00A27823">
        <w:rPr>
          <w:sz w:val="24"/>
          <w:szCs w:val="24"/>
        </w:rPr>
        <w:t>grudniu</w:t>
      </w:r>
      <w:r w:rsidR="008B6A10" w:rsidRPr="008D0165">
        <w:rPr>
          <w:sz w:val="24"/>
          <w:szCs w:val="24"/>
        </w:rPr>
        <w:t xml:space="preserve"> 2020 r. – 39,1%, </w:t>
      </w:r>
      <w:r w:rsidR="00066039" w:rsidRPr="008D0165">
        <w:rPr>
          <w:sz w:val="24"/>
          <w:szCs w:val="24"/>
        </w:rPr>
        <w:t>w </w:t>
      </w:r>
      <w:r w:rsidR="00A27823">
        <w:rPr>
          <w:sz w:val="24"/>
          <w:szCs w:val="24"/>
        </w:rPr>
        <w:t>grudniu</w:t>
      </w:r>
      <w:r w:rsidR="00A27823" w:rsidRPr="008D0165">
        <w:rPr>
          <w:sz w:val="24"/>
          <w:szCs w:val="24"/>
        </w:rPr>
        <w:t xml:space="preserve"> </w:t>
      </w:r>
      <w:r w:rsidR="008B6A10" w:rsidRPr="008D0165">
        <w:rPr>
          <w:sz w:val="24"/>
          <w:szCs w:val="24"/>
        </w:rPr>
        <w:t>2021 r. – 35,3</w:t>
      </w:r>
      <w:r w:rsidR="0009646E">
        <w:rPr>
          <w:sz w:val="24"/>
          <w:szCs w:val="24"/>
        </w:rPr>
        <w:t>%</w:t>
      </w:r>
      <w:r w:rsidR="008B6A10" w:rsidRPr="008D0165">
        <w:rPr>
          <w:sz w:val="24"/>
          <w:szCs w:val="24"/>
        </w:rPr>
        <w:t xml:space="preserve">), ale warto też zaznaczyć, że w </w:t>
      </w:r>
      <w:r w:rsidR="0009646E">
        <w:rPr>
          <w:sz w:val="24"/>
          <w:szCs w:val="24"/>
        </w:rPr>
        <w:t>grudniu</w:t>
      </w:r>
      <w:r w:rsidR="0009646E" w:rsidRPr="008D0165">
        <w:rPr>
          <w:sz w:val="24"/>
          <w:szCs w:val="24"/>
        </w:rPr>
        <w:t xml:space="preserve"> </w:t>
      </w:r>
      <w:r w:rsidR="008B6A10" w:rsidRPr="008D0165">
        <w:rPr>
          <w:sz w:val="24"/>
          <w:szCs w:val="24"/>
        </w:rPr>
        <w:t>2019 r. co piąty mężcz</w:t>
      </w:r>
      <w:r w:rsidR="00BE200D" w:rsidRPr="008D0165">
        <w:rPr>
          <w:sz w:val="24"/>
          <w:szCs w:val="24"/>
        </w:rPr>
        <w:t>yzna otrzymywał emeryturę w </w:t>
      </w:r>
      <w:r w:rsidR="008B6A10" w:rsidRPr="008D0165">
        <w:rPr>
          <w:sz w:val="24"/>
          <w:szCs w:val="24"/>
        </w:rPr>
        <w:t>przedziale 3</w:t>
      </w:r>
      <w:r w:rsidR="00A435C2">
        <w:rPr>
          <w:sz w:val="24"/>
          <w:szCs w:val="24"/>
        </w:rPr>
        <w:t> </w:t>
      </w:r>
      <w:r w:rsidR="008B6A10" w:rsidRPr="008D0165">
        <w:rPr>
          <w:sz w:val="24"/>
          <w:szCs w:val="24"/>
        </w:rPr>
        <w:t>000</w:t>
      </w:r>
      <w:r w:rsidR="00A435C2">
        <w:rPr>
          <w:sz w:val="24"/>
          <w:szCs w:val="24"/>
        </w:rPr>
        <w:t>–</w:t>
      </w:r>
      <w:r w:rsidR="008B6A10" w:rsidRPr="008D0165">
        <w:rPr>
          <w:sz w:val="24"/>
          <w:szCs w:val="24"/>
        </w:rPr>
        <w:t>4</w:t>
      </w:r>
      <w:r w:rsidR="00D21F26" w:rsidRPr="008D0165">
        <w:rPr>
          <w:sz w:val="24"/>
          <w:szCs w:val="24"/>
        </w:rPr>
        <w:t> </w:t>
      </w:r>
      <w:r w:rsidR="008B6A10" w:rsidRPr="008D0165">
        <w:rPr>
          <w:sz w:val="24"/>
          <w:szCs w:val="24"/>
        </w:rPr>
        <w:t xml:space="preserve">000 zł, a w </w:t>
      </w:r>
      <w:r w:rsidR="0009646E">
        <w:rPr>
          <w:sz w:val="24"/>
          <w:szCs w:val="24"/>
        </w:rPr>
        <w:t>grudniu</w:t>
      </w:r>
      <w:r w:rsidR="0009646E" w:rsidRPr="008D0165">
        <w:rPr>
          <w:sz w:val="24"/>
          <w:szCs w:val="24"/>
        </w:rPr>
        <w:t xml:space="preserve"> </w:t>
      </w:r>
      <w:r w:rsidR="008B6A10" w:rsidRPr="008D0165">
        <w:rPr>
          <w:sz w:val="24"/>
          <w:szCs w:val="24"/>
        </w:rPr>
        <w:t xml:space="preserve">2021 r. jest to już co </w:t>
      </w:r>
      <w:r w:rsidR="00E9179B" w:rsidRPr="008D0165">
        <w:rPr>
          <w:sz w:val="24"/>
          <w:szCs w:val="24"/>
        </w:rPr>
        <w:t>czwarty</w:t>
      </w:r>
      <w:r w:rsidR="008B6A10" w:rsidRPr="008D0165">
        <w:rPr>
          <w:sz w:val="24"/>
          <w:szCs w:val="24"/>
        </w:rPr>
        <w:t xml:space="preserve"> mężczyzna.</w:t>
      </w:r>
    </w:p>
    <w:p w14:paraId="0A61B8CD" w14:textId="5521ED9E" w:rsidR="00D923B7" w:rsidRDefault="00D923B7" w:rsidP="00FC39E3">
      <w:pPr>
        <w:spacing w:before="120" w:after="120"/>
        <w:jc w:val="both"/>
        <w:rPr>
          <w:sz w:val="24"/>
          <w:szCs w:val="24"/>
        </w:rPr>
      </w:pPr>
    </w:p>
    <w:p w14:paraId="11A5BA64" w14:textId="77777777" w:rsidR="00D923B7" w:rsidRPr="008D0165" w:rsidRDefault="00D923B7" w:rsidP="00FC39E3">
      <w:pPr>
        <w:spacing w:before="120" w:after="120"/>
        <w:jc w:val="both"/>
        <w:rPr>
          <w:sz w:val="24"/>
          <w:szCs w:val="24"/>
        </w:rPr>
      </w:pPr>
    </w:p>
    <w:p w14:paraId="2195088C" w14:textId="6ECD3EC8" w:rsidR="006D094D" w:rsidRPr="00FC39E3" w:rsidRDefault="00132B37" w:rsidP="0084113E">
      <w:pPr>
        <w:spacing w:before="120" w:after="120" w:line="23" w:lineRule="atLeast"/>
        <w:jc w:val="both"/>
        <w:rPr>
          <w:b/>
          <w:bCs/>
        </w:rPr>
      </w:pPr>
      <w:r w:rsidRPr="00FC39E3">
        <w:rPr>
          <w:b/>
          <w:bCs/>
        </w:rPr>
        <w:t xml:space="preserve">Tabela </w:t>
      </w:r>
      <w:r w:rsidR="00E861F0" w:rsidRPr="00FC39E3">
        <w:rPr>
          <w:b/>
          <w:bCs/>
        </w:rPr>
        <w:t>8</w:t>
      </w:r>
      <w:r w:rsidRPr="00FC39E3">
        <w:rPr>
          <w:b/>
          <w:bCs/>
        </w:rPr>
        <w:t xml:space="preserve">. </w:t>
      </w:r>
      <w:r w:rsidR="006D094D" w:rsidRPr="00FC39E3">
        <w:rPr>
          <w:b/>
          <w:bCs/>
        </w:rPr>
        <w:t>Struktura emerytów, którym emerytury</w:t>
      </w:r>
      <w:r w:rsidR="006D094D" w:rsidRPr="00FC39E3">
        <w:rPr>
          <w:b/>
          <w:bCs/>
          <w:vertAlign w:val="superscript"/>
        </w:rPr>
        <w:t>*</w:t>
      </w:r>
      <w:r w:rsidR="006D094D" w:rsidRPr="00543908">
        <w:rPr>
          <w:b/>
          <w:bCs/>
          <w:vertAlign w:val="superscript"/>
        </w:rPr>
        <w:t>)</w:t>
      </w:r>
      <w:r w:rsidR="006D094D" w:rsidRPr="00FC39E3">
        <w:rPr>
          <w:b/>
          <w:bCs/>
          <w:vertAlign w:val="superscript"/>
        </w:rPr>
        <w:t xml:space="preserve"> </w:t>
      </w:r>
      <w:r w:rsidR="006D094D" w:rsidRPr="00FC39E3">
        <w:rPr>
          <w:b/>
          <w:bCs/>
        </w:rPr>
        <w:t>wypłaca ZUS w latach 2019</w:t>
      </w:r>
      <w:r w:rsidR="00A435C2">
        <w:rPr>
          <w:b/>
          <w:bCs/>
        </w:rPr>
        <w:t>–</w:t>
      </w:r>
      <w:r w:rsidR="006D094D" w:rsidRPr="00FC39E3">
        <w:rPr>
          <w:b/>
          <w:bCs/>
        </w:rPr>
        <w:t>2021 według</w:t>
      </w:r>
      <w:r w:rsidR="00237B52">
        <w:rPr>
          <w:b/>
          <w:bCs/>
        </w:rPr>
        <w:t> </w:t>
      </w:r>
      <w:r w:rsidR="006D094D" w:rsidRPr="00FC39E3">
        <w:rPr>
          <w:b/>
          <w:bCs/>
        </w:rPr>
        <w:t>wysokości i płci</w:t>
      </w:r>
      <w:r w:rsidR="0009646E">
        <w:rPr>
          <w:b/>
          <w:bCs/>
        </w:rPr>
        <w:t xml:space="preserve"> – stan w grudniu</w:t>
      </w:r>
    </w:p>
    <w:tbl>
      <w:tblPr>
        <w:tblW w:w="9218" w:type="dxa"/>
        <w:jc w:val="center"/>
        <w:tblCellMar>
          <w:left w:w="70" w:type="dxa"/>
          <w:right w:w="70" w:type="dxa"/>
        </w:tblCellMar>
        <w:tblLook w:val="04A0" w:firstRow="1" w:lastRow="0" w:firstColumn="1" w:lastColumn="0" w:noHBand="0" w:noVBand="1"/>
      </w:tblPr>
      <w:tblGrid>
        <w:gridCol w:w="1580"/>
        <w:gridCol w:w="717"/>
        <w:gridCol w:w="974"/>
        <w:gridCol w:w="758"/>
        <w:gridCol w:w="781"/>
        <w:gridCol w:w="974"/>
        <w:gridCol w:w="758"/>
        <w:gridCol w:w="851"/>
        <w:gridCol w:w="974"/>
        <w:gridCol w:w="851"/>
      </w:tblGrid>
      <w:tr w:rsidR="001C3EF6" w:rsidRPr="008D0165" w14:paraId="35B06D10" w14:textId="77777777" w:rsidTr="00FC39E3">
        <w:trPr>
          <w:trHeight w:val="340"/>
          <w:tblHeader/>
          <w:jc w:val="center"/>
        </w:trPr>
        <w:tc>
          <w:tcPr>
            <w:tcW w:w="1696" w:type="dxa"/>
            <w:vMerge w:val="restart"/>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6D75AA43"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lastRenderedPageBreak/>
              <w:t xml:space="preserve">Wysokość świadczenia w zł </w:t>
            </w:r>
            <w:r w:rsidRPr="005916E3">
              <w:rPr>
                <w:rFonts w:eastAsia="Times New Roman" w:cstheme="minorHAnsi"/>
                <w:color w:val="000000"/>
                <w:sz w:val="18"/>
                <w:szCs w:val="18"/>
                <w:lang w:eastAsia="pl-PL"/>
              </w:rPr>
              <w:t>(łącznie z dodatkami pielęgnacyjnymi)</w:t>
            </w:r>
          </w:p>
        </w:tc>
        <w:tc>
          <w:tcPr>
            <w:tcW w:w="233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5611D083"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2019</w:t>
            </w:r>
          </w:p>
        </w:tc>
        <w:tc>
          <w:tcPr>
            <w:tcW w:w="2513"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04791B51"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2020</w:t>
            </w:r>
          </w:p>
        </w:tc>
        <w:tc>
          <w:tcPr>
            <w:tcW w:w="2676" w:type="dxa"/>
            <w:gridSpan w:val="3"/>
            <w:tcBorders>
              <w:top w:val="double" w:sz="6" w:space="0" w:color="auto"/>
              <w:left w:val="nil"/>
              <w:bottom w:val="single" w:sz="4" w:space="0" w:color="auto"/>
              <w:right w:val="double" w:sz="6" w:space="0" w:color="000000"/>
            </w:tcBorders>
            <w:shd w:val="clear" w:color="auto" w:fill="B8CCE4" w:themeFill="accent1" w:themeFillTint="66"/>
            <w:vAlign w:val="center"/>
            <w:hideMark/>
          </w:tcPr>
          <w:p w14:paraId="3519B137" w14:textId="77777777" w:rsidR="006D094D" w:rsidRPr="005916E3" w:rsidRDefault="006D094D" w:rsidP="0084113E">
            <w:pPr>
              <w:spacing w:after="0" w:line="23" w:lineRule="atLeast"/>
              <w:jc w:val="center"/>
              <w:rPr>
                <w:rFonts w:eastAsia="Times New Roman" w:cstheme="minorHAnsi"/>
                <w:bCs/>
                <w:color w:val="000000"/>
                <w:sz w:val="18"/>
                <w:szCs w:val="18"/>
                <w:lang w:eastAsia="pl-PL"/>
              </w:rPr>
            </w:pPr>
            <w:r w:rsidRPr="005916E3">
              <w:rPr>
                <w:rFonts w:eastAsia="Times New Roman" w:cstheme="minorHAnsi"/>
                <w:bCs/>
                <w:color w:val="000000"/>
                <w:sz w:val="18"/>
                <w:szCs w:val="18"/>
                <w:lang w:eastAsia="pl-PL"/>
              </w:rPr>
              <w:t>2021</w:t>
            </w:r>
          </w:p>
        </w:tc>
      </w:tr>
      <w:tr w:rsidR="001C3EF6" w:rsidRPr="008D0165" w14:paraId="2ABEA48F" w14:textId="77777777" w:rsidTr="00FC39E3">
        <w:trPr>
          <w:trHeight w:val="340"/>
          <w:tblHeader/>
          <w:jc w:val="center"/>
        </w:trPr>
        <w:tc>
          <w:tcPr>
            <w:tcW w:w="1696"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4C54CFBC" w14:textId="77777777" w:rsidR="006D094D" w:rsidRPr="005916E3" w:rsidRDefault="006D094D" w:rsidP="0084113E">
            <w:pPr>
              <w:spacing w:after="0" w:line="23" w:lineRule="atLeast"/>
              <w:rPr>
                <w:rFonts w:eastAsia="Times New Roman" w:cstheme="minorHAnsi"/>
                <w:bCs/>
                <w:color w:val="000000"/>
                <w:sz w:val="18"/>
                <w:szCs w:val="18"/>
                <w:lang w:eastAsia="pl-PL"/>
              </w:rPr>
            </w:pPr>
          </w:p>
        </w:tc>
        <w:tc>
          <w:tcPr>
            <w:tcW w:w="601" w:type="dxa"/>
            <w:tcBorders>
              <w:top w:val="nil"/>
              <w:left w:val="nil"/>
              <w:bottom w:val="single" w:sz="4" w:space="0" w:color="auto"/>
              <w:right w:val="single" w:sz="4" w:space="0" w:color="auto"/>
            </w:tcBorders>
            <w:shd w:val="clear" w:color="auto" w:fill="B8CCE4" w:themeFill="accent1" w:themeFillTint="66"/>
            <w:noWrap/>
            <w:vAlign w:val="center"/>
            <w:hideMark/>
          </w:tcPr>
          <w:p w14:paraId="6CB23FBA"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Ogółem</w:t>
            </w:r>
          </w:p>
        </w:tc>
        <w:tc>
          <w:tcPr>
            <w:tcW w:w="974" w:type="dxa"/>
            <w:tcBorders>
              <w:top w:val="nil"/>
              <w:left w:val="nil"/>
              <w:bottom w:val="single" w:sz="4" w:space="0" w:color="auto"/>
              <w:right w:val="single" w:sz="4" w:space="0" w:color="auto"/>
            </w:tcBorders>
            <w:shd w:val="clear" w:color="auto" w:fill="B8CCE4" w:themeFill="accent1" w:themeFillTint="66"/>
            <w:noWrap/>
            <w:vAlign w:val="center"/>
            <w:hideMark/>
          </w:tcPr>
          <w:p w14:paraId="0D43BA02"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Mężczyźni</w:t>
            </w:r>
          </w:p>
        </w:tc>
        <w:tc>
          <w:tcPr>
            <w:tcW w:w="758" w:type="dxa"/>
            <w:tcBorders>
              <w:top w:val="nil"/>
              <w:left w:val="nil"/>
              <w:bottom w:val="single" w:sz="4" w:space="0" w:color="auto"/>
              <w:right w:val="double" w:sz="6" w:space="0" w:color="auto"/>
            </w:tcBorders>
            <w:shd w:val="clear" w:color="auto" w:fill="B8CCE4" w:themeFill="accent1" w:themeFillTint="66"/>
            <w:noWrap/>
            <w:vAlign w:val="center"/>
            <w:hideMark/>
          </w:tcPr>
          <w:p w14:paraId="7A43A6E1"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Kobiety</w:t>
            </w:r>
          </w:p>
        </w:tc>
        <w:tc>
          <w:tcPr>
            <w:tcW w:w="781" w:type="dxa"/>
            <w:tcBorders>
              <w:top w:val="nil"/>
              <w:left w:val="nil"/>
              <w:bottom w:val="single" w:sz="4" w:space="0" w:color="auto"/>
              <w:right w:val="single" w:sz="4" w:space="0" w:color="auto"/>
            </w:tcBorders>
            <w:shd w:val="clear" w:color="auto" w:fill="B8CCE4" w:themeFill="accent1" w:themeFillTint="66"/>
            <w:noWrap/>
            <w:vAlign w:val="center"/>
            <w:hideMark/>
          </w:tcPr>
          <w:p w14:paraId="106602DF"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Ogółem</w:t>
            </w:r>
          </w:p>
        </w:tc>
        <w:tc>
          <w:tcPr>
            <w:tcW w:w="974" w:type="dxa"/>
            <w:tcBorders>
              <w:top w:val="nil"/>
              <w:left w:val="nil"/>
              <w:bottom w:val="single" w:sz="4" w:space="0" w:color="auto"/>
              <w:right w:val="single" w:sz="4" w:space="0" w:color="auto"/>
            </w:tcBorders>
            <w:shd w:val="clear" w:color="auto" w:fill="B8CCE4" w:themeFill="accent1" w:themeFillTint="66"/>
            <w:noWrap/>
            <w:vAlign w:val="center"/>
            <w:hideMark/>
          </w:tcPr>
          <w:p w14:paraId="3488E5AD"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Mężczyźni</w:t>
            </w:r>
          </w:p>
        </w:tc>
        <w:tc>
          <w:tcPr>
            <w:tcW w:w="758" w:type="dxa"/>
            <w:tcBorders>
              <w:top w:val="nil"/>
              <w:left w:val="nil"/>
              <w:bottom w:val="single" w:sz="4" w:space="0" w:color="auto"/>
              <w:right w:val="double" w:sz="6" w:space="0" w:color="auto"/>
            </w:tcBorders>
            <w:shd w:val="clear" w:color="auto" w:fill="B8CCE4" w:themeFill="accent1" w:themeFillTint="66"/>
            <w:noWrap/>
            <w:vAlign w:val="center"/>
            <w:hideMark/>
          </w:tcPr>
          <w:p w14:paraId="02DFEE53"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Kobiety</w:t>
            </w:r>
          </w:p>
        </w:tc>
        <w:tc>
          <w:tcPr>
            <w:tcW w:w="851" w:type="dxa"/>
            <w:tcBorders>
              <w:top w:val="nil"/>
              <w:left w:val="nil"/>
              <w:bottom w:val="single" w:sz="4" w:space="0" w:color="auto"/>
              <w:right w:val="single" w:sz="4" w:space="0" w:color="auto"/>
            </w:tcBorders>
            <w:shd w:val="clear" w:color="auto" w:fill="B8CCE4" w:themeFill="accent1" w:themeFillTint="66"/>
            <w:noWrap/>
            <w:vAlign w:val="center"/>
            <w:hideMark/>
          </w:tcPr>
          <w:p w14:paraId="63C69CC6"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Ogółem</w:t>
            </w:r>
          </w:p>
        </w:tc>
        <w:tc>
          <w:tcPr>
            <w:tcW w:w="974" w:type="dxa"/>
            <w:tcBorders>
              <w:top w:val="nil"/>
              <w:left w:val="nil"/>
              <w:bottom w:val="single" w:sz="4" w:space="0" w:color="auto"/>
              <w:right w:val="single" w:sz="4" w:space="0" w:color="auto"/>
            </w:tcBorders>
            <w:shd w:val="clear" w:color="auto" w:fill="B8CCE4" w:themeFill="accent1" w:themeFillTint="66"/>
            <w:noWrap/>
            <w:vAlign w:val="center"/>
            <w:hideMark/>
          </w:tcPr>
          <w:p w14:paraId="557941BB"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Mężczyźni</w:t>
            </w:r>
          </w:p>
        </w:tc>
        <w:tc>
          <w:tcPr>
            <w:tcW w:w="851" w:type="dxa"/>
            <w:tcBorders>
              <w:top w:val="nil"/>
              <w:left w:val="nil"/>
              <w:bottom w:val="single" w:sz="4" w:space="0" w:color="auto"/>
              <w:right w:val="double" w:sz="6" w:space="0" w:color="auto"/>
            </w:tcBorders>
            <w:shd w:val="clear" w:color="auto" w:fill="B8CCE4" w:themeFill="accent1" w:themeFillTint="66"/>
            <w:noWrap/>
            <w:vAlign w:val="center"/>
            <w:hideMark/>
          </w:tcPr>
          <w:p w14:paraId="27DB7FB2"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Kobiety</w:t>
            </w:r>
          </w:p>
        </w:tc>
      </w:tr>
      <w:tr w:rsidR="001C3EF6" w:rsidRPr="008D0165" w14:paraId="07F9A5D1" w14:textId="77777777" w:rsidTr="00FC39E3">
        <w:trPr>
          <w:trHeight w:val="340"/>
          <w:tblHeader/>
          <w:jc w:val="center"/>
        </w:trPr>
        <w:tc>
          <w:tcPr>
            <w:tcW w:w="1696" w:type="dxa"/>
            <w:vMerge/>
            <w:tcBorders>
              <w:top w:val="single" w:sz="4" w:space="0" w:color="auto"/>
              <w:left w:val="single" w:sz="4" w:space="0" w:color="auto"/>
              <w:bottom w:val="single" w:sz="4" w:space="0" w:color="000000"/>
              <w:right w:val="double" w:sz="6" w:space="0" w:color="auto"/>
            </w:tcBorders>
            <w:shd w:val="clear" w:color="auto" w:fill="B8CCE4" w:themeFill="accent1" w:themeFillTint="66"/>
            <w:vAlign w:val="center"/>
            <w:hideMark/>
          </w:tcPr>
          <w:p w14:paraId="6EBBD411" w14:textId="77777777" w:rsidR="006D094D" w:rsidRPr="005916E3" w:rsidRDefault="006D094D" w:rsidP="0084113E">
            <w:pPr>
              <w:spacing w:after="0" w:line="23" w:lineRule="atLeast"/>
              <w:rPr>
                <w:rFonts w:eastAsia="Times New Roman" w:cstheme="minorHAnsi"/>
                <w:bCs/>
                <w:color w:val="000000"/>
                <w:sz w:val="18"/>
                <w:szCs w:val="18"/>
                <w:lang w:eastAsia="pl-PL"/>
              </w:rPr>
            </w:pPr>
          </w:p>
        </w:tc>
        <w:tc>
          <w:tcPr>
            <w:tcW w:w="7522" w:type="dxa"/>
            <w:gridSpan w:val="9"/>
            <w:tcBorders>
              <w:top w:val="single" w:sz="4" w:space="0" w:color="auto"/>
              <w:left w:val="nil"/>
              <w:bottom w:val="single" w:sz="4" w:space="0" w:color="auto"/>
              <w:right w:val="single" w:sz="4" w:space="0" w:color="000000"/>
            </w:tcBorders>
            <w:shd w:val="clear" w:color="auto" w:fill="B8CCE4" w:themeFill="accent1" w:themeFillTint="66"/>
            <w:noWrap/>
            <w:vAlign w:val="center"/>
            <w:hideMark/>
          </w:tcPr>
          <w:p w14:paraId="36C39360" w14:textId="77777777" w:rsidR="006D094D" w:rsidRPr="005916E3" w:rsidRDefault="006D094D" w:rsidP="0084113E">
            <w:pPr>
              <w:spacing w:after="0" w:line="23" w:lineRule="atLeast"/>
              <w:jc w:val="center"/>
              <w:rPr>
                <w:rFonts w:eastAsia="Times New Roman" w:cstheme="minorHAnsi"/>
                <w:i/>
                <w:iCs/>
                <w:color w:val="000000"/>
                <w:sz w:val="18"/>
                <w:szCs w:val="18"/>
                <w:lang w:eastAsia="pl-PL"/>
              </w:rPr>
            </w:pPr>
            <w:r w:rsidRPr="005916E3">
              <w:rPr>
                <w:rFonts w:eastAsia="Times New Roman" w:cstheme="minorHAnsi"/>
                <w:i/>
                <w:iCs/>
                <w:color w:val="000000"/>
                <w:sz w:val="18"/>
                <w:szCs w:val="18"/>
                <w:lang w:eastAsia="pl-PL"/>
              </w:rPr>
              <w:t>w odsetkach</w:t>
            </w:r>
          </w:p>
        </w:tc>
      </w:tr>
      <w:tr w:rsidR="001C3EF6" w:rsidRPr="008D0165" w14:paraId="693AF092" w14:textId="77777777" w:rsidTr="00FC39E3">
        <w:trPr>
          <w:trHeight w:val="340"/>
          <w:jc w:val="center"/>
        </w:trPr>
        <w:tc>
          <w:tcPr>
            <w:tcW w:w="1696" w:type="dxa"/>
            <w:tcBorders>
              <w:top w:val="nil"/>
              <w:left w:val="single" w:sz="4" w:space="0" w:color="auto"/>
              <w:bottom w:val="nil"/>
              <w:right w:val="nil"/>
            </w:tcBorders>
            <w:shd w:val="clear" w:color="auto" w:fill="B8CCE4" w:themeFill="accent1" w:themeFillTint="66"/>
            <w:vAlign w:val="center"/>
            <w:hideMark/>
          </w:tcPr>
          <w:p w14:paraId="0F5AF189" w14:textId="77777777" w:rsidR="006D094D" w:rsidRPr="005916E3" w:rsidRDefault="006D094D" w:rsidP="0084113E">
            <w:pPr>
              <w:spacing w:after="0" w:line="23" w:lineRule="atLeast"/>
              <w:jc w:val="center"/>
              <w:rPr>
                <w:rFonts w:eastAsia="Times New Roman" w:cstheme="minorHAnsi"/>
                <w:color w:val="000000"/>
                <w:sz w:val="18"/>
                <w:szCs w:val="18"/>
                <w:lang w:eastAsia="pl-PL"/>
              </w:rPr>
            </w:pPr>
            <w:r w:rsidRPr="005916E3">
              <w:rPr>
                <w:rFonts w:eastAsia="Times New Roman" w:cstheme="minorHAnsi"/>
                <w:color w:val="000000"/>
                <w:sz w:val="18"/>
                <w:szCs w:val="18"/>
                <w:lang w:eastAsia="pl-PL"/>
              </w:rPr>
              <w:t xml:space="preserve"> Ogółem</w:t>
            </w:r>
          </w:p>
        </w:tc>
        <w:tc>
          <w:tcPr>
            <w:tcW w:w="601" w:type="dxa"/>
            <w:tcBorders>
              <w:top w:val="nil"/>
              <w:left w:val="double" w:sz="6" w:space="0" w:color="auto"/>
              <w:bottom w:val="nil"/>
              <w:right w:val="single" w:sz="4" w:space="0" w:color="auto"/>
            </w:tcBorders>
            <w:shd w:val="clear" w:color="auto" w:fill="B8CCE4" w:themeFill="accent1" w:themeFillTint="66"/>
            <w:noWrap/>
            <w:vAlign w:val="center"/>
            <w:hideMark/>
          </w:tcPr>
          <w:p w14:paraId="2EF0C77F"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974" w:type="dxa"/>
            <w:tcBorders>
              <w:top w:val="nil"/>
              <w:left w:val="nil"/>
              <w:bottom w:val="nil"/>
              <w:right w:val="single" w:sz="4" w:space="0" w:color="auto"/>
            </w:tcBorders>
            <w:shd w:val="clear" w:color="auto" w:fill="B8CCE4" w:themeFill="accent1" w:themeFillTint="66"/>
            <w:noWrap/>
            <w:vAlign w:val="center"/>
            <w:hideMark/>
          </w:tcPr>
          <w:p w14:paraId="66222BDA"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758" w:type="dxa"/>
            <w:tcBorders>
              <w:top w:val="nil"/>
              <w:left w:val="nil"/>
              <w:bottom w:val="nil"/>
              <w:right w:val="double" w:sz="6" w:space="0" w:color="auto"/>
            </w:tcBorders>
            <w:shd w:val="clear" w:color="auto" w:fill="B8CCE4" w:themeFill="accent1" w:themeFillTint="66"/>
            <w:noWrap/>
            <w:vAlign w:val="center"/>
            <w:hideMark/>
          </w:tcPr>
          <w:p w14:paraId="47F9266F"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781" w:type="dxa"/>
            <w:tcBorders>
              <w:top w:val="nil"/>
              <w:left w:val="nil"/>
              <w:bottom w:val="nil"/>
              <w:right w:val="single" w:sz="4" w:space="0" w:color="auto"/>
            </w:tcBorders>
            <w:shd w:val="clear" w:color="auto" w:fill="B8CCE4" w:themeFill="accent1" w:themeFillTint="66"/>
            <w:noWrap/>
            <w:vAlign w:val="center"/>
            <w:hideMark/>
          </w:tcPr>
          <w:p w14:paraId="3C443ACE"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974" w:type="dxa"/>
            <w:tcBorders>
              <w:top w:val="nil"/>
              <w:left w:val="nil"/>
              <w:bottom w:val="nil"/>
              <w:right w:val="single" w:sz="4" w:space="0" w:color="auto"/>
            </w:tcBorders>
            <w:shd w:val="clear" w:color="auto" w:fill="B8CCE4" w:themeFill="accent1" w:themeFillTint="66"/>
            <w:noWrap/>
            <w:vAlign w:val="center"/>
            <w:hideMark/>
          </w:tcPr>
          <w:p w14:paraId="2090B972"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758" w:type="dxa"/>
            <w:tcBorders>
              <w:top w:val="nil"/>
              <w:left w:val="nil"/>
              <w:bottom w:val="nil"/>
              <w:right w:val="double" w:sz="6" w:space="0" w:color="auto"/>
            </w:tcBorders>
            <w:shd w:val="clear" w:color="auto" w:fill="B8CCE4" w:themeFill="accent1" w:themeFillTint="66"/>
            <w:noWrap/>
            <w:vAlign w:val="center"/>
            <w:hideMark/>
          </w:tcPr>
          <w:p w14:paraId="6B26FE43"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851" w:type="dxa"/>
            <w:tcBorders>
              <w:top w:val="nil"/>
              <w:left w:val="nil"/>
              <w:bottom w:val="nil"/>
              <w:right w:val="single" w:sz="4" w:space="0" w:color="auto"/>
            </w:tcBorders>
            <w:shd w:val="clear" w:color="auto" w:fill="B8CCE4" w:themeFill="accent1" w:themeFillTint="66"/>
            <w:noWrap/>
            <w:vAlign w:val="center"/>
            <w:hideMark/>
          </w:tcPr>
          <w:p w14:paraId="51F544DA"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974" w:type="dxa"/>
            <w:tcBorders>
              <w:top w:val="nil"/>
              <w:left w:val="nil"/>
              <w:bottom w:val="nil"/>
              <w:right w:val="single" w:sz="4" w:space="0" w:color="auto"/>
            </w:tcBorders>
            <w:shd w:val="clear" w:color="auto" w:fill="B8CCE4" w:themeFill="accent1" w:themeFillTint="66"/>
            <w:noWrap/>
            <w:vAlign w:val="center"/>
            <w:hideMark/>
          </w:tcPr>
          <w:p w14:paraId="495F4A6B"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c>
          <w:tcPr>
            <w:tcW w:w="851" w:type="dxa"/>
            <w:tcBorders>
              <w:top w:val="nil"/>
              <w:left w:val="nil"/>
              <w:bottom w:val="nil"/>
              <w:right w:val="double" w:sz="6" w:space="0" w:color="auto"/>
            </w:tcBorders>
            <w:shd w:val="clear" w:color="auto" w:fill="B8CCE4" w:themeFill="accent1" w:themeFillTint="66"/>
            <w:noWrap/>
            <w:vAlign w:val="center"/>
            <w:hideMark/>
          </w:tcPr>
          <w:p w14:paraId="67B6C1F0" w14:textId="77777777" w:rsidR="006D094D" w:rsidRPr="005916E3" w:rsidRDefault="006D094D" w:rsidP="0084113E">
            <w:pPr>
              <w:spacing w:after="0" w:line="23" w:lineRule="atLeast"/>
              <w:jc w:val="center"/>
              <w:rPr>
                <w:rFonts w:eastAsia="Times New Roman" w:cstheme="minorHAnsi"/>
                <w:sz w:val="18"/>
                <w:szCs w:val="18"/>
                <w:lang w:eastAsia="pl-PL"/>
              </w:rPr>
            </w:pPr>
            <w:r w:rsidRPr="005916E3">
              <w:rPr>
                <w:rFonts w:eastAsia="Times New Roman" w:cstheme="minorHAnsi"/>
                <w:sz w:val="18"/>
                <w:szCs w:val="18"/>
                <w:lang w:eastAsia="pl-PL"/>
              </w:rPr>
              <w:t>100,0</w:t>
            </w:r>
          </w:p>
        </w:tc>
      </w:tr>
      <w:tr w:rsidR="001C3EF6" w:rsidRPr="008D0165" w14:paraId="06149C27" w14:textId="77777777" w:rsidTr="00FC39E3">
        <w:trPr>
          <w:trHeight w:val="283"/>
          <w:jc w:val="center"/>
        </w:trPr>
        <w:tc>
          <w:tcPr>
            <w:tcW w:w="1696" w:type="dxa"/>
            <w:tcBorders>
              <w:top w:val="single" w:sz="4" w:space="0" w:color="auto"/>
              <w:left w:val="single" w:sz="4" w:space="0" w:color="auto"/>
              <w:bottom w:val="nil"/>
              <w:right w:val="nil"/>
            </w:tcBorders>
            <w:shd w:val="clear" w:color="auto" w:fill="auto"/>
            <w:vAlign w:val="center"/>
            <w:hideMark/>
          </w:tcPr>
          <w:p w14:paraId="152C0FD2"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600,00 i mniej</w:t>
            </w:r>
          </w:p>
        </w:tc>
        <w:tc>
          <w:tcPr>
            <w:tcW w:w="601" w:type="dxa"/>
            <w:tcBorders>
              <w:top w:val="single" w:sz="4" w:space="0" w:color="auto"/>
              <w:left w:val="double" w:sz="6" w:space="0" w:color="auto"/>
              <w:bottom w:val="nil"/>
              <w:right w:val="single" w:sz="4" w:space="0" w:color="auto"/>
            </w:tcBorders>
            <w:shd w:val="clear" w:color="auto" w:fill="auto"/>
            <w:noWrap/>
            <w:vAlign w:val="center"/>
            <w:hideMark/>
          </w:tcPr>
          <w:p w14:paraId="5667ABA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single" w:sz="4" w:space="0" w:color="auto"/>
              <w:left w:val="nil"/>
              <w:bottom w:val="nil"/>
              <w:right w:val="single" w:sz="4" w:space="0" w:color="auto"/>
            </w:tcBorders>
            <w:shd w:val="clear" w:color="auto" w:fill="auto"/>
            <w:noWrap/>
            <w:vAlign w:val="center"/>
            <w:hideMark/>
          </w:tcPr>
          <w:p w14:paraId="623100A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758" w:type="dxa"/>
            <w:tcBorders>
              <w:top w:val="single" w:sz="4" w:space="0" w:color="auto"/>
              <w:left w:val="nil"/>
              <w:bottom w:val="nil"/>
              <w:right w:val="double" w:sz="6" w:space="0" w:color="auto"/>
            </w:tcBorders>
            <w:shd w:val="clear" w:color="auto" w:fill="auto"/>
            <w:noWrap/>
            <w:vAlign w:val="center"/>
            <w:hideMark/>
          </w:tcPr>
          <w:p w14:paraId="0CF20DF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781" w:type="dxa"/>
            <w:tcBorders>
              <w:top w:val="single" w:sz="4" w:space="0" w:color="auto"/>
              <w:left w:val="nil"/>
              <w:bottom w:val="nil"/>
              <w:right w:val="single" w:sz="4" w:space="0" w:color="auto"/>
            </w:tcBorders>
            <w:shd w:val="clear" w:color="auto" w:fill="auto"/>
            <w:noWrap/>
            <w:vAlign w:val="center"/>
            <w:hideMark/>
          </w:tcPr>
          <w:p w14:paraId="3D0E584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single" w:sz="4" w:space="0" w:color="auto"/>
              <w:left w:val="nil"/>
              <w:bottom w:val="nil"/>
              <w:right w:val="single" w:sz="4" w:space="0" w:color="auto"/>
            </w:tcBorders>
            <w:shd w:val="clear" w:color="auto" w:fill="auto"/>
            <w:noWrap/>
            <w:vAlign w:val="center"/>
            <w:hideMark/>
          </w:tcPr>
          <w:p w14:paraId="6A5E7C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758" w:type="dxa"/>
            <w:tcBorders>
              <w:top w:val="single" w:sz="4" w:space="0" w:color="auto"/>
              <w:left w:val="nil"/>
              <w:bottom w:val="nil"/>
              <w:right w:val="double" w:sz="6" w:space="0" w:color="auto"/>
            </w:tcBorders>
            <w:shd w:val="clear" w:color="auto" w:fill="auto"/>
            <w:noWrap/>
            <w:vAlign w:val="center"/>
            <w:hideMark/>
          </w:tcPr>
          <w:p w14:paraId="45CED45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851" w:type="dxa"/>
            <w:tcBorders>
              <w:top w:val="single" w:sz="4" w:space="0" w:color="auto"/>
              <w:left w:val="nil"/>
              <w:bottom w:val="nil"/>
              <w:right w:val="single" w:sz="4" w:space="0" w:color="auto"/>
            </w:tcBorders>
            <w:shd w:val="clear" w:color="auto" w:fill="auto"/>
            <w:noWrap/>
            <w:vAlign w:val="center"/>
            <w:hideMark/>
          </w:tcPr>
          <w:p w14:paraId="2AB5E3F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single" w:sz="4" w:space="0" w:color="auto"/>
              <w:left w:val="nil"/>
              <w:bottom w:val="nil"/>
              <w:right w:val="single" w:sz="4" w:space="0" w:color="auto"/>
            </w:tcBorders>
            <w:shd w:val="clear" w:color="auto" w:fill="auto"/>
            <w:noWrap/>
            <w:vAlign w:val="center"/>
            <w:hideMark/>
          </w:tcPr>
          <w:p w14:paraId="1EF6DE4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851" w:type="dxa"/>
            <w:tcBorders>
              <w:top w:val="single" w:sz="4" w:space="0" w:color="auto"/>
              <w:left w:val="nil"/>
              <w:bottom w:val="nil"/>
              <w:right w:val="double" w:sz="6" w:space="0" w:color="auto"/>
            </w:tcBorders>
            <w:shd w:val="clear" w:color="auto" w:fill="auto"/>
            <w:noWrap/>
            <w:vAlign w:val="center"/>
            <w:hideMark/>
          </w:tcPr>
          <w:p w14:paraId="7FB962E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w:t>
            </w:r>
          </w:p>
        </w:tc>
      </w:tr>
      <w:tr w:rsidR="001C3EF6" w:rsidRPr="008D0165" w14:paraId="267544A3"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5FB7426F"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600,01 - 700,00</w:t>
            </w:r>
          </w:p>
        </w:tc>
        <w:tc>
          <w:tcPr>
            <w:tcW w:w="601" w:type="dxa"/>
            <w:tcBorders>
              <w:top w:val="nil"/>
              <w:left w:val="double" w:sz="6" w:space="0" w:color="auto"/>
              <w:bottom w:val="nil"/>
              <w:right w:val="single" w:sz="4" w:space="0" w:color="auto"/>
            </w:tcBorders>
            <w:shd w:val="clear" w:color="auto" w:fill="auto"/>
            <w:noWrap/>
            <w:vAlign w:val="center"/>
            <w:hideMark/>
          </w:tcPr>
          <w:p w14:paraId="147C73F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057A9EA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58" w:type="dxa"/>
            <w:tcBorders>
              <w:top w:val="nil"/>
              <w:left w:val="nil"/>
              <w:bottom w:val="nil"/>
              <w:right w:val="double" w:sz="6" w:space="0" w:color="auto"/>
            </w:tcBorders>
            <w:shd w:val="clear" w:color="auto" w:fill="auto"/>
            <w:noWrap/>
            <w:vAlign w:val="center"/>
            <w:hideMark/>
          </w:tcPr>
          <w:p w14:paraId="4C26570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781" w:type="dxa"/>
            <w:tcBorders>
              <w:top w:val="nil"/>
              <w:left w:val="nil"/>
              <w:bottom w:val="nil"/>
              <w:right w:val="single" w:sz="4" w:space="0" w:color="auto"/>
            </w:tcBorders>
            <w:shd w:val="clear" w:color="auto" w:fill="auto"/>
            <w:noWrap/>
            <w:vAlign w:val="center"/>
            <w:hideMark/>
          </w:tcPr>
          <w:p w14:paraId="75E5448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7783474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58" w:type="dxa"/>
            <w:tcBorders>
              <w:top w:val="nil"/>
              <w:left w:val="nil"/>
              <w:bottom w:val="nil"/>
              <w:right w:val="double" w:sz="6" w:space="0" w:color="auto"/>
            </w:tcBorders>
            <w:shd w:val="clear" w:color="auto" w:fill="auto"/>
            <w:noWrap/>
            <w:vAlign w:val="center"/>
            <w:hideMark/>
          </w:tcPr>
          <w:p w14:paraId="02529DC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851" w:type="dxa"/>
            <w:tcBorders>
              <w:top w:val="nil"/>
              <w:left w:val="nil"/>
              <w:bottom w:val="nil"/>
              <w:right w:val="single" w:sz="4" w:space="0" w:color="auto"/>
            </w:tcBorders>
            <w:shd w:val="clear" w:color="auto" w:fill="auto"/>
            <w:noWrap/>
            <w:vAlign w:val="center"/>
            <w:hideMark/>
          </w:tcPr>
          <w:p w14:paraId="367AADA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1B65F1B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double" w:sz="6" w:space="0" w:color="auto"/>
            </w:tcBorders>
            <w:shd w:val="clear" w:color="auto" w:fill="auto"/>
            <w:noWrap/>
            <w:vAlign w:val="center"/>
            <w:hideMark/>
          </w:tcPr>
          <w:p w14:paraId="30F79E0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r>
      <w:tr w:rsidR="001C3EF6" w:rsidRPr="008D0165" w14:paraId="167B7974"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BD6E47F"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700,01 - 800,00</w:t>
            </w:r>
          </w:p>
        </w:tc>
        <w:tc>
          <w:tcPr>
            <w:tcW w:w="601" w:type="dxa"/>
            <w:tcBorders>
              <w:top w:val="nil"/>
              <w:left w:val="double" w:sz="6" w:space="0" w:color="auto"/>
              <w:bottom w:val="nil"/>
              <w:right w:val="single" w:sz="4" w:space="0" w:color="auto"/>
            </w:tcBorders>
            <w:shd w:val="clear" w:color="auto" w:fill="auto"/>
            <w:noWrap/>
            <w:vAlign w:val="center"/>
            <w:hideMark/>
          </w:tcPr>
          <w:p w14:paraId="7E08E0A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974" w:type="dxa"/>
            <w:tcBorders>
              <w:top w:val="nil"/>
              <w:left w:val="nil"/>
              <w:bottom w:val="nil"/>
              <w:right w:val="single" w:sz="4" w:space="0" w:color="auto"/>
            </w:tcBorders>
            <w:shd w:val="clear" w:color="auto" w:fill="auto"/>
            <w:noWrap/>
            <w:vAlign w:val="center"/>
            <w:hideMark/>
          </w:tcPr>
          <w:p w14:paraId="35A07FD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58" w:type="dxa"/>
            <w:tcBorders>
              <w:top w:val="nil"/>
              <w:left w:val="nil"/>
              <w:bottom w:val="nil"/>
              <w:right w:val="double" w:sz="6" w:space="0" w:color="auto"/>
            </w:tcBorders>
            <w:shd w:val="clear" w:color="auto" w:fill="auto"/>
            <w:noWrap/>
            <w:vAlign w:val="center"/>
            <w:hideMark/>
          </w:tcPr>
          <w:p w14:paraId="6955A5C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781" w:type="dxa"/>
            <w:tcBorders>
              <w:top w:val="nil"/>
              <w:left w:val="nil"/>
              <w:bottom w:val="nil"/>
              <w:right w:val="single" w:sz="4" w:space="0" w:color="auto"/>
            </w:tcBorders>
            <w:shd w:val="clear" w:color="auto" w:fill="auto"/>
            <w:noWrap/>
            <w:vAlign w:val="center"/>
            <w:hideMark/>
          </w:tcPr>
          <w:p w14:paraId="15C5F6D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974" w:type="dxa"/>
            <w:tcBorders>
              <w:top w:val="nil"/>
              <w:left w:val="nil"/>
              <w:bottom w:val="nil"/>
              <w:right w:val="single" w:sz="4" w:space="0" w:color="auto"/>
            </w:tcBorders>
            <w:shd w:val="clear" w:color="auto" w:fill="auto"/>
            <w:noWrap/>
            <w:vAlign w:val="center"/>
            <w:hideMark/>
          </w:tcPr>
          <w:p w14:paraId="669AB83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758" w:type="dxa"/>
            <w:tcBorders>
              <w:top w:val="nil"/>
              <w:left w:val="nil"/>
              <w:bottom w:val="nil"/>
              <w:right w:val="double" w:sz="6" w:space="0" w:color="auto"/>
            </w:tcBorders>
            <w:shd w:val="clear" w:color="auto" w:fill="auto"/>
            <w:noWrap/>
            <w:vAlign w:val="center"/>
            <w:hideMark/>
          </w:tcPr>
          <w:p w14:paraId="589A25B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w:t>
            </w:r>
          </w:p>
        </w:tc>
        <w:tc>
          <w:tcPr>
            <w:tcW w:w="851" w:type="dxa"/>
            <w:tcBorders>
              <w:top w:val="nil"/>
              <w:left w:val="nil"/>
              <w:bottom w:val="nil"/>
              <w:right w:val="single" w:sz="4" w:space="0" w:color="auto"/>
            </w:tcBorders>
            <w:shd w:val="clear" w:color="auto" w:fill="auto"/>
            <w:noWrap/>
            <w:vAlign w:val="center"/>
            <w:hideMark/>
          </w:tcPr>
          <w:p w14:paraId="2CA4DFF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974" w:type="dxa"/>
            <w:tcBorders>
              <w:top w:val="nil"/>
              <w:left w:val="nil"/>
              <w:bottom w:val="nil"/>
              <w:right w:val="single" w:sz="4" w:space="0" w:color="auto"/>
            </w:tcBorders>
            <w:shd w:val="clear" w:color="auto" w:fill="auto"/>
            <w:noWrap/>
            <w:vAlign w:val="center"/>
            <w:hideMark/>
          </w:tcPr>
          <w:p w14:paraId="4C314A2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double" w:sz="6" w:space="0" w:color="auto"/>
            </w:tcBorders>
            <w:shd w:val="clear" w:color="auto" w:fill="auto"/>
            <w:noWrap/>
            <w:vAlign w:val="center"/>
            <w:hideMark/>
          </w:tcPr>
          <w:p w14:paraId="19F63C7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r>
      <w:tr w:rsidR="001C3EF6" w:rsidRPr="008D0165" w14:paraId="023F3A26"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19EF1C27"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800,01 - 900,00</w:t>
            </w:r>
          </w:p>
        </w:tc>
        <w:tc>
          <w:tcPr>
            <w:tcW w:w="601" w:type="dxa"/>
            <w:tcBorders>
              <w:top w:val="nil"/>
              <w:left w:val="double" w:sz="6" w:space="0" w:color="auto"/>
              <w:bottom w:val="nil"/>
              <w:right w:val="single" w:sz="4" w:space="0" w:color="auto"/>
            </w:tcBorders>
            <w:shd w:val="clear" w:color="auto" w:fill="auto"/>
            <w:noWrap/>
            <w:vAlign w:val="center"/>
            <w:hideMark/>
          </w:tcPr>
          <w:p w14:paraId="0517C2D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7B99535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758" w:type="dxa"/>
            <w:tcBorders>
              <w:top w:val="nil"/>
              <w:left w:val="nil"/>
              <w:bottom w:val="nil"/>
              <w:right w:val="double" w:sz="6" w:space="0" w:color="auto"/>
            </w:tcBorders>
            <w:shd w:val="clear" w:color="auto" w:fill="auto"/>
            <w:noWrap/>
            <w:vAlign w:val="center"/>
            <w:hideMark/>
          </w:tcPr>
          <w:p w14:paraId="441F302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1,8</w:t>
            </w:r>
          </w:p>
        </w:tc>
        <w:tc>
          <w:tcPr>
            <w:tcW w:w="781" w:type="dxa"/>
            <w:tcBorders>
              <w:top w:val="nil"/>
              <w:left w:val="nil"/>
              <w:bottom w:val="nil"/>
              <w:right w:val="single" w:sz="4" w:space="0" w:color="auto"/>
            </w:tcBorders>
            <w:shd w:val="clear" w:color="auto" w:fill="auto"/>
            <w:noWrap/>
            <w:vAlign w:val="center"/>
            <w:hideMark/>
          </w:tcPr>
          <w:p w14:paraId="7B8668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6E57B92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758" w:type="dxa"/>
            <w:tcBorders>
              <w:top w:val="nil"/>
              <w:left w:val="nil"/>
              <w:bottom w:val="nil"/>
              <w:right w:val="double" w:sz="6" w:space="0" w:color="auto"/>
            </w:tcBorders>
            <w:shd w:val="clear" w:color="auto" w:fill="auto"/>
            <w:noWrap/>
            <w:vAlign w:val="center"/>
            <w:hideMark/>
          </w:tcPr>
          <w:p w14:paraId="3665E9C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1,7</w:t>
            </w:r>
          </w:p>
        </w:tc>
        <w:tc>
          <w:tcPr>
            <w:tcW w:w="851" w:type="dxa"/>
            <w:tcBorders>
              <w:top w:val="nil"/>
              <w:left w:val="nil"/>
              <w:bottom w:val="nil"/>
              <w:right w:val="single" w:sz="4" w:space="0" w:color="auto"/>
            </w:tcBorders>
            <w:shd w:val="clear" w:color="auto" w:fill="auto"/>
            <w:noWrap/>
            <w:vAlign w:val="center"/>
            <w:hideMark/>
          </w:tcPr>
          <w:p w14:paraId="7EC53E9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974" w:type="dxa"/>
            <w:tcBorders>
              <w:top w:val="nil"/>
              <w:left w:val="nil"/>
              <w:bottom w:val="nil"/>
              <w:right w:val="single" w:sz="4" w:space="0" w:color="auto"/>
            </w:tcBorders>
            <w:shd w:val="clear" w:color="auto" w:fill="auto"/>
            <w:noWrap/>
            <w:vAlign w:val="center"/>
            <w:hideMark/>
          </w:tcPr>
          <w:p w14:paraId="6FFF30D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double" w:sz="6" w:space="0" w:color="auto"/>
            </w:tcBorders>
            <w:shd w:val="clear" w:color="auto" w:fill="auto"/>
            <w:noWrap/>
            <w:vAlign w:val="center"/>
            <w:hideMark/>
          </w:tcPr>
          <w:p w14:paraId="2C02CB5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r>
      <w:tr w:rsidR="001C3EF6" w:rsidRPr="008D0165" w14:paraId="1006E1E8"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4EA6751B"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900,01 -</w:t>
            </w:r>
            <w:r w:rsidR="005F0B18" w:rsidRPr="005916E3">
              <w:rPr>
                <w:rFonts w:ascii="Calibri" w:eastAsia="Times New Roman" w:hAnsi="Calibri" w:cs="Calibri"/>
                <w:color w:val="000000"/>
                <w:sz w:val="18"/>
                <w:szCs w:val="18"/>
                <w:lang w:eastAsia="pl-PL"/>
              </w:rPr>
              <w:t xml:space="preserve"> </w:t>
            </w:r>
            <w:r w:rsidRPr="005916E3">
              <w:rPr>
                <w:rFonts w:ascii="Calibri" w:eastAsia="Times New Roman" w:hAnsi="Calibri" w:cs="Calibri"/>
                <w:color w:val="000000"/>
                <w:sz w:val="18"/>
                <w:szCs w:val="18"/>
                <w:lang w:eastAsia="pl-PL"/>
              </w:rPr>
              <w:t>1000,00</w:t>
            </w:r>
          </w:p>
        </w:tc>
        <w:tc>
          <w:tcPr>
            <w:tcW w:w="601" w:type="dxa"/>
            <w:tcBorders>
              <w:top w:val="nil"/>
              <w:left w:val="double" w:sz="6" w:space="0" w:color="auto"/>
              <w:bottom w:val="nil"/>
              <w:right w:val="single" w:sz="4" w:space="0" w:color="auto"/>
            </w:tcBorders>
            <w:shd w:val="clear" w:color="auto" w:fill="auto"/>
            <w:noWrap/>
            <w:vAlign w:val="center"/>
            <w:hideMark/>
          </w:tcPr>
          <w:p w14:paraId="62E77A9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974" w:type="dxa"/>
            <w:tcBorders>
              <w:top w:val="nil"/>
              <w:left w:val="nil"/>
              <w:bottom w:val="nil"/>
              <w:right w:val="single" w:sz="4" w:space="0" w:color="auto"/>
            </w:tcBorders>
            <w:shd w:val="clear" w:color="auto" w:fill="auto"/>
            <w:noWrap/>
            <w:vAlign w:val="center"/>
            <w:hideMark/>
          </w:tcPr>
          <w:p w14:paraId="6556749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758" w:type="dxa"/>
            <w:tcBorders>
              <w:top w:val="nil"/>
              <w:left w:val="nil"/>
              <w:bottom w:val="nil"/>
              <w:right w:val="double" w:sz="6" w:space="0" w:color="auto"/>
            </w:tcBorders>
            <w:shd w:val="clear" w:color="auto" w:fill="auto"/>
            <w:noWrap/>
            <w:vAlign w:val="center"/>
            <w:hideMark/>
          </w:tcPr>
          <w:p w14:paraId="40C3326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781" w:type="dxa"/>
            <w:tcBorders>
              <w:top w:val="nil"/>
              <w:left w:val="nil"/>
              <w:bottom w:val="nil"/>
              <w:right w:val="single" w:sz="4" w:space="0" w:color="auto"/>
            </w:tcBorders>
            <w:shd w:val="clear" w:color="auto" w:fill="auto"/>
            <w:noWrap/>
            <w:vAlign w:val="center"/>
            <w:hideMark/>
          </w:tcPr>
          <w:p w14:paraId="1B723F3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nil"/>
              <w:left w:val="nil"/>
              <w:bottom w:val="nil"/>
              <w:right w:val="single" w:sz="4" w:space="0" w:color="auto"/>
            </w:tcBorders>
            <w:shd w:val="clear" w:color="auto" w:fill="auto"/>
            <w:noWrap/>
            <w:vAlign w:val="center"/>
            <w:hideMark/>
          </w:tcPr>
          <w:p w14:paraId="08EFDCA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758" w:type="dxa"/>
            <w:tcBorders>
              <w:top w:val="nil"/>
              <w:left w:val="nil"/>
              <w:bottom w:val="nil"/>
              <w:right w:val="double" w:sz="6" w:space="0" w:color="auto"/>
            </w:tcBorders>
            <w:shd w:val="clear" w:color="auto" w:fill="auto"/>
            <w:noWrap/>
            <w:vAlign w:val="center"/>
            <w:hideMark/>
          </w:tcPr>
          <w:p w14:paraId="74EFB01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851" w:type="dxa"/>
            <w:tcBorders>
              <w:top w:val="nil"/>
              <w:left w:val="nil"/>
              <w:bottom w:val="nil"/>
              <w:right w:val="single" w:sz="4" w:space="0" w:color="auto"/>
            </w:tcBorders>
            <w:shd w:val="clear" w:color="auto" w:fill="auto"/>
            <w:noWrap/>
            <w:vAlign w:val="center"/>
            <w:hideMark/>
          </w:tcPr>
          <w:p w14:paraId="2A42D3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60C4F02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851" w:type="dxa"/>
            <w:tcBorders>
              <w:top w:val="nil"/>
              <w:left w:val="nil"/>
              <w:bottom w:val="nil"/>
              <w:right w:val="double" w:sz="6" w:space="0" w:color="auto"/>
            </w:tcBorders>
            <w:shd w:val="clear" w:color="auto" w:fill="auto"/>
            <w:noWrap/>
            <w:vAlign w:val="center"/>
            <w:hideMark/>
          </w:tcPr>
          <w:p w14:paraId="7E3D482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r>
      <w:tr w:rsidR="001C3EF6" w:rsidRPr="008D0165" w14:paraId="7C578E07"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31548FC"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1000,01 - 1200,00</w:t>
            </w:r>
          </w:p>
        </w:tc>
        <w:tc>
          <w:tcPr>
            <w:tcW w:w="601" w:type="dxa"/>
            <w:tcBorders>
              <w:top w:val="nil"/>
              <w:left w:val="double" w:sz="6" w:space="0" w:color="auto"/>
              <w:bottom w:val="nil"/>
              <w:right w:val="single" w:sz="4" w:space="0" w:color="auto"/>
            </w:tcBorders>
            <w:shd w:val="clear" w:color="auto" w:fill="auto"/>
            <w:noWrap/>
            <w:vAlign w:val="center"/>
            <w:hideMark/>
          </w:tcPr>
          <w:p w14:paraId="129DE53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4,2</w:t>
            </w:r>
          </w:p>
        </w:tc>
        <w:tc>
          <w:tcPr>
            <w:tcW w:w="974" w:type="dxa"/>
            <w:tcBorders>
              <w:top w:val="nil"/>
              <w:left w:val="nil"/>
              <w:bottom w:val="nil"/>
              <w:right w:val="single" w:sz="4" w:space="0" w:color="auto"/>
            </w:tcBorders>
            <w:shd w:val="clear" w:color="auto" w:fill="auto"/>
            <w:noWrap/>
            <w:vAlign w:val="center"/>
            <w:hideMark/>
          </w:tcPr>
          <w:p w14:paraId="4E6FE1A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758" w:type="dxa"/>
            <w:tcBorders>
              <w:top w:val="nil"/>
              <w:left w:val="nil"/>
              <w:bottom w:val="nil"/>
              <w:right w:val="double" w:sz="6" w:space="0" w:color="auto"/>
            </w:tcBorders>
            <w:shd w:val="clear" w:color="auto" w:fill="auto"/>
            <w:noWrap/>
            <w:vAlign w:val="center"/>
            <w:hideMark/>
          </w:tcPr>
          <w:p w14:paraId="35316A2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6,2</w:t>
            </w:r>
          </w:p>
        </w:tc>
        <w:tc>
          <w:tcPr>
            <w:tcW w:w="781" w:type="dxa"/>
            <w:tcBorders>
              <w:top w:val="nil"/>
              <w:left w:val="nil"/>
              <w:bottom w:val="nil"/>
              <w:right w:val="single" w:sz="4" w:space="0" w:color="auto"/>
            </w:tcBorders>
            <w:shd w:val="clear" w:color="auto" w:fill="auto"/>
            <w:noWrap/>
            <w:vAlign w:val="center"/>
            <w:hideMark/>
          </w:tcPr>
          <w:p w14:paraId="43C194B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3,2</w:t>
            </w:r>
          </w:p>
        </w:tc>
        <w:tc>
          <w:tcPr>
            <w:tcW w:w="974" w:type="dxa"/>
            <w:tcBorders>
              <w:top w:val="nil"/>
              <w:left w:val="nil"/>
              <w:bottom w:val="nil"/>
              <w:right w:val="single" w:sz="4" w:space="0" w:color="auto"/>
            </w:tcBorders>
            <w:shd w:val="clear" w:color="auto" w:fill="auto"/>
            <w:noWrap/>
            <w:vAlign w:val="center"/>
            <w:hideMark/>
          </w:tcPr>
          <w:p w14:paraId="7472D55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758" w:type="dxa"/>
            <w:tcBorders>
              <w:top w:val="nil"/>
              <w:left w:val="nil"/>
              <w:bottom w:val="nil"/>
              <w:right w:val="double" w:sz="6" w:space="0" w:color="auto"/>
            </w:tcBorders>
            <w:shd w:val="clear" w:color="auto" w:fill="auto"/>
            <w:noWrap/>
            <w:vAlign w:val="center"/>
            <w:hideMark/>
          </w:tcPr>
          <w:p w14:paraId="746F78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4,6</w:t>
            </w:r>
          </w:p>
        </w:tc>
        <w:tc>
          <w:tcPr>
            <w:tcW w:w="851" w:type="dxa"/>
            <w:tcBorders>
              <w:top w:val="nil"/>
              <w:left w:val="nil"/>
              <w:bottom w:val="nil"/>
              <w:right w:val="single" w:sz="4" w:space="0" w:color="auto"/>
            </w:tcBorders>
            <w:shd w:val="clear" w:color="auto" w:fill="auto"/>
            <w:noWrap/>
            <w:vAlign w:val="center"/>
            <w:hideMark/>
          </w:tcPr>
          <w:p w14:paraId="737DC0A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974" w:type="dxa"/>
            <w:tcBorders>
              <w:top w:val="nil"/>
              <w:left w:val="nil"/>
              <w:bottom w:val="nil"/>
              <w:right w:val="single" w:sz="4" w:space="0" w:color="auto"/>
            </w:tcBorders>
            <w:shd w:val="clear" w:color="auto" w:fill="auto"/>
            <w:noWrap/>
            <w:vAlign w:val="center"/>
            <w:hideMark/>
          </w:tcPr>
          <w:p w14:paraId="3A53DFC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851" w:type="dxa"/>
            <w:tcBorders>
              <w:top w:val="nil"/>
              <w:left w:val="nil"/>
              <w:bottom w:val="nil"/>
              <w:right w:val="double" w:sz="6" w:space="0" w:color="auto"/>
            </w:tcBorders>
            <w:shd w:val="clear" w:color="auto" w:fill="auto"/>
            <w:noWrap/>
            <w:vAlign w:val="center"/>
            <w:hideMark/>
          </w:tcPr>
          <w:p w14:paraId="3EBD399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2,2</w:t>
            </w:r>
          </w:p>
        </w:tc>
      </w:tr>
      <w:tr w:rsidR="001C3EF6" w:rsidRPr="008D0165" w14:paraId="6CED44FE"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45F08E84"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1200,01 - 1400,00</w:t>
            </w:r>
          </w:p>
        </w:tc>
        <w:tc>
          <w:tcPr>
            <w:tcW w:w="601" w:type="dxa"/>
            <w:tcBorders>
              <w:top w:val="nil"/>
              <w:left w:val="double" w:sz="6" w:space="0" w:color="auto"/>
              <w:bottom w:val="nil"/>
              <w:right w:val="single" w:sz="4" w:space="0" w:color="auto"/>
            </w:tcBorders>
            <w:shd w:val="clear" w:color="auto" w:fill="auto"/>
            <w:noWrap/>
            <w:vAlign w:val="center"/>
            <w:hideMark/>
          </w:tcPr>
          <w:p w14:paraId="38982E0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974" w:type="dxa"/>
            <w:tcBorders>
              <w:top w:val="nil"/>
              <w:left w:val="nil"/>
              <w:bottom w:val="nil"/>
              <w:right w:val="single" w:sz="4" w:space="0" w:color="auto"/>
            </w:tcBorders>
            <w:shd w:val="clear" w:color="auto" w:fill="auto"/>
            <w:noWrap/>
            <w:vAlign w:val="center"/>
            <w:hideMark/>
          </w:tcPr>
          <w:p w14:paraId="412B893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2,6</w:t>
            </w:r>
          </w:p>
        </w:tc>
        <w:tc>
          <w:tcPr>
            <w:tcW w:w="758" w:type="dxa"/>
            <w:tcBorders>
              <w:top w:val="nil"/>
              <w:left w:val="nil"/>
              <w:bottom w:val="nil"/>
              <w:right w:val="double" w:sz="6" w:space="0" w:color="auto"/>
            </w:tcBorders>
            <w:shd w:val="clear" w:color="auto" w:fill="auto"/>
            <w:noWrap/>
            <w:vAlign w:val="center"/>
            <w:hideMark/>
          </w:tcPr>
          <w:p w14:paraId="3E3C747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9,9</w:t>
            </w:r>
          </w:p>
        </w:tc>
        <w:tc>
          <w:tcPr>
            <w:tcW w:w="781" w:type="dxa"/>
            <w:tcBorders>
              <w:top w:val="nil"/>
              <w:left w:val="nil"/>
              <w:bottom w:val="nil"/>
              <w:right w:val="single" w:sz="4" w:space="0" w:color="auto"/>
            </w:tcBorders>
            <w:shd w:val="clear" w:color="auto" w:fill="auto"/>
            <w:noWrap/>
            <w:vAlign w:val="center"/>
            <w:hideMark/>
          </w:tcPr>
          <w:p w14:paraId="304D303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4,1</w:t>
            </w:r>
          </w:p>
        </w:tc>
        <w:tc>
          <w:tcPr>
            <w:tcW w:w="974" w:type="dxa"/>
            <w:tcBorders>
              <w:top w:val="nil"/>
              <w:left w:val="nil"/>
              <w:bottom w:val="nil"/>
              <w:right w:val="single" w:sz="4" w:space="0" w:color="auto"/>
            </w:tcBorders>
            <w:shd w:val="clear" w:color="auto" w:fill="auto"/>
            <w:noWrap/>
            <w:vAlign w:val="center"/>
            <w:hideMark/>
          </w:tcPr>
          <w:p w14:paraId="1C3F2A7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c>
          <w:tcPr>
            <w:tcW w:w="758" w:type="dxa"/>
            <w:tcBorders>
              <w:top w:val="nil"/>
              <w:left w:val="nil"/>
              <w:bottom w:val="nil"/>
              <w:right w:val="double" w:sz="6" w:space="0" w:color="auto"/>
            </w:tcBorders>
            <w:shd w:val="clear" w:color="auto" w:fill="auto"/>
            <w:noWrap/>
            <w:vAlign w:val="center"/>
            <w:hideMark/>
          </w:tcPr>
          <w:p w14:paraId="3E4CB61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6,0</w:t>
            </w:r>
          </w:p>
        </w:tc>
        <w:tc>
          <w:tcPr>
            <w:tcW w:w="851" w:type="dxa"/>
            <w:tcBorders>
              <w:top w:val="nil"/>
              <w:left w:val="nil"/>
              <w:bottom w:val="nil"/>
              <w:right w:val="single" w:sz="4" w:space="0" w:color="auto"/>
            </w:tcBorders>
            <w:shd w:val="clear" w:color="auto" w:fill="auto"/>
            <w:noWrap/>
            <w:vAlign w:val="center"/>
            <w:hideMark/>
          </w:tcPr>
          <w:p w14:paraId="1FF2D6F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4,7</w:t>
            </w:r>
          </w:p>
        </w:tc>
        <w:tc>
          <w:tcPr>
            <w:tcW w:w="974" w:type="dxa"/>
            <w:tcBorders>
              <w:top w:val="nil"/>
              <w:left w:val="nil"/>
              <w:bottom w:val="nil"/>
              <w:right w:val="single" w:sz="4" w:space="0" w:color="auto"/>
            </w:tcBorders>
            <w:shd w:val="clear" w:color="auto" w:fill="auto"/>
            <w:noWrap/>
            <w:vAlign w:val="center"/>
            <w:hideMark/>
          </w:tcPr>
          <w:p w14:paraId="422E960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c>
          <w:tcPr>
            <w:tcW w:w="851" w:type="dxa"/>
            <w:tcBorders>
              <w:top w:val="nil"/>
              <w:left w:val="nil"/>
              <w:bottom w:val="nil"/>
              <w:right w:val="double" w:sz="6" w:space="0" w:color="auto"/>
            </w:tcBorders>
            <w:shd w:val="clear" w:color="auto" w:fill="auto"/>
            <w:noWrap/>
            <w:vAlign w:val="center"/>
            <w:hideMark/>
          </w:tcPr>
          <w:p w14:paraId="103F716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6,8</w:t>
            </w:r>
          </w:p>
        </w:tc>
      </w:tr>
      <w:tr w:rsidR="001C3EF6" w:rsidRPr="008D0165" w14:paraId="105BC2F4"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57CAB4C"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1400,01 - 1600,00</w:t>
            </w:r>
          </w:p>
        </w:tc>
        <w:tc>
          <w:tcPr>
            <w:tcW w:w="601" w:type="dxa"/>
            <w:tcBorders>
              <w:top w:val="nil"/>
              <w:left w:val="double" w:sz="6" w:space="0" w:color="auto"/>
              <w:bottom w:val="nil"/>
              <w:right w:val="single" w:sz="4" w:space="0" w:color="auto"/>
            </w:tcBorders>
            <w:shd w:val="clear" w:color="auto" w:fill="auto"/>
            <w:noWrap/>
            <w:vAlign w:val="center"/>
            <w:hideMark/>
          </w:tcPr>
          <w:p w14:paraId="7AC4798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8,5</w:t>
            </w:r>
          </w:p>
        </w:tc>
        <w:tc>
          <w:tcPr>
            <w:tcW w:w="974" w:type="dxa"/>
            <w:tcBorders>
              <w:top w:val="nil"/>
              <w:left w:val="nil"/>
              <w:bottom w:val="nil"/>
              <w:right w:val="single" w:sz="4" w:space="0" w:color="auto"/>
            </w:tcBorders>
            <w:shd w:val="clear" w:color="auto" w:fill="auto"/>
            <w:noWrap/>
            <w:vAlign w:val="center"/>
            <w:hideMark/>
          </w:tcPr>
          <w:p w14:paraId="5E76C74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3,2</w:t>
            </w:r>
          </w:p>
        </w:tc>
        <w:tc>
          <w:tcPr>
            <w:tcW w:w="758" w:type="dxa"/>
            <w:tcBorders>
              <w:top w:val="nil"/>
              <w:left w:val="nil"/>
              <w:bottom w:val="nil"/>
              <w:right w:val="double" w:sz="6" w:space="0" w:color="auto"/>
            </w:tcBorders>
            <w:shd w:val="clear" w:color="auto" w:fill="auto"/>
            <w:noWrap/>
            <w:vAlign w:val="center"/>
            <w:hideMark/>
          </w:tcPr>
          <w:p w14:paraId="0DC787E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11,9</w:t>
            </w:r>
          </w:p>
        </w:tc>
        <w:tc>
          <w:tcPr>
            <w:tcW w:w="781" w:type="dxa"/>
            <w:tcBorders>
              <w:top w:val="nil"/>
              <w:left w:val="nil"/>
              <w:bottom w:val="nil"/>
              <w:right w:val="single" w:sz="4" w:space="0" w:color="auto"/>
            </w:tcBorders>
            <w:shd w:val="clear" w:color="auto" w:fill="auto"/>
            <w:noWrap/>
            <w:vAlign w:val="center"/>
            <w:hideMark/>
          </w:tcPr>
          <w:p w14:paraId="3AB5304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8,8</w:t>
            </w:r>
          </w:p>
        </w:tc>
        <w:tc>
          <w:tcPr>
            <w:tcW w:w="974" w:type="dxa"/>
            <w:tcBorders>
              <w:top w:val="nil"/>
              <w:left w:val="nil"/>
              <w:bottom w:val="nil"/>
              <w:right w:val="single" w:sz="4" w:space="0" w:color="auto"/>
            </w:tcBorders>
            <w:shd w:val="clear" w:color="auto" w:fill="auto"/>
            <w:noWrap/>
            <w:vAlign w:val="center"/>
            <w:hideMark/>
          </w:tcPr>
          <w:p w14:paraId="54094C8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3,3</w:t>
            </w:r>
          </w:p>
        </w:tc>
        <w:tc>
          <w:tcPr>
            <w:tcW w:w="758" w:type="dxa"/>
            <w:tcBorders>
              <w:top w:val="nil"/>
              <w:left w:val="nil"/>
              <w:bottom w:val="nil"/>
              <w:right w:val="double" w:sz="6" w:space="0" w:color="auto"/>
            </w:tcBorders>
            <w:shd w:val="clear" w:color="auto" w:fill="auto"/>
            <w:noWrap/>
            <w:vAlign w:val="center"/>
            <w:hideMark/>
          </w:tcPr>
          <w:p w14:paraId="03CA079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12,5</w:t>
            </w:r>
          </w:p>
        </w:tc>
        <w:tc>
          <w:tcPr>
            <w:tcW w:w="851" w:type="dxa"/>
            <w:tcBorders>
              <w:top w:val="nil"/>
              <w:left w:val="nil"/>
              <w:bottom w:val="nil"/>
              <w:right w:val="single" w:sz="4" w:space="0" w:color="auto"/>
            </w:tcBorders>
            <w:shd w:val="clear" w:color="auto" w:fill="auto"/>
            <w:noWrap/>
            <w:vAlign w:val="center"/>
            <w:hideMark/>
          </w:tcPr>
          <w:p w14:paraId="78916A2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974" w:type="dxa"/>
            <w:tcBorders>
              <w:top w:val="nil"/>
              <w:left w:val="nil"/>
              <w:bottom w:val="nil"/>
              <w:right w:val="single" w:sz="4" w:space="0" w:color="auto"/>
            </w:tcBorders>
            <w:shd w:val="clear" w:color="auto" w:fill="auto"/>
            <w:noWrap/>
            <w:vAlign w:val="center"/>
            <w:hideMark/>
          </w:tcPr>
          <w:p w14:paraId="7DA1DBD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2,6</w:t>
            </w:r>
          </w:p>
        </w:tc>
        <w:tc>
          <w:tcPr>
            <w:tcW w:w="851" w:type="dxa"/>
            <w:tcBorders>
              <w:top w:val="nil"/>
              <w:left w:val="nil"/>
              <w:bottom w:val="nil"/>
              <w:right w:val="double" w:sz="6" w:space="0" w:color="auto"/>
            </w:tcBorders>
            <w:shd w:val="clear" w:color="auto" w:fill="auto"/>
            <w:noWrap/>
            <w:vAlign w:val="center"/>
            <w:hideMark/>
          </w:tcPr>
          <w:p w14:paraId="457ABAC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10,0</w:t>
            </w:r>
          </w:p>
        </w:tc>
      </w:tr>
      <w:tr w:rsidR="001C3EF6" w:rsidRPr="008D0165" w14:paraId="524CFEC0"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B52C4A3"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1600,01 - 1800,00</w:t>
            </w:r>
          </w:p>
        </w:tc>
        <w:tc>
          <w:tcPr>
            <w:tcW w:w="601" w:type="dxa"/>
            <w:tcBorders>
              <w:top w:val="nil"/>
              <w:left w:val="double" w:sz="6" w:space="0" w:color="auto"/>
              <w:bottom w:val="nil"/>
              <w:right w:val="single" w:sz="4" w:space="0" w:color="auto"/>
            </w:tcBorders>
            <w:shd w:val="clear" w:color="auto" w:fill="auto"/>
            <w:noWrap/>
            <w:vAlign w:val="center"/>
            <w:hideMark/>
          </w:tcPr>
          <w:p w14:paraId="214E6B5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10,3</w:t>
            </w:r>
          </w:p>
        </w:tc>
        <w:tc>
          <w:tcPr>
            <w:tcW w:w="974" w:type="dxa"/>
            <w:tcBorders>
              <w:top w:val="nil"/>
              <w:left w:val="nil"/>
              <w:bottom w:val="nil"/>
              <w:right w:val="single" w:sz="4" w:space="0" w:color="auto"/>
            </w:tcBorders>
            <w:shd w:val="clear" w:color="auto" w:fill="auto"/>
            <w:noWrap/>
            <w:vAlign w:val="center"/>
            <w:hideMark/>
          </w:tcPr>
          <w:p w14:paraId="5877F4E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4,8</w:t>
            </w:r>
          </w:p>
        </w:tc>
        <w:tc>
          <w:tcPr>
            <w:tcW w:w="758" w:type="dxa"/>
            <w:tcBorders>
              <w:top w:val="nil"/>
              <w:left w:val="nil"/>
              <w:bottom w:val="nil"/>
              <w:right w:val="double" w:sz="6" w:space="0" w:color="auto"/>
            </w:tcBorders>
            <w:shd w:val="clear" w:color="auto" w:fill="auto"/>
            <w:noWrap/>
            <w:vAlign w:val="center"/>
            <w:hideMark/>
          </w:tcPr>
          <w:p w14:paraId="0CFBA3D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13,8</w:t>
            </w:r>
          </w:p>
        </w:tc>
        <w:tc>
          <w:tcPr>
            <w:tcW w:w="781" w:type="dxa"/>
            <w:tcBorders>
              <w:top w:val="nil"/>
              <w:left w:val="nil"/>
              <w:bottom w:val="nil"/>
              <w:right w:val="single" w:sz="4" w:space="0" w:color="auto"/>
            </w:tcBorders>
            <w:shd w:val="clear" w:color="auto" w:fill="auto"/>
            <w:noWrap/>
            <w:vAlign w:val="center"/>
            <w:hideMark/>
          </w:tcPr>
          <w:p w14:paraId="2CC8C84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9,4</w:t>
            </w:r>
          </w:p>
        </w:tc>
        <w:tc>
          <w:tcPr>
            <w:tcW w:w="974" w:type="dxa"/>
            <w:tcBorders>
              <w:top w:val="nil"/>
              <w:left w:val="nil"/>
              <w:bottom w:val="nil"/>
              <w:right w:val="single" w:sz="4" w:space="0" w:color="auto"/>
            </w:tcBorders>
            <w:shd w:val="clear" w:color="auto" w:fill="auto"/>
            <w:noWrap/>
            <w:vAlign w:val="center"/>
            <w:hideMark/>
          </w:tcPr>
          <w:p w14:paraId="2DB8BBA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3,9</w:t>
            </w:r>
          </w:p>
        </w:tc>
        <w:tc>
          <w:tcPr>
            <w:tcW w:w="758" w:type="dxa"/>
            <w:tcBorders>
              <w:top w:val="nil"/>
              <w:left w:val="nil"/>
              <w:bottom w:val="nil"/>
              <w:right w:val="double" w:sz="6" w:space="0" w:color="auto"/>
            </w:tcBorders>
            <w:shd w:val="clear" w:color="auto" w:fill="auto"/>
            <w:noWrap/>
            <w:vAlign w:val="center"/>
            <w:hideMark/>
          </w:tcPr>
          <w:p w14:paraId="2303469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13,0</w:t>
            </w:r>
          </w:p>
        </w:tc>
        <w:tc>
          <w:tcPr>
            <w:tcW w:w="851" w:type="dxa"/>
            <w:tcBorders>
              <w:top w:val="nil"/>
              <w:left w:val="nil"/>
              <w:bottom w:val="nil"/>
              <w:right w:val="single" w:sz="4" w:space="0" w:color="auto"/>
            </w:tcBorders>
            <w:shd w:val="clear" w:color="auto" w:fill="auto"/>
            <w:noWrap/>
            <w:vAlign w:val="center"/>
            <w:hideMark/>
          </w:tcPr>
          <w:p w14:paraId="4FB8CC2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7,8</w:t>
            </w:r>
          </w:p>
        </w:tc>
        <w:tc>
          <w:tcPr>
            <w:tcW w:w="974" w:type="dxa"/>
            <w:tcBorders>
              <w:top w:val="nil"/>
              <w:left w:val="nil"/>
              <w:bottom w:val="nil"/>
              <w:right w:val="single" w:sz="4" w:space="0" w:color="auto"/>
            </w:tcBorders>
            <w:shd w:val="clear" w:color="auto" w:fill="auto"/>
            <w:noWrap/>
            <w:vAlign w:val="center"/>
            <w:hideMark/>
          </w:tcPr>
          <w:p w14:paraId="7F7DBDB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3,1</w:t>
            </w:r>
          </w:p>
        </w:tc>
        <w:tc>
          <w:tcPr>
            <w:tcW w:w="851" w:type="dxa"/>
            <w:tcBorders>
              <w:top w:val="nil"/>
              <w:left w:val="nil"/>
              <w:bottom w:val="nil"/>
              <w:right w:val="double" w:sz="6" w:space="0" w:color="auto"/>
            </w:tcBorders>
            <w:shd w:val="clear" w:color="auto" w:fill="auto"/>
            <w:noWrap/>
            <w:vAlign w:val="center"/>
            <w:hideMark/>
          </w:tcPr>
          <w:p w14:paraId="15E376B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11,0</w:t>
            </w:r>
          </w:p>
        </w:tc>
      </w:tr>
      <w:tr w:rsidR="001C3EF6" w:rsidRPr="008D0165" w14:paraId="0D8DE5F2"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ED5EA2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1800,01 - 2000,00</w:t>
            </w:r>
          </w:p>
        </w:tc>
        <w:tc>
          <w:tcPr>
            <w:tcW w:w="601" w:type="dxa"/>
            <w:tcBorders>
              <w:top w:val="nil"/>
              <w:left w:val="double" w:sz="6" w:space="0" w:color="auto"/>
              <w:bottom w:val="nil"/>
              <w:right w:val="single" w:sz="4" w:space="0" w:color="auto"/>
            </w:tcBorders>
            <w:shd w:val="clear" w:color="auto" w:fill="auto"/>
            <w:noWrap/>
            <w:vAlign w:val="center"/>
            <w:hideMark/>
          </w:tcPr>
          <w:p w14:paraId="1F84FBA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10,3</w:t>
            </w:r>
          </w:p>
        </w:tc>
        <w:tc>
          <w:tcPr>
            <w:tcW w:w="974" w:type="dxa"/>
            <w:tcBorders>
              <w:top w:val="nil"/>
              <w:left w:val="nil"/>
              <w:bottom w:val="nil"/>
              <w:right w:val="single" w:sz="4" w:space="0" w:color="auto"/>
            </w:tcBorders>
            <w:shd w:val="clear" w:color="auto" w:fill="auto"/>
            <w:noWrap/>
            <w:vAlign w:val="center"/>
            <w:hideMark/>
          </w:tcPr>
          <w:p w14:paraId="4BB686D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6,6</w:t>
            </w:r>
          </w:p>
        </w:tc>
        <w:tc>
          <w:tcPr>
            <w:tcW w:w="758" w:type="dxa"/>
            <w:tcBorders>
              <w:top w:val="nil"/>
              <w:left w:val="nil"/>
              <w:bottom w:val="nil"/>
              <w:right w:val="double" w:sz="6" w:space="0" w:color="auto"/>
            </w:tcBorders>
            <w:shd w:val="clear" w:color="auto" w:fill="auto"/>
            <w:noWrap/>
            <w:vAlign w:val="center"/>
            <w:hideMark/>
          </w:tcPr>
          <w:p w14:paraId="345FABC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12,7</w:t>
            </w:r>
          </w:p>
        </w:tc>
        <w:tc>
          <w:tcPr>
            <w:tcW w:w="781" w:type="dxa"/>
            <w:tcBorders>
              <w:top w:val="nil"/>
              <w:left w:val="nil"/>
              <w:bottom w:val="nil"/>
              <w:right w:val="single" w:sz="4" w:space="0" w:color="auto"/>
            </w:tcBorders>
            <w:shd w:val="clear" w:color="auto" w:fill="auto"/>
            <w:noWrap/>
            <w:vAlign w:val="center"/>
            <w:hideMark/>
          </w:tcPr>
          <w:p w14:paraId="554E3B6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10,1</w:t>
            </w:r>
          </w:p>
        </w:tc>
        <w:tc>
          <w:tcPr>
            <w:tcW w:w="974" w:type="dxa"/>
            <w:tcBorders>
              <w:top w:val="nil"/>
              <w:left w:val="nil"/>
              <w:bottom w:val="nil"/>
              <w:right w:val="single" w:sz="4" w:space="0" w:color="auto"/>
            </w:tcBorders>
            <w:shd w:val="clear" w:color="auto" w:fill="auto"/>
            <w:noWrap/>
            <w:vAlign w:val="center"/>
            <w:hideMark/>
          </w:tcPr>
          <w:p w14:paraId="3548A74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5,5</w:t>
            </w:r>
          </w:p>
        </w:tc>
        <w:tc>
          <w:tcPr>
            <w:tcW w:w="758" w:type="dxa"/>
            <w:tcBorders>
              <w:top w:val="nil"/>
              <w:left w:val="nil"/>
              <w:bottom w:val="nil"/>
              <w:right w:val="double" w:sz="6" w:space="0" w:color="auto"/>
            </w:tcBorders>
            <w:shd w:val="clear" w:color="auto" w:fill="auto"/>
            <w:noWrap/>
            <w:vAlign w:val="center"/>
            <w:hideMark/>
          </w:tcPr>
          <w:p w14:paraId="3F46C4C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13,1</w:t>
            </w:r>
          </w:p>
        </w:tc>
        <w:tc>
          <w:tcPr>
            <w:tcW w:w="851" w:type="dxa"/>
            <w:tcBorders>
              <w:top w:val="nil"/>
              <w:left w:val="nil"/>
              <w:bottom w:val="nil"/>
              <w:right w:val="single" w:sz="4" w:space="0" w:color="auto"/>
            </w:tcBorders>
            <w:shd w:val="clear" w:color="auto" w:fill="auto"/>
            <w:noWrap/>
            <w:vAlign w:val="center"/>
            <w:hideMark/>
          </w:tcPr>
          <w:p w14:paraId="18F8130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9,2</w:t>
            </w:r>
          </w:p>
        </w:tc>
        <w:tc>
          <w:tcPr>
            <w:tcW w:w="974" w:type="dxa"/>
            <w:tcBorders>
              <w:top w:val="nil"/>
              <w:left w:val="nil"/>
              <w:bottom w:val="nil"/>
              <w:right w:val="single" w:sz="4" w:space="0" w:color="auto"/>
            </w:tcBorders>
            <w:shd w:val="clear" w:color="auto" w:fill="auto"/>
            <w:noWrap/>
            <w:vAlign w:val="center"/>
            <w:hideMark/>
          </w:tcPr>
          <w:p w14:paraId="7FFE123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851" w:type="dxa"/>
            <w:tcBorders>
              <w:top w:val="nil"/>
              <w:left w:val="nil"/>
              <w:bottom w:val="nil"/>
              <w:right w:val="double" w:sz="6" w:space="0" w:color="auto"/>
            </w:tcBorders>
            <w:shd w:val="clear" w:color="auto" w:fill="auto"/>
            <w:noWrap/>
            <w:vAlign w:val="center"/>
            <w:hideMark/>
          </w:tcPr>
          <w:p w14:paraId="510D7D5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12,3</w:t>
            </w:r>
          </w:p>
        </w:tc>
      </w:tr>
      <w:tr w:rsidR="001C3EF6" w:rsidRPr="008D0165" w14:paraId="409CD670"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17BB3402"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2000,01 - 2200,00</w:t>
            </w:r>
          </w:p>
        </w:tc>
        <w:tc>
          <w:tcPr>
            <w:tcW w:w="601" w:type="dxa"/>
            <w:tcBorders>
              <w:top w:val="nil"/>
              <w:left w:val="double" w:sz="6" w:space="0" w:color="auto"/>
              <w:bottom w:val="nil"/>
              <w:right w:val="single" w:sz="4" w:space="0" w:color="auto"/>
            </w:tcBorders>
            <w:shd w:val="clear" w:color="auto" w:fill="auto"/>
            <w:noWrap/>
            <w:vAlign w:val="center"/>
            <w:hideMark/>
          </w:tcPr>
          <w:p w14:paraId="03C6E1F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9,3</w:t>
            </w:r>
          </w:p>
        </w:tc>
        <w:tc>
          <w:tcPr>
            <w:tcW w:w="974" w:type="dxa"/>
            <w:tcBorders>
              <w:top w:val="nil"/>
              <w:left w:val="nil"/>
              <w:bottom w:val="nil"/>
              <w:right w:val="single" w:sz="4" w:space="0" w:color="auto"/>
            </w:tcBorders>
            <w:shd w:val="clear" w:color="auto" w:fill="auto"/>
            <w:noWrap/>
            <w:vAlign w:val="center"/>
            <w:hideMark/>
          </w:tcPr>
          <w:p w14:paraId="7FD7347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8,3</w:t>
            </w:r>
          </w:p>
        </w:tc>
        <w:tc>
          <w:tcPr>
            <w:tcW w:w="758" w:type="dxa"/>
            <w:tcBorders>
              <w:top w:val="nil"/>
              <w:left w:val="nil"/>
              <w:bottom w:val="nil"/>
              <w:right w:val="double" w:sz="6" w:space="0" w:color="auto"/>
            </w:tcBorders>
            <w:shd w:val="clear" w:color="auto" w:fill="auto"/>
            <w:noWrap/>
            <w:vAlign w:val="center"/>
            <w:hideMark/>
          </w:tcPr>
          <w:p w14:paraId="7E03B4F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9,9</w:t>
            </w:r>
          </w:p>
        </w:tc>
        <w:tc>
          <w:tcPr>
            <w:tcW w:w="781" w:type="dxa"/>
            <w:tcBorders>
              <w:top w:val="nil"/>
              <w:left w:val="nil"/>
              <w:bottom w:val="nil"/>
              <w:right w:val="single" w:sz="4" w:space="0" w:color="auto"/>
            </w:tcBorders>
            <w:shd w:val="clear" w:color="auto" w:fill="auto"/>
            <w:noWrap/>
            <w:vAlign w:val="center"/>
            <w:hideMark/>
          </w:tcPr>
          <w:p w14:paraId="6F42EA9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9,3</w:t>
            </w:r>
          </w:p>
        </w:tc>
        <w:tc>
          <w:tcPr>
            <w:tcW w:w="974" w:type="dxa"/>
            <w:tcBorders>
              <w:top w:val="nil"/>
              <w:left w:val="nil"/>
              <w:bottom w:val="nil"/>
              <w:right w:val="single" w:sz="4" w:space="0" w:color="auto"/>
            </w:tcBorders>
            <w:shd w:val="clear" w:color="auto" w:fill="auto"/>
            <w:noWrap/>
            <w:vAlign w:val="center"/>
            <w:hideMark/>
          </w:tcPr>
          <w:p w14:paraId="752F2C0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7,2</w:t>
            </w:r>
          </w:p>
        </w:tc>
        <w:tc>
          <w:tcPr>
            <w:tcW w:w="758" w:type="dxa"/>
            <w:tcBorders>
              <w:top w:val="nil"/>
              <w:left w:val="nil"/>
              <w:bottom w:val="nil"/>
              <w:right w:val="double" w:sz="6" w:space="0" w:color="auto"/>
            </w:tcBorders>
            <w:shd w:val="clear" w:color="auto" w:fill="auto"/>
            <w:noWrap/>
            <w:vAlign w:val="center"/>
            <w:hideMark/>
          </w:tcPr>
          <w:p w14:paraId="2DB8DBC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10,6</w:t>
            </w:r>
          </w:p>
        </w:tc>
        <w:tc>
          <w:tcPr>
            <w:tcW w:w="851" w:type="dxa"/>
            <w:tcBorders>
              <w:top w:val="nil"/>
              <w:left w:val="nil"/>
              <w:bottom w:val="nil"/>
              <w:right w:val="single" w:sz="4" w:space="0" w:color="auto"/>
            </w:tcBorders>
            <w:shd w:val="clear" w:color="auto" w:fill="auto"/>
            <w:noWrap/>
            <w:vAlign w:val="center"/>
            <w:hideMark/>
          </w:tcPr>
          <w:p w14:paraId="27D4A6B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9,0</w:t>
            </w:r>
          </w:p>
        </w:tc>
        <w:tc>
          <w:tcPr>
            <w:tcW w:w="974" w:type="dxa"/>
            <w:tcBorders>
              <w:top w:val="nil"/>
              <w:left w:val="nil"/>
              <w:bottom w:val="nil"/>
              <w:right w:val="single" w:sz="4" w:space="0" w:color="auto"/>
            </w:tcBorders>
            <w:shd w:val="clear" w:color="auto" w:fill="auto"/>
            <w:noWrap/>
            <w:vAlign w:val="center"/>
            <w:hideMark/>
          </w:tcPr>
          <w:p w14:paraId="240D1F5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5,8</w:t>
            </w:r>
          </w:p>
        </w:tc>
        <w:tc>
          <w:tcPr>
            <w:tcW w:w="851" w:type="dxa"/>
            <w:tcBorders>
              <w:top w:val="nil"/>
              <w:left w:val="nil"/>
              <w:bottom w:val="nil"/>
              <w:right w:val="double" w:sz="6" w:space="0" w:color="auto"/>
            </w:tcBorders>
            <w:shd w:val="clear" w:color="auto" w:fill="auto"/>
            <w:noWrap/>
            <w:vAlign w:val="center"/>
            <w:hideMark/>
          </w:tcPr>
          <w:p w14:paraId="26770F9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11,1</w:t>
            </w:r>
          </w:p>
        </w:tc>
      </w:tr>
      <w:tr w:rsidR="001C3EF6" w:rsidRPr="008D0165" w14:paraId="6424A69E"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5BDB5955"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2200,01 - 2400,00</w:t>
            </w:r>
          </w:p>
        </w:tc>
        <w:tc>
          <w:tcPr>
            <w:tcW w:w="601" w:type="dxa"/>
            <w:tcBorders>
              <w:top w:val="nil"/>
              <w:left w:val="double" w:sz="6" w:space="0" w:color="auto"/>
              <w:bottom w:val="nil"/>
              <w:right w:val="single" w:sz="4" w:space="0" w:color="auto"/>
            </w:tcBorders>
            <w:shd w:val="clear" w:color="auto" w:fill="auto"/>
            <w:noWrap/>
            <w:vAlign w:val="center"/>
            <w:hideMark/>
          </w:tcPr>
          <w:p w14:paraId="08FEF92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974" w:type="dxa"/>
            <w:tcBorders>
              <w:top w:val="nil"/>
              <w:left w:val="nil"/>
              <w:bottom w:val="nil"/>
              <w:right w:val="single" w:sz="4" w:space="0" w:color="auto"/>
            </w:tcBorders>
            <w:shd w:val="clear" w:color="auto" w:fill="auto"/>
            <w:noWrap/>
            <w:vAlign w:val="center"/>
            <w:hideMark/>
          </w:tcPr>
          <w:p w14:paraId="38A84C5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9,2</w:t>
            </w:r>
          </w:p>
        </w:tc>
        <w:tc>
          <w:tcPr>
            <w:tcW w:w="758" w:type="dxa"/>
            <w:tcBorders>
              <w:top w:val="nil"/>
              <w:left w:val="nil"/>
              <w:bottom w:val="nil"/>
              <w:right w:val="double" w:sz="6" w:space="0" w:color="auto"/>
            </w:tcBorders>
            <w:shd w:val="clear" w:color="auto" w:fill="auto"/>
            <w:noWrap/>
            <w:vAlign w:val="center"/>
            <w:hideMark/>
          </w:tcPr>
          <w:p w14:paraId="2B8682C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7,3</w:t>
            </w:r>
          </w:p>
        </w:tc>
        <w:tc>
          <w:tcPr>
            <w:tcW w:w="781" w:type="dxa"/>
            <w:tcBorders>
              <w:top w:val="nil"/>
              <w:left w:val="nil"/>
              <w:bottom w:val="nil"/>
              <w:right w:val="single" w:sz="4" w:space="0" w:color="auto"/>
            </w:tcBorders>
            <w:shd w:val="clear" w:color="auto" w:fill="auto"/>
            <w:noWrap/>
            <w:vAlign w:val="center"/>
            <w:hideMark/>
          </w:tcPr>
          <w:p w14:paraId="6253AA7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8,1</w:t>
            </w:r>
          </w:p>
        </w:tc>
        <w:tc>
          <w:tcPr>
            <w:tcW w:w="974" w:type="dxa"/>
            <w:tcBorders>
              <w:top w:val="nil"/>
              <w:left w:val="nil"/>
              <w:bottom w:val="nil"/>
              <w:right w:val="single" w:sz="4" w:space="0" w:color="auto"/>
            </w:tcBorders>
            <w:shd w:val="clear" w:color="auto" w:fill="auto"/>
            <w:noWrap/>
            <w:vAlign w:val="center"/>
            <w:hideMark/>
          </w:tcPr>
          <w:p w14:paraId="3EC05EF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8,3</w:t>
            </w:r>
          </w:p>
        </w:tc>
        <w:tc>
          <w:tcPr>
            <w:tcW w:w="758" w:type="dxa"/>
            <w:tcBorders>
              <w:top w:val="nil"/>
              <w:left w:val="nil"/>
              <w:bottom w:val="nil"/>
              <w:right w:val="double" w:sz="6" w:space="0" w:color="auto"/>
            </w:tcBorders>
            <w:shd w:val="clear" w:color="auto" w:fill="auto"/>
            <w:noWrap/>
            <w:vAlign w:val="center"/>
            <w:hideMark/>
          </w:tcPr>
          <w:p w14:paraId="7508169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851" w:type="dxa"/>
            <w:tcBorders>
              <w:top w:val="nil"/>
              <w:left w:val="nil"/>
              <w:bottom w:val="nil"/>
              <w:right w:val="single" w:sz="4" w:space="0" w:color="auto"/>
            </w:tcBorders>
            <w:shd w:val="clear" w:color="auto" w:fill="auto"/>
            <w:noWrap/>
            <w:vAlign w:val="center"/>
            <w:hideMark/>
          </w:tcPr>
          <w:p w14:paraId="5257E8D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8,1</w:t>
            </w:r>
          </w:p>
        </w:tc>
        <w:tc>
          <w:tcPr>
            <w:tcW w:w="974" w:type="dxa"/>
            <w:tcBorders>
              <w:top w:val="nil"/>
              <w:left w:val="nil"/>
              <w:bottom w:val="nil"/>
              <w:right w:val="single" w:sz="4" w:space="0" w:color="auto"/>
            </w:tcBorders>
            <w:shd w:val="clear" w:color="auto" w:fill="auto"/>
            <w:noWrap/>
            <w:vAlign w:val="center"/>
            <w:hideMark/>
          </w:tcPr>
          <w:p w14:paraId="118D34B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851" w:type="dxa"/>
            <w:tcBorders>
              <w:top w:val="nil"/>
              <w:left w:val="nil"/>
              <w:bottom w:val="nil"/>
              <w:right w:val="double" w:sz="6" w:space="0" w:color="auto"/>
            </w:tcBorders>
            <w:shd w:val="clear" w:color="auto" w:fill="auto"/>
            <w:noWrap/>
            <w:vAlign w:val="center"/>
            <w:hideMark/>
          </w:tcPr>
          <w:p w14:paraId="712CF0F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8,8</w:t>
            </w:r>
          </w:p>
        </w:tc>
      </w:tr>
      <w:tr w:rsidR="001C3EF6" w:rsidRPr="008D0165" w14:paraId="03A8539D"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D18DD7A"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2400,01 - 2600,00</w:t>
            </w:r>
          </w:p>
        </w:tc>
        <w:tc>
          <w:tcPr>
            <w:tcW w:w="601" w:type="dxa"/>
            <w:tcBorders>
              <w:top w:val="nil"/>
              <w:left w:val="double" w:sz="6" w:space="0" w:color="auto"/>
              <w:bottom w:val="nil"/>
              <w:right w:val="single" w:sz="4" w:space="0" w:color="auto"/>
            </w:tcBorders>
            <w:shd w:val="clear" w:color="auto" w:fill="auto"/>
            <w:noWrap/>
            <w:vAlign w:val="center"/>
            <w:hideMark/>
          </w:tcPr>
          <w:p w14:paraId="6DF5889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6,7</w:t>
            </w:r>
          </w:p>
        </w:tc>
        <w:tc>
          <w:tcPr>
            <w:tcW w:w="974" w:type="dxa"/>
            <w:tcBorders>
              <w:top w:val="nil"/>
              <w:left w:val="nil"/>
              <w:bottom w:val="nil"/>
              <w:right w:val="single" w:sz="4" w:space="0" w:color="auto"/>
            </w:tcBorders>
            <w:shd w:val="clear" w:color="auto" w:fill="auto"/>
            <w:noWrap/>
            <w:vAlign w:val="center"/>
            <w:hideMark/>
          </w:tcPr>
          <w:p w14:paraId="7F8682B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8,9</w:t>
            </w:r>
          </w:p>
        </w:tc>
        <w:tc>
          <w:tcPr>
            <w:tcW w:w="758" w:type="dxa"/>
            <w:tcBorders>
              <w:top w:val="nil"/>
              <w:left w:val="nil"/>
              <w:bottom w:val="nil"/>
              <w:right w:val="double" w:sz="6" w:space="0" w:color="auto"/>
            </w:tcBorders>
            <w:shd w:val="clear" w:color="auto" w:fill="auto"/>
            <w:noWrap/>
            <w:vAlign w:val="center"/>
            <w:hideMark/>
          </w:tcPr>
          <w:p w14:paraId="6652842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5,3</w:t>
            </w:r>
          </w:p>
        </w:tc>
        <w:tc>
          <w:tcPr>
            <w:tcW w:w="781" w:type="dxa"/>
            <w:tcBorders>
              <w:top w:val="nil"/>
              <w:left w:val="nil"/>
              <w:bottom w:val="nil"/>
              <w:right w:val="single" w:sz="4" w:space="0" w:color="auto"/>
            </w:tcBorders>
            <w:shd w:val="clear" w:color="auto" w:fill="auto"/>
            <w:noWrap/>
            <w:vAlign w:val="center"/>
            <w:hideMark/>
          </w:tcPr>
          <w:p w14:paraId="06A55B0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7,0</w:t>
            </w:r>
          </w:p>
        </w:tc>
        <w:tc>
          <w:tcPr>
            <w:tcW w:w="974" w:type="dxa"/>
            <w:tcBorders>
              <w:top w:val="nil"/>
              <w:left w:val="nil"/>
              <w:bottom w:val="nil"/>
              <w:right w:val="single" w:sz="4" w:space="0" w:color="auto"/>
            </w:tcBorders>
            <w:shd w:val="clear" w:color="auto" w:fill="auto"/>
            <w:noWrap/>
            <w:vAlign w:val="center"/>
            <w:hideMark/>
          </w:tcPr>
          <w:p w14:paraId="10A233F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8,5</w:t>
            </w:r>
          </w:p>
        </w:tc>
        <w:tc>
          <w:tcPr>
            <w:tcW w:w="758" w:type="dxa"/>
            <w:tcBorders>
              <w:top w:val="nil"/>
              <w:left w:val="nil"/>
              <w:bottom w:val="nil"/>
              <w:right w:val="double" w:sz="6" w:space="0" w:color="auto"/>
            </w:tcBorders>
            <w:shd w:val="clear" w:color="auto" w:fill="auto"/>
            <w:noWrap/>
            <w:vAlign w:val="center"/>
            <w:hideMark/>
          </w:tcPr>
          <w:p w14:paraId="39AFB64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6,0</w:t>
            </w:r>
          </w:p>
        </w:tc>
        <w:tc>
          <w:tcPr>
            <w:tcW w:w="851" w:type="dxa"/>
            <w:tcBorders>
              <w:top w:val="nil"/>
              <w:left w:val="nil"/>
              <w:bottom w:val="nil"/>
              <w:right w:val="single" w:sz="4" w:space="0" w:color="auto"/>
            </w:tcBorders>
            <w:shd w:val="clear" w:color="auto" w:fill="auto"/>
            <w:noWrap/>
            <w:vAlign w:val="center"/>
            <w:hideMark/>
          </w:tcPr>
          <w:p w14:paraId="24F0F38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7,1</w:t>
            </w:r>
          </w:p>
        </w:tc>
        <w:tc>
          <w:tcPr>
            <w:tcW w:w="974" w:type="dxa"/>
            <w:tcBorders>
              <w:top w:val="nil"/>
              <w:left w:val="nil"/>
              <w:bottom w:val="nil"/>
              <w:right w:val="single" w:sz="4" w:space="0" w:color="auto"/>
            </w:tcBorders>
            <w:shd w:val="clear" w:color="auto" w:fill="auto"/>
            <w:noWrap/>
            <w:vAlign w:val="center"/>
            <w:hideMark/>
          </w:tcPr>
          <w:p w14:paraId="4ABB2FD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7,7</w:t>
            </w:r>
          </w:p>
        </w:tc>
        <w:tc>
          <w:tcPr>
            <w:tcW w:w="851" w:type="dxa"/>
            <w:tcBorders>
              <w:top w:val="nil"/>
              <w:left w:val="nil"/>
              <w:bottom w:val="nil"/>
              <w:right w:val="double" w:sz="6" w:space="0" w:color="auto"/>
            </w:tcBorders>
            <w:shd w:val="clear" w:color="auto" w:fill="auto"/>
            <w:noWrap/>
            <w:vAlign w:val="center"/>
            <w:hideMark/>
          </w:tcPr>
          <w:p w14:paraId="0A268A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6,7</w:t>
            </w:r>
          </w:p>
        </w:tc>
      </w:tr>
      <w:tr w:rsidR="001C3EF6" w:rsidRPr="008D0165" w14:paraId="0DDE893A"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B9C5FC9"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2600,01 - 2800,00</w:t>
            </w:r>
          </w:p>
        </w:tc>
        <w:tc>
          <w:tcPr>
            <w:tcW w:w="601" w:type="dxa"/>
            <w:tcBorders>
              <w:top w:val="nil"/>
              <w:left w:val="double" w:sz="6" w:space="0" w:color="auto"/>
              <w:bottom w:val="nil"/>
              <w:right w:val="single" w:sz="4" w:space="0" w:color="auto"/>
            </w:tcBorders>
            <w:shd w:val="clear" w:color="auto" w:fill="auto"/>
            <w:noWrap/>
            <w:vAlign w:val="center"/>
            <w:hideMark/>
          </w:tcPr>
          <w:p w14:paraId="6913933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5,5</w:t>
            </w:r>
          </w:p>
        </w:tc>
        <w:tc>
          <w:tcPr>
            <w:tcW w:w="974" w:type="dxa"/>
            <w:tcBorders>
              <w:top w:val="nil"/>
              <w:left w:val="nil"/>
              <w:bottom w:val="nil"/>
              <w:right w:val="single" w:sz="4" w:space="0" w:color="auto"/>
            </w:tcBorders>
            <w:shd w:val="clear" w:color="auto" w:fill="auto"/>
            <w:noWrap/>
            <w:vAlign w:val="center"/>
            <w:hideMark/>
          </w:tcPr>
          <w:p w14:paraId="2F04505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758" w:type="dxa"/>
            <w:tcBorders>
              <w:top w:val="nil"/>
              <w:left w:val="nil"/>
              <w:bottom w:val="nil"/>
              <w:right w:val="double" w:sz="6" w:space="0" w:color="auto"/>
            </w:tcBorders>
            <w:shd w:val="clear" w:color="auto" w:fill="auto"/>
            <w:noWrap/>
            <w:vAlign w:val="center"/>
            <w:hideMark/>
          </w:tcPr>
          <w:p w14:paraId="538A265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c>
          <w:tcPr>
            <w:tcW w:w="781" w:type="dxa"/>
            <w:tcBorders>
              <w:top w:val="nil"/>
              <w:left w:val="nil"/>
              <w:bottom w:val="nil"/>
              <w:right w:val="single" w:sz="4" w:space="0" w:color="auto"/>
            </w:tcBorders>
            <w:shd w:val="clear" w:color="auto" w:fill="auto"/>
            <w:noWrap/>
            <w:vAlign w:val="center"/>
            <w:hideMark/>
          </w:tcPr>
          <w:p w14:paraId="75EEB00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5,8</w:t>
            </w:r>
          </w:p>
        </w:tc>
        <w:tc>
          <w:tcPr>
            <w:tcW w:w="974" w:type="dxa"/>
            <w:tcBorders>
              <w:top w:val="nil"/>
              <w:left w:val="nil"/>
              <w:bottom w:val="nil"/>
              <w:right w:val="single" w:sz="4" w:space="0" w:color="auto"/>
            </w:tcBorders>
            <w:shd w:val="clear" w:color="auto" w:fill="auto"/>
            <w:noWrap/>
            <w:vAlign w:val="center"/>
            <w:hideMark/>
          </w:tcPr>
          <w:p w14:paraId="60E4BCA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8,0</w:t>
            </w:r>
          </w:p>
        </w:tc>
        <w:tc>
          <w:tcPr>
            <w:tcW w:w="758" w:type="dxa"/>
            <w:tcBorders>
              <w:top w:val="nil"/>
              <w:left w:val="nil"/>
              <w:bottom w:val="nil"/>
              <w:right w:val="double" w:sz="6" w:space="0" w:color="auto"/>
            </w:tcBorders>
            <w:shd w:val="clear" w:color="auto" w:fill="auto"/>
            <w:noWrap/>
            <w:vAlign w:val="center"/>
            <w:hideMark/>
          </w:tcPr>
          <w:p w14:paraId="422591D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851" w:type="dxa"/>
            <w:tcBorders>
              <w:top w:val="nil"/>
              <w:left w:val="nil"/>
              <w:bottom w:val="nil"/>
              <w:right w:val="single" w:sz="4" w:space="0" w:color="auto"/>
            </w:tcBorders>
            <w:shd w:val="clear" w:color="auto" w:fill="auto"/>
            <w:noWrap/>
            <w:vAlign w:val="center"/>
            <w:hideMark/>
          </w:tcPr>
          <w:p w14:paraId="365953D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6,1</w:t>
            </w:r>
          </w:p>
        </w:tc>
        <w:tc>
          <w:tcPr>
            <w:tcW w:w="974" w:type="dxa"/>
            <w:tcBorders>
              <w:top w:val="nil"/>
              <w:left w:val="nil"/>
              <w:bottom w:val="nil"/>
              <w:right w:val="single" w:sz="4" w:space="0" w:color="auto"/>
            </w:tcBorders>
            <w:shd w:val="clear" w:color="auto" w:fill="auto"/>
            <w:noWrap/>
            <w:vAlign w:val="center"/>
            <w:hideMark/>
          </w:tcPr>
          <w:p w14:paraId="1BF1BA9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7,6</w:t>
            </w:r>
          </w:p>
        </w:tc>
        <w:tc>
          <w:tcPr>
            <w:tcW w:w="851" w:type="dxa"/>
            <w:tcBorders>
              <w:top w:val="nil"/>
              <w:left w:val="nil"/>
              <w:bottom w:val="nil"/>
              <w:right w:val="double" w:sz="6" w:space="0" w:color="auto"/>
            </w:tcBorders>
            <w:shd w:val="clear" w:color="auto" w:fill="auto"/>
            <w:noWrap/>
            <w:vAlign w:val="center"/>
            <w:hideMark/>
          </w:tcPr>
          <w:p w14:paraId="239107A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5,2</w:t>
            </w:r>
          </w:p>
        </w:tc>
      </w:tr>
      <w:tr w:rsidR="001C3EF6" w:rsidRPr="008D0165" w14:paraId="20B25925"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D433277"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2800,01 - 3000,00</w:t>
            </w:r>
          </w:p>
        </w:tc>
        <w:tc>
          <w:tcPr>
            <w:tcW w:w="601" w:type="dxa"/>
            <w:tcBorders>
              <w:top w:val="nil"/>
              <w:left w:val="double" w:sz="6" w:space="0" w:color="auto"/>
              <w:bottom w:val="nil"/>
              <w:right w:val="single" w:sz="4" w:space="0" w:color="auto"/>
            </w:tcBorders>
            <w:shd w:val="clear" w:color="auto" w:fill="auto"/>
            <w:noWrap/>
            <w:vAlign w:val="center"/>
            <w:hideMark/>
          </w:tcPr>
          <w:p w14:paraId="05F3C22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974" w:type="dxa"/>
            <w:tcBorders>
              <w:top w:val="nil"/>
              <w:left w:val="nil"/>
              <w:bottom w:val="nil"/>
              <w:right w:val="single" w:sz="4" w:space="0" w:color="auto"/>
            </w:tcBorders>
            <w:shd w:val="clear" w:color="auto" w:fill="auto"/>
            <w:noWrap/>
            <w:vAlign w:val="center"/>
            <w:hideMark/>
          </w:tcPr>
          <w:p w14:paraId="736BC0C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6,8</w:t>
            </w:r>
          </w:p>
        </w:tc>
        <w:tc>
          <w:tcPr>
            <w:tcW w:w="758" w:type="dxa"/>
            <w:tcBorders>
              <w:top w:val="nil"/>
              <w:left w:val="nil"/>
              <w:bottom w:val="nil"/>
              <w:right w:val="double" w:sz="6" w:space="0" w:color="auto"/>
            </w:tcBorders>
            <w:shd w:val="clear" w:color="auto" w:fill="auto"/>
            <w:noWrap/>
            <w:vAlign w:val="center"/>
            <w:hideMark/>
          </w:tcPr>
          <w:p w14:paraId="07CFB37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2,8</w:t>
            </w:r>
          </w:p>
        </w:tc>
        <w:tc>
          <w:tcPr>
            <w:tcW w:w="781" w:type="dxa"/>
            <w:tcBorders>
              <w:top w:val="nil"/>
              <w:left w:val="nil"/>
              <w:bottom w:val="nil"/>
              <w:right w:val="single" w:sz="4" w:space="0" w:color="auto"/>
            </w:tcBorders>
            <w:shd w:val="clear" w:color="auto" w:fill="auto"/>
            <w:noWrap/>
            <w:vAlign w:val="center"/>
            <w:hideMark/>
          </w:tcPr>
          <w:p w14:paraId="4624AAF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4,8</w:t>
            </w:r>
          </w:p>
        </w:tc>
        <w:tc>
          <w:tcPr>
            <w:tcW w:w="974" w:type="dxa"/>
            <w:tcBorders>
              <w:top w:val="nil"/>
              <w:left w:val="nil"/>
              <w:bottom w:val="nil"/>
              <w:right w:val="single" w:sz="4" w:space="0" w:color="auto"/>
            </w:tcBorders>
            <w:shd w:val="clear" w:color="auto" w:fill="auto"/>
            <w:noWrap/>
            <w:vAlign w:val="center"/>
            <w:hideMark/>
          </w:tcPr>
          <w:p w14:paraId="07C0355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7,1</w:t>
            </w:r>
          </w:p>
        </w:tc>
        <w:tc>
          <w:tcPr>
            <w:tcW w:w="758" w:type="dxa"/>
            <w:tcBorders>
              <w:top w:val="nil"/>
              <w:left w:val="nil"/>
              <w:bottom w:val="nil"/>
              <w:right w:val="double" w:sz="6" w:space="0" w:color="auto"/>
            </w:tcBorders>
            <w:shd w:val="clear" w:color="auto" w:fill="auto"/>
            <w:noWrap/>
            <w:vAlign w:val="center"/>
            <w:hideMark/>
          </w:tcPr>
          <w:p w14:paraId="73CB933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3,3</w:t>
            </w:r>
          </w:p>
        </w:tc>
        <w:tc>
          <w:tcPr>
            <w:tcW w:w="851" w:type="dxa"/>
            <w:tcBorders>
              <w:top w:val="nil"/>
              <w:left w:val="nil"/>
              <w:bottom w:val="nil"/>
              <w:right w:val="single" w:sz="4" w:space="0" w:color="auto"/>
            </w:tcBorders>
            <w:shd w:val="clear" w:color="auto" w:fill="auto"/>
            <w:noWrap/>
            <w:vAlign w:val="center"/>
            <w:hideMark/>
          </w:tcPr>
          <w:p w14:paraId="63DA7BF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5,2</w:t>
            </w:r>
          </w:p>
        </w:tc>
        <w:tc>
          <w:tcPr>
            <w:tcW w:w="974" w:type="dxa"/>
            <w:tcBorders>
              <w:top w:val="nil"/>
              <w:left w:val="nil"/>
              <w:bottom w:val="nil"/>
              <w:right w:val="single" w:sz="4" w:space="0" w:color="auto"/>
            </w:tcBorders>
            <w:shd w:val="clear" w:color="auto" w:fill="auto"/>
            <w:noWrap/>
            <w:vAlign w:val="center"/>
            <w:hideMark/>
          </w:tcPr>
          <w:p w14:paraId="4FD1AEC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7,2</w:t>
            </w:r>
          </w:p>
        </w:tc>
        <w:tc>
          <w:tcPr>
            <w:tcW w:w="851" w:type="dxa"/>
            <w:tcBorders>
              <w:top w:val="nil"/>
              <w:left w:val="nil"/>
              <w:bottom w:val="nil"/>
              <w:right w:val="double" w:sz="6" w:space="0" w:color="auto"/>
            </w:tcBorders>
            <w:shd w:val="clear" w:color="auto" w:fill="auto"/>
            <w:noWrap/>
            <w:vAlign w:val="center"/>
            <w:hideMark/>
          </w:tcPr>
          <w:p w14:paraId="3A2B0D8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4,0</w:t>
            </w:r>
          </w:p>
        </w:tc>
      </w:tr>
      <w:tr w:rsidR="001C3EF6" w:rsidRPr="008D0165" w14:paraId="70CABC81"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512B243"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3000,01 - 3500,00</w:t>
            </w:r>
          </w:p>
        </w:tc>
        <w:tc>
          <w:tcPr>
            <w:tcW w:w="601" w:type="dxa"/>
            <w:tcBorders>
              <w:top w:val="nil"/>
              <w:left w:val="double" w:sz="6" w:space="0" w:color="auto"/>
              <w:bottom w:val="nil"/>
              <w:right w:val="single" w:sz="4" w:space="0" w:color="auto"/>
            </w:tcBorders>
            <w:shd w:val="clear" w:color="auto" w:fill="auto"/>
            <w:noWrap/>
            <w:vAlign w:val="center"/>
            <w:hideMark/>
          </w:tcPr>
          <w:p w14:paraId="694D9BA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7,7</w:t>
            </w:r>
          </w:p>
        </w:tc>
        <w:tc>
          <w:tcPr>
            <w:tcW w:w="974" w:type="dxa"/>
            <w:tcBorders>
              <w:top w:val="nil"/>
              <w:left w:val="nil"/>
              <w:bottom w:val="nil"/>
              <w:right w:val="single" w:sz="4" w:space="0" w:color="auto"/>
            </w:tcBorders>
            <w:shd w:val="clear" w:color="auto" w:fill="auto"/>
            <w:noWrap/>
            <w:vAlign w:val="center"/>
            <w:hideMark/>
          </w:tcPr>
          <w:p w14:paraId="6159B52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12,8</w:t>
            </w:r>
          </w:p>
        </w:tc>
        <w:tc>
          <w:tcPr>
            <w:tcW w:w="758" w:type="dxa"/>
            <w:tcBorders>
              <w:top w:val="nil"/>
              <w:left w:val="nil"/>
              <w:bottom w:val="nil"/>
              <w:right w:val="double" w:sz="6" w:space="0" w:color="auto"/>
            </w:tcBorders>
            <w:shd w:val="clear" w:color="auto" w:fill="auto"/>
            <w:noWrap/>
            <w:vAlign w:val="center"/>
            <w:hideMark/>
          </w:tcPr>
          <w:p w14:paraId="498879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4,5</w:t>
            </w:r>
          </w:p>
        </w:tc>
        <w:tc>
          <w:tcPr>
            <w:tcW w:w="781" w:type="dxa"/>
            <w:tcBorders>
              <w:top w:val="nil"/>
              <w:left w:val="nil"/>
              <w:bottom w:val="nil"/>
              <w:right w:val="single" w:sz="4" w:space="0" w:color="auto"/>
            </w:tcBorders>
            <w:shd w:val="clear" w:color="auto" w:fill="auto"/>
            <w:noWrap/>
            <w:vAlign w:val="center"/>
            <w:hideMark/>
          </w:tcPr>
          <w:p w14:paraId="139DC0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8,7</w:t>
            </w:r>
          </w:p>
        </w:tc>
        <w:tc>
          <w:tcPr>
            <w:tcW w:w="974" w:type="dxa"/>
            <w:tcBorders>
              <w:top w:val="nil"/>
              <w:left w:val="nil"/>
              <w:bottom w:val="nil"/>
              <w:right w:val="single" w:sz="4" w:space="0" w:color="auto"/>
            </w:tcBorders>
            <w:shd w:val="clear" w:color="auto" w:fill="auto"/>
            <w:noWrap/>
            <w:vAlign w:val="center"/>
            <w:hideMark/>
          </w:tcPr>
          <w:p w14:paraId="25FDA2E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13,9</w:t>
            </w:r>
          </w:p>
        </w:tc>
        <w:tc>
          <w:tcPr>
            <w:tcW w:w="758" w:type="dxa"/>
            <w:tcBorders>
              <w:top w:val="nil"/>
              <w:left w:val="nil"/>
              <w:bottom w:val="nil"/>
              <w:right w:val="double" w:sz="6" w:space="0" w:color="auto"/>
            </w:tcBorders>
            <w:shd w:val="clear" w:color="auto" w:fill="auto"/>
            <w:noWrap/>
            <w:vAlign w:val="center"/>
            <w:hideMark/>
          </w:tcPr>
          <w:p w14:paraId="0E5E401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5,3</w:t>
            </w:r>
          </w:p>
        </w:tc>
        <w:tc>
          <w:tcPr>
            <w:tcW w:w="851" w:type="dxa"/>
            <w:tcBorders>
              <w:top w:val="nil"/>
              <w:left w:val="nil"/>
              <w:bottom w:val="nil"/>
              <w:right w:val="single" w:sz="4" w:space="0" w:color="auto"/>
            </w:tcBorders>
            <w:shd w:val="clear" w:color="auto" w:fill="auto"/>
            <w:noWrap/>
            <w:vAlign w:val="center"/>
            <w:hideMark/>
          </w:tcPr>
          <w:p w14:paraId="50CEA97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9,8</w:t>
            </w:r>
          </w:p>
        </w:tc>
        <w:tc>
          <w:tcPr>
            <w:tcW w:w="974" w:type="dxa"/>
            <w:tcBorders>
              <w:top w:val="nil"/>
              <w:left w:val="nil"/>
              <w:bottom w:val="nil"/>
              <w:right w:val="single" w:sz="4" w:space="0" w:color="auto"/>
            </w:tcBorders>
            <w:shd w:val="clear" w:color="auto" w:fill="auto"/>
            <w:noWrap/>
            <w:vAlign w:val="center"/>
            <w:hideMark/>
          </w:tcPr>
          <w:p w14:paraId="23475F7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14,8</w:t>
            </w:r>
          </w:p>
        </w:tc>
        <w:tc>
          <w:tcPr>
            <w:tcW w:w="851" w:type="dxa"/>
            <w:tcBorders>
              <w:top w:val="nil"/>
              <w:left w:val="nil"/>
              <w:bottom w:val="nil"/>
              <w:right w:val="double" w:sz="6" w:space="0" w:color="auto"/>
            </w:tcBorders>
            <w:shd w:val="clear" w:color="auto" w:fill="auto"/>
            <w:noWrap/>
            <w:vAlign w:val="center"/>
            <w:hideMark/>
          </w:tcPr>
          <w:p w14:paraId="04273F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6,5</w:t>
            </w:r>
          </w:p>
        </w:tc>
      </w:tr>
      <w:tr w:rsidR="001C3EF6" w:rsidRPr="008D0165" w14:paraId="399BF245"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CAEA749"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3500,01 - 4000,00</w:t>
            </w:r>
          </w:p>
        </w:tc>
        <w:tc>
          <w:tcPr>
            <w:tcW w:w="601" w:type="dxa"/>
            <w:tcBorders>
              <w:top w:val="nil"/>
              <w:left w:val="double" w:sz="6" w:space="0" w:color="auto"/>
              <w:bottom w:val="nil"/>
              <w:right w:val="single" w:sz="4" w:space="0" w:color="auto"/>
            </w:tcBorders>
            <w:shd w:val="clear" w:color="auto" w:fill="auto"/>
            <w:noWrap/>
            <w:vAlign w:val="center"/>
            <w:hideMark/>
          </w:tcPr>
          <w:p w14:paraId="4354704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4,9</w:t>
            </w:r>
          </w:p>
        </w:tc>
        <w:tc>
          <w:tcPr>
            <w:tcW w:w="974" w:type="dxa"/>
            <w:tcBorders>
              <w:top w:val="nil"/>
              <w:left w:val="nil"/>
              <w:bottom w:val="nil"/>
              <w:right w:val="single" w:sz="4" w:space="0" w:color="auto"/>
            </w:tcBorders>
            <w:shd w:val="clear" w:color="auto" w:fill="auto"/>
            <w:noWrap/>
            <w:vAlign w:val="center"/>
            <w:hideMark/>
          </w:tcPr>
          <w:p w14:paraId="1963A4E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8,6</w:t>
            </w:r>
          </w:p>
        </w:tc>
        <w:tc>
          <w:tcPr>
            <w:tcW w:w="758" w:type="dxa"/>
            <w:tcBorders>
              <w:top w:val="nil"/>
              <w:left w:val="nil"/>
              <w:bottom w:val="nil"/>
              <w:right w:val="double" w:sz="6" w:space="0" w:color="auto"/>
            </w:tcBorders>
            <w:shd w:val="clear" w:color="auto" w:fill="auto"/>
            <w:noWrap/>
            <w:vAlign w:val="center"/>
            <w:hideMark/>
          </w:tcPr>
          <w:p w14:paraId="1EB97D8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2,4</w:t>
            </w:r>
          </w:p>
        </w:tc>
        <w:tc>
          <w:tcPr>
            <w:tcW w:w="781" w:type="dxa"/>
            <w:tcBorders>
              <w:top w:val="nil"/>
              <w:left w:val="nil"/>
              <w:bottom w:val="nil"/>
              <w:right w:val="single" w:sz="4" w:space="0" w:color="auto"/>
            </w:tcBorders>
            <w:shd w:val="clear" w:color="auto" w:fill="auto"/>
            <w:noWrap/>
            <w:vAlign w:val="center"/>
            <w:hideMark/>
          </w:tcPr>
          <w:p w14:paraId="4D12189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5,5</w:t>
            </w:r>
          </w:p>
        </w:tc>
        <w:tc>
          <w:tcPr>
            <w:tcW w:w="974" w:type="dxa"/>
            <w:tcBorders>
              <w:top w:val="nil"/>
              <w:left w:val="nil"/>
              <w:bottom w:val="nil"/>
              <w:right w:val="single" w:sz="4" w:space="0" w:color="auto"/>
            </w:tcBorders>
            <w:shd w:val="clear" w:color="auto" w:fill="auto"/>
            <w:noWrap/>
            <w:vAlign w:val="center"/>
            <w:hideMark/>
          </w:tcPr>
          <w:p w14:paraId="4A46EDB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9,5</w:t>
            </w:r>
          </w:p>
        </w:tc>
        <w:tc>
          <w:tcPr>
            <w:tcW w:w="758" w:type="dxa"/>
            <w:tcBorders>
              <w:top w:val="nil"/>
              <w:left w:val="nil"/>
              <w:bottom w:val="nil"/>
              <w:right w:val="double" w:sz="6" w:space="0" w:color="auto"/>
            </w:tcBorders>
            <w:shd w:val="clear" w:color="auto" w:fill="auto"/>
            <w:noWrap/>
            <w:vAlign w:val="center"/>
            <w:hideMark/>
          </w:tcPr>
          <w:p w14:paraId="1E1A658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3,0</w:t>
            </w:r>
          </w:p>
        </w:tc>
        <w:tc>
          <w:tcPr>
            <w:tcW w:w="851" w:type="dxa"/>
            <w:tcBorders>
              <w:top w:val="nil"/>
              <w:left w:val="nil"/>
              <w:bottom w:val="nil"/>
              <w:right w:val="single" w:sz="4" w:space="0" w:color="auto"/>
            </w:tcBorders>
            <w:shd w:val="clear" w:color="auto" w:fill="auto"/>
            <w:noWrap/>
            <w:vAlign w:val="center"/>
            <w:hideMark/>
          </w:tcPr>
          <w:p w14:paraId="75B633B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6,5</w:t>
            </w:r>
          </w:p>
        </w:tc>
        <w:tc>
          <w:tcPr>
            <w:tcW w:w="974" w:type="dxa"/>
            <w:tcBorders>
              <w:top w:val="nil"/>
              <w:left w:val="nil"/>
              <w:bottom w:val="nil"/>
              <w:right w:val="single" w:sz="4" w:space="0" w:color="auto"/>
            </w:tcBorders>
            <w:shd w:val="clear" w:color="auto" w:fill="auto"/>
            <w:noWrap/>
            <w:vAlign w:val="center"/>
            <w:hideMark/>
          </w:tcPr>
          <w:p w14:paraId="69EB43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10,7</w:t>
            </w:r>
          </w:p>
        </w:tc>
        <w:tc>
          <w:tcPr>
            <w:tcW w:w="851" w:type="dxa"/>
            <w:tcBorders>
              <w:top w:val="nil"/>
              <w:left w:val="nil"/>
              <w:bottom w:val="nil"/>
              <w:right w:val="double" w:sz="6" w:space="0" w:color="auto"/>
            </w:tcBorders>
            <w:shd w:val="clear" w:color="auto" w:fill="auto"/>
            <w:noWrap/>
            <w:vAlign w:val="center"/>
            <w:hideMark/>
          </w:tcPr>
          <w:p w14:paraId="017D290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r>
      <w:tr w:rsidR="001C3EF6" w:rsidRPr="008D0165" w14:paraId="44113FD3"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EAA1D2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4000,01 - 4500,00</w:t>
            </w:r>
          </w:p>
        </w:tc>
        <w:tc>
          <w:tcPr>
            <w:tcW w:w="601" w:type="dxa"/>
            <w:tcBorders>
              <w:top w:val="nil"/>
              <w:left w:val="double" w:sz="6" w:space="0" w:color="auto"/>
              <w:bottom w:val="nil"/>
              <w:right w:val="single" w:sz="4" w:space="0" w:color="auto"/>
            </w:tcBorders>
            <w:shd w:val="clear" w:color="auto" w:fill="auto"/>
            <w:noWrap/>
            <w:vAlign w:val="center"/>
            <w:hideMark/>
          </w:tcPr>
          <w:p w14:paraId="4F2D4F8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3,3</w:t>
            </w:r>
          </w:p>
        </w:tc>
        <w:tc>
          <w:tcPr>
            <w:tcW w:w="974" w:type="dxa"/>
            <w:tcBorders>
              <w:top w:val="nil"/>
              <w:left w:val="nil"/>
              <w:bottom w:val="nil"/>
              <w:right w:val="single" w:sz="4" w:space="0" w:color="auto"/>
            </w:tcBorders>
            <w:shd w:val="clear" w:color="auto" w:fill="auto"/>
            <w:noWrap/>
            <w:vAlign w:val="center"/>
            <w:hideMark/>
          </w:tcPr>
          <w:p w14:paraId="185129F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6,2</w:t>
            </w:r>
          </w:p>
        </w:tc>
        <w:tc>
          <w:tcPr>
            <w:tcW w:w="758" w:type="dxa"/>
            <w:tcBorders>
              <w:top w:val="nil"/>
              <w:left w:val="nil"/>
              <w:bottom w:val="nil"/>
              <w:right w:val="double" w:sz="6" w:space="0" w:color="auto"/>
            </w:tcBorders>
            <w:shd w:val="clear" w:color="auto" w:fill="auto"/>
            <w:noWrap/>
            <w:vAlign w:val="center"/>
            <w:hideMark/>
          </w:tcPr>
          <w:p w14:paraId="7CC3B17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c>
          <w:tcPr>
            <w:tcW w:w="781" w:type="dxa"/>
            <w:tcBorders>
              <w:top w:val="nil"/>
              <w:left w:val="nil"/>
              <w:bottom w:val="nil"/>
              <w:right w:val="single" w:sz="4" w:space="0" w:color="auto"/>
            </w:tcBorders>
            <w:shd w:val="clear" w:color="auto" w:fill="auto"/>
            <w:noWrap/>
            <w:vAlign w:val="center"/>
            <w:hideMark/>
          </w:tcPr>
          <w:p w14:paraId="7A7CCA3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c>
          <w:tcPr>
            <w:tcW w:w="974" w:type="dxa"/>
            <w:tcBorders>
              <w:top w:val="nil"/>
              <w:left w:val="nil"/>
              <w:bottom w:val="nil"/>
              <w:right w:val="single" w:sz="4" w:space="0" w:color="auto"/>
            </w:tcBorders>
            <w:shd w:val="clear" w:color="auto" w:fill="auto"/>
            <w:noWrap/>
            <w:vAlign w:val="center"/>
            <w:hideMark/>
          </w:tcPr>
          <w:p w14:paraId="2065CC9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6,8</w:t>
            </w:r>
          </w:p>
        </w:tc>
        <w:tc>
          <w:tcPr>
            <w:tcW w:w="758" w:type="dxa"/>
            <w:tcBorders>
              <w:top w:val="nil"/>
              <w:left w:val="nil"/>
              <w:bottom w:val="nil"/>
              <w:right w:val="double" w:sz="6" w:space="0" w:color="auto"/>
            </w:tcBorders>
            <w:shd w:val="clear" w:color="auto" w:fill="auto"/>
            <w:noWrap/>
            <w:vAlign w:val="center"/>
            <w:hideMark/>
          </w:tcPr>
          <w:p w14:paraId="7C666A0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1,7</w:t>
            </w:r>
          </w:p>
        </w:tc>
        <w:tc>
          <w:tcPr>
            <w:tcW w:w="851" w:type="dxa"/>
            <w:tcBorders>
              <w:top w:val="nil"/>
              <w:left w:val="nil"/>
              <w:bottom w:val="nil"/>
              <w:right w:val="single" w:sz="4" w:space="0" w:color="auto"/>
            </w:tcBorders>
            <w:shd w:val="clear" w:color="auto" w:fill="auto"/>
            <w:noWrap/>
            <w:vAlign w:val="center"/>
            <w:hideMark/>
          </w:tcPr>
          <w:p w14:paraId="7FFEC96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4,4</w:t>
            </w:r>
          </w:p>
        </w:tc>
        <w:tc>
          <w:tcPr>
            <w:tcW w:w="974" w:type="dxa"/>
            <w:tcBorders>
              <w:top w:val="nil"/>
              <w:left w:val="nil"/>
              <w:bottom w:val="nil"/>
              <w:right w:val="single" w:sz="4" w:space="0" w:color="auto"/>
            </w:tcBorders>
            <w:shd w:val="clear" w:color="auto" w:fill="auto"/>
            <w:noWrap/>
            <w:vAlign w:val="center"/>
            <w:hideMark/>
          </w:tcPr>
          <w:p w14:paraId="6C81C1F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7,7</w:t>
            </w:r>
          </w:p>
        </w:tc>
        <w:tc>
          <w:tcPr>
            <w:tcW w:w="851" w:type="dxa"/>
            <w:tcBorders>
              <w:top w:val="nil"/>
              <w:left w:val="nil"/>
              <w:bottom w:val="nil"/>
              <w:right w:val="double" w:sz="6" w:space="0" w:color="auto"/>
            </w:tcBorders>
            <w:shd w:val="clear" w:color="auto" w:fill="auto"/>
            <w:noWrap/>
            <w:vAlign w:val="center"/>
            <w:hideMark/>
          </w:tcPr>
          <w:p w14:paraId="48FA440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2,3</w:t>
            </w:r>
          </w:p>
        </w:tc>
      </w:tr>
      <w:tr w:rsidR="001C3EF6" w:rsidRPr="008D0165" w14:paraId="5DF14611"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64CA55B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4500,01 - 5000,00</w:t>
            </w:r>
          </w:p>
        </w:tc>
        <w:tc>
          <w:tcPr>
            <w:tcW w:w="601" w:type="dxa"/>
            <w:tcBorders>
              <w:top w:val="nil"/>
              <w:left w:val="double" w:sz="6" w:space="0" w:color="auto"/>
              <w:bottom w:val="nil"/>
              <w:right w:val="single" w:sz="4" w:space="0" w:color="auto"/>
            </w:tcBorders>
            <w:shd w:val="clear" w:color="auto" w:fill="auto"/>
            <w:noWrap/>
            <w:vAlign w:val="center"/>
            <w:hideMark/>
          </w:tcPr>
          <w:p w14:paraId="41476C6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2,1</w:t>
            </w:r>
          </w:p>
        </w:tc>
        <w:tc>
          <w:tcPr>
            <w:tcW w:w="974" w:type="dxa"/>
            <w:tcBorders>
              <w:top w:val="nil"/>
              <w:left w:val="nil"/>
              <w:bottom w:val="nil"/>
              <w:right w:val="single" w:sz="4" w:space="0" w:color="auto"/>
            </w:tcBorders>
            <w:shd w:val="clear" w:color="auto" w:fill="auto"/>
            <w:noWrap/>
            <w:vAlign w:val="center"/>
            <w:hideMark/>
          </w:tcPr>
          <w:p w14:paraId="6C168F3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4,1</w:t>
            </w:r>
          </w:p>
        </w:tc>
        <w:tc>
          <w:tcPr>
            <w:tcW w:w="758" w:type="dxa"/>
            <w:tcBorders>
              <w:top w:val="nil"/>
              <w:left w:val="nil"/>
              <w:bottom w:val="nil"/>
              <w:right w:val="double" w:sz="6" w:space="0" w:color="auto"/>
            </w:tcBorders>
            <w:shd w:val="clear" w:color="auto" w:fill="auto"/>
            <w:noWrap/>
            <w:vAlign w:val="center"/>
            <w:hideMark/>
          </w:tcPr>
          <w:p w14:paraId="3881557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781" w:type="dxa"/>
            <w:tcBorders>
              <w:top w:val="nil"/>
              <w:left w:val="nil"/>
              <w:bottom w:val="nil"/>
              <w:right w:val="single" w:sz="4" w:space="0" w:color="auto"/>
            </w:tcBorders>
            <w:shd w:val="clear" w:color="auto" w:fill="auto"/>
            <w:noWrap/>
            <w:vAlign w:val="center"/>
            <w:hideMark/>
          </w:tcPr>
          <w:p w14:paraId="54B7EB3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2,5</w:t>
            </w:r>
          </w:p>
        </w:tc>
        <w:tc>
          <w:tcPr>
            <w:tcW w:w="974" w:type="dxa"/>
            <w:tcBorders>
              <w:top w:val="nil"/>
              <w:left w:val="nil"/>
              <w:bottom w:val="nil"/>
              <w:right w:val="single" w:sz="4" w:space="0" w:color="auto"/>
            </w:tcBorders>
            <w:shd w:val="clear" w:color="auto" w:fill="auto"/>
            <w:noWrap/>
            <w:vAlign w:val="center"/>
            <w:hideMark/>
          </w:tcPr>
          <w:p w14:paraId="2EC7F0B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4,8</w:t>
            </w:r>
          </w:p>
        </w:tc>
        <w:tc>
          <w:tcPr>
            <w:tcW w:w="758" w:type="dxa"/>
            <w:tcBorders>
              <w:top w:val="nil"/>
              <w:left w:val="nil"/>
              <w:bottom w:val="nil"/>
              <w:right w:val="double" w:sz="6" w:space="0" w:color="auto"/>
            </w:tcBorders>
            <w:shd w:val="clear" w:color="auto" w:fill="auto"/>
            <w:noWrap/>
            <w:vAlign w:val="center"/>
            <w:hideMark/>
          </w:tcPr>
          <w:p w14:paraId="476AF58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851" w:type="dxa"/>
            <w:tcBorders>
              <w:top w:val="nil"/>
              <w:left w:val="nil"/>
              <w:bottom w:val="nil"/>
              <w:right w:val="single" w:sz="4" w:space="0" w:color="auto"/>
            </w:tcBorders>
            <w:shd w:val="clear" w:color="auto" w:fill="auto"/>
            <w:noWrap/>
            <w:vAlign w:val="center"/>
            <w:hideMark/>
          </w:tcPr>
          <w:p w14:paraId="6D5ADDD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3,1</w:t>
            </w:r>
          </w:p>
        </w:tc>
        <w:tc>
          <w:tcPr>
            <w:tcW w:w="974" w:type="dxa"/>
            <w:tcBorders>
              <w:top w:val="nil"/>
              <w:left w:val="nil"/>
              <w:bottom w:val="nil"/>
              <w:right w:val="single" w:sz="4" w:space="0" w:color="auto"/>
            </w:tcBorders>
            <w:shd w:val="clear" w:color="auto" w:fill="auto"/>
            <w:noWrap/>
            <w:vAlign w:val="center"/>
            <w:hideMark/>
          </w:tcPr>
          <w:p w14:paraId="51FE579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5,6</w:t>
            </w:r>
          </w:p>
        </w:tc>
        <w:tc>
          <w:tcPr>
            <w:tcW w:w="851" w:type="dxa"/>
            <w:tcBorders>
              <w:top w:val="nil"/>
              <w:left w:val="nil"/>
              <w:bottom w:val="nil"/>
              <w:right w:val="double" w:sz="6" w:space="0" w:color="auto"/>
            </w:tcBorders>
            <w:shd w:val="clear" w:color="auto" w:fill="auto"/>
            <w:noWrap/>
            <w:vAlign w:val="center"/>
            <w:hideMark/>
          </w:tcPr>
          <w:p w14:paraId="2573939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1,4</w:t>
            </w:r>
          </w:p>
        </w:tc>
      </w:tr>
      <w:tr w:rsidR="001C3EF6" w:rsidRPr="008D0165" w14:paraId="513867FB"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0C19E7F3"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5000,01 - 5500,00</w:t>
            </w:r>
          </w:p>
        </w:tc>
        <w:tc>
          <w:tcPr>
            <w:tcW w:w="601" w:type="dxa"/>
            <w:tcBorders>
              <w:top w:val="nil"/>
              <w:left w:val="double" w:sz="6" w:space="0" w:color="auto"/>
              <w:bottom w:val="nil"/>
              <w:right w:val="single" w:sz="4" w:space="0" w:color="auto"/>
            </w:tcBorders>
            <w:shd w:val="clear" w:color="auto" w:fill="auto"/>
            <w:noWrap/>
            <w:vAlign w:val="center"/>
            <w:hideMark/>
          </w:tcPr>
          <w:p w14:paraId="58E40CB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974" w:type="dxa"/>
            <w:tcBorders>
              <w:top w:val="nil"/>
              <w:left w:val="nil"/>
              <w:bottom w:val="nil"/>
              <w:right w:val="single" w:sz="4" w:space="0" w:color="auto"/>
            </w:tcBorders>
            <w:shd w:val="clear" w:color="auto" w:fill="auto"/>
            <w:noWrap/>
            <w:vAlign w:val="center"/>
            <w:hideMark/>
          </w:tcPr>
          <w:p w14:paraId="3FC8FEE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2,6</w:t>
            </w:r>
          </w:p>
        </w:tc>
        <w:tc>
          <w:tcPr>
            <w:tcW w:w="758" w:type="dxa"/>
            <w:tcBorders>
              <w:top w:val="nil"/>
              <w:left w:val="nil"/>
              <w:bottom w:val="nil"/>
              <w:right w:val="double" w:sz="6" w:space="0" w:color="auto"/>
            </w:tcBorders>
            <w:shd w:val="clear" w:color="auto" w:fill="auto"/>
            <w:noWrap/>
            <w:vAlign w:val="center"/>
            <w:hideMark/>
          </w:tcPr>
          <w:p w14:paraId="1CE8D59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781" w:type="dxa"/>
            <w:tcBorders>
              <w:top w:val="nil"/>
              <w:left w:val="nil"/>
              <w:bottom w:val="nil"/>
              <w:right w:val="single" w:sz="4" w:space="0" w:color="auto"/>
            </w:tcBorders>
            <w:shd w:val="clear" w:color="auto" w:fill="auto"/>
            <w:noWrap/>
            <w:vAlign w:val="center"/>
            <w:hideMark/>
          </w:tcPr>
          <w:p w14:paraId="2B57CA1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974" w:type="dxa"/>
            <w:tcBorders>
              <w:top w:val="nil"/>
              <w:left w:val="nil"/>
              <w:bottom w:val="nil"/>
              <w:right w:val="single" w:sz="4" w:space="0" w:color="auto"/>
            </w:tcBorders>
            <w:shd w:val="clear" w:color="auto" w:fill="auto"/>
            <w:noWrap/>
            <w:vAlign w:val="center"/>
            <w:hideMark/>
          </w:tcPr>
          <w:p w14:paraId="61F1B1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3,1</w:t>
            </w:r>
          </w:p>
        </w:tc>
        <w:tc>
          <w:tcPr>
            <w:tcW w:w="758" w:type="dxa"/>
            <w:tcBorders>
              <w:top w:val="nil"/>
              <w:left w:val="nil"/>
              <w:bottom w:val="nil"/>
              <w:right w:val="double" w:sz="6" w:space="0" w:color="auto"/>
            </w:tcBorders>
            <w:shd w:val="clear" w:color="auto" w:fill="auto"/>
            <w:noWrap/>
            <w:vAlign w:val="center"/>
            <w:hideMark/>
          </w:tcPr>
          <w:p w14:paraId="103FA5B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851" w:type="dxa"/>
            <w:tcBorders>
              <w:top w:val="nil"/>
              <w:left w:val="nil"/>
              <w:bottom w:val="nil"/>
              <w:right w:val="single" w:sz="4" w:space="0" w:color="auto"/>
            </w:tcBorders>
            <w:shd w:val="clear" w:color="auto" w:fill="auto"/>
            <w:noWrap/>
            <w:vAlign w:val="center"/>
            <w:hideMark/>
          </w:tcPr>
          <w:p w14:paraId="74C57B4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2,0</w:t>
            </w:r>
          </w:p>
        </w:tc>
        <w:tc>
          <w:tcPr>
            <w:tcW w:w="974" w:type="dxa"/>
            <w:tcBorders>
              <w:top w:val="nil"/>
              <w:left w:val="nil"/>
              <w:bottom w:val="nil"/>
              <w:right w:val="single" w:sz="4" w:space="0" w:color="auto"/>
            </w:tcBorders>
            <w:shd w:val="clear" w:color="auto" w:fill="auto"/>
            <w:noWrap/>
            <w:vAlign w:val="center"/>
            <w:hideMark/>
          </w:tcPr>
          <w:p w14:paraId="5717412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3,8</w:t>
            </w:r>
          </w:p>
        </w:tc>
        <w:tc>
          <w:tcPr>
            <w:tcW w:w="851" w:type="dxa"/>
            <w:tcBorders>
              <w:top w:val="nil"/>
              <w:left w:val="nil"/>
              <w:bottom w:val="nil"/>
              <w:right w:val="double" w:sz="6" w:space="0" w:color="auto"/>
            </w:tcBorders>
            <w:shd w:val="clear" w:color="auto" w:fill="auto"/>
            <w:noWrap/>
            <w:vAlign w:val="center"/>
            <w:hideMark/>
          </w:tcPr>
          <w:p w14:paraId="322BB12A"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r>
      <w:tr w:rsidR="001C3EF6" w:rsidRPr="008D0165" w14:paraId="5F674630"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7BF9EC36"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5500,01 - 6000,00</w:t>
            </w:r>
          </w:p>
        </w:tc>
        <w:tc>
          <w:tcPr>
            <w:tcW w:w="601" w:type="dxa"/>
            <w:tcBorders>
              <w:top w:val="nil"/>
              <w:left w:val="double" w:sz="6" w:space="0" w:color="auto"/>
              <w:bottom w:val="nil"/>
              <w:right w:val="single" w:sz="4" w:space="0" w:color="auto"/>
            </w:tcBorders>
            <w:shd w:val="clear" w:color="auto" w:fill="auto"/>
            <w:noWrap/>
            <w:vAlign w:val="center"/>
            <w:hideMark/>
          </w:tcPr>
          <w:p w14:paraId="3DE7C04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0,8</w:t>
            </w:r>
          </w:p>
        </w:tc>
        <w:tc>
          <w:tcPr>
            <w:tcW w:w="974" w:type="dxa"/>
            <w:tcBorders>
              <w:top w:val="nil"/>
              <w:left w:val="nil"/>
              <w:bottom w:val="nil"/>
              <w:right w:val="single" w:sz="4" w:space="0" w:color="auto"/>
            </w:tcBorders>
            <w:shd w:val="clear" w:color="auto" w:fill="auto"/>
            <w:noWrap/>
            <w:vAlign w:val="center"/>
            <w:hideMark/>
          </w:tcPr>
          <w:p w14:paraId="7EC7B2DC"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758" w:type="dxa"/>
            <w:tcBorders>
              <w:top w:val="nil"/>
              <w:left w:val="nil"/>
              <w:bottom w:val="nil"/>
              <w:right w:val="double" w:sz="6" w:space="0" w:color="auto"/>
            </w:tcBorders>
            <w:shd w:val="clear" w:color="auto" w:fill="auto"/>
            <w:noWrap/>
            <w:vAlign w:val="center"/>
            <w:hideMark/>
          </w:tcPr>
          <w:p w14:paraId="4E25B10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781" w:type="dxa"/>
            <w:tcBorders>
              <w:top w:val="nil"/>
              <w:left w:val="nil"/>
              <w:bottom w:val="nil"/>
              <w:right w:val="single" w:sz="4" w:space="0" w:color="auto"/>
            </w:tcBorders>
            <w:shd w:val="clear" w:color="auto" w:fill="auto"/>
            <w:noWrap/>
            <w:vAlign w:val="center"/>
            <w:hideMark/>
          </w:tcPr>
          <w:p w14:paraId="17057DB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974" w:type="dxa"/>
            <w:tcBorders>
              <w:top w:val="nil"/>
              <w:left w:val="nil"/>
              <w:bottom w:val="nil"/>
              <w:right w:val="single" w:sz="4" w:space="0" w:color="auto"/>
            </w:tcBorders>
            <w:shd w:val="clear" w:color="auto" w:fill="auto"/>
            <w:noWrap/>
            <w:vAlign w:val="center"/>
            <w:hideMark/>
          </w:tcPr>
          <w:p w14:paraId="48B487F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2,0</w:t>
            </w:r>
          </w:p>
        </w:tc>
        <w:tc>
          <w:tcPr>
            <w:tcW w:w="758" w:type="dxa"/>
            <w:tcBorders>
              <w:top w:val="nil"/>
              <w:left w:val="nil"/>
              <w:bottom w:val="nil"/>
              <w:right w:val="double" w:sz="6" w:space="0" w:color="auto"/>
            </w:tcBorders>
            <w:shd w:val="clear" w:color="auto" w:fill="auto"/>
            <w:noWrap/>
            <w:vAlign w:val="center"/>
            <w:hideMark/>
          </w:tcPr>
          <w:p w14:paraId="50D1925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851" w:type="dxa"/>
            <w:tcBorders>
              <w:top w:val="nil"/>
              <w:left w:val="nil"/>
              <w:bottom w:val="nil"/>
              <w:right w:val="single" w:sz="4" w:space="0" w:color="auto"/>
            </w:tcBorders>
            <w:shd w:val="clear" w:color="auto" w:fill="auto"/>
            <w:noWrap/>
            <w:vAlign w:val="center"/>
            <w:hideMark/>
          </w:tcPr>
          <w:p w14:paraId="12E895A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974" w:type="dxa"/>
            <w:tcBorders>
              <w:top w:val="nil"/>
              <w:left w:val="nil"/>
              <w:bottom w:val="nil"/>
              <w:right w:val="single" w:sz="4" w:space="0" w:color="auto"/>
            </w:tcBorders>
            <w:shd w:val="clear" w:color="auto" w:fill="auto"/>
            <w:noWrap/>
            <w:vAlign w:val="center"/>
            <w:hideMark/>
          </w:tcPr>
          <w:p w14:paraId="7FC23DBF"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2,5</w:t>
            </w:r>
          </w:p>
        </w:tc>
        <w:tc>
          <w:tcPr>
            <w:tcW w:w="851" w:type="dxa"/>
            <w:tcBorders>
              <w:top w:val="nil"/>
              <w:left w:val="nil"/>
              <w:bottom w:val="nil"/>
              <w:right w:val="double" w:sz="6" w:space="0" w:color="auto"/>
            </w:tcBorders>
            <w:shd w:val="clear" w:color="auto" w:fill="auto"/>
            <w:noWrap/>
            <w:vAlign w:val="center"/>
            <w:hideMark/>
          </w:tcPr>
          <w:p w14:paraId="59C7C1E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0,5</w:t>
            </w:r>
          </w:p>
        </w:tc>
      </w:tr>
      <w:tr w:rsidR="001C3EF6" w:rsidRPr="008D0165" w14:paraId="3970C8AF"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17FC75E8"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6000,01 - 6500,00</w:t>
            </w:r>
          </w:p>
        </w:tc>
        <w:tc>
          <w:tcPr>
            <w:tcW w:w="601" w:type="dxa"/>
            <w:tcBorders>
              <w:top w:val="nil"/>
              <w:left w:val="double" w:sz="6" w:space="0" w:color="auto"/>
              <w:bottom w:val="nil"/>
              <w:right w:val="single" w:sz="4" w:space="0" w:color="auto"/>
            </w:tcBorders>
            <w:shd w:val="clear" w:color="auto" w:fill="auto"/>
            <w:noWrap/>
            <w:vAlign w:val="center"/>
            <w:hideMark/>
          </w:tcPr>
          <w:p w14:paraId="4B44104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0,5</w:t>
            </w:r>
          </w:p>
        </w:tc>
        <w:tc>
          <w:tcPr>
            <w:tcW w:w="974" w:type="dxa"/>
            <w:tcBorders>
              <w:top w:val="nil"/>
              <w:left w:val="nil"/>
              <w:bottom w:val="nil"/>
              <w:right w:val="single" w:sz="4" w:space="0" w:color="auto"/>
            </w:tcBorders>
            <w:shd w:val="clear" w:color="auto" w:fill="auto"/>
            <w:noWrap/>
            <w:vAlign w:val="center"/>
            <w:hideMark/>
          </w:tcPr>
          <w:p w14:paraId="0D31938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1,1</w:t>
            </w:r>
          </w:p>
        </w:tc>
        <w:tc>
          <w:tcPr>
            <w:tcW w:w="758" w:type="dxa"/>
            <w:tcBorders>
              <w:top w:val="nil"/>
              <w:left w:val="nil"/>
              <w:bottom w:val="nil"/>
              <w:right w:val="double" w:sz="6" w:space="0" w:color="auto"/>
            </w:tcBorders>
            <w:shd w:val="clear" w:color="auto" w:fill="auto"/>
            <w:noWrap/>
            <w:vAlign w:val="center"/>
            <w:hideMark/>
          </w:tcPr>
          <w:p w14:paraId="41F5F8DD"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781" w:type="dxa"/>
            <w:tcBorders>
              <w:top w:val="nil"/>
              <w:left w:val="nil"/>
              <w:bottom w:val="nil"/>
              <w:right w:val="single" w:sz="4" w:space="0" w:color="auto"/>
            </w:tcBorders>
            <w:shd w:val="clear" w:color="auto" w:fill="auto"/>
            <w:noWrap/>
            <w:vAlign w:val="center"/>
            <w:hideMark/>
          </w:tcPr>
          <w:p w14:paraId="1459071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36709CF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1,3</w:t>
            </w:r>
          </w:p>
        </w:tc>
        <w:tc>
          <w:tcPr>
            <w:tcW w:w="758" w:type="dxa"/>
            <w:tcBorders>
              <w:top w:val="nil"/>
              <w:left w:val="nil"/>
              <w:bottom w:val="nil"/>
              <w:right w:val="double" w:sz="6" w:space="0" w:color="auto"/>
            </w:tcBorders>
            <w:shd w:val="clear" w:color="auto" w:fill="auto"/>
            <w:noWrap/>
            <w:vAlign w:val="center"/>
            <w:hideMark/>
          </w:tcPr>
          <w:p w14:paraId="1941C93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c>
          <w:tcPr>
            <w:tcW w:w="851" w:type="dxa"/>
            <w:tcBorders>
              <w:top w:val="nil"/>
              <w:left w:val="nil"/>
              <w:bottom w:val="nil"/>
              <w:right w:val="single" w:sz="4" w:space="0" w:color="auto"/>
            </w:tcBorders>
            <w:shd w:val="clear" w:color="auto" w:fill="auto"/>
            <w:noWrap/>
            <w:vAlign w:val="center"/>
            <w:hideMark/>
          </w:tcPr>
          <w:p w14:paraId="0BD1A3B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974" w:type="dxa"/>
            <w:tcBorders>
              <w:top w:val="nil"/>
              <w:left w:val="nil"/>
              <w:bottom w:val="nil"/>
              <w:right w:val="single" w:sz="4" w:space="0" w:color="auto"/>
            </w:tcBorders>
            <w:shd w:val="clear" w:color="auto" w:fill="auto"/>
            <w:noWrap/>
            <w:vAlign w:val="center"/>
            <w:hideMark/>
          </w:tcPr>
          <w:p w14:paraId="04818D2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1,7</w:t>
            </w:r>
          </w:p>
        </w:tc>
        <w:tc>
          <w:tcPr>
            <w:tcW w:w="851" w:type="dxa"/>
            <w:tcBorders>
              <w:top w:val="nil"/>
              <w:left w:val="nil"/>
              <w:bottom w:val="nil"/>
              <w:right w:val="double" w:sz="6" w:space="0" w:color="auto"/>
            </w:tcBorders>
            <w:shd w:val="clear" w:color="auto" w:fill="auto"/>
            <w:noWrap/>
            <w:vAlign w:val="center"/>
            <w:hideMark/>
          </w:tcPr>
          <w:p w14:paraId="7911C2F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r>
      <w:tr w:rsidR="001C3EF6" w:rsidRPr="008D0165" w14:paraId="69E5B16B"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36CFA456"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6500,01 - 7000,00</w:t>
            </w:r>
          </w:p>
        </w:tc>
        <w:tc>
          <w:tcPr>
            <w:tcW w:w="601" w:type="dxa"/>
            <w:tcBorders>
              <w:top w:val="nil"/>
              <w:left w:val="double" w:sz="6" w:space="0" w:color="auto"/>
              <w:bottom w:val="nil"/>
              <w:right w:val="single" w:sz="4" w:space="0" w:color="auto"/>
            </w:tcBorders>
            <w:shd w:val="clear" w:color="auto" w:fill="auto"/>
            <w:noWrap/>
            <w:vAlign w:val="center"/>
            <w:hideMark/>
          </w:tcPr>
          <w:p w14:paraId="56E04B0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c>
          <w:tcPr>
            <w:tcW w:w="974" w:type="dxa"/>
            <w:tcBorders>
              <w:top w:val="nil"/>
              <w:left w:val="nil"/>
              <w:bottom w:val="nil"/>
              <w:right w:val="single" w:sz="4" w:space="0" w:color="auto"/>
            </w:tcBorders>
            <w:shd w:val="clear" w:color="auto" w:fill="auto"/>
            <w:noWrap/>
            <w:vAlign w:val="center"/>
            <w:hideMark/>
          </w:tcPr>
          <w:p w14:paraId="75AA8EC6"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758" w:type="dxa"/>
            <w:tcBorders>
              <w:top w:val="nil"/>
              <w:left w:val="nil"/>
              <w:bottom w:val="nil"/>
              <w:right w:val="double" w:sz="6" w:space="0" w:color="auto"/>
            </w:tcBorders>
            <w:shd w:val="clear" w:color="auto" w:fill="auto"/>
            <w:noWrap/>
            <w:vAlign w:val="center"/>
            <w:hideMark/>
          </w:tcPr>
          <w:p w14:paraId="2B343638"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781" w:type="dxa"/>
            <w:tcBorders>
              <w:top w:val="nil"/>
              <w:left w:val="nil"/>
              <w:bottom w:val="nil"/>
              <w:right w:val="single" w:sz="4" w:space="0" w:color="auto"/>
            </w:tcBorders>
            <w:shd w:val="clear" w:color="auto" w:fill="auto"/>
            <w:noWrap/>
            <w:vAlign w:val="center"/>
            <w:hideMark/>
          </w:tcPr>
          <w:p w14:paraId="0D10D89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974" w:type="dxa"/>
            <w:tcBorders>
              <w:top w:val="nil"/>
              <w:left w:val="nil"/>
              <w:bottom w:val="nil"/>
              <w:right w:val="single" w:sz="4" w:space="0" w:color="auto"/>
            </w:tcBorders>
            <w:shd w:val="clear" w:color="auto" w:fill="auto"/>
            <w:noWrap/>
            <w:vAlign w:val="center"/>
            <w:hideMark/>
          </w:tcPr>
          <w:p w14:paraId="5A51CEF4"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0,9</w:t>
            </w:r>
          </w:p>
        </w:tc>
        <w:tc>
          <w:tcPr>
            <w:tcW w:w="758" w:type="dxa"/>
            <w:tcBorders>
              <w:top w:val="nil"/>
              <w:left w:val="nil"/>
              <w:bottom w:val="nil"/>
              <w:right w:val="double" w:sz="6" w:space="0" w:color="auto"/>
            </w:tcBorders>
            <w:shd w:val="clear" w:color="auto" w:fill="auto"/>
            <w:noWrap/>
            <w:vAlign w:val="center"/>
            <w:hideMark/>
          </w:tcPr>
          <w:p w14:paraId="0F7D4607"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851" w:type="dxa"/>
            <w:tcBorders>
              <w:top w:val="nil"/>
              <w:left w:val="nil"/>
              <w:bottom w:val="nil"/>
              <w:right w:val="single" w:sz="4" w:space="0" w:color="auto"/>
            </w:tcBorders>
            <w:shd w:val="clear" w:color="auto" w:fill="auto"/>
            <w:noWrap/>
            <w:vAlign w:val="center"/>
            <w:hideMark/>
          </w:tcPr>
          <w:p w14:paraId="53F436C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0,6</w:t>
            </w:r>
          </w:p>
        </w:tc>
        <w:tc>
          <w:tcPr>
            <w:tcW w:w="974" w:type="dxa"/>
            <w:tcBorders>
              <w:top w:val="nil"/>
              <w:left w:val="nil"/>
              <w:bottom w:val="nil"/>
              <w:right w:val="single" w:sz="4" w:space="0" w:color="auto"/>
            </w:tcBorders>
            <w:shd w:val="clear" w:color="auto" w:fill="auto"/>
            <w:noWrap/>
            <w:vAlign w:val="center"/>
            <w:hideMark/>
          </w:tcPr>
          <w:p w14:paraId="5AE6985B"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851" w:type="dxa"/>
            <w:tcBorders>
              <w:top w:val="nil"/>
              <w:left w:val="nil"/>
              <w:bottom w:val="nil"/>
              <w:right w:val="double" w:sz="6" w:space="0" w:color="auto"/>
            </w:tcBorders>
            <w:shd w:val="clear" w:color="auto" w:fill="auto"/>
            <w:noWrap/>
            <w:vAlign w:val="center"/>
            <w:hideMark/>
          </w:tcPr>
          <w:p w14:paraId="5B6FC50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0,2</w:t>
            </w:r>
          </w:p>
        </w:tc>
      </w:tr>
      <w:tr w:rsidR="001C3EF6" w:rsidRPr="008D0165" w14:paraId="2F523988" w14:textId="77777777" w:rsidTr="00FC39E3">
        <w:trPr>
          <w:trHeight w:val="283"/>
          <w:jc w:val="center"/>
        </w:trPr>
        <w:tc>
          <w:tcPr>
            <w:tcW w:w="1696" w:type="dxa"/>
            <w:tcBorders>
              <w:top w:val="nil"/>
              <w:left w:val="single" w:sz="4" w:space="0" w:color="auto"/>
              <w:bottom w:val="nil"/>
              <w:right w:val="nil"/>
            </w:tcBorders>
            <w:shd w:val="clear" w:color="auto" w:fill="auto"/>
            <w:vAlign w:val="center"/>
            <w:hideMark/>
          </w:tcPr>
          <w:p w14:paraId="2BD451F4" w14:textId="77777777" w:rsidR="006D094D" w:rsidRPr="005916E3" w:rsidRDefault="006D094D" w:rsidP="0084113E">
            <w:pPr>
              <w:spacing w:after="0" w:line="23" w:lineRule="atLeast"/>
              <w:jc w:val="center"/>
              <w:rPr>
                <w:rFonts w:ascii="Calibri" w:eastAsia="Times New Roman" w:hAnsi="Calibri" w:cs="Calibri"/>
                <w:color w:val="000000"/>
                <w:sz w:val="18"/>
                <w:szCs w:val="18"/>
                <w:lang w:eastAsia="pl-PL"/>
              </w:rPr>
            </w:pPr>
            <w:r w:rsidRPr="005916E3">
              <w:rPr>
                <w:rFonts w:ascii="Calibri" w:eastAsia="Times New Roman" w:hAnsi="Calibri" w:cs="Calibri"/>
                <w:color w:val="000000"/>
                <w:sz w:val="18"/>
                <w:szCs w:val="18"/>
                <w:lang w:eastAsia="pl-PL"/>
              </w:rPr>
              <w:t>7000,01 i więcej</w:t>
            </w:r>
          </w:p>
        </w:tc>
        <w:tc>
          <w:tcPr>
            <w:tcW w:w="601" w:type="dxa"/>
            <w:tcBorders>
              <w:top w:val="nil"/>
              <w:left w:val="double" w:sz="6" w:space="0" w:color="auto"/>
              <w:bottom w:val="nil"/>
              <w:right w:val="single" w:sz="4" w:space="0" w:color="auto"/>
            </w:tcBorders>
            <w:shd w:val="clear" w:color="auto" w:fill="auto"/>
            <w:noWrap/>
            <w:vAlign w:val="center"/>
            <w:hideMark/>
          </w:tcPr>
          <w:p w14:paraId="0B58CFB1"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0,4</w:t>
            </w:r>
          </w:p>
        </w:tc>
        <w:tc>
          <w:tcPr>
            <w:tcW w:w="974" w:type="dxa"/>
            <w:tcBorders>
              <w:top w:val="nil"/>
              <w:left w:val="nil"/>
              <w:bottom w:val="nil"/>
              <w:right w:val="single" w:sz="4" w:space="0" w:color="auto"/>
            </w:tcBorders>
            <w:shd w:val="clear" w:color="auto" w:fill="auto"/>
            <w:noWrap/>
            <w:vAlign w:val="center"/>
            <w:hideMark/>
          </w:tcPr>
          <w:p w14:paraId="692468C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1,0</w:t>
            </w:r>
          </w:p>
        </w:tc>
        <w:tc>
          <w:tcPr>
            <w:tcW w:w="758" w:type="dxa"/>
            <w:tcBorders>
              <w:top w:val="nil"/>
              <w:left w:val="nil"/>
              <w:bottom w:val="nil"/>
              <w:right w:val="double" w:sz="6" w:space="0" w:color="auto"/>
            </w:tcBorders>
            <w:shd w:val="clear" w:color="auto" w:fill="auto"/>
            <w:noWrap/>
            <w:vAlign w:val="center"/>
            <w:hideMark/>
          </w:tcPr>
          <w:p w14:paraId="34D586D2"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781" w:type="dxa"/>
            <w:tcBorders>
              <w:top w:val="nil"/>
              <w:left w:val="nil"/>
              <w:bottom w:val="nil"/>
              <w:right w:val="single" w:sz="4" w:space="0" w:color="auto"/>
            </w:tcBorders>
            <w:shd w:val="clear" w:color="auto" w:fill="auto"/>
            <w:noWrap/>
            <w:vAlign w:val="center"/>
            <w:hideMark/>
          </w:tcPr>
          <w:p w14:paraId="7EA1F3E9"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0,7</w:t>
            </w:r>
          </w:p>
        </w:tc>
        <w:tc>
          <w:tcPr>
            <w:tcW w:w="974" w:type="dxa"/>
            <w:tcBorders>
              <w:top w:val="nil"/>
              <w:left w:val="nil"/>
              <w:bottom w:val="nil"/>
              <w:right w:val="single" w:sz="4" w:space="0" w:color="auto"/>
            </w:tcBorders>
            <w:shd w:val="clear" w:color="auto" w:fill="auto"/>
            <w:noWrap/>
            <w:vAlign w:val="center"/>
            <w:hideMark/>
          </w:tcPr>
          <w:p w14:paraId="261738B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1,6</w:t>
            </w:r>
          </w:p>
        </w:tc>
        <w:tc>
          <w:tcPr>
            <w:tcW w:w="758" w:type="dxa"/>
            <w:tcBorders>
              <w:top w:val="nil"/>
              <w:left w:val="nil"/>
              <w:bottom w:val="nil"/>
              <w:right w:val="double" w:sz="6" w:space="0" w:color="auto"/>
            </w:tcBorders>
            <w:shd w:val="clear" w:color="auto" w:fill="auto"/>
            <w:noWrap/>
            <w:vAlign w:val="center"/>
            <w:hideMark/>
          </w:tcPr>
          <w:p w14:paraId="63E897AE"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0,1</w:t>
            </w:r>
          </w:p>
        </w:tc>
        <w:tc>
          <w:tcPr>
            <w:tcW w:w="851" w:type="dxa"/>
            <w:tcBorders>
              <w:top w:val="nil"/>
              <w:left w:val="nil"/>
              <w:bottom w:val="nil"/>
              <w:right w:val="single" w:sz="4" w:space="0" w:color="auto"/>
            </w:tcBorders>
            <w:shd w:val="clear" w:color="auto" w:fill="auto"/>
            <w:noWrap/>
            <w:vAlign w:val="center"/>
            <w:hideMark/>
          </w:tcPr>
          <w:p w14:paraId="6D0FD310"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1,2</w:t>
            </w:r>
          </w:p>
        </w:tc>
        <w:tc>
          <w:tcPr>
            <w:tcW w:w="974" w:type="dxa"/>
            <w:tcBorders>
              <w:top w:val="nil"/>
              <w:left w:val="nil"/>
              <w:bottom w:val="nil"/>
              <w:right w:val="single" w:sz="4" w:space="0" w:color="auto"/>
            </w:tcBorders>
            <w:shd w:val="clear" w:color="auto" w:fill="auto"/>
            <w:noWrap/>
            <w:vAlign w:val="center"/>
            <w:hideMark/>
          </w:tcPr>
          <w:p w14:paraId="1320F963"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2,5</w:t>
            </w:r>
          </w:p>
        </w:tc>
        <w:tc>
          <w:tcPr>
            <w:tcW w:w="851" w:type="dxa"/>
            <w:tcBorders>
              <w:top w:val="nil"/>
              <w:left w:val="nil"/>
              <w:bottom w:val="nil"/>
              <w:right w:val="double" w:sz="6" w:space="0" w:color="auto"/>
            </w:tcBorders>
            <w:shd w:val="clear" w:color="auto" w:fill="auto"/>
            <w:noWrap/>
            <w:vAlign w:val="center"/>
            <w:hideMark/>
          </w:tcPr>
          <w:p w14:paraId="730C0615" w14:textId="77777777" w:rsidR="006D094D" w:rsidRPr="005916E3" w:rsidRDefault="006D094D" w:rsidP="0084113E">
            <w:pPr>
              <w:spacing w:after="0" w:line="23" w:lineRule="atLeast"/>
              <w:jc w:val="center"/>
              <w:rPr>
                <w:rFonts w:ascii="Calibri" w:eastAsia="Times New Roman" w:hAnsi="Calibri" w:cs="Calibri"/>
                <w:sz w:val="18"/>
                <w:szCs w:val="18"/>
                <w:lang w:eastAsia="pl-PL"/>
              </w:rPr>
            </w:pPr>
            <w:r w:rsidRPr="005916E3">
              <w:rPr>
                <w:rFonts w:ascii="Calibri" w:eastAsia="Times New Roman" w:hAnsi="Calibri" w:cs="Calibri"/>
                <w:sz w:val="18"/>
                <w:szCs w:val="18"/>
                <w:lang w:eastAsia="pl-PL"/>
              </w:rPr>
              <w:t>0,3</w:t>
            </w:r>
          </w:p>
        </w:tc>
      </w:tr>
      <w:tr w:rsidR="001C3EF6" w:rsidRPr="008D0165" w14:paraId="04AB6262" w14:textId="77777777" w:rsidTr="00FC39E3">
        <w:trPr>
          <w:trHeight w:val="454"/>
          <w:jc w:val="center"/>
        </w:trPr>
        <w:tc>
          <w:tcPr>
            <w:tcW w:w="1696" w:type="dxa"/>
            <w:tcBorders>
              <w:top w:val="double" w:sz="6" w:space="0" w:color="auto"/>
              <w:left w:val="single" w:sz="4" w:space="0" w:color="auto"/>
              <w:bottom w:val="double" w:sz="6" w:space="0" w:color="auto"/>
              <w:right w:val="nil"/>
            </w:tcBorders>
            <w:shd w:val="clear" w:color="auto" w:fill="B8CCE4" w:themeFill="accent1" w:themeFillTint="66"/>
            <w:vAlign w:val="center"/>
            <w:hideMark/>
          </w:tcPr>
          <w:p w14:paraId="0075F173" w14:textId="77777777" w:rsidR="006D094D" w:rsidRPr="005916E3" w:rsidRDefault="006D094D" w:rsidP="0084113E">
            <w:pPr>
              <w:spacing w:after="0" w:line="23" w:lineRule="atLeast"/>
              <w:jc w:val="center"/>
              <w:rPr>
                <w:rFonts w:ascii="Calibri" w:eastAsia="Times New Roman" w:hAnsi="Calibri" w:cs="Calibri"/>
                <w:b/>
                <w:bCs/>
                <w:color w:val="000000"/>
                <w:sz w:val="18"/>
                <w:szCs w:val="18"/>
                <w:lang w:eastAsia="pl-PL"/>
              </w:rPr>
            </w:pPr>
            <w:r w:rsidRPr="005916E3">
              <w:rPr>
                <w:rFonts w:ascii="Calibri" w:eastAsia="Times New Roman" w:hAnsi="Calibri" w:cs="Calibri"/>
                <w:b/>
                <w:bCs/>
                <w:color w:val="000000"/>
                <w:sz w:val="18"/>
                <w:szCs w:val="18"/>
                <w:lang w:eastAsia="pl-PL"/>
              </w:rPr>
              <w:t>Przeciętna wysokość na osobę - w zł</w:t>
            </w:r>
          </w:p>
        </w:tc>
        <w:tc>
          <w:tcPr>
            <w:tcW w:w="601" w:type="dxa"/>
            <w:tcBorders>
              <w:top w:val="double" w:sz="6" w:space="0" w:color="auto"/>
              <w:left w:val="double" w:sz="6" w:space="0" w:color="auto"/>
              <w:bottom w:val="double" w:sz="6" w:space="0" w:color="auto"/>
              <w:right w:val="single" w:sz="4" w:space="0" w:color="auto"/>
            </w:tcBorders>
            <w:shd w:val="clear" w:color="auto" w:fill="B8CCE4" w:themeFill="accent1" w:themeFillTint="66"/>
            <w:noWrap/>
            <w:vAlign w:val="center"/>
            <w:hideMark/>
          </w:tcPr>
          <w:p w14:paraId="47BC707D"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2 358,39</w:t>
            </w:r>
          </w:p>
        </w:tc>
        <w:tc>
          <w:tcPr>
            <w:tcW w:w="974"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23344F98"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2 944,46</w:t>
            </w:r>
          </w:p>
        </w:tc>
        <w:tc>
          <w:tcPr>
            <w:tcW w:w="758" w:type="dxa"/>
            <w:tcBorders>
              <w:top w:val="double" w:sz="6" w:space="0" w:color="auto"/>
              <w:left w:val="nil"/>
              <w:bottom w:val="double" w:sz="6" w:space="0" w:color="auto"/>
              <w:right w:val="double" w:sz="6" w:space="0" w:color="auto"/>
            </w:tcBorders>
            <w:shd w:val="clear" w:color="auto" w:fill="B8CCE4" w:themeFill="accent1" w:themeFillTint="66"/>
            <w:noWrap/>
            <w:vAlign w:val="center"/>
            <w:hideMark/>
          </w:tcPr>
          <w:p w14:paraId="28DE338A"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1 972,56</w:t>
            </w:r>
          </w:p>
        </w:tc>
        <w:tc>
          <w:tcPr>
            <w:tcW w:w="781"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6F6C0D3F"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2 486,81</w:t>
            </w:r>
          </w:p>
        </w:tc>
        <w:tc>
          <w:tcPr>
            <w:tcW w:w="974"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1F451B1B"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3 107,22</w:t>
            </w:r>
          </w:p>
        </w:tc>
        <w:tc>
          <w:tcPr>
            <w:tcW w:w="758" w:type="dxa"/>
            <w:tcBorders>
              <w:top w:val="double" w:sz="6" w:space="0" w:color="auto"/>
              <w:left w:val="nil"/>
              <w:bottom w:val="double" w:sz="6" w:space="0" w:color="auto"/>
              <w:right w:val="double" w:sz="6" w:space="0" w:color="auto"/>
            </w:tcBorders>
            <w:shd w:val="clear" w:color="auto" w:fill="B8CCE4" w:themeFill="accent1" w:themeFillTint="66"/>
            <w:noWrap/>
            <w:vAlign w:val="center"/>
            <w:hideMark/>
          </w:tcPr>
          <w:p w14:paraId="392D9FF8"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2 081,81</w:t>
            </w:r>
          </w:p>
        </w:tc>
        <w:tc>
          <w:tcPr>
            <w:tcW w:w="851"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265EB9AC"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2 653,78</w:t>
            </w:r>
          </w:p>
        </w:tc>
        <w:tc>
          <w:tcPr>
            <w:tcW w:w="974"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1B05C764"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3 310,57</w:t>
            </w:r>
          </w:p>
        </w:tc>
        <w:tc>
          <w:tcPr>
            <w:tcW w:w="851" w:type="dxa"/>
            <w:tcBorders>
              <w:top w:val="double" w:sz="6" w:space="0" w:color="auto"/>
              <w:left w:val="nil"/>
              <w:bottom w:val="double" w:sz="6" w:space="0" w:color="auto"/>
              <w:right w:val="single" w:sz="4" w:space="0" w:color="auto"/>
            </w:tcBorders>
            <w:shd w:val="clear" w:color="auto" w:fill="B8CCE4" w:themeFill="accent1" w:themeFillTint="66"/>
            <w:noWrap/>
            <w:vAlign w:val="center"/>
            <w:hideMark/>
          </w:tcPr>
          <w:p w14:paraId="47BEFAE1" w14:textId="77777777" w:rsidR="006D094D" w:rsidRPr="005916E3" w:rsidRDefault="006D094D" w:rsidP="0084113E">
            <w:pPr>
              <w:spacing w:after="0" w:line="23" w:lineRule="atLeast"/>
              <w:jc w:val="center"/>
              <w:rPr>
                <w:rFonts w:ascii="Calibri" w:eastAsia="Times New Roman" w:hAnsi="Calibri" w:cs="Calibri"/>
                <w:b/>
                <w:bCs/>
                <w:sz w:val="16"/>
                <w:szCs w:val="16"/>
                <w:lang w:eastAsia="pl-PL"/>
              </w:rPr>
            </w:pPr>
            <w:r w:rsidRPr="005916E3">
              <w:rPr>
                <w:rFonts w:ascii="Calibri" w:eastAsia="Times New Roman" w:hAnsi="Calibri" w:cs="Calibri"/>
                <w:b/>
                <w:bCs/>
                <w:sz w:val="16"/>
                <w:szCs w:val="16"/>
                <w:lang w:eastAsia="pl-PL"/>
              </w:rPr>
              <w:t>2 225,62</w:t>
            </w:r>
          </w:p>
        </w:tc>
      </w:tr>
    </w:tbl>
    <w:p w14:paraId="3DE9F882" w14:textId="3DF6C4B8" w:rsidR="00057F37" w:rsidRPr="00A77D1A" w:rsidRDefault="00E35149" w:rsidP="0084113E">
      <w:pPr>
        <w:spacing w:before="120" w:after="120" w:line="23" w:lineRule="atLeast"/>
        <w:jc w:val="both"/>
        <w:rPr>
          <w:rFonts w:cstheme="minorHAnsi"/>
          <w:sz w:val="18"/>
          <w:szCs w:val="18"/>
        </w:rPr>
      </w:pPr>
      <w:r w:rsidRPr="008D0165">
        <w:rPr>
          <w:rFonts w:cstheme="minorHAnsi"/>
          <w:sz w:val="24"/>
          <w:szCs w:val="24"/>
        </w:rPr>
        <w:t>*</w:t>
      </w:r>
      <w:r w:rsidRPr="009D2FE9">
        <w:rPr>
          <w:rFonts w:cstheme="minorHAnsi"/>
          <w:sz w:val="24"/>
          <w:szCs w:val="24"/>
          <w:vertAlign w:val="superscript"/>
        </w:rPr>
        <w:t>)</w:t>
      </w:r>
      <w:r w:rsidRPr="008D0165">
        <w:rPr>
          <w:rFonts w:cstheme="minorHAnsi"/>
          <w:sz w:val="24"/>
          <w:szCs w:val="24"/>
        </w:rPr>
        <w:t xml:space="preserve"> </w:t>
      </w:r>
      <w:r w:rsidR="00B31687">
        <w:rPr>
          <w:rFonts w:cstheme="minorHAnsi"/>
          <w:sz w:val="18"/>
          <w:szCs w:val="18"/>
        </w:rPr>
        <w:t>B</w:t>
      </w:r>
      <w:r w:rsidR="006D094D" w:rsidRPr="00A77D1A">
        <w:rPr>
          <w:rFonts w:cstheme="minorHAnsi"/>
          <w:sz w:val="18"/>
          <w:szCs w:val="18"/>
        </w:rPr>
        <w:t>ez świadczeń realizowanych na mocy umów międzynarodowych oraz bez świadczeń pobieranych łącznie ze</w:t>
      </w:r>
      <w:r w:rsidR="00A53E26">
        <w:rPr>
          <w:rFonts w:cstheme="minorHAnsi"/>
          <w:sz w:val="18"/>
          <w:szCs w:val="18"/>
        </w:rPr>
        <w:t> </w:t>
      </w:r>
      <w:r w:rsidR="006D094D" w:rsidRPr="00A77D1A">
        <w:rPr>
          <w:rFonts w:cstheme="minorHAnsi"/>
          <w:sz w:val="18"/>
          <w:szCs w:val="18"/>
        </w:rPr>
        <w:t>świadczeniami rolniczymi, bez emerytur pomostowych</w:t>
      </w:r>
      <w:r w:rsidR="00B31687">
        <w:rPr>
          <w:rFonts w:cstheme="minorHAnsi"/>
          <w:sz w:val="18"/>
          <w:szCs w:val="18"/>
        </w:rPr>
        <w:t>.</w:t>
      </w:r>
    </w:p>
    <w:p w14:paraId="53EF61D3" w14:textId="7536C40B" w:rsidR="00132B37" w:rsidRPr="00A77D1A" w:rsidRDefault="00237B52" w:rsidP="0084113E">
      <w:pPr>
        <w:spacing w:before="120" w:after="120" w:line="23" w:lineRule="atLeast"/>
        <w:jc w:val="both"/>
        <w:rPr>
          <w:rFonts w:cstheme="minorHAnsi"/>
          <w:sz w:val="18"/>
          <w:szCs w:val="18"/>
        </w:rPr>
      </w:pPr>
      <w:r>
        <w:rPr>
          <w:rFonts w:cstheme="minorHAnsi"/>
          <w:sz w:val="18"/>
          <w:szCs w:val="18"/>
        </w:rPr>
        <w:t>Źródło: ZUS</w:t>
      </w:r>
    </w:p>
    <w:p w14:paraId="4E05C6C4" w14:textId="6AA7D9AC" w:rsidR="009F7A58" w:rsidRDefault="009F7A58" w:rsidP="009F7A58">
      <w:pPr>
        <w:pStyle w:val="Default"/>
        <w:spacing w:after="120" w:line="276" w:lineRule="auto"/>
        <w:jc w:val="both"/>
        <w:rPr>
          <w:rFonts w:asciiTheme="minorHAnsi" w:hAnsiTheme="minorHAnsi" w:cstheme="minorHAnsi"/>
        </w:rPr>
      </w:pPr>
      <w:r w:rsidRPr="009F7A58">
        <w:rPr>
          <w:rFonts w:asciiTheme="minorHAnsi" w:hAnsiTheme="minorHAnsi" w:cstheme="minorHAnsi"/>
        </w:rPr>
        <w:t xml:space="preserve">Na przestrzeni ostatnich lat obserwuje się rosnącą liczbę emerytur nowosystemowych wypłacanych w wysokości niższej niż najniższa emerytura. Rośnie także udział takich emerytur w portfelu wypłacanych emerytur nowosystemowych. </w:t>
      </w:r>
    </w:p>
    <w:p w14:paraId="48F3085E" w14:textId="691D60FC" w:rsidR="00E64CAA" w:rsidRPr="00E64CAA" w:rsidRDefault="00E64CAA" w:rsidP="00E64CAA">
      <w:pPr>
        <w:tabs>
          <w:tab w:val="left" w:pos="709"/>
        </w:tabs>
        <w:spacing w:after="120" w:line="340" w:lineRule="atLeast"/>
        <w:jc w:val="both"/>
        <w:rPr>
          <w:spacing w:val="-5"/>
          <w:sz w:val="24"/>
          <w:szCs w:val="24"/>
        </w:rPr>
      </w:pPr>
      <w:r w:rsidRPr="00E64CAA">
        <w:rPr>
          <w:spacing w:val="-5"/>
          <w:sz w:val="24"/>
          <w:szCs w:val="24"/>
        </w:rPr>
        <w:t>Od dnia 1 stycznia 1999 r. obowiązuje w Polsce nowy system emerytalny. W systemie tym prawo do emerytury uzależnione zostało od osiągnięcia określonego ustawą o emeryturach i rentach z</w:t>
      </w:r>
      <w:r w:rsidR="00237B52">
        <w:rPr>
          <w:spacing w:val="-5"/>
          <w:sz w:val="24"/>
          <w:szCs w:val="24"/>
        </w:rPr>
        <w:t> </w:t>
      </w:r>
      <w:r w:rsidRPr="00E64CAA">
        <w:rPr>
          <w:spacing w:val="-5"/>
          <w:sz w:val="24"/>
          <w:szCs w:val="24"/>
        </w:rPr>
        <w:t>FUS wieku emerytalneg</w:t>
      </w:r>
      <w:r w:rsidRPr="009D2FE9">
        <w:rPr>
          <w:spacing w:val="-5"/>
          <w:sz w:val="24"/>
          <w:szCs w:val="24"/>
        </w:rPr>
        <w:t>o</w:t>
      </w:r>
      <w:r w:rsidRPr="00E64CAA">
        <w:rPr>
          <w:spacing w:val="-5"/>
          <w:sz w:val="24"/>
          <w:szCs w:val="24"/>
        </w:rPr>
        <w:t>, który obecnie wynosi 60 lat dla kobiet i 65 lat dla mężczyzn. Ustawodawca nie określił natomiast wymaganego minimalnego wymiaru stażu ubezpieczeniowego (tak jak to było w starym systemie emerytalnym). Tym samym za każdy okres ubezpieczenia (nawet bardzo krótki, wynoszący nawet 1 tydzień czy miesiąc) przysługuje emerytura, powodując</w:t>
      </w:r>
      <w:r w:rsidR="00A53E26">
        <w:rPr>
          <w:spacing w:val="-5"/>
          <w:sz w:val="24"/>
          <w:szCs w:val="24"/>
        </w:rPr>
        <w:t>,</w:t>
      </w:r>
      <w:r w:rsidRPr="00E64CAA">
        <w:rPr>
          <w:spacing w:val="-5"/>
          <w:sz w:val="24"/>
          <w:szCs w:val="24"/>
        </w:rPr>
        <w:t xml:space="preserve"> że obecnie wypłacane są świadczenia nawet w bardzo niskiej wysokości (zwaloryzowany kapitał składkowy dzielimy przez średnie trwanie życia), gdyż co do zasady, wysokość świadczenia jest wynikiem przebiegu życia zawodowego ubezpieczonego, jak również decyzji o momencie jego zakończenia.</w:t>
      </w:r>
    </w:p>
    <w:p w14:paraId="2E94E89F" w14:textId="0A0884AE" w:rsidR="00E64CAA" w:rsidRPr="00E64CAA" w:rsidRDefault="00E64CAA" w:rsidP="00E64CAA">
      <w:pPr>
        <w:tabs>
          <w:tab w:val="left" w:pos="709"/>
        </w:tabs>
        <w:spacing w:after="120" w:line="340" w:lineRule="atLeast"/>
        <w:jc w:val="both"/>
        <w:rPr>
          <w:rFonts w:eastAsia="Times New Roman"/>
          <w:color w:val="000000"/>
          <w:sz w:val="24"/>
          <w:szCs w:val="24"/>
        </w:rPr>
      </w:pPr>
      <w:r w:rsidRPr="00E64CAA">
        <w:rPr>
          <w:rFonts w:eastAsia="Times New Roman"/>
          <w:color w:val="000000"/>
          <w:sz w:val="24"/>
          <w:szCs w:val="24"/>
        </w:rPr>
        <w:t>Staż emerytalny nie jest warunkiem do uzyskania prawa do emerytury</w:t>
      </w:r>
      <w:r w:rsidR="00A53E26">
        <w:rPr>
          <w:rFonts w:eastAsia="Times New Roman"/>
          <w:color w:val="000000"/>
          <w:sz w:val="24"/>
          <w:szCs w:val="24"/>
        </w:rPr>
        <w:t>,</w:t>
      </w:r>
      <w:r w:rsidRPr="00E64CAA">
        <w:rPr>
          <w:rFonts w:eastAsia="Times New Roman"/>
          <w:color w:val="000000"/>
          <w:sz w:val="24"/>
          <w:szCs w:val="24"/>
        </w:rPr>
        <w:t xml:space="preserve"> lecz służy jedynie uzyskaniu prawa do pobierania świadczenia w wysokości minimalnej, gwarantowanej przez</w:t>
      </w:r>
      <w:r w:rsidR="00237B52">
        <w:rPr>
          <w:rFonts w:eastAsia="Times New Roman"/>
          <w:color w:val="000000"/>
          <w:sz w:val="24"/>
          <w:szCs w:val="24"/>
        </w:rPr>
        <w:t> </w:t>
      </w:r>
      <w:r w:rsidRPr="00E64CAA">
        <w:rPr>
          <w:rFonts w:eastAsia="Times New Roman"/>
          <w:color w:val="000000"/>
          <w:sz w:val="24"/>
          <w:szCs w:val="24"/>
        </w:rPr>
        <w:t xml:space="preserve">państwo (przy stażu 20 lat dla kobiet i 25 lat dla mężczyzn). </w:t>
      </w:r>
    </w:p>
    <w:p w14:paraId="21ACF9E0" w14:textId="7FE1081D" w:rsidR="00E64CAA" w:rsidRPr="00E64CAA" w:rsidRDefault="00A53E26" w:rsidP="00E64CAA">
      <w:pPr>
        <w:spacing w:after="120" w:line="340" w:lineRule="atLeast"/>
        <w:jc w:val="both"/>
        <w:rPr>
          <w:sz w:val="24"/>
          <w:szCs w:val="24"/>
        </w:rPr>
      </w:pPr>
      <w:r>
        <w:rPr>
          <w:sz w:val="24"/>
          <w:szCs w:val="24"/>
        </w:rPr>
        <w:lastRenderedPageBreak/>
        <w:t>Z jednej strony</w:t>
      </w:r>
      <w:r w:rsidR="00E64CAA" w:rsidRPr="00E64CAA">
        <w:rPr>
          <w:sz w:val="24"/>
          <w:szCs w:val="24"/>
        </w:rPr>
        <w:t xml:space="preserve"> świadczenia stały się wprost proporcjonalne do opłaconych składek (wkładu</w:t>
      </w:r>
      <w:r w:rsidR="00237B52">
        <w:rPr>
          <w:sz w:val="24"/>
          <w:szCs w:val="24"/>
        </w:rPr>
        <w:t> </w:t>
      </w:r>
      <w:r w:rsidR="00E64CAA" w:rsidRPr="00E64CAA">
        <w:rPr>
          <w:sz w:val="24"/>
          <w:szCs w:val="24"/>
        </w:rPr>
        <w:t>do</w:t>
      </w:r>
      <w:r>
        <w:rPr>
          <w:sz w:val="24"/>
          <w:szCs w:val="24"/>
        </w:rPr>
        <w:t> </w:t>
      </w:r>
      <w:r w:rsidR="00E64CAA" w:rsidRPr="00E64CAA">
        <w:rPr>
          <w:sz w:val="24"/>
          <w:szCs w:val="24"/>
        </w:rPr>
        <w:t>systemu). Jednocześnie nastąpiło odejście od wysługi emerytalnej (stażu</w:t>
      </w:r>
      <w:r w:rsidR="00237B52">
        <w:rPr>
          <w:sz w:val="24"/>
          <w:szCs w:val="24"/>
        </w:rPr>
        <w:t> </w:t>
      </w:r>
      <w:r w:rsidR="00E64CAA" w:rsidRPr="00E64CAA">
        <w:rPr>
          <w:sz w:val="24"/>
          <w:szCs w:val="24"/>
        </w:rPr>
        <w:t>ubezpieczeniowego): całkowite, jako warunku nabycia prawa do emerytury i częściowe (pośrednie) w przypadku ustalania jej wysokości (wysokość emerytury zależy od stażu ubezpieczeniowego tylko pośrednio, w taki sposób, w jaki okres opłacania składek przekłada się na ich łączną wysokość zewidencjonowaną na koncie ubezpieczonego).</w:t>
      </w:r>
    </w:p>
    <w:p w14:paraId="03FABF40" w14:textId="7B3DCCD6" w:rsidR="00E64CAA" w:rsidRPr="00E64CAA" w:rsidRDefault="00E64CAA" w:rsidP="00E64CAA">
      <w:pPr>
        <w:spacing w:after="120" w:line="340" w:lineRule="atLeast"/>
        <w:jc w:val="both"/>
        <w:rPr>
          <w:sz w:val="24"/>
          <w:szCs w:val="24"/>
        </w:rPr>
      </w:pPr>
      <w:r w:rsidRPr="00E64CAA">
        <w:rPr>
          <w:sz w:val="24"/>
          <w:szCs w:val="24"/>
        </w:rPr>
        <w:t>Następstwem tak skonstruowanego systemu jest powstanie prawa do emerytury bez</w:t>
      </w:r>
      <w:r w:rsidR="00237B52">
        <w:rPr>
          <w:sz w:val="24"/>
          <w:szCs w:val="24"/>
        </w:rPr>
        <w:t> </w:t>
      </w:r>
      <w:r w:rsidRPr="00E64CAA">
        <w:rPr>
          <w:sz w:val="24"/>
          <w:szCs w:val="24"/>
        </w:rPr>
        <w:t>gwarancji wysokości najniższej emerytury</w:t>
      </w:r>
      <w:r w:rsidR="00237B52">
        <w:rPr>
          <w:sz w:val="24"/>
          <w:szCs w:val="24"/>
        </w:rPr>
        <w:t>,</w:t>
      </w:r>
      <w:r w:rsidRPr="00E64CAA">
        <w:rPr>
          <w:sz w:val="24"/>
          <w:szCs w:val="24"/>
        </w:rPr>
        <w:t xml:space="preserve"> czyli w kwocie niższej niż najniższa emerytura gwarantowana ustawowo dla świadczeniobiorców, którzy nie udokumentowali co najmniej 20/25 letniego okresu składkowego i nieskładkowego. W t</w:t>
      </w:r>
      <w:r w:rsidR="00237B52">
        <w:rPr>
          <w:sz w:val="24"/>
          <w:szCs w:val="24"/>
        </w:rPr>
        <w:t>zw. starym systemie emerytalnym</w:t>
      </w:r>
      <w:r w:rsidRPr="00E64CAA">
        <w:rPr>
          <w:sz w:val="24"/>
          <w:szCs w:val="24"/>
        </w:rPr>
        <w:t xml:space="preserve"> osoby z krótkim stażem pracy nie miałyby prawa do emerytury, gdyż osoba</w:t>
      </w:r>
      <w:r w:rsidR="00A53E26">
        <w:rPr>
          <w:sz w:val="24"/>
          <w:szCs w:val="24"/>
        </w:rPr>
        <w:t>,</w:t>
      </w:r>
      <w:r w:rsidRPr="00E64CAA">
        <w:rPr>
          <w:sz w:val="24"/>
          <w:szCs w:val="24"/>
        </w:rPr>
        <w:t xml:space="preserve"> która nie miała wymaganego określonego stażu ubezpieczeniowego nie nabyła prawa do emerytury.</w:t>
      </w:r>
    </w:p>
    <w:p w14:paraId="690CC78A" w14:textId="2F4DFAF4" w:rsidR="009F7A58" w:rsidRPr="004F276A" w:rsidRDefault="00C0441D" w:rsidP="009F7A58">
      <w:pPr>
        <w:spacing w:after="120" w:line="340" w:lineRule="atLeast"/>
        <w:jc w:val="both"/>
      </w:pPr>
      <w:r w:rsidRPr="004F276A">
        <w:rPr>
          <w:b/>
          <w:bCs/>
        </w:rPr>
        <w:t xml:space="preserve">Tabela 9. </w:t>
      </w:r>
      <w:r w:rsidR="009F7A58" w:rsidRPr="004F276A">
        <w:rPr>
          <w:b/>
        </w:rPr>
        <w:t>Emerytury</w:t>
      </w:r>
      <w:r w:rsidR="002E683F" w:rsidRPr="008D0165">
        <w:rPr>
          <w:b/>
          <w:sz w:val="24"/>
          <w:szCs w:val="24"/>
          <w:vertAlign w:val="superscript"/>
        </w:rPr>
        <w:t>*)</w:t>
      </w:r>
      <w:r w:rsidR="009F7A58" w:rsidRPr="004F276A">
        <w:rPr>
          <w:b/>
        </w:rPr>
        <w:t xml:space="preserve"> wypłacane w wysokości niższej niż najniższa emerytura i renta</w:t>
      </w:r>
    </w:p>
    <w:tbl>
      <w:tblPr>
        <w:tblStyle w:val="Tabela-Siatka"/>
        <w:tblW w:w="0" w:type="auto"/>
        <w:tblLook w:val="04A0" w:firstRow="1" w:lastRow="0" w:firstColumn="1" w:lastColumn="0" w:noHBand="0" w:noVBand="1"/>
      </w:tblPr>
      <w:tblGrid>
        <w:gridCol w:w="1980"/>
        <w:gridCol w:w="2581"/>
        <w:gridCol w:w="2056"/>
        <w:gridCol w:w="2443"/>
      </w:tblGrid>
      <w:tr w:rsidR="009F7A58" w14:paraId="4B815B3F" w14:textId="77777777" w:rsidTr="009F7A58">
        <w:tc>
          <w:tcPr>
            <w:tcW w:w="1980" w:type="dxa"/>
          </w:tcPr>
          <w:p w14:paraId="2A4FF524" w14:textId="77777777" w:rsidR="009F7A58" w:rsidRDefault="009F7A58" w:rsidP="009F7A58">
            <w:pPr>
              <w:jc w:val="both"/>
            </w:pPr>
          </w:p>
        </w:tc>
        <w:tc>
          <w:tcPr>
            <w:tcW w:w="2581" w:type="dxa"/>
          </w:tcPr>
          <w:p w14:paraId="587C3128" w14:textId="766BEBC0" w:rsidR="009F7A58" w:rsidRDefault="009F7A58" w:rsidP="009F7A58">
            <w:pPr>
              <w:jc w:val="center"/>
            </w:pPr>
            <w:r>
              <w:t>Liczba osób pobierających w tys.</w:t>
            </w:r>
          </w:p>
        </w:tc>
        <w:tc>
          <w:tcPr>
            <w:tcW w:w="2056" w:type="dxa"/>
          </w:tcPr>
          <w:p w14:paraId="2F76A585" w14:textId="63BCC7BE" w:rsidR="00C97DE5" w:rsidRDefault="009F7A58" w:rsidP="009F7A58">
            <w:pPr>
              <w:jc w:val="center"/>
            </w:pPr>
            <w:r>
              <w:t>w % wypłacanych emerytur nowosystemowych</w:t>
            </w:r>
          </w:p>
        </w:tc>
        <w:tc>
          <w:tcPr>
            <w:tcW w:w="2443" w:type="dxa"/>
          </w:tcPr>
          <w:p w14:paraId="75B8BEEC" w14:textId="77777777" w:rsidR="009F7A58" w:rsidRDefault="009F7A58" w:rsidP="009F7A58">
            <w:pPr>
              <w:jc w:val="center"/>
            </w:pPr>
            <w:r>
              <w:t>Przeciętna wysokość w zł</w:t>
            </w:r>
          </w:p>
        </w:tc>
      </w:tr>
      <w:tr w:rsidR="009F7A58" w14:paraId="5EF7205C" w14:textId="77777777" w:rsidTr="009F7A58">
        <w:tc>
          <w:tcPr>
            <w:tcW w:w="1980" w:type="dxa"/>
          </w:tcPr>
          <w:p w14:paraId="3C964EF0" w14:textId="77777777" w:rsidR="009F7A58" w:rsidRDefault="009F7A58" w:rsidP="009F7A58">
            <w:pPr>
              <w:jc w:val="both"/>
            </w:pPr>
            <w:r>
              <w:t>Grudzień 2011 r.</w:t>
            </w:r>
          </w:p>
        </w:tc>
        <w:tc>
          <w:tcPr>
            <w:tcW w:w="2581" w:type="dxa"/>
          </w:tcPr>
          <w:p w14:paraId="6D5F18DD" w14:textId="77777777" w:rsidR="009F7A58" w:rsidRDefault="009F7A58" w:rsidP="009F7A58">
            <w:pPr>
              <w:jc w:val="center"/>
            </w:pPr>
            <w:r>
              <w:t>23,9</w:t>
            </w:r>
          </w:p>
        </w:tc>
        <w:tc>
          <w:tcPr>
            <w:tcW w:w="2056" w:type="dxa"/>
            <w:vAlign w:val="bottom"/>
          </w:tcPr>
          <w:p w14:paraId="7449C1A8" w14:textId="77777777" w:rsidR="009F7A58" w:rsidRPr="003A5540" w:rsidRDefault="009F7A58" w:rsidP="009F7A58">
            <w:pPr>
              <w:jc w:val="center"/>
            </w:pPr>
            <w:r w:rsidRPr="003A5540">
              <w:t>4,2%</w:t>
            </w:r>
          </w:p>
        </w:tc>
        <w:tc>
          <w:tcPr>
            <w:tcW w:w="2443" w:type="dxa"/>
          </w:tcPr>
          <w:p w14:paraId="4C972F1C" w14:textId="77777777" w:rsidR="009F7A58" w:rsidRDefault="009F7A58" w:rsidP="009F7A58">
            <w:pPr>
              <w:jc w:val="center"/>
            </w:pPr>
            <w:r>
              <w:t>X</w:t>
            </w:r>
          </w:p>
        </w:tc>
      </w:tr>
      <w:tr w:rsidR="009F7A58" w14:paraId="31249319" w14:textId="77777777" w:rsidTr="009F7A58">
        <w:tc>
          <w:tcPr>
            <w:tcW w:w="1980" w:type="dxa"/>
          </w:tcPr>
          <w:p w14:paraId="49A1456F" w14:textId="77777777" w:rsidR="009F7A58" w:rsidRDefault="009F7A58" w:rsidP="009F7A58">
            <w:pPr>
              <w:jc w:val="both"/>
            </w:pPr>
            <w:r>
              <w:t>Grudzień 2012 r.</w:t>
            </w:r>
          </w:p>
        </w:tc>
        <w:tc>
          <w:tcPr>
            <w:tcW w:w="2581" w:type="dxa"/>
          </w:tcPr>
          <w:p w14:paraId="4AF18F43" w14:textId="77777777" w:rsidR="009F7A58" w:rsidRDefault="009F7A58" w:rsidP="009F7A58">
            <w:pPr>
              <w:jc w:val="center"/>
            </w:pPr>
            <w:r>
              <w:t>35,9</w:t>
            </w:r>
          </w:p>
        </w:tc>
        <w:tc>
          <w:tcPr>
            <w:tcW w:w="2056" w:type="dxa"/>
            <w:vAlign w:val="bottom"/>
          </w:tcPr>
          <w:p w14:paraId="3011D24F" w14:textId="77777777" w:rsidR="009F7A58" w:rsidRPr="003A5540" w:rsidRDefault="009F7A58" w:rsidP="009F7A58">
            <w:pPr>
              <w:jc w:val="center"/>
            </w:pPr>
            <w:r w:rsidRPr="003A5540">
              <w:t>4,4%</w:t>
            </w:r>
          </w:p>
        </w:tc>
        <w:tc>
          <w:tcPr>
            <w:tcW w:w="2443" w:type="dxa"/>
          </w:tcPr>
          <w:p w14:paraId="36BDF9CA" w14:textId="77777777" w:rsidR="009F7A58" w:rsidRDefault="009F7A58" w:rsidP="009F7A58">
            <w:pPr>
              <w:jc w:val="center"/>
            </w:pPr>
            <w:r>
              <w:t>X</w:t>
            </w:r>
          </w:p>
        </w:tc>
      </w:tr>
      <w:tr w:rsidR="009F7A58" w14:paraId="32D31E2E" w14:textId="77777777" w:rsidTr="009F7A58">
        <w:tc>
          <w:tcPr>
            <w:tcW w:w="1980" w:type="dxa"/>
          </w:tcPr>
          <w:p w14:paraId="632C0251" w14:textId="77777777" w:rsidR="009F7A58" w:rsidRDefault="009F7A58" w:rsidP="009F7A58">
            <w:pPr>
              <w:jc w:val="both"/>
            </w:pPr>
            <w:r>
              <w:t>Grudzień 2013 r.</w:t>
            </w:r>
          </w:p>
        </w:tc>
        <w:tc>
          <w:tcPr>
            <w:tcW w:w="2581" w:type="dxa"/>
          </w:tcPr>
          <w:p w14:paraId="2A61CE45" w14:textId="77777777" w:rsidR="009F7A58" w:rsidRDefault="009F7A58" w:rsidP="009F7A58">
            <w:pPr>
              <w:jc w:val="center"/>
            </w:pPr>
            <w:r>
              <w:t>48,0</w:t>
            </w:r>
          </w:p>
        </w:tc>
        <w:tc>
          <w:tcPr>
            <w:tcW w:w="2056" w:type="dxa"/>
            <w:vAlign w:val="bottom"/>
          </w:tcPr>
          <w:p w14:paraId="0532F5AD" w14:textId="77777777" w:rsidR="009F7A58" w:rsidRPr="003A5540" w:rsidRDefault="009F7A58" w:rsidP="009F7A58">
            <w:pPr>
              <w:jc w:val="center"/>
            </w:pPr>
            <w:r w:rsidRPr="003A5540">
              <w:t>5,1%</w:t>
            </w:r>
          </w:p>
        </w:tc>
        <w:tc>
          <w:tcPr>
            <w:tcW w:w="2443" w:type="dxa"/>
          </w:tcPr>
          <w:p w14:paraId="0F07A1B4" w14:textId="77777777" w:rsidR="009F7A58" w:rsidRDefault="009F7A58" w:rsidP="009F7A58">
            <w:pPr>
              <w:jc w:val="center"/>
            </w:pPr>
            <w:r>
              <w:t>X</w:t>
            </w:r>
          </w:p>
        </w:tc>
      </w:tr>
      <w:tr w:rsidR="009F7A58" w14:paraId="322C1121" w14:textId="77777777" w:rsidTr="009F7A58">
        <w:tc>
          <w:tcPr>
            <w:tcW w:w="1980" w:type="dxa"/>
          </w:tcPr>
          <w:p w14:paraId="68398F7E" w14:textId="77777777" w:rsidR="009F7A58" w:rsidRDefault="009F7A58" w:rsidP="009F7A58">
            <w:pPr>
              <w:jc w:val="both"/>
            </w:pPr>
            <w:r>
              <w:t>Grudzień 2014 r.</w:t>
            </w:r>
          </w:p>
        </w:tc>
        <w:tc>
          <w:tcPr>
            <w:tcW w:w="2581" w:type="dxa"/>
          </w:tcPr>
          <w:p w14:paraId="0342CB3D" w14:textId="77777777" w:rsidR="009F7A58" w:rsidRDefault="009F7A58" w:rsidP="009F7A58">
            <w:pPr>
              <w:jc w:val="center"/>
            </w:pPr>
            <w:r>
              <w:t>60,8</w:t>
            </w:r>
          </w:p>
        </w:tc>
        <w:tc>
          <w:tcPr>
            <w:tcW w:w="2056" w:type="dxa"/>
            <w:vAlign w:val="bottom"/>
          </w:tcPr>
          <w:p w14:paraId="347B9D4E" w14:textId="77777777" w:rsidR="009F7A58" w:rsidRPr="003A5540" w:rsidRDefault="009F7A58" w:rsidP="009F7A58">
            <w:pPr>
              <w:jc w:val="center"/>
            </w:pPr>
            <w:r w:rsidRPr="003A5540">
              <w:t>5,5%</w:t>
            </w:r>
          </w:p>
        </w:tc>
        <w:tc>
          <w:tcPr>
            <w:tcW w:w="2443" w:type="dxa"/>
          </w:tcPr>
          <w:p w14:paraId="054E9162" w14:textId="77777777" w:rsidR="009F7A58" w:rsidRDefault="009F7A58" w:rsidP="009F7A58">
            <w:pPr>
              <w:jc w:val="center"/>
            </w:pPr>
            <w:r>
              <w:t>X</w:t>
            </w:r>
          </w:p>
        </w:tc>
      </w:tr>
      <w:tr w:rsidR="009F7A58" w14:paraId="23253036" w14:textId="77777777" w:rsidTr="009F7A58">
        <w:tc>
          <w:tcPr>
            <w:tcW w:w="1980" w:type="dxa"/>
          </w:tcPr>
          <w:p w14:paraId="5F99DF20" w14:textId="77777777" w:rsidR="009F7A58" w:rsidRDefault="009F7A58" w:rsidP="009F7A58">
            <w:pPr>
              <w:jc w:val="both"/>
            </w:pPr>
            <w:r>
              <w:t>Grudzień 2015 r.</w:t>
            </w:r>
          </w:p>
        </w:tc>
        <w:tc>
          <w:tcPr>
            <w:tcW w:w="2581" w:type="dxa"/>
          </w:tcPr>
          <w:p w14:paraId="2D11BB0C" w14:textId="77777777" w:rsidR="009F7A58" w:rsidRDefault="009F7A58" w:rsidP="009F7A58">
            <w:pPr>
              <w:jc w:val="center"/>
            </w:pPr>
            <w:r>
              <w:t>76,3</w:t>
            </w:r>
          </w:p>
        </w:tc>
        <w:tc>
          <w:tcPr>
            <w:tcW w:w="2056" w:type="dxa"/>
            <w:vAlign w:val="bottom"/>
          </w:tcPr>
          <w:p w14:paraId="1C418ED5" w14:textId="77777777" w:rsidR="009F7A58" w:rsidRPr="003A5540" w:rsidRDefault="009F7A58" w:rsidP="009F7A58">
            <w:pPr>
              <w:jc w:val="center"/>
            </w:pPr>
            <w:r w:rsidRPr="003A5540">
              <w:t>5,5%</w:t>
            </w:r>
          </w:p>
        </w:tc>
        <w:tc>
          <w:tcPr>
            <w:tcW w:w="2443" w:type="dxa"/>
          </w:tcPr>
          <w:p w14:paraId="1A114232" w14:textId="77777777" w:rsidR="009F7A58" w:rsidRDefault="009F7A58" w:rsidP="009F7A58">
            <w:pPr>
              <w:jc w:val="center"/>
            </w:pPr>
            <w:r>
              <w:t>X</w:t>
            </w:r>
          </w:p>
        </w:tc>
      </w:tr>
      <w:tr w:rsidR="009F7A58" w14:paraId="40A7BD21" w14:textId="77777777" w:rsidTr="009F7A58">
        <w:tc>
          <w:tcPr>
            <w:tcW w:w="1980" w:type="dxa"/>
          </w:tcPr>
          <w:p w14:paraId="64B75C5C" w14:textId="77777777" w:rsidR="009F7A58" w:rsidRDefault="009F7A58" w:rsidP="009F7A58">
            <w:pPr>
              <w:jc w:val="both"/>
            </w:pPr>
            <w:r>
              <w:t>Grudzień 2016 r.</w:t>
            </w:r>
          </w:p>
        </w:tc>
        <w:tc>
          <w:tcPr>
            <w:tcW w:w="2581" w:type="dxa"/>
          </w:tcPr>
          <w:p w14:paraId="695F1FF8" w14:textId="77777777" w:rsidR="009F7A58" w:rsidRDefault="009F7A58" w:rsidP="009F7A58">
            <w:pPr>
              <w:jc w:val="center"/>
            </w:pPr>
            <w:r>
              <w:t>95.4</w:t>
            </w:r>
          </w:p>
        </w:tc>
        <w:tc>
          <w:tcPr>
            <w:tcW w:w="2056" w:type="dxa"/>
            <w:vAlign w:val="bottom"/>
          </w:tcPr>
          <w:p w14:paraId="015A522D" w14:textId="77777777" w:rsidR="009F7A58" w:rsidRPr="003A5540" w:rsidRDefault="009F7A58" w:rsidP="009F7A58">
            <w:pPr>
              <w:jc w:val="center"/>
            </w:pPr>
            <w:r w:rsidRPr="003A5540">
              <w:t>5,8%</w:t>
            </w:r>
          </w:p>
        </w:tc>
        <w:tc>
          <w:tcPr>
            <w:tcW w:w="2443" w:type="dxa"/>
          </w:tcPr>
          <w:p w14:paraId="010F3D1A" w14:textId="77777777" w:rsidR="009F7A58" w:rsidRDefault="009F7A58" w:rsidP="009F7A58">
            <w:pPr>
              <w:jc w:val="center"/>
            </w:pPr>
            <w:r>
              <w:t>X</w:t>
            </w:r>
          </w:p>
        </w:tc>
      </w:tr>
      <w:tr w:rsidR="009F7A58" w14:paraId="2F0B0341" w14:textId="77777777" w:rsidTr="009F7A58">
        <w:tc>
          <w:tcPr>
            <w:tcW w:w="1980" w:type="dxa"/>
          </w:tcPr>
          <w:p w14:paraId="7E0F602E" w14:textId="77777777" w:rsidR="009F7A58" w:rsidRDefault="009F7A58" w:rsidP="009F7A58">
            <w:pPr>
              <w:jc w:val="both"/>
            </w:pPr>
            <w:r>
              <w:t>Grudzień 2017 r.</w:t>
            </w:r>
          </w:p>
        </w:tc>
        <w:tc>
          <w:tcPr>
            <w:tcW w:w="2581" w:type="dxa"/>
          </w:tcPr>
          <w:p w14:paraId="2EE9B75A" w14:textId="77777777" w:rsidR="009F7A58" w:rsidRDefault="009F7A58" w:rsidP="009F7A58">
            <w:pPr>
              <w:jc w:val="center"/>
            </w:pPr>
            <w:r>
              <w:t>166,6</w:t>
            </w:r>
          </w:p>
        </w:tc>
        <w:tc>
          <w:tcPr>
            <w:tcW w:w="2056" w:type="dxa"/>
            <w:vAlign w:val="bottom"/>
          </w:tcPr>
          <w:p w14:paraId="572BCE3D" w14:textId="77777777" w:rsidR="009F7A58" w:rsidRPr="003A5540" w:rsidRDefault="009F7A58" w:rsidP="009F7A58">
            <w:pPr>
              <w:jc w:val="center"/>
            </w:pPr>
            <w:r w:rsidRPr="003A5540">
              <w:t>7,7%</w:t>
            </w:r>
          </w:p>
        </w:tc>
        <w:tc>
          <w:tcPr>
            <w:tcW w:w="2443" w:type="dxa"/>
          </w:tcPr>
          <w:p w14:paraId="4693CC22" w14:textId="77777777" w:rsidR="009F7A58" w:rsidRDefault="009F7A58" w:rsidP="009F7A58">
            <w:pPr>
              <w:jc w:val="center"/>
            </w:pPr>
            <w:r>
              <w:t>728,59</w:t>
            </w:r>
          </w:p>
        </w:tc>
      </w:tr>
      <w:tr w:rsidR="009F7A58" w14:paraId="54FFEC07" w14:textId="77777777" w:rsidTr="009F7A58">
        <w:tc>
          <w:tcPr>
            <w:tcW w:w="1980" w:type="dxa"/>
          </w:tcPr>
          <w:p w14:paraId="5488925A" w14:textId="77777777" w:rsidR="009F7A58" w:rsidRDefault="009F7A58" w:rsidP="009F7A58">
            <w:pPr>
              <w:jc w:val="both"/>
            </w:pPr>
            <w:r>
              <w:t>Grudzień 2018 r.</w:t>
            </w:r>
          </w:p>
        </w:tc>
        <w:tc>
          <w:tcPr>
            <w:tcW w:w="2581" w:type="dxa"/>
          </w:tcPr>
          <w:p w14:paraId="16637A50" w14:textId="77777777" w:rsidR="009F7A58" w:rsidRDefault="009F7A58" w:rsidP="009F7A58">
            <w:pPr>
              <w:jc w:val="center"/>
            </w:pPr>
            <w:r>
              <w:t>218,8</w:t>
            </w:r>
          </w:p>
        </w:tc>
        <w:tc>
          <w:tcPr>
            <w:tcW w:w="2056" w:type="dxa"/>
            <w:vAlign w:val="bottom"/>
          </w:tcPr>
          <w:p w14:paraId="01580CF5" w14:textId="77777777" w:rsidR="009F7A58" w:rsidRPr="003A5540" w:rsidRDefault="009F7A58" w:rsidP="009F7A58">
            <w:pPr>
              <w:jc w:val="center"/>
            </w:pPr>
            <w:r w:rsidRPr="003A5540">
              <w:t>8,5%</w:t>
            </w:r>
          </w:p>
        </w:tc>
        <w:tc>
          <w:tcPr>
            <w:tcW w:w="2443" w:type="dxa"/>
          </w:tcPr>
          <w:p w14:paraId="29F5C7D4" w14:textId="77777777" w:rsidR="009F7A58" w:rsidRDefault="009F7A58" w:rsidP="009F7A58">
            <w:pPr>
              <w:jc w:val="center"/>
            </w:pPr>
            <w:r>
              <w:t>731,90</w:t>
            </w:r>
          </w:p>
        </w:tc>
      </w:tr>
      <w:tr w:rsidR="009F7A58" w14:paraId="5717FC36" w14:textId="77777777" w:rsidTr="009F7A58">
        <w:tc>
          <w:tcPr>
            <w:tcW w:w="1980" w:type="dxa"/>
          </w:tcPr>
          <w:p w14:paraId="790EAFFA" w14:textId="77777777" w:rsidR="009F7A58" w:rsidRDefault="009F7A58" w:rsidP="009F7A58">
            <w:pPr>
              <w:jc w:val="both"/>
            </w:pPr>
            <w:r>
              <w:t>Grudzień 2019 r.</w:t>
            </w:r>
          </w:p>
        </w:tc>
        <w:tc>
          <w:tcPr>
            <w:tcW w:w="2581" w:type="dxa"/>
          </w:tcPr>
          <w:p w14:paraId="438213D7" w14:textId="77777777" w:rsidR="009F7A58" w:rsidRDefault="009F7A58" w:rsidP="009F7A58">
            <w:pPr>
              <w:jc w:val="center"/>
            </w:pPr>
            <w:r>
              <w:t>261,0</w:t>
            </w:r>
          </w:p>
        </w:tc>
        <w:tc>
          <w:tcPr>
            <w:tcW w:w="2056" w:type="dxa"/>
          </w:tcPr>
          <w:p w14:paraId="703FE90F" w14:textId="77777777" w:rsidR="009F7A58" w:rsidRDefault="009F7A58" w:rsidP="009F7A58">
            <w:pPr>
              <w:jc w:val="center"/>
            </w:pPr>
            <w:r>
              <w:t>8,9%</w:t>
            </w:r>
          </w:p>
        </w:tc>
        <w:tc>
          <w:tcPr>
            <w:tcW w:w="2443" w:type="dxa"/>
          </w:tcPr>
          <w:p w14:paraId="5EDCC900" w14:textId="77777777" w:rsidR="009F7A58" w:rsidRDefault="009F7A58" w:rsidP="009F7A58">
            <w:pPr>
              <w:jc w:val="center"/>
            </w:pPr>
            <w:r>
              <w:t>746,91</w:t>
            </w:r>
          </w:p>
        </w:tc>
      </w:tr>
      <w:tr w:rsidR="009F7A58" w14:paraId="6FD39972" w14:textId="77777777" w:rsidTr="009F7A58">
        <w:tc>
          <w:tcPr>
            <w:tcW w:w="1980" w:type="dxa"/>
          </w:tcPr>
          <w:p w14:paraId="4E337D15" w14:textId="77777777" w:rsidR="009F7A58" w:rsidRDefault="009F7A58" w:rsidP="009F7A58">
            <w:pPr>
              <w:jc w:val="both"/>
            </w:pPr>
            <w:r>
              <w:t>Grudzień 2020 r.</w:t>
            </w:r>
          </w:p>
        </w:tc>
        <w:tc>
          <w:tcPr>
            <w:tcW w:w="2581" w:type="dxa"/>
          </w:tcPr>
          <w:p w14:paraId="285263D3" w14:textId="77777777" w:rsidR="009F7A58" w:rsidRDefault="009F7A58" w:rsidP="009F7A58">
            <w:pPr>
              <w:jc w:val="center"/>
            </w:pPr>
            <w:r>
              <w:t xml:space="preserve">310,1 </w:t>
            </w:r>
          </w:p>
        </w:tc>
        <w:tc>
          <w:tcPr>
            <w:tcW w:w="2056" w:type="dxa"/>
          </w:tcPr>
          <w:p w14:paraId="7BCC5D48" w14:textId="77777777" w:rsidR="009F7A58" w:rsidRDefault="009F7A58" w:rsidP="009F7A58">
            <w:pPr>
              <w:jc w:val="center"/>
            </w:pPr>
            <w:r>
              <w:t>9,6%</w:t>
            </w:r>
          </w:p>
        </w:tc>
        <w:tc>
          <w:tcPr>
            <w:tcW w:w="2443" w:type="dxa"/>
          </w:tcPr>
          <w:p w14:paraId="6A2385DF" w14:textId="77777777" w:rsidR="009F7A58" w:rsidRDefault="009F7A58" w:rsidP="009F7A58">
            <w:pPr>
              <w:jc w:val="center"/>
            </w:pPr>
            <w:r>
              <w:t>794,59</w:t>
            </w:r>
          </w:p>
        </w:tc>
      </w:tr>
      <w:tr w:rsidR="009F7A58" w14:paraId="143AF3BE" w14:textId="77777777" w:rsidTr="009F7A58">
        <w:tc>
          <w:tcPr>
            <w:tcW w:w="1980" w:type="dxa"/>
          </w:tcPr>
          <w:p w14:paraId="23B297A9" w14:textId="77777777" w:rsidR="009F7A58" w:rsidRDefault="009F7A58" w:rsidP="009F7A58">
            <w:pPr>
              <w:jc w:val="both"/>
            </w:pPr>
            <w:r>
              <w:t>Grudzień 2021 r.</w:t>
            </w:r>
          </w:p>
        </w:tc>
        <w:tc>
          <w:tcPr>
            <w:tcW w:w="2581" w:type="dxa"/>
          </w:tcPr>
          <w:p w14:paraId="157101F1" w14:textId="77777777" w:rsidR="009F7A58" w:rsidRDefault="009F7A58" w:rsidP="009F7A58">
            <w:pPr>
              <w:jc w:val="center"/>
            </w:pPr>
            <w:r>
              <w:t>337,6</w:t>
            </w:r>
          </w:p>
        </w:tc>
        <w:tc>
          <w:tcPr>
            <w:tcW w:w="2056" w:type="dxa"/>
          </w:tcPr>
          <w:p w14:paraId="2B644255" w14:textId="77777777" w:rsidR="009F7A58" w:rsidRDefault="009F7A58" w:rsidP="009F7A58">
            <w:pPr>
              <w:jc w:val="center"/>
            </w:pPr>
            <w:r>
              <w:t>9,5%</w:t>
            </w:r>
          </w:p>
        </w:tc>
        <w:tc>
          <w:tcPr>
            <w:tcW w:w="2443" w:type="dxa"/>
          </w:tcPr>
          <w:p w14:paraId="4051912B" w14:textId="77777777" w:rsidR="009F7A58" w:rsidRDefault="009F7A58" w:rsidP="009F7A58">
            <w:pPr>
              <w:jc w:val="center"/>
            </w:pPr>
            <w:r>
              <w:t>826,16</w:t>
            </w:r>
          </w:p>
        </w:tc>
      </w:tr>
    </w:tbl>
    <w:p w14:paraId="6734E9D3" w14:textId="15B1FC22" w:rsidR="0078398A" w:rsidRPr="0078398A" w:rsidRDefault="00FD39B6" w:rsidP="0078398A">
      <w:pPr>
        <w:jc w:val="both"/>
        <w:rPr>
          <w:sz w:val="18"/>
          <w:szCs w:val="18"/>
        </w:rPr>
      </w:pPr>
      <w:r>
        <w:rPr>
          <w:sz w:val="18"/>
          <w:szCs w:val="18"/>
        </w:rPr>
        <w:t>Źródło: ZUS</w:t>
      </w:r>
    </w:p>
    <w:p w14:paraId="34A580B0" w14:textId="63255FA2" w:rsidR="009F7A58" w:rsidRDefault="002E683F" w:rsidP="002E683F">
      <w:pPr>
        <w:tabs>
          <w:tab w:val="left" w:pos="224"/>
        </w:tabs>
        <w:jc w:val="both"/>
        <w:rPr>
          <w:sz w:val="18"/>
          <w:szCs w:val="18"/>
        </w:rPr>
      </w:pPr>
      <w:r w:rsidRPr="008D0165">
        <w:rPr>
          <w:b/>
          <w:sz w:val="24"/>
          <w:szCs w:val="24"/>
          <w:vertAlign w:val="superscript"/>
        </w:rPr>
        <w:t>*)</w:t>
      </w:r>
      <w:r>
        <w:rPr>
          <w:b/>
          <w:sz w:val="24"/>
          <w:szCs w:val="24"/>
          <w:vertAlign w:val="superscript"/>
        </w:rPr>
        <w:t xml:space="preserve"> </w:t>
      </w:r>
      <w:r w:rsidR="009F7A58" w:rsidRPr="00B72CE1">
        <w:rPr>
          <w:sz w:val="18"/>
          <w:szCs w:val="18"/>
        </w:rPr>
        <w:t>Bez emerytur z urzędu i bez emerytur częściowych.</w:t>
      </w:r>
    </w:p>
    <w:p w14:paraId="33714B84" w14:textId="77777777" w:rsidR="00FC773A" w:rsidRDefault="009F7A58" w:rsidP="00FC773A">
      <w:pPr>
        <w:jc w:val="both"/>
        <w:rPr>
          <w:rFonts w:ascii="Calibri" w:hAnsi="Calibri" w:cs="Calibri"/>
          <w:sz w:val="24"/>
          <w:szCs w:val="24"/>
        </w:rPr>
      </w:pPr>
      <w:r w:rsidRPr="009F7A58">
        <w:rPr>
          <w:rFonts w:ascii="Calibri" w:hAnsi="Calibri" w:cs="Calibri"/>
          <w:sz w:val="24"/>
          <w:szCs w:val="24"/>
        </w:rPr>
        <w:t>Relacja ta również rośnie, porównując liczbę emerytur niższych od najniższych z liczbą emerytur przyznanych w tym samym roku.</w:t>
      </w:r>
    </w:p>
    <w:p w14:paraId="060BAF0D" w14:textId="1C6ACA04" w:rsidR="005C7121" w:rsidRDefault="005C7121" w:rsidP="00FC773A">
      <w:pPr>
        <w:jc w:val="both"/>
        <w:rPr>
          <w:rFonts w:ascii="Calibri" w:hAnsi="Calibri" w:cs="Calibri"/>
          <w:b/>
        </w:rPr>
      </w:pPr>
    </w:p>
    <w:p w14:paraId="4EEA8921" w14:textId="415AA88D" w:rsidR="009F7A58" w:rsidRPr="00E9421D" w:rsidRDefault="008A1467" w:rsidP="00E9421D">
      <w:pPr>
        <w:spacing w:line="240" w:lineRule="auto"/>
        <w:jc w:val="both"/>
        <w:rPr>
          <w:rFonts w:ascii="Calibri" w:hAnsi="Calibri" w:cs="Calibri"/>
          <w:b/>
        </w:rPr>
      </w:pPr>
      <w:r w:rsidRPr="004F276A">
        <w:rPr>
          <w:rFonts w:ascii="Calibri" w:hAnsi="Calibri" w:cs="Calibri"/>
          <w:b/>
        </w:rPr>
        <w:t>Tabela 10.</w:t>
      </w:r>
      <w:r w:rsidR="002E683F" w:rsidRPr="002E683F">
        <w:rPr>
          <w:rFonts w:ascii="Calibri" w:hAnsi="Calibri" w:cs="Calibri"/>
          <w:b/>
        </w:rPr>
        <w:t xml:space="preserve"> </w:t>
      </w:r>
      <w:r w:rsidR="002E683F" w:rsidRPr="00E9421D">
        <w:rPr>
          <w:rFonts w:ascii="Calibri" w:hAnsi="Calibri" w:cs="Calibri"/>
          <w:b/>
        </w:rPr>
        <w:t>Liczba osób pobierających w grudniu emeryturę</w:t>
      </w:r>
      <w:r w:rsidR="002E683F" w:rsidRPr="008D0165">
        <w:rPr>
          <w:b/>
          <w:sz w:val="24"/>
          <w:szCs w:val="24"/>
          <w:vertAlign w:val="superscript"/>
        </w:rPr>
        <w:t>*)</w:t>
      </w:r>
      <w:r w:rsidR="002E683F" w:rsidRPr="00E9421D">
        <w:rPr>
          <w:rFonts w:ascii="Calibri" w:hAnsi="Calibri" w:cs="Calibri"/>
          <w:b/>
          <w:vertAlign w:val="superscript"/>
        </w:rPr>
        <w:t xml:space="preserve"> </w:t>
      </w:r>
      <w:r w:rsidR="002E683F" w:rsidRPr="00E9421D">
        <w:rPr>
          <w:rFonts w:ascii="Calibri" w:hAnsi="Calibri" w:cs="Calibri"/>
          <w:b/>
        </w:rPr>
        <w:t>nowosystemową przyznaną w latach 2013-2021 w wysokości niższej niż najniższa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3005"/>
        <w:gridCol w:w="3260"/>
      </w:tblGrid>
      <w:tr w:rsidR="009F7A58" w:rsidRPr="009F7A58" w14:paraId="14F3C91E" w14:textId="77777777" w:rsidTr="009F7A58">
        <w:trPr>
          <w:trHeight w:val="99"/>
        </w:trPr>
        <w:tc>
          <w:tcPr>
            <w:tcW w:w="2065" w:type="dxa"/>
            <w:tcBorders>
              <w:top w:val="single" w:sz="4" w:space="0" w:color="auto"/>
            </w:tcBorders>
          </w:tcPr>
          <w:p w14:paraId="6B742B24" w14:textId="77777777" w:rsidR="009F7A58" w:rsidRPr="009F7A58" w:rsidRDefault="009F7A58" w:rsidP="009F7A58">
            <w:pPr>
              <w:pStyle w:val="Default"/>
              <w:rPr>
                <w:sz w:val="22"/>
                <w:szCs w:val="22"/>
              </w:rPr>
            </w:pPr>
          </w:p>
        </w:tc>
        <w:tc>
          <w:tcPr>
            <w:tcW w:w="3005" w:type="dxa"/>
            <w:tcBorders>
              <w:top w:val="single" w:sz="4" w:space="0" w:color="auto"/>
            </w:tcBorders>
          </w:tcPr>
          <w:p w14:paraId="62A7E209" w14:textId="2609B4DB" w:rsidR="009F7A58" w:rsidRPr="009F7A58" w:rsidRDefault="009F7A58" w:rsidP="00543908">
            <w:pPr>
              <w:pStyle w:val="Default"/>
              <w:rPr>
                <w:sz w:val="22"/>
                <w:szCs w:val="22"/>
              </w:rPr>
            </w:pPr>
            <w:r w:rsidRPr="009F7A58">
              <w:rPr>
                <w:sz w:val="22"/>
                <w:szCs w:val="22"/>
              </w:rPr>
              <w:t xml:space="preserve">Liczba osób pobierających w </w:t>
            </w:r>
            <w:r w:rsidR="00C97DE5">
              <w:rPr>
                <w:sz w:val="22"/>
                <w:szCs w:val="22"/>
              </w:rPr>
              <w:t>grudniu</w:t>
            </w:r>
            <w:r w:rsidRPr="009F7A58">
              <w:rPr>
                <w:sz w:val="22"/>
                <w:szCs w:val="22"/>
              </w:rPr>
              <w:t xml:space="preserve"> emeryturę nowosystemową przyznaną w danym roku w wysokości niższej niż najniższa w tys.</w:t>
            </w:r>
          </w:p>
        </w:tc>
        <w:tc>
          <w:tcPr>
            <w:tcW w:w="3260" w:type="dxa"/>
            <w:tcBorders>
              <w:top w:val="single" w:sz="4" w:space="0" w:color="auto"/>
            </w:tcBorders>
          </w:tcPr>
          <w:p w14:paraId="5D976B14" w14:textId="616474A2" w:rsidR="009F7A58" w:rsidRPr="009F7A58" w:rsidRDefault="009F7A58" w:rsidP="009F7A58">
            <w:pPr>
              <w:pStyle w:val="Default"/>
              <w:rPr>
                <w:sz w:val="22"/>
                <w:szCs w:val="22"/>
              </w:rPr>
            </w:pPr>
            <w:r w:rsidRPr="009F7A58">
              <w:rPr>
                <w:sz w:val="22"/>
                <w:szCs w:val="22"/>
              </w:rPr>
              <w:t xml:space="preserve">w % </w:t>
            </w:r>
            <w:r w:rsidR="008A1467" w:rsidRPr="009F7A58">
              <w:rPr>
                <w:sz w:val="22"/>
                <w:szCs w:val="22"/>
              </w:rPr>
              <w:t>nowo przyznawanych</w:t>
            </w:r>
            <w:r w:rsidRPr="009F7A58">
              <w:rPr>
                <w:sz w:val="22"/>
                <w:szCs w:val="22"/>
              </w:rPr>
              <w:t xml:space="preserve"> emerytur nowosystemowych</w:t>
            </w:r>
          </w:p>
        </w:tc>
      </w:tr>
      <w:tr w:rsidR="009F7A58" w:rsidRPr="009F7A58" w14:paraId="43DF7281" w14:textId="77777777" w:rsidTr="009F7A58">
        <w:trPr>
          <w:trHeight w:val="99"/>
        </w:trPr>
        <w:tc>
          <w:tcPr>
            <w:tcW w:w="2065" w:type="dxa"/>
          </w:tcPr>
          <w:p w14:paraId="6777381F" w14:textId="77777777" w:rsidR="009F7A58" w:rsidRPr="009F7A58" w:rsidRDefault="009F7A58" w:rsidP="009F7A58">
            <w:pPr>
              <w:pStyle w:val="Default"/>
              <w:rPr>
                <w:sz w:val="22"/>
                <w:szCs w:val="22"/>
              </w:rPr>
            </w:pPr>
            <w:r w:rsidRPr="009F7A58">
              <w:rPr>
                <w:sz w:val="22"/>
                <w:szCs w:val="22"/>
              </w:rPr>
              <w:t xml:space="preserve">2013 </w:t>
            </w:r>
          </w:p>
        </w:tc>
        <w:tc>
          <w:tcPr>
            <w:tcW w:w="3005" w:type="dxa"/>
          </w:tcPr>
          <w:p w14:paraId="63B0EE40" w14:textId="77777777" w:rsidR="009F7A58" w:rsidRPr="009F7A58" w:rsidRDefault="009F7A58" w:rsidP="009F7A58">
            <w:pPr>
              <w:pStyle w:val="Default"/>
              <w:rPr>
                <w:sz w:val="22"/>
                <w:szCs w:val="22"/>
              </w:rPr>
            </w:pPr>
            <w:r w:rsidRPr="009F7A58">
              <w:rPr>
                <w:sz w:val="22"/>
                <w:szCs w:val="22"/>
              </w:rPr>
              <w:t xml:space="preserve">11,7 </w:t>
            </w:r>
          </w:p>
        </w:tc>
        <w:tc>
          <w:tcPr>
            <w:tcW w:w="3260" w:type="dxa"/>
          </w:tcPr>
          <w:p w14:paraId="15B10A29" w14:textId="77777777" w:rsidR="009F7A58" w:rsidRPr="009F7A58" w:rsidRDefault="009F7A58" w:rsidP="009F7A58">
            <w:pPr>
              <w:pStyle w:val="Default"/>
              <w:rPr>
                <w:sz w:val="22"/>
                <w:szCs w:val="22"/>
              </w:rPr>
            </w:pPr>
            <w:r w:rsidRPr="009F7A58">
              <w:rPr>
                <w:sz w:val="22"/>
                <w:szCs w:val="22"/>
              </w:rPr>
              <w:t xml:space="preserve">16,4% </w:t>
            </w:r>
          </w:p>
        </w:tc>
      </w:tr>
      <w:tr w:rsidR="009F7A58" w:rsidRPr="009F7A58" w14:paraId="1F6B1984" w14:textId="77777777" w:rsidTr="009F7A58">
        <w:trPr>
          <w:trHeight w:val="99"/>
        </w:trPr>
        <w:tc>
          <w:tcPr>
            <w:tcW w:w="2065" w:type="dxa"/>
          </w:tcPr>
          <w:p w14:paraId="6E388DC3" w14:textId="77777777" w:rsidR="009F7A58" w:rsidRPr="009F7A58" w:rsidRDefault="009F7A58" w:rsidP="009F7A58">
            <w:pPr>
              <w:pStyle w:val="Default"/>
              <w:rPr>
                <w:sz w:val="22"/>
                <w:szCs w:val="22"/>
              </w:rPr>
            </w:pPr>
            <w:r w:rsidRPr="009F7A58">
              <w:rPr>
                <w:sz w:val="22"/>
                <w:szCs w:val="22"/>
              </w:rPr>
              <w:t xml:space="preserve">2014 </w:t>
            </w:r>
          </w:p>
        </w:tc>
        <w:tc>
          <w:tcPr>
            <w:tcW w:w="3005" w:type="dxa"/>
          </w:tcPr>
          <w:p w14:paraId="0AA355F3" w14:textId="77777777" w:rsidR="009F7A58" w:rsidRPr="009F7A58" w:rsidRDefault="009F7A58" w:rsidP="009F7A58">
            <w:pPr>
              <w:pStyle w:val="Default"/>
              <w:rPr>
                <w:sz w:val="22"/>
                <w:szCs w:val="22"/>
              </w:rPr>
            </w:pPr>
            <w:r w:rsidRPr="009F7A58">
              <w:rPr>
                <w:sz w:val="22"/>
                <w:szCs w:val="22"/>
              </w:rPr>
              <w:t xml:space="preserve">14,2 </w:t>
            </w:r>
          </w:p>
        </w:tc>
        <w:tc>
          <w:tcPr>
            <w:tcW w:w="3260" w:type="dxa"/>
          </w:tcPr>
          <w:p w14:paraId="3724F22A" w14:textId="77777777" w:rsidR="009F7A58" w:rsidRPr="009F7A58" w:rsidRDefault="009F7A58" w:rsidP="009F7A58">
            <w:pPr>
              <w:pStyle w:val="Default"/>
              <w:rPr>
                <w:sz w:val="22"/>
                <w:szCs w:val="22"/>
              </w:rPr>
            </w:pPr>
            <w:r w:rsidRPr="009F7A58">
              <w:rPr>
                <w:sz w:val="22"/>
                <w:szCs w:val="22"/>
              </w:rPr>
              <w:t xml:space="preserve">10,7% </w:t>
            </w:r>
          </w:p>
        </w:tc>
      </w:tr>
      <w:tr w:rsidR="009F7A58" w:rsidRPr="009F7A58" w14:paraId="3AC3A166" w14:textId="77777777" w:rsidTr="009F7A58">
        <w:trPr>
          <w:trHeight w:val="99"/>
        </w:trPr>
        <w:tc>
          <w:tcPr>
            <w:tcW w:w="2065" w:type="dxa"/>
          </w:tcPr>
          <w:p w14:paraId="6ABE91C6" w14:textId="77777777" w:rsidR="009F7A58" w:rsidRPr="009F7A58" w:rsidRDefault="009F7A58" w:rsidP="009F7A58">
            <w:pPr>
              <w:pStyle w:val="Default"/>
              <w:rPr>
                <w:sz w:val="22"/>
                <w:szCs w:val="22"/>
              </w:rPr>
            </w:pPr>
            <w:r w:rsidRPr="009F7A58">
              <w:rPr>
                <w:sz w:val="22"/>
                <w:szCs w:val="22"/>
              </w:rPr>
              <w:t xml:space="preserve">2015 </w:t>
            </w:r>
          </w:p>
        </w:tc>
        <w:tc>
          <w:tcPr>
            <w:tcW w:w="3005" w:type="dxa"/>
          </w:tcPr>
          <w:p w14:paraId="2BEB5B4E" w14:textId="77777777" w:rsidR="009F7A58" w:rsidRPr="009F7A58" w:rsidRDefault="009F7A58" w:rsidP="009F7A58">
            <w:pPr>
              <w:pStyle w:val="Default"/>
              <w:rPr>
                <w:sz w:val="22"/>
                <w:szCs w:val="22"/>
              </w:rPr>
            </w:pPr>
            <w:r w:rsidRPr="009F7A58">
              <w:rPr>
                <w:sz w:val="22"/>
                <w:szCs w:val="22"/>
              </w:rPr>
              <w:t xml:space="preserve">20,5 </w:t>
            </w:r>
          </w:p>
        </w:tc>
        <w:tc>
          <w:tcPr>
            <w:tcW w:w="3260" w:type="dxa"/>
          </w:tcPr>
          <w:p w14:paraId="7F1A9B45" w14:textId="77777777" w:rsidR="009F7A58" w:rsidRPr="009F7A58" w:rsidRDefault="009F7A58" w:rsidP="009F7A58">
            <w:pPr>
              <w:pStyle w:val="Default"/>
              <w:rPr>
                <w:sz w:val="22"/>
                <w:szCs w:val="22"/>
              </w:rPr>
            </w:pPr>
            <w:r w:rsidRPr="009F7A58">
              <w:rPr>
                <w:sz w:val="22"/>
                <w:szCs w:val="22"/>
              </w:rPr>
              <w:t xml:space="preserve">9,8% </w:t>
            </w:r>
          </w:p>
        </w:tc>
      </w:tr>
      <w:tr w:rsidR="009F7A58" w:rsidRPr="009F7A58" w14:paraId="0CDC8132" w14:textId="77777777" w:rsidTr="009F7A58">
        <w:trPr>
          <w:trHeight w:val="99"/>
        </w:trPr>
        <w:tc>
          <w:tcPr>
            <w:tcW w:w="2065" w:type="dxa"/>
          </w:tcPr>
          <w:p w14:paraId="7E139F4A" w14:textId="77777777" w:rsidR="009F7A58" w:rsidRPr="009F7A58" w:rsidRDefault="009F7A58" w:rsidP="009F7A58">
            <w:pPr>
              <w:pStyle w:val="Default"/>
              <w:rPr>
                <w:sz w:val="22"/>
                <w:szCs w:val="22"/>
              </w:rPr>
            </w:pPr>
            <w:r w:rsidRPr="009F7A58">
              <w:rPr>
                <w:sz w:val="22"/>
                <w:szCs w:val="22"/>
              </w:rPr>
              <w:t xml:space="preserve">2016 </w:t>
            </w:r>
          </w:p>
        </w:tc>
        <w:tc>
          <w:tcPr>
            <w:tcW w:w="3005" w:type="dxa"/>
          </w:tcPr>
          <w:p w14:paraId="51D2E6E6" w14:textId="77777777" w:rsidR="009F7A58" w:rsidRPr="009F7A58" w:rsidRDefault="009F7A58" w:rsidP="009F7A58">
            <w:pPr>
              <w:pStyle w:val="Default"/>
              <w:rPr>
                <w:sz w:val="22"/>
                <w:szCs w:val="22"/>
              </w:rPr>
            </w:pPr>
            <w:r w:rsidRPr="009F7A58">
              <w:rPr>
                <w:sz w:val="22"/>
                <w:szCs w:val="22"/>
              </w:rPr>
              <w:t xml:space="preserve">22,6 </w:t>
            </w:r>
          </w:p>
        </w:tc>
        <w:tc>
          <w:tcPr>
            <w:tcW w:w="3260" w:type="dxa"/>
          </w:tcPr>
          <w:p w14:paraId="22F0D9B4" w14:textId="77777777" w:rsidR="009F7A58" w:rsidRPr="009F7A58" w:rsidRDefault="009F7A58" w:rsidP="009F7A58">
            <w:pPr>
              <w:pStyle w:val="Default"/>
              <w:rPr>
                <w:sz w:val="22"/>
                <w:szCs w:val="22"/>
              </w:rPr>
            </w:pPr>
            <w:r w:rsidRPr="009F7A58">
              <w:rPr>
                <w:sz w:val="22"/>
                <w:szCs w:val="22"/>
              </w:rPr>
              <w:t xml:space="preserve">10,5% </w:t>
            </w:r>
          </w:p>
        </w:tc>
      </w:tr>
      <w:tr w:rsidR="009F7A58" w:rsidRPr="009F7A58" w14:paraId="17B32BA0" w14:textId="77777777" w:rsidTr="009F7A58">
        <w:trPr>
          <w:trHeight w:val="99"/>
        </w:trPr>
        <w:tc>
          <w:tcPr>
            <w:tcW w:w="2065" w:type="dxa"/>
          </w:tcPr>
          <w:p w14:paraId="0255147D" w14:textId="77777777" w:rsidR="009F7A58" w:rsidRPr="009F7A58" w:rsidRDefault="009F7A58" w:rsidP="009F7A58">
            <w:pPr>
              <w:pStyle w:val="Default"/>
              <w:rPr>
                <w:sz w:val="22"/>
                <w:szCs w:val="22"/>
              </w:rPr>
            </w:pPr>
            <w:r w:rsidRPr="009F7A58">
              <w:rPr>
                <w:sz w:val="22"/>
                <w:szCs w:val="22"/>
              </w:rPr>
              <w:lastRenderedPageBreak/>
              <w:t xml:space="preserve">2017 </w:t>
            </w:r>
          </w:p>
        </w:tc>
        <w:tc>
          <w:tcPr>
            <w:tcW w:w="3005" w:type="dxa"/>
          </w:tcPr>
          <w:p w14:paraId="14FFB12A" w14:textId="77777777" w:rsidR="009F7A58" w:rsidRPr="009F7A58" w:rsidRDefault="009F7A58" w:rsidP="009F7A58">
            <w:pPr>
              <w:pStyle w:val="Default"/>
              <w:rPr>
                <w:sz w:val="22"/>
                <w:szCs w:val="22"/>
              </w:rPr>
            </w:pPr>
            <w:r w:rsidRPr="009F7A58">
              <w:rPr>
                <w:sz w:val="22"/>
                <w:szCs w:val="22"/>
              </w:rPr>
              <w:t xml:space="preserve">49,7 </w:t>
            </w:r>
          </w:p>
        </w:tc>
        <w:tc>
          <w:tcPr>
            <w:tcW w:w="3260" w:type="dxa"/>
          </w:tcPr>
          <w:p w14:paraId="303C631D" w14:textId="77777777" w:rsidR="009F7A58" w:rsidRPr="009F7A58" w:rsidRDefault="009F7A58" w:rsidP="009F7A58">
            <w:pPr>
              <w:pStyle w:val="Default"/>
              <w:rPr>
                <w:sz w:val="22"/>
                <w:szCs w:val="22"/>
              </w:rPr>
            </w:pPr>
            <w:r w:rsidRPr="009F7A58">
              <w:rPr>
                <w:sz w:val="22"/>
                <w:szCs w:val="22"/>
              </w:rPr>
              <w:t xml:space="preserve">12,9% </w:t>
            </w:r>
          </w:p>
        </w:tc>
      </w:tr>
      <w:tr w:rsidR="009F7A58" w:rsidRPr="009F7A58" w14:paraId="3217F325" w14:textId="77777777" w:rsidTr="009F7A58">
        <w:trPr>
          <w:trHeight w:val="99"/>
        </w:trPr>
        <w:tc>
          <w:tcPr>
            <w:tcW w:w="2065" w:type="dxa"/>
          </w:tcPr>
          <w:p w14:paraId="4F9D55AB" w14:textId="77777777" w:rsidR="009F7A58" w:rsidRPr="009F7A58" w:rsidRDefault="009F7A58" w:rsidP="009F7A58">
            <w:pPr>
              <w:pStyle w:val="Default"/>
              <w:rPr>
                <w:sz w:val="22"/>
                <w:szCs w:val="22"/>
              </w:rPr>
            </w:pPr>
            <w:r w:rsidRPr="009F7A58">
              <w:rPr>
                <w:sz w:val="22"/>
                <w:szCs w:val="22"/>
              </w:rPr>
              <w:t xml:space="preserve">2018 </w:t>
            </w:r>
          </w:p>
        </w:tc>
        <w:tc>
          <w:tcPr>
            <w:tcW w:w="3005" w:type="dxa"/>
          </w:tcPr>
          <w:p w14:paraId="61EC51F8" w14:textId="77777777" w:rsidR="009F7A58" w:rsidRPr="009F7A58" w:rsidRDefault="009F7A58" w:rsidP="009F7A58">
            <w:pPr>
              <w:pStyle w:val="Default"/>
              <w:rPr>
                <w:sz w:val="22"/>
                <w:szCs w:val="22"/>
              </w:rPr>
            </w:pPr>
            <w:r w:rsidRPr="009F7A58">
              <w:rPr>
                <w:sz w:val="22"/>
                <w:szCs w:val="22"/>
              </w:rPr>
              <w:t xml:space="preserve">58,0 </w:t>
            </w:r>
          </w:p>
        </w:tc>
        <w:tc>
          <w:tcPr>
            <w:tcW w:w="3260" w:type="dxa"/>
          </w:tcPr>
          <w:p w14:paraId="4211708F" w14:textId="77777777" w:rsidR="009F7A58" w:rsidRPr="009F7A58" w:rsidRDefault="009F7A58" w:rsidP="009F7A58">
            <w:pPr>
              <w:pStyle w:val="Default"/>
              <w:rPr>
                <w:sz w:val="22"/>
                <w:szCs w:val="22"/>
              </w:rPr>
            </w:pPr>
            <w:r w:rsidRPr="009F7A58">
              <w:rPr>
                <w:sz w:val="22"/>
                <w:szCs w:val="22"/>
              </w:rPr>
              <w:t xml:space="preserve">16,9% </w:t>
            </w:r>
          </w:p>
        </w:tc>
      </w:tr>
      <w:tr w:rsidR="009F7A58" w:rsidRPr="009F7A58" w14:paraId="5DE3B7E2" w14:textId="77777777" w:rsidTr="009F7A58">
        <w:trPr>
          <w:trHeight w:val="99"/>
        </w:trPr>
        <w:tc>
          <w:tcPr>
            <w:tcW w:w="2065" w:type="dxa"/>
          </w:tcPr>
          <w:p w14:paraId="5BD79A12" w14:textId="77777777" w:rsidR="009F7A58" w:rsidRPr="009F7A58" w:rsidRDefault="009F7A58" w:rsidP="009F7A58">
            <w:pPr>
              <w:pStyle w:val="Default"/>
              <w:rPr>
                <w:sz w:val="22"/>
                <w:szCs w:val="22"/>
              </w:rPr>
            </w:pPr>
            <w:r w:rsidRPr="009F7A58">
              <w:rPr>
                <w:sz w:val="22"/>
                <w:szCs w:val="22"/>
              </w:rPr>
              <w:t xml:space="preserve">2019 </w:t>
            </w:r>
          </w:p>
        </w:tc>
        <w:tc>
          <w:tcPr>
            <w:tcW w:w="3005" w:type="dxa"/>
          </w:tcPr>
          <w:p w14:paraId="793E9740" w14:textId="77777777" w:rsidR="009F7A58" w:rsidRPr="009F7A58" w:rsidRDefault="009F7A58" w:rsidP="009F7A58">
            <w:pPr>
              <w:pStyle w:val="Default"/>
              <w:rPr>
                <w:sz w:val="22"/>
                <w:szCs w:val="22"/>
              </w:rPr>
            </w:pPr>
            <w:r w:rsidRPr="009F7A58">
              <w:rPr>
                <w:sz w:val="22"/>
                <w:szCs w:val="22"/>
              </w:rPr>
              <w:t xml:space="preserve">49,3 </w:t>
            </w:r>
          </w:p>
        </w:tc>
        <w:tc>
          <w:tcPr>
            <w:tcW w:w="3260" w:type="dxa"/>
          </w:tcPr>
          <w:p w14:paraId="713D75F9" w14:textId="77777777" w:rsidR="009F7A58" w:rsidRPr="009F7A58" w:rsidRDefault="009F7A58" w:rsidP="009F7A58">
            <w:pPr>
              <w:pStyle w:val="Default"/>
              <w:rPr>
                <w:sz w:val="22"/>
                <w:szCs w:val="22"/>
              </w:rPr>
            </w:pPr>
            <w:r w:rsidRPr="009F7A58">
              <w:rPr>
                <w:sz w:val="22"/>
                <w:szCs w:val="22"/>
              </w:rPr>
              <w:t xml:space="preserve">16,7% </w:t>
            </w:r>
          </w:p>
        </w:tc>
      </w:tr>
      <w:tr w:rsidR="009F7A58" w:rsidRPr="009F7A58" w14:paraId="6D7861F0" w14:textId="77777777" w:rsidTr="009F7A58">
        <w:trPr>
          <w:trHeight w:val="99"/>
        </w:trPr>
        <w:tc>
          <w:tcPr>
            <w:tcW w:w="2065" w:type="dxa"/>
          </w:tcPr>
          <w:p w14:paraId="04123EA2" w14:textId="77777777" w:rsidR="009F7A58" w:rsidRPr="009F7A58" w:rsidRDefault="009F7A58" w:rsidP="009F7A58">
            <w:pPr>
              <w:pStyle w:val="Default"/>
              <w:rPr>
                <w:sz w:val="22"/>
                <w:szCs w:val="22"/>
              </w:rPr>
            </w:pPr>
            <w:r w:rsidRPr="009F7A58">
              <w:rPr>
                <w:sz w:val="22"/>
                <w:szCs w:val="22"/>
              </w:rPr>
              <w:t>2020</w:t>
            </w:r>
          </w:p>
        </w:tc>
        <w:tc>
          <w:tcPr>
            <w:tcW w:w="3005" w:type="dxa"/>
          </w:tcPr>
          <w:p w14:paraId="4AF9850C" w14:textId="77777777" w:rsidR="009F7A58" w:rsidRPr="009F7A58" w:rsidRDefault="009F7A58" w:rsidP="009F7A58">
            <w:pPr>
              <w:pStyle w:val="Default"/>
              <w:rPr>
                <w:sz w:val="22"/>
                <w:szCs w:val="22"/>
              </w:rPr>
            </w:pPr>
            <w:r w:rsidRPr="009F7A58">
              <w:rPr>
                <w:sz w:val="22"/>
                <w:szCs w:val="22"/>
              </w:rPr>
              <w:t>43,3</w:t>
            </w:r>
          </w:p>
        </w:tc>
        <w:tc>
          <w:tcPr>
            <w:tcW w:w="3260" w:type="dxa"/>
          </w:tcPr>
          <w:p w14:paraId="6172000A" w14:textId="77777777" w:rsidR="009F7A58" w:rsidRPr="009F7A58" w:rsidRDefault="009F7A58" w:rsidP="009F7A58">
            <w:pPr>
              <w:pStyle w:val="Default"/>
              <w:rPr>
                <w:sz w:val="22"/>
                <w:szCs w:val="22"/>
              </w:rPr>
            </w:pPr>
            <w:r w:rsidRPr="009F7A58">
              <w:rPr>
                <w:sz w:val="22"/>
                <w:szCs w:val="22"/>
              </w:rPr>
              <w:t>15,0%</w:t>
            </w:r>
          </w:p>
        </w:tc>
      </w:tr>
      <w:tr w:rsidR="009F7A58" w:rsidRPr="009F7A58" w14:paraId="0A7A8439" w14:textId="77777777" w:rsidTr="009F7A58">
        <w:trPr>
          <w:trHeight w:val="99"/>
        </w:trPr>
        <w:tc>
          <w:tcPr>
            <w:tcW w:w="2065" w:type="dxa"/>
          </w:tcPr>
          <w:p w14:paraId="3E521A04" w14:textId="77777777" w:rsidR="009F7A58" w:rsidRPr="009F7A58" w:rsidRDefault="009F7A58" w:rsidP="009F7A58">
            <w:pPr>
              <w:pStyle w:val="Default"/>
              <w:rPr>
                <w:sz w:val="22"/>
                <w:szCs w:val="22"/>
              </w:rPr>
            </w:pPr>
            <w:r w:rsidRPr="009F7A58">
              <w:rPr>
                <w:sz w:val="22"/>
                <w:szCs w:val="22"/>
              </w:rPr>
              <w:t>2021</w:t>
            </w:r>
          </w:p>
        </w:tc>
        <w:tc>
          <w:tcPr>
            <w:tcW w:w="3005" w:type="dxa"/>
          </w:tcPr>
          <w:p w14:paraId="6EBCDF98" w14:textId="77777777" w:rsidR="009F7A58" w:rsidRPr="009F7A58" w:rsidRDefault="009F7A58" w:rsidP="009F7A58">
            <w:pPr>
              <w:pStyle w:val="Default"/>
              <w:rPr>
                <w:sz w:val="22"/>
                <w:szCs w:val="22"/>
              </w:rPr>
            </w:pPr>
            <w:r w:rsidRPr="009F7A58">
              <w:rPr>
                <w:sz w:val="22"/>
                <w:szCs w:val="22"/>
              </w:rPr>
              <w:t>42,6</w:t>
            </w:r>
          </w:p>
        </w:tc>
        <w:tc>
          <w:tcPr>
            <w:tcW w:w="3260" w:type="dxa"/>
          </w:tcPr>
          <w:p w14:paraId="5EDAC9BF" w14:textId="77777777" w:rsidR="009F7A58" w:rsidRPr="009F7A58" w:rsidRDefault="009F7A58" w:rsidP="009F7A58">
            <w:pPr>
              <w:pStyle w:val="Default"/>
              <w:rPr>
                <w:sz w:val="22"/>
                <w:szCs w:val="22"/>
              </w:rPr>
            </w:pPr>
            <w:r w:rsidRPr="009F7A58">
              <w:rPr>
                <w:sz w:val="22"/>
                <w:szCs w:val="22"/>
              </w:rPr>
              <w:t>14,7%</w:t>
            </w:r>
          </w:p>
        </w:tc>
      </w:tr>
    </w:tbl>
    <w:p w14:paraId="3AFAAFFF" w14:textId="0F239E8C" w:rsidR="00917799" w:rsidRPr="00917799" w:rsidRDefault="00237B52" w:rsidP="008822BE">
      <w:pPr>
        <w:autoSpaceDE w:val="0"/>
        <w:autoSpaceDN w:val="0"/>
        <w:adjustRightInd w:val="0"/>
        <w:spacing w:after="0"/>
        <w:jc w:val="both"/>
        <w:rPr>
          <w:sz w:val="18"/>
          <w:szCs w:val="18"/>
        </w:rPr>
      </w:pPr>
      <w:r>
        <w:rPr>
          <w:sz w:val="18"/>
          <w:szCs w:val="18"/>
        </w:rPr>
        <w:t>Źródło: ZUS</w:t>
      </w:r>
    </w:p>
    <w:p w14:paraId="192F3E66" w14:textId="63C2664A" w:rsidR="009F7A58" w:rsidRDefault="002E683F" w:rsidP="002E683F">
      <w:pPr>
        <w:tabs>
          <w:tab w:val="left" w:pos="284"/>
        </w:tabs>
        <w:autoSpaceDE w:val="0"/>
        <w:autoSpaceDN w:val="0"/>
        <w:adjustRightInd w:val="0"/>
        <w:spacing w:after="0"/>
        <w:jc w:val="both"/>
        <w:rPr>
          <w:rStyle w:val="markedcontent"/>
          <w:sz w:val="16"/>
          <w:szCs w:val="16"/>
        </w:rPr>
      </w:pPr>
      <w:r w:rsidRPr="008D0165">
        <w:rPr>
          <w:b/>
          <w:sz w:val="24"/>
          <w:szCs w:val="24"/>
          <w:vertAlign w:val="superscript"/>
        </w:rPr>
        <w:t>*)</w:t>
      </w:r>
      <w:r>
        <w:rPr>
          <w:rFonts w:ascii="Calibri" w:hAnsi="Calibri" w:cs="Calibri"/>
          <w:b/>
        </w:rPr>
        <w:t xml:space="preserve"> </w:t>
      </w:r>
      <w:r w:rsidR="009F7A58">
        <w:rPr>
          <w:sz w:val="18"/>
          <w:szCs w:val="18"/>
        </w:rPr>
        <w:t>B</w:t>
      </w:r>
      <w:r w:rsidR="009F7A58" w:rsidRPr="000E163F">
        <w:rPr>
          <w:rStyle w:val="markedcontent"/>
          <w:sz w:val="16"/>
          <w:szCs w:val="16"/>
        </w:rPr>
        <w:t>ez emerytur z urzędu i bez emerytur częściowych</w:t>
      </w:r>
      <w:r w:rsidR="00B31687">
        <w:rPr>
          <w:rStyle w:val="markedcontent"/>
          <w:sz w:val="16"/>
          <w:szCs w:val="16"/>
        </w:rPr>
        <w:t>.</w:t>
      </w:r>
    </w:p>
    <w:p w14:paraId="773DF44A" w14:textId="71659468" w:rsidR="009F7A58" w:rsidRPr="009F7A58" w:rsidRDefault="009F7A58" w:rsidP="009F7A58">
      <w:pPr>
        <w:spacing w:after="120"/>
        <w:jc w:val="both"/>
        <w:rPr>
          <w:sz w:val="24"/>
          <w:szCs w:val="24"/>
        </w:rPr>
      </w:pPr>
      <w:r w:rsidRPr="009F7A58">
        <w:rPr>
          <w:rFonts w:cstheme="minorHAnsi"/>
          <w:sz w:val="24"/>
          <w:szCs w:val="24"/>
        </w:rPr>
        <w:t>Zwraca uwagę przeważający udział kobiet. Wynika to m.in. z faktu, że do 2014 r. emerytury nowosystemowe w powszechnym wieku emerytalnym przyznawane były tylko kobietom. Od</w:t>
      </w:r>
      <w:r w:rsidR="00237B52">
        <w:t> </w:t>
      </w:r>
      <w:r w:rsidRPr="009F7A58">
        <w:rPr>
          <w:rFonts w:cstheme="minorHAnsi"/>
          <w:sz w:val="24"/>
          <w:szCs w:val="24"/>
        </w:rPr>
        <w:t xml:space="preserve">momentu, gdy emerytury nowosystemowe w powszechnym wieku emerytalnym przyznawane są również mężczyznom, udział kobiet w populacji emerytów pobierających świadczenie w wysokości niższej niż najniższa maleje. </w:t>
      </w:r>
      <w:r w:rsidR="00237B52">
        <w:rPr>
          <w:sz w:val="24"/>
          <w:szCs w:val="24"/>
        </w:rPr>
        <w:t>Dodatkowo</w:t>
      </w:r>
      <w:r w:rsidR="00C63D8D">
        <w:rPr>
          <w:sz w:val="24"/>
          <w:szCs w:val="24"/>
        </w:rPr>
        <w:t xml:space="preserve"> z</w:t>
      </w:r>
      <w:r w:rsidRPr="009F7A58">
        <w:rPr>
          <w:sz w:val="24"/>
          <w:szCs w:val="24"/>
        </w:rPr>
        <w:t>naczny przyrost liczby świadczeniobiorców pobierających emeryturę w wysokości niższ</w:t>
      </w:r>
      <w:r w:rsidR="00220DA6">
        <w:rPr>
          <w:sz w:val="24"/>
          <w:szCs w:val="24"/>
        </w:rPr>
        <w:t>ej</w:t>
      </w:r>
      <w:r w:rsidRPr="009F7A58">
        <w:rPr>
          <w:sz w:val="24"/>
          <w:szCs w:val="24"/>
        </w:rPr>
        <w:t xml:space="preserve"> niż najniższa odnotowany w </w:t>
      </w:r>
      <w:r w:rsidR="00CA0A53">
        <w:rPr>
          <w:sz w:val="24"/>
          <w:szCs w:val="24"/>
        </w:rPr>
        <w:t>grudniu</w:t>
      </w:r>
      <w:r w:rsidRPr="009F7A58">
        <w:rPr>
          <w:sz w:val="24"/>
          <w:szCs w:val="24"/>
        </w:rPr>
        <w:t xml:space="preserve"> 2017 </w:t>
      </w:r>
      <w:r w:rsidR="00220DA6">
        <w:rPr>
          <w:sz w:val="24"/>
          <w:szCs w:val="24"/>
        </w:rPr>
        <w:t xml:space="preserve">r. </w:t>
      </w:r>
      <w:r w:rsidRPr="009F7A58">
        <w:rPr>
          <w:sz w:val="24"/>
          <w:szCs w:val="24"/>
        </w:rPr>
        <w:t xml:space="preserve">i w </w:t>
      </w:r>
      <w:r w:rsidR="00CA0A53">
        <w:rPr>
          <w:sz w:val="24"/>
          <w:szCs w:val="24"/>
        </w:rPr>
        <w:t>grudniu</w:t>
      </w:r>
      <w:r w:rsidRPr="009F7A58">
        <w:rPr>
          <w:sz w:val="24"/>
          <w:szCs w:val="24"/>
        </w:rPr>
        <w:t xml:space="preserve"> 2018 r</w:t>
      </w:r>
      <w:r w:rsidR="00220DA6">
        <w:rPr>
          <w:sz w:val="24"/>
          <w:szCs w:val="24"/>
        </w:rPr>
        <w:t>.</w:t>
      </w:r>
      <w:r w:rsidRPr="009F7A58">
        <w:rPr>
          <w:sz w:val="24"/>
          <w:szCs w:val="24"/>
        </w:rPr>
        <w:t xml:space="preserve"> zbiega się z momentem obniżenia wieku emerytalnego. Konsekwencją przywrócenia wieku emerytalnego, obowiązującego do 2012 r. (60</w:t>
      </w:r>
      <w:r w:rsidR="00237B52">
        <w:rPr>
          <w:sz w:val="24"/>
          <w:szCs w:val="24"/>
        </w:rPr>
        <w:t> </w:t>
      </w:r>
      <w:r w:rsidRPr="009F7A58">
        <w:rPr>
          <w:sz w:val="24"/>
          <w:szCs w:val="24"/>
        </w:rPr>
        <w:t>lat</w:t>
      </w:r>
      <w:r w:rsidR="00237B52">
        <w:rPr>
          <w:sz w:val="24"/>
          <w:szCs w:val="24"/>
        </w:rPr>
        <w:t> </w:t>
      </w:r>
      <w:r w:rsidRPr="009F7A58">
        <w:rPr>
          <w:sz w:val="24"/>
          <w:szCs w:val="24"/>
        </w:rPr>
        <w:t>dla</w:t>
      </w:r>
      <w:r w:rsidR="00237B52">
        <w:t> </w:t>
      </w:r>
      <w:r w:rsidRPr="009F7A58">
        <w:rPr>
          <w:sz w:val="24"/>
          <w:szCs w:val="24"/>
        </w:rPr>
        <w:t>kobiet i 65 lat dla mężczyzn) było skumulowane przejście na emeryturę osób, które</w:t>
      </w:r>
      <w:r w:rsidR="00237B52">
        <w:rPr>
          <w:sz w:val="24"/>
          <w:szCs w:val="24"/>
        </w:rPr>
        <w:t> </w:t>
      </w:r>
      <w:r w:rsidRPr="009F7A58">
        <w:rPr>
          <w:sz w:val="24"/>
          <w:szCs w:val="24"/>
        </w:rPr>
        <w:t>objęło obniżenie wieku emerytalnego oraz umożliwienie przejścia na emeryturę w</w:t>
      </w:r>
      <w:r w:rsidR="00237B52">
        <w:rPr>
          <w:sz w:val="24"/>
          <w:szCs w:val="24"/>
        </w:rPr>
        <w:t> </w:t>
      </w:r>
      <w:r w:rsidRPr="009F7A58">
        <w:rPr>
          <w:sz w:val="24"/>
          <w:szCs w:val="24"/>
        </w:rPr>
        <w:t>niższym wieku emerytalnym. Większość z tych osób korzystała ze świadczeń z Funduszu Pracy lub nie posiadała żadnych przychodów.</w:t>
      </w:r>
      <w:r>
        <w:rPr>
          <w:sz w:val="24"/>
          <w:szCs w:val="24"/>
        </w:rPr>
        <w:t xml:space="preserve"> </w:t>
      </w:r>
    </w:p>
    <w:p w14:paraId="5DA8C465" w14:textId="15207E2F" w:rsidR="00C63D8D" w:rsidRPr="008822BE" w:rsidRDefault="00C63D8D" w:rsidP="00C63D8D">
      <w:pPr>
        <w:autoSpaceDE w:val="0"/>
        <w:autoSpaceDN w:val="0"/>
        <w:adjustRightInd w:val="0"/>
        <w:spacing w:after="120" w:line="340" w:lineRule="atLeast"/>
        <w:jc w:val="both"/>
        <w:rPr>
          <w:sz w:val="24"/>
          <w:szCs w:val="24"/>
        </w:rPr>
      </w:pPr>
      <w:r w:rsidRPr="008822BE">
        <w:rPr>
          <w:rStyle w:val="markedcontent"/>
          <w:sz w:val="24"/>
          <w:szCs w:val="24"/>
        </w:rPr>
        <w:t>Podkreślenia wymaga fakt, że prawie połowa spośród emerytów, którym w grudniu 2021 r.</w:t>
      </w:r>
      <w:r w:rsidR="00237B52">
        <w:rPr>
          <w:sz w:val="24"/>
          <w:szCs w:val="24"/>
        </w:rPr>
        <w:t xml:space="preserve"> </w:t>
      </w:r>
      <w:r w:rsidRPr="008822BE">
        <w:rPr>
          <w:rStyle w:val="markedcontent"/>
          <w:sz w:val="24"/>
          <w:szCs w:val="24"/>
        </w:rPr>
        <w:t>wypłacano emeryturę w wysokości niższej niż najniższa miało tę emeryturę obliczoną jedynie</w:t>
      </w:r>
      <w:r w:rsidR="00237B52">
        <w:rPr>
          <w:sz w:val="24"/>
          <w:szCs w:val="24"/>
        </w:rPr>
        <w:t xml:space="preserve"> </w:t>
      </w:r>
      <w:r w:rsidRPr="008822BE">
        <w:rPr>
          <w:rStyle w:val="markedcontent"/>
          <w:sz w:val="24"/>
          <w:szCs w:val="24"/>
        </w:rPr>
        <w:t>ze zwaloryzowanego kapitału początkowego – osoby te nie odprowadzały składek na</w:t>
      </w:r>
      <w:r w:rsidR="00237B52">
        <w:rPr>
          <w:sz w:val="24"/>
          <w:szCs w:val="24"/>
        </w:rPr>
        <w:t> </w:t>
      </w:r>
      <w:r w:rsidRPr="008822BE">
        <w:rPr>
          <w:rStyle w:val="markedcontent"/>
          <w:sz w:val="24"/>
          <w:szCs w:val="24"/>
        </w:rPr>
        <w:t>ubezpieczenia społeczne po 1998 r.</w:t>
      </w:r>
      <w:r w:rsidR="008822BE">
        <w:rPr>
          <w:sz w:val="24"/>
          <w:szCs w:val="24"/>
        </w:rPr>
        <w:t xml:space="preserve">, </w:t>
      </w:r>
      <w:r w:rsidR="005C7121">
        <w:rPr>
          <w:sz w:val="24"/>
          <w:szCs w:val="24"/>
        </w:rPr>
        <w:t xml:space="preserve">tj. </w:t>
      </w:r>
      <w:r w:rsidR="008822BE" w:rsidRPr="00C63D8D">
        <w:rPr>
          <w:sz w:val="24"/>
          <w:szCs w:val="24"/>
        </w:rPr>
        <w:t>nie pracowały od 1999 r. lub wykonywały aktywność zawodową, bez podlegania obowiązkowi ubezpieczeń społecznych (rynek pracodawcy – wzrastająca liczba umów śmieciowych, „szara strefa”).</w:t>
      </w:r>
      <w:r w:rsidRPr="008822BE">
        <w:rPr>
          <w:rStyle w:val="markedcontent"/>
          <w:sz w:val="24"/>
          <w:szCs w:val="24"/>
        </w:rPr>
        <w:t xml:space="preserve"> </w:t>
      </w:r>
      <w:r w:rsidR="008822BE" w:rsidRPr="008822BE">
        <w:rPr>
          <w:rStyle w:val="markedcontent"/>
          <w:sz w:val="24"/>
          <w:szCs w:val="24"/>
        </w:rPr>
        <w:t>W</w:t>
      </w:r>
      <w:r w:rsidR="008822BE" w:rsidRPr="008822BE">
        <w:rPr>
          <w:sz w:val="24"/>
          <w:szCs w:val="24"/>
        </w:rPr>
        <w:t>śród osób pobierających w grudniu 2021 r. emeryturę w wysokości niższej niż najniższa, aż 47,5% (48,9% mężczyzn i 47,2% kobiet) miało emeryturę wyliczoną jedynie z kwoty zwaloryzowanego kapitału początkowego (nie</w:t>
      </w:r>
      <w:r w:rsidR="00237B52">
        <w:rPr>
          <w:sz w:val="24"/>
          <w:szCs w:val="24"/>
        </w:rPr>
        <w:t> </w:t>
      </w:r>
      <w:r w:rsidR="008822BE" w:rsidRPr="008822BE">
        <w:rPr>
          <w:sz w:val="24"/>
          <w:szCs w:val="24"/>
        </w:rPr>
        <w:t>miało odnotowanych składek). Natomiast brak kapitału początkowego obserwujemy u</w:t>
      </w:r>
      <w:r w:rsidR="00237B52">
        <w:rPr>
          <w:sz w:val="24"/>
          <w:szCs w:val="24"/>
        </w:rPr>
        <w:t> </w:t>
      </w:r>
      <w:r w:rsidR="008822BE" w:rsidRPr="008822BE">
        <w:rPr>
          <w:sz w:val="24"/>
          <w:szCs w:val="24"/>
        </w:rPr>
        <w:t>3,8% (5,4% mężczyzn i 3,4% kobiet) emerytów pobierających w grudniu 2021 r. emeryturę w wysokości niższej niż najniższa</w:t>
      </w:r>
      <w:r w:rsidR="008822BE">
        <w:rPr>
          <w:sz w:val="24"/>
          <w:szCs w:val="24"/>
        </w:rPr>
        <w:t>.</w:t>
      </w:r>
    </w:p>
    <w:p w14:paraId="655BA2D1" w14:textId="44B9B623" w:rsidR="008822BE" w:rsidRPr="008822BE" w:rsidRDefault="008822BE" w:rsidP="00C63D8D">
      <w:pPr>
        <w:autoSpaceDE w:val="0"/>
        <w:autoSpaceDN w:val="0"/>
        <w:adjustRightInd w:val="0"/>
        <w:spacing w:after="120" w:line="340" w:lineRule="atLeast"/>
        <w:jc w:val="both"/>
        <w:rPr>
          <w:sz w:val="24"/>
          <w:szCs w:val="24"/>
        </w:rPr>
      </w:pPr>
      <w:r w:rsidRPr="008822BE">
        <w:rPr>
          <w:sz w:val="24"/>
          <w:szCs w:val="24"/>
        </w:rPr>
        <w:t>Spośród osób pobierających w grudniu 2021 r. emeryturę nowosystemową w wysokości niższej niż najniższa ustawowa wysokość, 17,4% pobierało ją w wysokości 600 zł i mniej (w</w:t>
      </w:r>
      <w:r w:rsidR="00237B52">
        <w:rPr>
          <w:sz w:val="24"/>
          <w:szCs w:val="24"/>
        </w:rPr>
        <w:t> </w:t>
      </w:r>
      <w:r w:rsidRPr="008822BE">
        <w:rPr>
          <w:sz w:val="24"/>
          <w:szCs w:val="24"/>
        </w:rPr>
        <w:t xml:space="preserve">przypadku mężczyzn było to 29,5%, w przypadku kobiet – 14,7%), 23,8% </w:t>
      </w:r>
      <w:r w:rsidR="00801F11">
        <w:rPr>
          <w:sz w:val="24"/>
          <w:szCs w:val="24"/>
        </w:rPr>
        <w:t>–</w:t>
      </w:r>
      <w:r w:rsidRPr="008822BE">
        <w:rPr>
          <w:sz w:val="24"/>
          <w:szCs w:val="24"/>
        </w:rPr>
        <w:t xml:space="preserve"> w wysokości pomiędzy 600,01 a 800,00 zł (21,0% mężczyzn, 24,4% kobiet), zaś 58,8% w wysokości powyżej 800 zł (49,5% mężczyzn, 60,9% kobiet).</w:t>
      </w:r>
    </w:p>
    <w:p w14:paraId="2188CA40" w14:textId="53A3220C" w:rsidR="008B6A10" w:rsidRPr="008D0165" w:rsidRDefault="00132B37" w:rsidP="00FC39E3">
      <w:pPr>
        <w:spacing w:before="120" w:after="120"/>
        <w:jc w:val="both"/>
        <w:rPr>
          <w:sz w:val="24"/>
          <w:szCs w:val="24"/>
        </w:rPr>
      </w:pPr>
      <w:r w:rsidRPr="008D0165">
        <w:rPr>
          <w:sz w:val="24"/>
          <w:szCs w:val="24"/>
        </w:rPr>
        <w:t>W 201</w:t>
      </w:r>
      <w:r w:rsidR="008B6A10" w:rsidRPr="008D0165">
        <w:rPr>
          <w:sz w:val="24"/>
          <w:szCs w:val="24"/>
        </w:rPr>
        <w:t>6</w:t>
      </w:r>
      <w:r w:rsidRPr="008D0165">
        <w:rPr>
          <w:sz w:val="24"/>
          <w:szCs w:val="24"/>
        </w:rPr>
        <w:t xml:space="preserve"> r. przeciętny wiek osób, którym przyznano po raz pierwszy emeryturę wynosił 6</w:t>
      </w:r>
      <w:r w:rsidR="008B6A10" w:rsidRPr="008D0165">
        <w:rPr>
          <w:sz w:val="24"/>
          <w:szCs w:val="24"/>
        </w:rPr>
        <w:t>2</w:t>
      </w:r>
      <w:r w:rsidRPr="008D0165">
        <w:rPr>
          <w:sz w:val="24"/>
          <w:szCs w:val="24"/>
        </w:rPr>
        <w:t>,9</w:t>
      </w:r>
      <w:r w:rsidR="00D13C34">
        <w:rPr>
          <w:sz w:val="24"/>
          <w:szCs w:val="24"/>
        </w:rPr>
        <w:t> </w:t>
      </w:r>
      <w:r w:rsidRPr="008D0165">
        <w:rPr>
          <w:sz w:val="24"/>
          <w:szCs w:val="24"/>
        </w:rPr>
        <w:t xml:space="preserve">lat, </w:t>
      </w:r>
      <w:r w:rsidR="00C30246" w:rsidRPr="008D0165">
        <w:rPr>
          <w:sz w:val="24"/>
          <w:szCs w:val="24"/>
        </w:rPr>
        <w:t>w </w:t>
      </w:r>
      <w:r w:rsidRPr="008D0165">
        <w:rPr>
          <w:sz w:val="24"/>
          <w:szCs w:val="24"/>
        </w:rPr>
        <w:t>przypadku mężczyzn 63,3 lata, a w przypadku kobiet 61,0 lat, natomiast w 2017 r.</w:t>
      </w:r>
      <w:r w:rsidR="00FB017B" w:rsidRPr="008D0165">
        <w:rPr>
          <w:sz w:val="24"/>
          <w:szCs w:val="24"/>
        </w:rPr>
        <w:t xml:space="preserve"> </w:t>
      </w:r>
      <w:r w:rsidRPr="008D0165">
        <w:rPr>
          <w:sz w:val="24"/>
          <w:szCs w:val="24"/>
        </w:rPr>
        <w:t>– odpowiednio 62,3 roku, 64,6 lat (mężczyźni) i 61 lat (kobiety).</w:t>
      </w:r>
      <w:r w:rsidR="008B6A10" w:rsidRPr="008D0165">
        <w:rPr>
          <w:sz w:val="24"/>
          <w:szCs w:val="24"/>
        </w:rPr>
        <w:t xml:space="preserve"> </w:t>
      </w:r>
      <w:r w:rsidRPr="008D0165">
        <w:rPr>
          <w:sz w:val="24"/>
          <w:szCs w:val="24"/>
        </w:rPr>
        <w:t xml:space="preserve">W </w:t>
      </w:r>
      <w:r w:rsidRPr="008D0165">
        <w:rPr>
          <w:sz w:val="24"/>
          <w:szCs w:val="24"/>
        </w:rPr>
        <w:lastRenderedPageBreak/>
        <w:t xml:space="preserve">2018 r. przeciętny wiek wyniósł 62,1 </w:t>
      </w:r>
      <w:r w:rsidR="000B0C83" w:rsidRPr="008D0165">
        <w:rPr>
          <w:sz w:val="24"/>
          <w:szCs w:val="24"/>
        </w:rPr>
        <w:t>lat</w:t>
      </w:r>
      <w:r w:rsidRPr="008D0165">
        <w:rPr>
          <w:sz w:val="24"/>
          <w:szCs w:val="24"/>
        </w:rPr>
        <w:t xml:space="preserve">, </w:t>
      </w:r>
      <w:r w:rsidR="00C30246" w:rsidRPr="008D0165">
        <w:rPr>
          <w:sz w:val="24"/>
          <w:szCs w:val="24"/>
        </w:rPr>
        <w:t>w </w:t>
      </w:r>
      <w:r w:rsidRPr="008D0165">
        <w:rPr>
          <w:sz w:val="24"/>
          <w:szCs w:val="24"/>
        </w:rPr>
        <w:t xml:space="preserve">przypadku mężczyzn było to 65,2 lat, w przypadku kobiet – 60,3 lat. Dominującym wiekiem </w:t>
      </w:r>
      <w:r w:rsidR="00C30246" w:rsidRPr="008D0165">
        <w:rPr>
          <w:sz w:val="24"/>
          <w:szCs w:val="24"/>
        </w:rPr>
        <w:t>– w </w:t>
      </w:r>
      <w:r w:rsidRPr="008D0165">
        <w:rPr>
          <w:sz w:val="24"/>
          <w:szCs w:val="24"/>
        </w:rPr>
        <w:t xml:space="preserve">okresie od października do grudnia 2017 r. – dla kobiet, którym przyznano po raz pierwszy </w:t>
      </w:r>
      <w:r w:rsidR="00C30246" w:rsidRPr="008D0165">
        <w:rPr>
          <w:sz w:val="24"/>
          <w:szCs w:val="24"/>
        </w:rPr>
        <w:t>i </w:t>
      </w:r>
      <w:r w:rsidRPr="008D0165">
        <w:rPr>
          <w:sz w:val="24"/>
          <w:szCs w:val="24"/>
        </w:rPr>
        <w:t>wypłacono emeryturę w obniżonym wieku</w:t>
      </w:r>
      <w:r w:rsidR="00AB4CF4">
        <w:rPr>
          <w:sz w:val="24"/>
          <w:szCs w:val="24"/>
        </w:rPr>
        <w:t>,</w:t>
      </w:r>
      <w:r w:rsidRPr="008D0165">
        <w:rPr>
          <w:sz w:val="24"/>
          <w:szCs w:val="24"/>
        </w:rPr>
        <w:t xml:space="preserve"> był wiek 60,3 lat (w</w:t>
      </w:r>
      <w:r w:rsidR="00B31687">
        <w:rPr>
          <w:sz w:val="24"/>
          <w:szCs w:val="24"/>
        </w:rPr>
        <w:t> </w:t>
      </w:r>
      <w:r w:rsidRPr="008D0165">
        <w:rPr>
          <w:sz w:val="24"/>
          <w:szCs w:val="24"/>
        </w:rPr>
        <w:t>tym</w:t>
      </w:r>
      <w:r w:rsidR="00B31687">
        <w:rPr>
          <w:sz w:val="24"/>
          <w:szCs w:val="24"/>
        </w:rPr>
        <w:t> </w:t>
      </w:r>
      <w:r w:rsidRPr="008D0165">
        <w:rPr>
          <w:sz w:val="24"/>
          <w:szCs w:val="24"/>
        </w:rPr>
        <w:t xml:space="preserve">wieku przeszło na emeryturę 12,9% kobiet), natomiast w przypadku mężczyzn dominował wiek 65,0 lat (13,9% mężczyzn przeszło na emeryturę w tym wieku). Natomiast </w:t>
      </w:r>
      <w:r w:rsidR="00801F11">
        <w:rPr>
          <w:sz w:val="24"/>
          <w:szCs w:val="24"/>
        </w:rPr>
        <w:t>–</w:t>
      </w:r>
      <w:r w:rsidRPr="008D0165">
        <w:rPr>
          <w:sz w:val="24"/>
          <w:szCs w:val="24"/>
        </w:rPr>
        <w:t xml:space="preserve"> w okresie 2018 r. – dla kobiet był to wiek 60,0 lat (w tym wieku przeszło na emeryturę 56,1%</w:t>
      </w:r>
      <w:r w:rsidR="00AB4CF4">
        <w:rPr>
          <w:sz w:val="24"/>
          <w:szCs w:val="24"/>
        </w:rPr>
        <w:t> </w:t>
      </w:r>
      <w:r w:rsidRPr="008D0165">
        <w:rPr>
          <w:sz w:val="24"/>
          <w:szCs w:val="24"/>
        </w:rPr>
        <w:t>kobiet), w</w:t>
      </w:r>
      <w:r w:rsidR="00D13C34">
        <w:rPr>
          <w:sz w:val="24"/>
          <w:szCs w:val="24"/>
        </w:rPr>
        <w:t> </w:t>
      </w:r>
      <w:r w:rsidRPr="008D0165">
        <w:rPr>
          <w:sz w:val="24"/>
          <w:szCs w:val="24"/>
        </w:rPr>
        <w:t>przypadku mężczyz</w:t>
      </w:r>
      <w:r w:rsidR="00A96B94" w:rsidRPr="008D0165">
        <w:rPr>
          <w:sz w:val="24"/>
          <w:szCs w:val="24"/>
        </w:rPr>
        <w:t>n natomiast dominował wiek 65,0 </w:t>
      </w:r>
      <w:r w:rsidRPr="008D0165">
        <w:rPr>
          <w:sz w:val="24"/>
          <w:szCs w:val="24"/>
        </w:rPr>
        <w:t>lat (63,6% mężczyzn przeszło na</w:t>
      </w:r>
      <w:r w:rsidR="00D13C34">
        <w:rPr>
          <w:sz w:val="24"/>
          <w:szCs w:val="24"/>
        </w:rPr>
        <w:t> </w:t>
      </w:r>
      <w:r w:rsidRPr="008D0165">
        <w:rPr>
          <w:sz w:val="24"/>
          <w:szCs w:val="24"/>
        </w:rPr>
        <w:t>emeryturę w tym wieku).</w:t>
      </w:r>
      <w:r w:rsidR="008B6A10" w:rsidRPr="008D0165">
        <w:rPr>
          <w:sz w:val="24"/>
          <w:szCs w:val="24"/>
        </w:rPr>
        <w:t xml:space="preserve"> W 2019 r. przeciętny wiek przejścia na emeryturę wynosił 62,1</w:t>
      </w:r>
      <w:r w:rsidR="00D13C34">
        <w:rPr>
          <w:sz w:val="24"/>
          <w:szCs w:val="24"/>
        </w:rPr>
        <w:t> </w:t>
      </w:r>
      <w:r w:rsidR="008B6A10" w:rsidRPr="008D0165">
        <w:rPr>
          <w:sz w:val="24"/>
          <w:szCs w:val="24"/>
        </w:rPr>
        <w:t>lat (</w:t>
      </w:r>
      <w:r w:rsidR="002E7AB0" w:rsidRPr="008D0165">
        <w:rPr>
          <w:sz w:val="24"/>
          <w:szCs w:val="24"/>
        </w:rPr>
        <w:t>64,6 dla mężczyzn</w:t>
      </w:r>
      <w:r w:rsidR="0096285A">
        <w:rPr>
          <w:sz w:val="24"/>
          <w:szCs w:val="24"/>
        </w:rPr>
        <w:t xml:space="preserve"> i</w:t>
      </w:r>
      <w:r w:rsidR="002E7AB0" w:rsidRPr="008D0165">
        <w:rPr>
          <w:sz w:val="24"/>
          <w:szCs w:val="24"/>
        </w:rPr>
        <w:t xml:space="preserve"> 60,7 dla kobiet), w 2020 r. było to 62,3 (64,8 dla mężczyzn</w:t>
      </w:r>
      <w:r w:rsidR="00A51B62">
        <w:rPr>
          <w:sz w:val="24"/>
          <w:szCs w:val="24"/>
        </w:rPr>
        <w:t xml:space="preserve"> i</w:t>
      </w:r>
      <w:r w:rsidR="00D13C34">
        <w:rPr>
          <w:sz w:val="24"/>
          <w:szCs w:val="24"/>
        </w:rPr>
        <w:t> </w:t>
      </w:r>
      <w:r w:rsidR="002E7AB0" w:rsidRPr="008D0165">
        <w:rPr>
          <w:sz w:val="24"/>
          <w:szCs w:val="24"/>
        </w:rPr>
        <w:t>60,6</w:t>
      </w:r>
      <w:r w:rsidR="00D13C34">
        <w:rPr>
          <w:sz w:val="24"/>
          <w:szCs w:val="24"/>
        </w:rPr>
        <w:t> </w:t>
      </w:r>
      <w:r w:rsidR="002E7AB0" w:rsidRPr="008D0165">
        <w:rPr>
          <w:sz w:val="24"/>
          <w:szCs w:val="24"/>
        </w:rPr>
        <w:t>dla</w:t>
      </w:r>
      <w:r w:rsidR="00D13C34">
        <w:rPr>
          <w:sz w:val="24"/>
          <w:szCs w:val="24"/>
        </w:rPr>
        <w:t> </w:t>
      </w:r>
      <w:r w:rsidR="002E7AB0" w:rsidRPr="008D0165">
        <w:rPr>
          <w:sz w:val="24"/>
          <w:szCs w:val="24"/>
        </w:rPr>
        <w:t>kobiet), a 2021 r. – 62,4 lat (64,8 dla mężczyzn</w:t>
      </w:r>
      <w:r w:rsidR="00A51B62">
        <w:rPr>
          <w:sz w:val="24"/>
          <w:szCs w:val="24"/>
        </w:rPr>
        <w:t xml:space="preserve"> i</w:t>
      </w:r>
      <w:r w:rsidR="002E7AB0" w:rsidRPr="008D0165">
        <w:rPr>
          <w:sz w:val="24"/>
          <w:szCs w:val="24"/>
        </w:rPr>
        <w:t xml:space="preserve"> 60,6 dla kobiet).</w:t>
      </w:r>
    </w:p>
    <w:p w14:paraId="17C3B0A0" w14:textId="31C0BB41" w:rsidR="002E7AB0" w:rsidRPr="008D0165" w:rsidRDefault="002E7AB0" w:rsidP="00FC39E3">
      <w:pPr>
        <w:spacing w:before="120" w:after="120"/>
        <w:jc w:val="both"/>
        <w:rPr>
          <w:sz w:val="24"/>
          <w:szCs w:val="24"/>
        </w:rPr>
      </w:pPr>
      <w:r w:rsidRPr="008D0165">
        <w:rPr>
          <w:sz w:val="24"/>
          <w:szCs w:val="24"/>
        </w:rPr>
        <w:t>Ponadto w 2021 r. najliczniejsz</w:t>
      </w:r>
      <w:r w:rsidR="00CA0A53">
        <w:rPr>
          <w:sz w:val="24"/>
          <w:szCs w:val="24"/>
        </w:rPr>
        <w:t>ą</w:t>
      </w:r>
      <w:r w:rsidRPr="008D0165">
        <w:rPr>
          <w:sz w:val="24"/>
          <w:szCs w:val="24"/>
        </w:rPr>
        <w:t xml:space="preserve"> grup</w:t>
      </w:r>
      <w:r w:rsidR="00CA0A53">
        <w:rPr>
          <w:sz w:val="24"/>
          <w:szCs w:val="24"/>
        </w:rPr>
        <w:t>ą</w:t>
      </w:r>
      <w:r w:rsidRPr="008D0165">
        <w:rPr>
          <w:sz w:val="24"/>
          <w:szCs w:val="24"/>
        </w:rPr>
        <w:t xml:space="preserve"> wiekow</w:t>
      </w:r>
      <w:r w:rsidR="00CA0A53">
        <w:rPr>
          <w:sz w:val="24"/>
          <w:szCs w:val="24"/>
        </w:rPr>
        <w:t>ą</w:t>
      </w:r>
      <w:r w:rsidRPr="008D0165">
        <w:rPr>
          <w:sz w:val="24"/>
          <w:szCs w:val="24"/>
        </w:rPr>
        <w:t xml:space="preserve"> osób, którym została przyznana emerytura była grupa osiągająca powszechny wiek emerytalny, tj. 60 lat dla kobiet (48,6% wszystkich osób </w:t>
      </w:r>
      <w:r w:rsidR="00A96B94" w:rsidRPr="008D0165">
        <w:rPr>
          <w:sz w:val="24"/>
          <w:szCs w:val="24"/>
        </w:rPr>
        <w:t>z </w:t>
      </w:r>
      <w:r w:rsidRPr="008D0165">
        <w:rPr>
          <w:sz w:val="24"/>
          <w:szCs w:val="24"/>
        </w:rPr>
        <w:t>nowo przyznaną emeryturą) i 65 lat dla mężczyzn (39,4%).</w:t>
      </w:r>
    </w:p>
    <w:p w14:paraId="0730432C" w14:textId="34C4DAC6" w:rsidR="005C7121" w:rsidRDefault="00E861F0" w:rsidP="005C7121">
      <w:pPr>
        <w:spacing w:after="0" w:line="23" w:lineRule="atLeast"/>
        <w:jc w:val="both"/>
        <w:rPr>
          <w:rFonts w:cstheme="minorHAnsi"/>
          <w:color w:val="000000"/>
          <w:sz w:val="18"/>
          <w:szCs w:val="18"/>
        </w:rPr>
      </w:pPr>
      <w:r w:rsidRPr="008D0165">
        <w:rPr>
          <w:b/>
          <w:bCs/>
          <w:sz w:val="24"/>
          <w:szCs w:val="24"/>
        </w:rPr>
        <w:t>Tabela</w:t>
      </w:r>
      <w:r w:rsidR="00132B37" w:rsidRPr="008D0165">
        <w:rPr>
          <w:b/>
          <w:bCs/>
          <w:sz w:val="24"/>
          <w:szCs w:val="24"/>
        </w:rPr>
        <w:t xml:space="preserve"> </w:t>
      </w:r>
      <w:r w:rsidR="00B92426">
        <w:rPr>
          <w:b/>
          <w:bCs/>
          <w:sz w:val="24"/>
          <w:szCs w:val="24"/>
        </w:rPr>
        <w:t>11</w:t>
      </w:r>
      <w:r w:rsidR="00132B37" w:rsidRPr="008D0165">
        <w:rPr>
          <w:b/>
          <w:bCs/>
          <w:sz w:val="24"/>
          <w:szCs w:val="24"/>
        </w:rPr>
        <w:t xml:space="preserve">. </w:t>
      </w:r>
      <w:r w:rsidR="0090051C" w:rsidRPr="008D0165">
        <w:rPr>
          <w:b/>
          <w:bCs/>
          <w:sz w:val="24"/>
          <w:szCs w:val="24"/>
        </w:rPr>
        <w:t>Liczba emerytów</w:t>
      </w:r>
      <w:r w:rsidR="0090051C" w:rsidRPr="008D0165">
        <w:rPr>
          <w:b/>
          <w:bCs/>
          <w:sz w:val="24"/>
          <w:szCs w:val="24"/>
          <w:vertAlign w:val="superscript"/>
        </w:rPr>
        <w:t>*)</w:t>
      </w:r>
      <w:r w:rsidR="0090051C" w:rsidRPr="008D0165">
        <w:rPr>
          <w:b/>
          <w:bCs/>
          <w:sz w:val="24"/>
          <w:szCs w:val="24"/>
        </w:rPr>
        <w:t xml:space="preserve">, którym w 2021 r. przyznano świadczenie na nowych zasadach – </w:t>
      </w:r>
      <w:r w:rsidR="001B0FD0" w:rsidRPr="008D0165">
        <w:rPr>
          <w:b/>
          <w:bCs/>
          <w:sz w:val="24"/>
          <w:szCs w:val="24"/>
        </w:rPr>
        <w:t>w</w:t>
      </w:r>
      <w:r w:rsidR="00FC773A">
        <w:rPr>
          <w:b/>
          <w:bCs/>
          <w:sz w:val="24"/>
          <w:szCs w:val="24"/>
        </w:rPr>
        <w:t>edłu</w:t>
      </w:r>
      <w:r w:rsidR="001B0FD0" w:rsidRPr="008D0165">
        <w:rPr>
          <w:b/>
          <w:bCs/>
          <w:sz w:val="24"/>
          <w:szCs w:val="24"/>
        </w:rPr>
        <w:t>g</w:t>
      </w:r>
      <w:r w:rsidR="0090051C" w:rsidRPr="008D0165">
        <w:rPr>
          <w:b/>
          <w:bCs/>
          <w:sz w:val="24"/>
          <w:szCs w:val="24"/>
        </w:rPr>
        <w:t xml:space="preserve"> wieku i płci</w:t>
      </w:r>
      <w:r w:rsidR="005C7121">
        <w:rPr>
          <w:b/>
          <w:bCs/>
          <w:sz w:val="24"/>
          <w:szCs w:val="24"/>
        </w:rPr>
        <w:t xml:space="preserve"> </w:t>
      </w:r>
    </w:p>
    <w:tbl>
      <w:tblPr>
        <w:tblW w:w="8280" w:type="dxa"/>
        <w:tblInd w:w="55" w:type="dxa"/>
        <w:tblCellMar>
          <w:left w:w="70" w:type="dxa"/>
          <w:right w:w="70" w:type="dxa"/>
        </w:tblCellMar>
        <w:tblLook w:val="04A0" w:firstRow="1" w:lastRow="0" w:firstColumn="1" w:lastColumn="0" w:noHBand="0" w:noVBand="1"/>
      </w:tblPr>
      <w:tblGrid>
        <w:gridCol w:w="2400"/>
        <w:gridCol w:w="1960"/>
        <w:gridCol w:w="1960"/>
        <w:gridCol w:w="1960"/>
      </w:tblGrid>
      <w:tr w:rsidR="0090051C" w:rsidRPr="008D0165" w14:paraId="6F21EE62" w14:textId="77777777" w:rsidTr="00E861F0">
        <w:trPr>
          <w:trHeight w:val="340"/>
        </w:trPr>
        <w:tc>
          <w:tcPr>
            <w:tcW w:w="240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0FFF3A"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Wiek w latach</w:t>
            </w:r>
          </w:p>
        </w:tc>
        <w:tc>
          <w:tcPr>
            <w:tcW w:w="1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CBF35C6"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Ogółem</w:t>
            </w:r>
          </w:p>
        </w:tc>
        <w:tc>
          <w:tcPr>
            <w:tcW w:w="1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E7EE7BC"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Mężczyźni</w:t>
            </w:r>
          </w:p>
        </w:tc>
        <w:tc>
          <w:tcPr>
            <w:tcW w:w="196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58D0C68" w14:textId="77777777" w:rsidR="0090051C" w:rsidRPr="00FC39E3" w:rsidRDefault="0090051C" w:rsidP="00E861F0">
            <w:pPr>
              <w:spacing w:after="0" w:line="240" w:lineRule="auto"/>
              <w:jc w:val="center"/>
              <w:rPr>
                <w:rFonts w:eastAsia="Times New Roman" w:cstheme="minorHAnsi"/>
                <w:b/>
                <w:color w:val="000000"/>
                <w:sz w:val="20"/>
                <w:szCs w:val="20"/>
                <w:lang w:eastAsia="pl-PL"/>
              </w:rPr>
            </w:pPr>
            <w:r w:rsidRPr="00FC39E3">
              <w:rPr>
                <w:rFonts w:eastAsia="Times New Roman" w:cstheme="minorHAnsi"/>
                <w:b/>
                <w:color w:val="000000"/>
                <w:sz w:val="20"/>
                <w:szCs w:val="20"/>
                <w:lang w:eastAsia="pl-PL"/>
              </w:rPr>
              <w:t>Kobiety</w:t>
            </w:r>
          </w:p>
        </w:tc>
      </w:tr>
      <w:tr w:rsidR="0090051C" w:rsidRPr="008D0165" w14:paraId="2B4E8B88" w14:textId="77777777" w:rsidTr="00E861F0">
        <w:trPr>
          <w:trHeight w:val="340"/>
        </w:trPr>
        <w:tc>
          <w:tcPr>
            <w:tcW w:w="240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C3286E" w14:textId="77777777" w:rsidR="0090051C" w:rsidRPr="00FC39E3" w:rsidRDefault="0090051C" w:rsidP="00E861F0">
            <w:pPr>
              <w:spacing w:after="0" w:line="240" w:lineRule="auto"/>
              <w:rPr>
                <w:rFonts w:eastAsia="Times New Roman" w:cstheme="minorHAnsi"/>
                <w:b/>
                <w:color w:val="000000"/>
                <w:sz w:val="20"/>
                <w:szCs w:val="20"/>
                <w:lang w:eastAsia="pl-PL"/>
              </w:rPr>
            </w:pPr>
          </w:p>
        </w:tc>
        <w:tc>
          <w:tcPr>
            <w:tcW w:w="5880"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0F2BD21" w14:textId="77777777" w:rsidR="0090051C" w:rsidRPr="00FC39E3" w:rsidRDefault="0090051C" w:rsidP="00E861F0">
            <w:pPr>
              <w:spacing w:after="0" w:line="240" w:lineRule="auto"/>
              <w:jc w:val="center"/>
              <w:rPr>
                <w:rFonts w:eastAsia="Times New Roman" w:cstheme="minorHAnsi"/>
                <w:b/>
                <w:i/>
                <w:iCs/>
                <w:color w:val="000000"/>
                <w:sz w:val="20"/>
                <w:szCs w:val="20"/>
                <w:lang w:eastAsia="pl-PL"/>
              </w:rPr>
            </w:pPr>
            <w:r w:rsidRPr="00FC39E3">
              <w:rPr>
                <w:rFonts w:eastAsia="Times New Roman" w:cstheme="minorHAnsi"/>
                <w:b/>
                <w:i/>
                <w:iCs/>
                <w:color w:val="000000"/>
                <w:sz w:val="20"/>
                <w:szCs w:val="20"/>
                <w:lang w:eastAsia="pl-PL"/>
              </w:rPr>
              <w:t>w tys.</w:t>
            </w:r>
          </w:p>
        </w:tc>
      </w:tr>
      <w:tr w:rsidR="0090051C" w:rsidRPr="008D0165" w14:paraId="69B98097" w14:textId="77777777" w:rsidTr="00E861F0">
        <w:trPr>
          <w:trHeight w:val="340"/>
        </w:trPr>
        <w:tc>
          <w:tcPr>
            <w:tcW w:w="2400" w:type="dxa"/>
            <w:tcBorders>
              <w:top w:val="nil"/>
              <w:left w:val="single" w:sz="4" w:space="0" w:color="auto"/>
              <w:bottom w:val="nil"/>
              <w:right w:val="single" w:sz="4" w:space="0" w:color="auto"/>
            </w:tcBorders>
            <w:shd w:val="clear" w:color="auto" w:fill="B8CCE4" w:themeFill="accent1" w:themeFillTint="66"/>
            <w:noWrap/>
            <w:vAlign w:val="center"/>
            <w:hideMark/>
          </w:tcPr>
          <w:p w14:paraId="7F4BB3A6" w14:textId="44A363FE" w:rsidR="0090051C" w:rsidRPr="00FC39E3" w:rsidRDefault="0090051C" w:rsidP="00777192">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OGÓŁEM</w:t>
            </w:r>
            <w:r w:rsidRPr="00FC39E3">
              <w:rPr>
                <w:rFonts w:eastAsia="Times New Roman" w:cstheme="minorHAnsi"/>
                <w:b/>
                <w:bCs/>
                <w:color w:val="000000"/>
                <w:sz w:val="20"/>
                <w:szCs w:val="20"/>
                <w:vertAlign w:val="superscript"/>
                <w:lang w:eastAsia="pl-PL"/>
              </w:rPr>
              <w:t>**)</w:t>
            </w:r>
          </w:p>
        </w:tc>
        <w:tc>
          <w:tcPr>
            <w:tcW w:w="1960" w:type="dxa"/>
            <w:tcBorders>
              <w:top w:val="nil"/>
              <w:left w:val="nil"/>
              <w:bottom w:val="nil"/>
              <w:right w:val="single" w:sz="4" w:space="0" w:color="auto"/>
            </w:tcBorders>
            <w:shd w:val="clear" w:color="auto" w:fill="B8CCE4" w:themeFill="accent1" w:themeFillTint="66"/>
            <w:noWrap/>
            <w:vAlign w:val="center"/>
            <w:hideMark/>
          </w:tcPr>
          <w:p w14:paraId="1637DFF1"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289,7</w:t>
            </w:r>
          </w:p>
        </w:tc>
        <w:tc>
          <w:tcPr>
            <w:tcW w:w="1960" w:type="dxa"/>
            <w:tcBorders>
              <w:top w:val="nil"/>
              <w:left w:val="nil"/>
              <w:bottom w:val="nil"/>
              <w:right w:val="single" w:sz="4" w:space="0" w:color="auto"/>
            </w:tcBorders>
            <w:shd w:val="clear" w:color="auto" w:fill="B8CCE4" w:themeFill="accent1" w:themeFillTint="66"/>
            <w:noWrap/>
            <w:vAlign w:val="center"/>
            <w:hideMark/>
          </w:tcPr>
          <w:p w14:paraId="7896E51B"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122,7</w:t>
            </w:r>
          </w:p>
        </w:tc>
        <w:tc>
          <w:tcPr>
            <w:tcW w:w="1960" w:type="dxa"/>
            <w:tcBorders>
              <w:top w:val="nil"/>
              <w:left w:val="nil"/>
              <w:bottom w:val="nil"/>
              <w:right w:val="single" w:sz="4" w:space="0" w:color="auto"/>
            </w:tcBorders>
            <w:shd w:val="clear" w:color="auto" w:fill="B8CCE4" w:themeFill="accent1" w:themeFillTint="66"/>
            <w:noWrap/>
            <w:vAlign w:val="center"/>
            <w:hideMark/>
          </w:tcPr>
          <w:p w14:paraId="4FE044B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167,0</w:t>
            </w:r>
          </w:p>
        </w:tc>
      </w:tr>
      <w:tr w:rsidR="0090051C" w:rsidRPr="008D0165" w14:paraId="57004342" w14:textId="77777777" w:rsidTr="00E861F0">
        <w:trPr>
          <w:trHeight w:val="340"/>
        </w:trPr>
        <w:tc>
          <w:tcPr>
            <w:tcW w:w="2400" w:type="dxa"/>
            <w:tcBorders>
              <w:top w:val="single" w:sz="4" w:space="0" w:color="auto"/>
              <w:left w:val="single" w:sz="4" w:space="0" w:color="auto"/>
              <w:bottom w:val="nil"/>
              <w:right w:val="nil"/>
            </w:tcBorders>
            <w:shd w:val="clear" w:color="auto" w:fill="auto"/>
            <w:noWrap/>
            <w:vAlign w:val="center"/>
            <w:hideMark/>
          </w:tcPr>
          <w:p w14:paraId="0C8705B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59 lat i mniej</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14:paraId="32F2DD5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single" w:sz="4" w:space="0" w:color="auto"/>
              <w:left w:val="nil"/>
              <w:bottom w:val="nil"/>
              <w:right w:val="nil"/>
            </w:tcBorders>
            <w:shd w:val="clear" w:color="auto" w:fill="auto"/>
            <w:noWrap/>
            <w:vAlign w:val="center"/>
            <w:hideMark/>
          </w:tcPr>
          <w:p w14:paraId="2A219A90"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14:paraId="66333EE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r>
      <w:tr w:rsidR="0090051C" w:rsidRPr="008D0165" w14:paraId="753CD79F"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40212F0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60</w:t>
            </w:r>
          </w:p>
        </w:tc>
        <w:tc>
          <w:tcPr>
            <w:tcW w:w="1960" w:type="dxa"/>
            <w:tcBorders>
              <w:top w:val="nil"/>
              <w:left w:val="single" w:sz="4" w:space="0" w:color="auto"/>
              <w:bottom w:val="nil"/>
              <w:right w:val="single" w:sz="4" w:space="0" w:color="auto"/>
            </w:tcBorders>
            <w:shd w:val="clear" w:color="auto" w:fill="auto"/>
            <w:noWrap/>
            <w:vAlign w:val="center"/>
            <w:hideMark/>
          </w:tcPr>
          <w:p w14:paraId="54167A55"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141,1</w:t>
            </w:r>
          </w:p>
        </w:tc>
        <w:tc>
          <w:tcPr>
            <w:tcW w:w="1960" w:type="dxa"/>
            <w:tcBorders>
              <w:top w:val="nil"/>
              <w:left w:val="nil"/>
              <w:bottom w:val="nil"/>
              <w:right w:val="nil"/>
            </w:tcBorders>
            <w:shd w:val="clear" w:color="auto" w:fill="auto"/>
            <w:noWrap/>
            <w:vAlign w:val="center"/>
            <w:hideMark/>
          </w:tcPr>
          <w:p w14:paraId="7D5FF7B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0,3</w:t>
            </w:r>
          </w:p>
        </w:tc>
        <w:tc>
          <w:tcPr>
            <w:tcW w:w="1960" w:type="dxa"/>
            <w:tcBorders>
              <w:top w:val="nil"/>
              <w:left w:val="single" w:sz="4" w:space="0" w:color="auto"/>
              <w:bottom w:val="nil"/>
              <w:right w:val="single" w:sz="4" w:space="0" w:color="auto"/>
            </w:tcBorders>
            <w:shd w:val="clear" w:color="auto" w:fill="auto"/>
            <w:noWrap/>
            <w:vAlign w:val="center"/>
            <w:hideMark/>
          </w:tcPr>
          <w:p w14:paraId="65AE92A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140,8</w:t>
            </w:r>
          </w:p>
        </w:tc>
      </w:tr>
      <w:tr w:rsidR="0090051C" w:rsidRPr="008D0165" w14:paraId="4B434B57"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3A28EF7D"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61</w:t>
            </w:r>
          </w:p>
        </w:tc>
        <w:tc>
          <w:tcPr>
            <w:tcW w:w="1960" w:type="dxa"/>
            <w:tcBorders>
              <w:top w:val="nil"/>
              <w:left w:val="single" w:sz="4" w:space="0" w:color="auto"/>
              <w:bottom w:val="nil"/>
              <w:right w:val="single" w:sz="4" w:space="0" w:color="auto"/>
            </w:tcBorders>
            <w:shd w:val="clear" w:color="auto" w:fill="auto"/>
            <w:noWrap/>
            <w:vAlign w:val="center"/>
            <w:hideMark/>
          </w:tcPr>
          <w:p w14:paraId="4F786AA5"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10,8</w:t>
            </w:r>
          </w:p>
        </w:tc>
        <w:tc>
          <w:tcPr>
            <w:tcW w:w="1960" w:type="dxa"/>
            <w:tcBorders>
              <w:top w:val="nil"/>
              <w:left w:val="nil"/>
              <w:bottom w:val="nil"/>
              <w:right w:val="nil"/>
            </w:tcBorders>
            <w:shd w:val="clear" w:color="auto" w:fill="auto"/>
            <w:noWrap/>
            <w:vAlign w:val="center"/>
            <w:hideMark/>
          </w:tcPr>
          <w:p w14:paraId="59A02CC8"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0,1</w:t>
            </w:r>
          </w:p>
        </w:tc>
        <w:tc>
          <w:tcPr>
            <w:tcW w:w="1960" w:type="dxa"/>
            <w:tcBorders>
              <w:top w:val="nil"/>
              <w:left w:val="single" w:sz="4" w:space="0" w:color="auto"/>
              <w:bottom w:val="nil"/>
              <w:right w:val="single" w:sz="4" w:space="0" w:color="auto"/>
            </w:tcBorders>
            <w:shd w:val="clear" w:color="auto" w:fill="auto"/>
            <w:noWrap/>
            <w:vAlign w:val="center"/>
            <w:hideMark/>
          </w:tcPr>
          <w:p w14:paraId="70E2E39F"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10,8</w:t>
            </w:r>
          </w:p>
        </w:tc>
      </w:tr>
      <w:tr w:rsidR="0090051C" w:rsidRPr="008D0165" w14:paraId="6723E1FC"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6FAE16C1"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62</w:t>
            </w:r>
          </w:p>
        </w:tc>
        <w:tc>
          <w:tcPr>
            <w:tcW w:w="1960" w:type="dxa"/>
            <w:tcBorders>
              <w:top w:val="nil"/>
              <w:left w:val="single" w:sz="4" w:space="0" w:color="auto"/>
              <w:bottom w:val="nil"/>
              <w:right w:val="single" w:sz="4" w:space="0" w:color="auto"/>
            </w:tcBorders>
            <w:shd w:val="clear" w:color="auto" w:fill="auto"/>
            <w:noWrap/>
            <w:vAlign w:val="center"/>
            <w:hideMark/>
          </w:tcPr>
          <w:p w14:paraId="04ABD544"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6,0</w:t>
            </w:r>
          </w:p>
        </w:tc>
        <w:tc>
          <w:tcPr>
            <w:tcW w:w="1960" w:type="dxa"/>
            <w:tcBorders>
              <w:top w:val="nil"/>
              <w:left w:val="nil"/>
              <w:bottom w:val="nil"/>
              <w:right w:val="nil"/>
            </w:tcBorders>
            <w:shd w:val="clear" w:color="auto" w:fill="auto"/>
            <w:noWrap/>
            <w:vAlign w:val="center"/>
            <w:hideMark/>
          </w:tcPr>
          <w:p w14:paraId="4F213B9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0,1</w:t>
            </w:r>
          </w:p>
        </w:tc>
        <w:tc>
          <w:tcPr>
            <w:tcW w:w="1960" w:type="dxa"/>
            <w:tcBorders>
              <w:top w:val="nil"/>
              <w:left w:val="single" w:sz="4" w:space="0" w:color="auto"/>
              <w:bottom w:val="nil"/>
              <w:right w:val="single" w:sz="4" w:space="0" w:color="auto"/>
            </w:tcBorders>
            <w:shd w:val="clear" w:color="auto" w:fill="auto"/>
            <w:noWrap/>
            <w:vAlign w:val="center"/>
            <w:hideMark/>
          </w:tcPr>
          <w:p w14:paraId="48F7D7F0"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5,9</w:t>
            </w:r>
          </w:p>
        </w:tc>
      </w:tr>
      <w:tr w:rsidR="0090051C" w:rsidRPr="008D0165" w14:paraId="092D9607"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66A16B8B"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63</w:t>
            </w:r>
          </w:p>
        </w:tc>
        <w:tc>
          <w:tcPr>
            <w:tcW w:w="1960" w:type="dxa"/>
            <w:tcBorders>
              <w:top w:val="nil"/>
              <w:left w:val="single" w:sz="4" w:space="0" w:color="auto"/>
              <w:bottom w:val="nil"/>
              <w:right w:val="single" w:sz="4" w:space="0" w:color="auto"/>
            </w:tcBorders>
            <w:shd w:val="clear" w:color="auto" w:fill="auto"/>
            <w:noWrap/>
            <w:vAlign w:val="center"/>
            <w:hideMark/>
          </w:tcPr>
          <w:p w14:paraId="59A79C05"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3,3</w:t>
            </w:r>
          </w:p>
        </w:tc>
        <w:tc>
          <w:tcPr>
            <w:tcW w:w="1960" w:type="dxa"/>
            <w:tcBorders>
              <w:top w:val="nil"/>
              <w:left w:val="nil"/>
              <w:bottom w:val="nil"/>
              <w:right w:val="nil"/>
            </w:tcBorders>
            <w:shd w:val="clear" w:color="auto" w:fill="auto"/>
            <w:noWrap/>
            <w:vAlign w:val="center"/>
            <w:hideMark/>
          </w:tcPr>
          <w:p w14:paraId="0E19549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nil"/>
              <w:left w:val="single" w:sz="4" w:space="0" w:color="auto"/>
              <w:bottom w:val="nil"/>
              <w:right w:val="single" w:sz="4" w:space="0" w:color="auto"/>
            </w:tcBorders>
            <w:shd w:val="clear" w:color="auto" w:fill="auto"/>
            <w:noWrap/>
            <w:vAlign w:val="center"/>
            <w:hideMark/>
          </w:tcPr>
          <w:p w14:paraId="7CCE15F7"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3,3</w:t>
            </w:r>
          </w:p>
        </w:tc>
      </w:tr>
      <w:tr w:rsidR="0090051C" w:rsidRPr="008D0165" w14:paraId="63B127E2"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34E1303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64</w:t>
            </w:r>
          </w:p>
        </w:tc>
        <w:tc>
          <w:tcPr>
            <w:tcW w:w="1960" w:type="dxa"/>
            <w:tcBorders>
              <w:top w:val="nil"/>
              <w:left w:val="single" w:sz="4" w:space="0" w:color="auto"/>
              <w:bottom w:val="nil"/>
              <w:right w:val="single" w:sz="4" w:space="0" w:color="auto"/>
            </w:tcBorders>
            <w:shd w:val="clear" w:color="auto" w:fill="auto"/>
            <w:noWrap/>
            <w:vAlign w:val="center"/>
            <w:hideMark/>
          </w:tcPr>
          <w:p w14:paraId="3E042F49"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1,9</w:t>
            </w:r>
          </w:p>
        </w:tc>
        <w:tc>
          <w:tcPr>
            <w:tcW w:w="1960" w:type="dxa"/>
            <w:tcBorders>
              <w:top w:val="nil"/>
              <w:left w:val="nil"/>
              <w:bottom w:val="nil"/>
              <w:right w:val="nil"/>
            </w:tcBorders>
            <w:shd w:val="clear" w:color="auto" w:fill="auto"/>
            <w:noWrap/>
            <w:vAlign w:val="center"/>
            <w:hideMark/>
          </w:tcPr>
          <w:p w14:paraId="4196D3EB"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0,0</w:t>
            </w:r>
          </w:p>
        </w:tc>
        <w:tc>
          <w:tcPr>
            <w:tcW w:w="1960" w:type="dxa"/>
            <w:tcBorders>
              <w:top w:val="nil"/>
              <w:left w:val="single" w:sz="4" w:space="0" w:color="auto"/>
              <w:bottom w:val="nil"/>
              <w:right w:val="single" w:sz="4" w:space="0" w:color="auto"/>
            </w:tcBorders>
            <w:shd w:val="clear" w:color="auto" w:fill="auto"/>
            <w:noWrap/>
            <w:vAlign w:val="center"/>
            <w:hideMark/>
          </w:tcPr>
          <w:p w14:paraId="524CB46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1,9</w:t>
            </w:r>
          </w:p>
        </w:tc>
      </w:tr>
      <w:tr w:rsidR="0090051C" w:rsidRPr="008D0165" w14:paraId="41E89DA4"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1E53F4D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65</w:t>
            </w:r>
          </w:p>
        </w:tc>
        <w:tc>
          <w:tcPr>
            <w:tcW w:w="1960" w:type="dxa"/>
            <w:tcBorders>
              <w:top w:val="nil"/>
              <w:left w:val="single" w:sz="4" w:space="0" w:color="auto"/>
              <w:bottom w:val="nil"/>
              <w:right w:val="single" w:sz="4" w:space="0" w:color="auto"/>
            </w:tcBorders>
            <w:shd w:val="clear" w:color="auto" w:fill="auto"/>
            <w:noWrap/>
            <w:vAlign w:val="center"/>
            <w:hideMark/>
          </w:tcPr>
          <w:p w14:paraId="15E50A51"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116,2</w:t>
            </w:r>
          </w:p>
        </w:tc>
        <w:tc>
          <w:tcPr>
            <w:tcW w:w="1960" w:type="dxa"/>
            <w:tcBorders>
              <w:top w:val="nil"/>
              <w:left w:val="nil"/>
              <w:bottom w:val="nil"/>
              <w:right w:val="nil"/>
            </w:tcBorders>
            <w:shd w:val="clear" w:color="auto" w:fill="auto"/>
            <w:noWrap/>
            <w:vAlign w:val="center"/>
            <w:hideMark/>
          </w:tcPr>
          <w:p w14:paraId="0EC984F8"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114,0</w:t>
            </w:r>
          </w:p>
        </w:tc>
        <w:tc>
          <w:tcPr>
            <w:tcW w:w="1960" w:type="dxa"/>
            <w:tcBorders>
              <w:top w:val="nil"/>
              <w:left w:val="single" w:sz="4" w:space="0" w:color="auto"/>
              <w:bottom w:val="nil"/>
              <w:right w:val="single" w:sz="4" w:space="0" w:color="auto"/>
            </w:tcBorders>
            <w:shd w:val="clear" w:color="auto" w:fill="auto"/>
            <w:noWrap/>
            <w:vAlign w:val="center"/>
            <w:hideMark/>
          </w:tcPr>
          <w:p w14:paraId="63FED2C4"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2,2</w:t>
            </w:r>
          </w:p>
        </w:tc>
      </w:tr>
      <w:tr w:rsidR="0090051C" w:rsidRPr="008D0165" w14:paraId="642221F9"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13F480C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66</w:t>
            </w:r>
          </w:p>
        </w:tc>
        <w:tc>
          <w:tcPr>
            <w:tcW w:w="1960" w:type="dxa"/>
            <w:tcBorders>
              <w:top w:val="nil"/>
              <w:left w:val="single" w:sz="4" w:space="0" w:color="auto"/>
              <w:bottom w:val="nil"/>
              <w:right w:val="single" w:sz="4" w:space="0" w:color="auto"/>
            </w:tcBorders>
            <w:shd w:val="clear" w:color="auto" w:fill="auto"/>
            <w:noWrap/>
            <w:vAlign w:val="center"/>
            <w:hideMark/>
          </w:tcPr>
          <w:p w14:paraId="25FC66B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4,6</w:t>
            </w:r>
          </w:p>
        </w:tc>
        <w:tc>
          <w:tcPr>
            <w:tcW w:w="1960" w:type="dxa"/>
            <w:tcBorders>
              <w:top w:val="nil"/>
              <w:left w:val="nil"/>
              <w:bottom w:val="nil"/>
              <w:right w:val="nil"/>
            </w:tcBorders>
            <w:shd w:val="clear" w:color="auto" w:fill="auto"/>
            <w:noWrap/>
            <w:vAlign w:val="center"/>
            <w:hideMark/>
          </w:tcPr>
          <w:p w14:paraId="5EFC9AC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3,8</w:t>
            </w:r>
          </w:p>
        </w:tc>
        <w:tc>
          <w:tcPr>
            <w:tcW w:w="1960" w:type="dxa"/>
            <w:tcBorders>
              <w:top w:val="nil"/>
              <w:left w:val="single" w:sz="4" w:space="0" w:color="auto"/>
              <w:bottom w:val="nil"/>
              <w:right w:val="single" w:sz="4" w:space="0" w:color="auto"/>
            </w:tcBorders>
            <w:shd w:val="clear" w:color="auto" w:fill="auto"/>
            <w:noWrap/>
            <w:vAlign w:val="center"/>
            <w:hideMark/>
          </w:tcPr>
          <w:p w14:paraId="1BCB5FAD"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0,8</w:t>
            </w:r>
          </w:p>
        </w:tc>
      </w:tr>
      <w:tr w:rsidR="0090051C" w:rsidRPr="008D0165" w14:paraId="2120E888"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0C7E3B28"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67</w:t>
            </w:r>
          </w:p>
        </w:tc>
        <w:tc>
          <w:tcPr>
            <w:tcW w:w="1960" w:type="dxa"/>
            <w:tcBorders>
              <w:top w:val="nil"/>
              <w:left w:val="single" w:sz="4" w:space="0" w:color="auto"/>
              <w:bottom w:val="nil"/>
              <w:right w:val="single" w:sz="4" w:space="0" w:color="auto"/>
            </w:tcBorders>
            <w:shd w:val="clear" w:color="auto" w:fill="auto"/>
            <w:noWrap/>
            <w:vAlign w:val="center"/>
            <w:hideMark/>
          </w:tcPr>
          <w:p w14:paraId="61B01E0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2,6</w:t>
            </w:r>
          </w:p>
        </w:tc>
        <w:tc>
          <w:tcPr>
            <w:tcW w:w="1960" w:type="dxa"/>
            <w:tcBorders>
              <w:top w:val="nil"/>
              <w:left w:val="nil"/>
              <w:bottom w:val="nil"/>
              <w:right w:val="nil"/>
            </w:tcBorders>
            <w:shd w:val="clear" w:color="auto" w:fill="auto"/>
            <w:noWrap/>
            <w:vAlign w:val="center"/>
            <w:hideMark/>
          </w:tcPr>
          <w:p w14:paraId="3C7C209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2,0</w:t>
            </w:r>
          </w:p>
        </w:tc>
        <w:tc>
          <w:tcPr>
            <w:tcW w:w="1960" w:type="dxa"/>
            <w:tcBorders>
              <w:top w:val="nil"/>
              <w:left w:val="single" w:sz="4" w:space="0" w:color="auto"/>
              <w:bottom w:val="nil"/>
              <w:right w:val="single" w:sz="4" w:space="0" w:color="auto"/>
            </w:tcBorders>
            <w:shd w:val="clear" w:color="auto" w:fill="auto"/>
            <w:noWrap/>
            <w:vAlign w:val="center"/>
            <w:hideMark/>
          </w:tcPr>
          <w:p w14:paraId="00FA65D2"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0,6</w:t>
            </w:r>
          </w:p>
        </w:tc>
      </w:tr>
      <w:tr w:rsidR="0090051C" w:rsidRPr="008D0165" w14:paraId="1D1AD5D5"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06856893"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68</w:t>
            </w:r>
          </w:p>
        </w:tc>
        <w:tc>
          <w:tcPr>
            <w:tcW w:w="1960" w:type="dxa"/>
            <w:tcBorders>
              <w:top w:val="nil"/>
              <w:left w:val="single" w:sz="4" w:space="0" w:color="auto"/>
              <w:bottom w:val="nil"/>
              <w:right w:val="single" w:sz="4" w:space="0" w:color="auto"/>
            </w:tcBorders>
            <w:shd w:val="clear" w:color="auto" w:fill="auto"/>
            <w:noWrap/>
            <w:vAlign w:val="center"/>
            <w:hideMark/>
          </w:tcPr>
          <w:p w14:paraId="4709931A"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1,3</w:t>
            </w:r>
          </w:p>
        </w:tc>
        <w:tc>
          <w:tcPr>
            <w:tcW w:w="1960" w:type="dxa"/>
            <w:tcBorders>
              <w:top w:val="nil"/>
              <w:left w:val="nil"/>
              <w:bottom w:val="nil"/>
              <w:right w:val="nil"/>
            </w:tcBorders>
            <w:shd w:val="clear" w:color="auto" w:fill="auto"/>
            <w:noWrap/>
            <w:vAlign w:val="center"/>
            <w:hideMark/>
          </w:tcPr>
          <w:p w14:paraId="555D1769"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1,0</w:t>
            </w:r>
          </w:p>
        </w:tc>
        <w:tc>
          <w:tcPr>
            <w:tcW w:w="1960" w:type="dxa"/>
            <w:tcBorders>
              <w:top w:val="nil"/>
              <w:left w:val="single" w:sz="4" w:space="0" w:color="auto"/>
              <w:bottom w:val="nil"/>
              <w:right w:val="single" w:sz="4" w:space="0" w:color="auto"/>
            </w:tcBorders>
            <w:shd w:val="clear" w:color="auto" w:fill="auto"/>
            <w:noWrap/>
            <w:vAlign w:val="center"/>
            <w:hideMark/>
          </w:tcPr>
          <w:p w14:paraId="6F57F9E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0,3</w:t>
            </w:r>
          </w:p>
        </w:tc>
      </w:tr>
      <w:tr w:rsidR="0090051C" w:rsidRPr="008D0165" w14:paraId="3F687A9B" w14:textId="77777777" w:rsidTr="00E861F0">
        <w:trPr>
          <w:trHeight w:val="340"/>
        </w:trPr>
        <w:tc>
          <w:tcPr>
            <w:tcW w:w="2400" w:type="dxa"/>
            <w:tcBorders>
              <w:top w:val="nil"/>
              <w:left w:val="single" w:sz="4" w:space="0" w:color="auto"/>
              <w:bottom w:val="nil"/>
              <w:right w:val="nil"/>
            </w:tcBorders>
            <w:shd w:val="clear" w:color="auto" w:fill="auto"/>
            <w:noWrap/>
            <w:vAlign w:val="center"/>
            <w:hideMark/>
          </w:tcPr>
          <w:p w14:paraId="298A07C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69</w:t>
            </w:r>
          </w:p>
        </w:tc>
        <w:tc>
          <w:tcPr>
            <w:tcW w:w="1960" w:type="dxa"/>
            <w:tcBorders>
              <w:top w:val="nil"/>
              <w:left w:val="single" w:sz="4" w:space="0" w:color="auto"/>
              <w:bottom w:val="nil"/>
              <w:right w:val="single" w:sz="4" w:space="0" w:color="auto"/>
            </w:tcBorders>
            <w:shd w:val="clear" w:color="auto" w:fill="auto"/>
            <w:noWrap/>
            <w:vAlign w:val="center"/>
            <w:hideMark/>
          </w:tcPr>
          <w:p w14:paraId="2F59F886"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0,9</w:t>
            </w:r>
          </w:p>
        </w:tc>
        <w:tc>
          <w:tcPr>
            <w:tcW w:w="1960" w:type="dxa"/>
            <w:tcBorders>
              <w:top w:val="nil"/>
              <w:left w:val="nil"/>
              <w:bottom w:val="nil"/>
              <w:right w:val="nil"/>
            </w:tcBorders>
            <w:shd w:val="clear" w:color="auto" w:fill="auto"/>
            <w:noWrap/>
            <w:vAlign w:val="center"/>
            <w:hideMark/>
          </w:tcPr>
          <w:p w14:paraId="299FF73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0,6</w:t>
            </w:r>
          </w:p>
        </w:tc>
        <w:tc>
          <w:tcPr>
            <w:tcW w:w="1960" w:type="dxa"/>
            <w:tcBorders>
              <w:top w:val="nil"/>
              <w:left w:val="single" w:sz="4" w:space="0" w:color="auto"/>
              <w:bottom w:val="nil"/>
              <w:right w:val="single" w:sz="4" w:space="0" w:color="auto"/>
            </w:tcBorders>
            <w:shd w:val="clear" w:color="auto" w:fill="auto"/>
            <w:noWrap/>
            <w:vAlign w:val="center"/>
            <w:hideMark/>
          </w:tcPr>
          <w:p w14:paraId="78DC885E"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0,2</w:t>
            </w:r>
          </w:p>
        </w:tc>
      </w:tr>
      <w:tr w:rsidR="0090051C" w:rsidRPr="008D0165" w14:paraId="6BB6CC5F" w14:textId="77777777" w:rsidTr="008C0CDB">
        <w:trPr>
          <w:trHeight w:val="302"/>
        </w:trPr>
        <w:tc>
          <w:tcPr>
            <w:tcW w:w="2400" w:type="dxa"/>
            <w:tcBorders>
              <w:top w:val="nil"/>
              <w:left w:val="single" w:sz="4" w:space="0" w:color="auto"/>
              <w:bottom w:val="single" w:sz="4" w:space="0" w:color="auto"/>
              <w:right w:val="nil"/>
            </w:tcBorders>
            <w:shd w:val="clear" w:color="auto" w:fill="auto"/>
            <w:noWrap/>
            <w:vAlign w:val="center"/>
            <w:hideMark/>
          </w:tcPr>
          <w:p w14:paraId="26345AE9"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70 i więcej</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9064E0"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1,1</w:t>
            </w:r>
          </w:p>
        </w:tc>
        <w:tc>
          <w:tcPr>
            <w:tcW w:w="1960" w:type="dxa"/>
            <w:tcBorders>
              <w:top w:val="nil"/>
              <w:left w:val="nil"/>
              <w:bottom w:val="single" w:sz="4" w:space="0" w:color="auto"/>
              <w:right w:val="nil"/>
            </w:tcBorders>
            <w:shd w:val="clear" w:color="auto" w:fill="auto"/>
            <w:noWrap/>
            <w:vAlign w:val="center"/>
            <w:hideMark/>
          </w:tcPr>
          <w:p w14:paraId="5B7AC31C"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9BEBEE" w14:textId="77777777" w:rsidR="0090051C" w:rsidRPr="00FC39E3" w:rsidRDefault="0090051C" w:rsidP="00E861F0">
            <w:pPr>
              <w:spacing w:after="0" w:line="240" w:lineRule="auto"/>
              <w:jc w:val="center"/>
              <w:rPr>
                <w:rFonts w:eastAsia="Times New Roman" w:cstheme="minorHAnsi"/>
                <w:color w:val="000000"/>
                <w:sz w:val="20"/>
                <w:szCs w:val="20"/>
                <w:lang w:eastAsia="pl-PL"/>
              </w:rPr>
            </w:pPr>
            <w:r w:rsidRPr="00FC39E3">
              <w:rPr>
                <w:rFonts w:eastAsia="Times New Roman" w:cstheme="minorHAnsi"/>
                <w:color w:val="000000"/>
                <w:sz w:val="20"/>
                <w:szCs w:val="20"/>
                <w:lang w:eastAsia="pl-PL"/>
              </w:rPr>
              <w:t>0,3</w:t>
            </w:r>
          </w:p>
        </w:tc>
      </w:tr>
      <w:tr w:rsidR="0090051C" w:rsidRPr="008D0165" w14:paraId="65B2F5EB" w14:textId="77777777" w:rsidTr="00E861F0">
        <w:trPr>
          <w:trHeight w:val="340"/>
        </w:trPr>
        <w:tc>
          <w:tcPr>
            <w:tcW w:w="240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ECB3A37" w14:textId="77777777" w:rsidR="0090051C" w:rsidRPr="00FC39E3" w:rsidRDefault="0090051C" w:rsidP="00E861F0">
            <w:pPr>
              <w:spacing w:after="0" w:line="240" w:lineRule="auto"/>
              <w:jc w:val="center"/>
              <w:rPr>
                <w:rFonts w:eastAsia="Times New Roman" w:cstheme="minorHAnsi"/>
                <w:b/>
                <w:bCs/>
                <w:color w:val="000000"/>
                <w:sz w:val="20"/>
                <w:szCs w:val="20"/>
                <w:lang w:eastAsia="pl-PL"/>
              </w:rPr>
            </w:pPr>
            <w:r w:rsidRPr="00FC39E3">
              <w:rPr>
                <w:rFonts w:eastAsia="Times New Roman" w:cstheme="minorHAnsi"/>
                <w:b/>
                <w:bCs/>
                <w:color w:val="000000"/>
                <w:sz w:val="20"/>
                <w:szCs w:val="20"/>
                <w:lang w:eastAsia="pl-PL"/>
              </w:rPr>
              <w:t>Średni wiek</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14:paraId="35854ACA" w14:textId="77777777" w:rsidR="0090051C" w:rsidRPr="00FC39E3" w:rsidRDefault="0090051C" w:rsidP="00E861F0">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62,5</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14:paraId="5592F60E" w14:textId="77777777" w:rsidR="0090051C" w:rsidRPr="00FC39E3" w:rsidRDefault="0090051C" w:rsidP="00E861F0">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65,2</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14:paraId="01F66CA7" w14:textId="77777777" w:rsidR="0090051C" w:rsidRPr="00FC39E3" w:rsidRDefault="0090051C" w:rsidP="00E861F0">
            <w:pPr>
              <w:spacing w:after="0" w:line="240" w:lineRule="auto"/>
              <w:jc w:val="center"/>
              <w:rPr>
                <w:rFonts w:eastAsia="Times New Roman" w:cstheme="minorHAnsi"/>
                <w:b/>
                <w:bCs/>
                <w:sz w:val="20"/>
                <w:szCs w:val="20"/>
                <w:lang w:eastAsia="pl-PL"/>
              </w:rPr>
            </w:pPr>
            <w:r w:rsidRPr="00FC39E3">
              <w:rPr>
                <w:rFonts w:eastAsia="Times New Roman" w:cstheme="minorHAnsi"/>
                <w:b/>
                <w:bCs/>
                <w:sz w:val="20"/>
                <w:szCs w:val="20"/>
                <w:lang w:eastAsia="pl-PL"/>
              </w:rPr>
              <w:t>60,6</w:t>
            </w:r>
          </w:p>
        </w:tc>
      </w:tr>
    </w:tbl>
    <w:p w14:paraId="1D911B82" w14:textId="74309974" w:rsidR="0090051C" w:rsidRPr="00A77D1A" w:rsidRDefault="0090051C" w:rsidP="00FC773A">
      <w:pPr>
        <w:autoSpaceDE w:val="0"/>
        <w:autoSpaceDN w:val="0"/>
        <w:adjustRightInd w:val="0"/>
        <w:spacing w:after="0" w:line="240" w:lineRule="auto"/>
        <w:jc w:val="both"/>
        <w:rPr>
          <w:rFonts w:cstheme="minorHAnsi"/>
          <w:iCs/>
          <w:color w:val="000000"/>
          <w:sz w:val="18"/>
          <w:szCs w:val="18"/>
        </w:rPr>
      </w:pPr>
      <w:r w:rsidRPr="00A77D1A">
        <w:rPr>
          <w:rFonts w:cstheme="minorHAnsi"/>
          <w:iCs/>
          <w:color w:val="000000"/>
          <w:sz w:val="18"/>
          <w:szCs w:val="18"/>
          <w:vertAlign w:val="superscript"/>
        </w:rPr>
        <w:t>*)</w:t>
      </w:r>
      <w:r w:rsidR="00B31687">
        <w:rPr>
          <w:rFonts w:cstheme="minorHAnsi"/>
          <w:iCs/>
          <w:color w:val="000000"/>
          <w:sz w:val="18"/>
          <w:szCs w:val="18"/>
        </w:rPr>
        <w:t xml:space="preserve"> B</w:t>
      </w:r>
      <w:r w:rsidRPr="00A77D1A">
        <w:rPr>
          <w:rFonts w:cstheme="minorHAnsi"/>
          <w:iCs/>
          <w:color w:val="000000"/>
          <w:sz w:val="18"/>
          <w:szCs w:val="18"/>
        </w:rPr>
        <w:t>ez świadczeń realizowanych na mocy umów międzynarodowych oraz bez świadczeń pobieranych łącznie ze świadczeniami rolniczymi, bez emerytur pomostowych</w:t>
      </w:r>
      <w:r w:rsidR="00B31687">
        <w:rPr>
          <w:rFonts w:cstheme="minorHAnsi"/>
          <w:iCs/>
          <w:color w:val="000000"/>
          <w:sz w:val="18"/>
          <w:szCs w:val="18"/>
        </w:rPr>
        <w:t>.</w:t>
      </w:r>
    </w:p>
    <w:p w14:paraId="73FFFBDF" w14:textId="64659B95" w:rsidR="005A5E73" w:rsidRDefault="0090051C" w:rsidP="008C0CDB">
      <w:pPr>
        <w:autoSpaceDE w:val="0"/>
        <w:autoSpaceDN w:val="0"/>
        <w:adjustRightInd w:val="0"/>
        <w:spacing w:after="0" w:line="240" w:lineRule="auto"/>
        <w:jc w:val="both"/>
        <w:rPr>
          <w:rFonts w:cstheme="minorHAnsi"/>
          <w:color w:val="000000"/>
          <w:sz w:val="18"/>
          <w:szCs w:val="18"/>
        </w:rPr>
      </w:pPr>
      <w:r w:rsidRPr="00A77D1A">
        <w:rPr>
          <w:rFonts w:cstheme="minorHAnsi"/>
          <w:iCs/>
          <w:color w:val="000000"/>
          <w:sz w:val="18"/>
          <w:szCs w:val="18"/>
          <w:vertAlign w:val="superscript"/>
        </w:rPr>
        <w:t>**)</w:t>
      </w:r>
      <w:r w:rsidR="00B31687">
        <w:rPr>
          <w:rFonts w:cstheme="minorHAnsi"/>
          <w:iCs/>
          <w:color w:val="000000"/>
          <w:sz w:val="18"/>
          <w:szCs w:val="18"/>
        </w:rPr>
        <w:t xml:space="preserve"> Z</w:t>
      </w:r>
      <w:r w:rsidRPr="00A77D1A">
        <w:rPr>
          <w:rFonts w:cstheme="minorHAnsi"/>
          <w:iCs/>
          <w:color w:val="000000"/>
          <w:sz w:val="18"/>
          <w:szCs w:val="18"/>
        </w:rPr>
        <w:t>e względu na zaokrąglenia danych w niektórych przypadkach sumy składników mogą się nieznacznie różnić od podanych wielkości ogół</w:t>
      </w:r>
      <w:r w:rsidR="00F32B16" w:rsidRPr="00A77D1A">
        <w:rPr>
          <w:rFonts w:cstheme="minorHAnsi"/>
          <w:iCs/>
          <w:color w:val="000000"/>
          <w:sz w:val="18"/>
          <w:szCs w:val="18"/>
        </w:rPr>
        <w:t>em</w:t>
      </w:r>
      <w:r w:rsidR="00B31687">
        <w:rPr>
          <w:rFonts w:cstheme="minorHAnsi"/>
          <w:iCs/>
          <w:color w:val="000000"/>
          <w:sz w:val="18"/>
          <w:szCs w:val="18"/>
        </w:rPr>
        <w:t>.</w:t>
      </w:r>
    </w:p>
    <w:p w14:paraId="385EFCE0" w14:textId="6986D0AA" w:rsidR="00CA0A53" w:rsidRPr="00CA0A53" w:rsidRDefault="00D13C34" w:rsidP="008C0CDB">
      <w:pPr>
        <w:autoSpaceDE w:val="0"/>
        <w:autoSpaceDN w:val="0"/>
        <w:adjustRightInd w:val="0"/>
        <w:spacing w:after="0" w:line="240" w:lineRule="auto"/>
        <w:jc w:val="both"/>
        <w:rPr>
          <w:rFonts w:cstheme="minorHAnsi"/>
          <w:iCs/>
          <w:color w:val="000000"/>
          <w:sz w:val="18"/>
          <w:szCs w:val="18"/>
        </w:rPr>
      </w:pPr>
      <w:r>
        <w:rPr>
          <w:rFonts w:cstheme="minorHAnsi"/>
          <w:color w:val="000000"/>
          <w:sz w:val="18"/>
          <w:szCs w:val="18"/>
        </w:rPr>
        <w:t>Źródło: ZUS</w:t>
      </w:r>
    </w:p>
    <w:p w14:paraId="22269C3C" w14:textId="77777777" w:rsidR="005D46F2" w:rsidRPr="008D0165" w:rsidRDefault="00EF36B4" w:rsidP="00FC39E3">
      <w:pPr>
        <w:pStyle w:val="Akapitzlist"/>
        <w:numPr>
          <w:ilvl w:val="0"/>
          <w:numId w:val="14"/>
        </w:numPr>
        <w:spacing w:before="120" w:after="120" w:line="23" w:lineRule="atLeast"/>
        <w:ind w:left="284" w:hanging="284"/>
        <w:contextualSpacing w:val="0"/>
        <w:rPr>
          <w:b/>
          <w:sz w:val="24"/>
          <w:szCs w:val="24"/>
        </w:rPr>
      </w:pPr>
      <w:r w:rsidRPr="008D0165">
        <w:rPr>
          <w:b/>
          <w:sz w:val="24"/>
          <w:szCs w:val="24"/>
        </w:rPr>
        <w:t>Wpływ ustawy przywracającej wiek emerytalny na rynek pracy</w:t>
      </w:r>
    </w:p>
    <w:p w14:paraId="3E4466CA" w14:textId="0CD7782E" w:rsidR="00C852D1" w:rsidRPr="008D0165" w:rsidRDefault="00E828B5" w:rsidP="00C852D1">
      <w:pPr>
        <w:jc w:val="both"/>
        <w:rPr>
          <w:rFonts w:cstheme="minorHAnsi"/>
          <w:bCs/>
          <w:sz w:val="24"/>
          <w:szCs w:val="24"/>
        </w:rPr>
      </w:pPr>
      <w:r w:rsidRPr="008D0165">
        <w:rPr>
          <w:rFonts w:cstheme="minorHAnsi"/>
          <w:bCs/>
          <w:sz w:val="24"/>
          <w:szCs w:val="24"/>
        </w:rPr>
        <w:t>Od</w:t>
      </w:r>
      <w:r w:rsidR="00C852D1" w:rsidRPr="008D0165">
        <w:rPr>
          <w:rFonts w:cstheme="minorHAnsi"/>
          <w:bCs/>
          <w:sz w:val="24"/>
          <w:szCs w:val="24"/>
        </w:rPr>
        <w:t xml:space="preserve"> 201</w:t>
      </w:r>
      <w:r w:rsidRPr="008D0165">
        <w:rPr>
          <w:rFonts w:cstheme="minorHAnsi"/>
          <w:bCs/>
          <w:sz w:val="24"/>
          <w:szCs w:val="24"/>
        </w:rPr>
        <w:t>3 r. rozpoczęto</w:t>
      </w:r>
      <w:r w:rsidR="00C852D1" w:rsidRPr="008D0165">
        <w:rPr>
          <w:rFonts w:cstheme="minorHAnsi"/>
          <w:bCs/>
          <w:sz w:val="24"/>
          <w:szCs w:val="24"/>
        </w:rPr>
        <w:t xml:space="preserve"> stopniow</w:t>
      </w:r>
      <w:r w:rsidR="005916E3">
        <w:rPr>
          <w:rFonts w:cstheme="minorHAnsi"/>
          <w:bCs/>
          <w:sz w:val="24"/>
          <w:szCs w:val="24"/>
        </w:rPr>
        <w:t>e</w:t>
      </w:r>
      <w:r w:rsidR="00C852D1" w:rsidRPr="008D0165">
        <w:rPr>
          <w:rFonts w:cstheme="minorHAnsi"/>
          <w:bCs/>
          <w:sz w:val="24"/>
          <w:szCs w:val="24"/>
        </w:rPr>
        <w:t xml:space="preserve"> podnos</w:t>
      </w:r>
      <w:r w:rsidR="005916E3">
        <w:rPr>
          <w:rFonts w:cstheme="minorHAnsi"/>
          <w:bCs/>
          <w:sz w:val="24"/>
          <w:szCs w:val="24"/>
        </w:rPr>
        <w:t>zenie</w:t>
      </w:r>
      <w:r w:rsidR="00C852D1" w:rsidRPr="008D0165">
        <w:rPr>
          <w:rFonts w:cstheme="minorHAnsi"/>
          <w:bCs/>
          <w:sz w:val="24"/>
          <w:szCs w:val="24"/>
        </w:rPr>
        <w:t xml:space="preserve"> wiek</w:t>
      </w:r>
      <w:r w:rsidR="005916E3">
        <w:rPr>
          <w:rFonts w:cstheme="minorHAnsi"/>
          <w:bCs/>
          <w:sz w:val="24"/>
          <w:szCs w:val="24"/>
        </w:rPr>
        <w:t>u</w:t>
      </w:r>
      <w:r w:rsidR="00C852D1" w:rsidRPr="008D0165">
        <w:rPr>
          <w:rFonts w:cstheme="minorHAnsi"/>
          <w:bCs/>
          <w:sz w:val="24"/>
          <w:szCs w:val="24"/>
        </w:rPr>
        <w:t xml:space="preserve"> emerytaln</w:t>
      </w:r>
      <w:r w:rsidR="005916E3">
        <w:rPr>
          <w:rFonts w:cstheme="minorHAnsi"/>
          <w:bCs/>
          <w:sz w:val="24"/>
          <w:szCs w:val="24"/>
        </w:rPr>
        <w:t>ego</w:t>
      </w:r>
      <w:r w:rsidR="00C852D1" w:rsidRPr="008D0165">
        <w:rPr>
          <w:rFonts w:cstheme="minorHAnsi"/>
          <w:bCs/>
          <w:sz w:val="24"/>
          <w:szCs w:val="24"/>
        </w:rPr>
        <w:t xml:space="preserve"> do poziomu 67 lat, tak by poziom ten został osiągnięty dla mężczyzn do końca 2020</w:t>
      </w:r>
      <w:r w:rsidRPr="008D0165">
        <w:rPr>
          <w:rFonts w:cstheme="minorHAnsi"/>
          <w:bCs/>
          <w:sz w:val="24"/>
          <w:szCs w:val="24"/>
        </w:rPr>
        <w:t xml:space="preserve"> r.</w:t>
      </w:r>
      <w:r w:rsidR="00C852D1" w:rsidRPr="008D0165">
        <w:rPr>
          <w:rFonts w:cstheme="minorHAnsi"/>
          <w:bCs/>
          <w:sz w:val="24"/>
          <w:szCs w:val="24"/>
        </w:rPr>
        <w:t>, a dla kobiet do końca 2040</w:t>
      </w:r>
      <w:r w:rsidRPr="008D0165">
        <w:rPr>
          <w:rFonts w:cstheme="minorHAnsi"/>
          <w:bCs/>
          <w:sz w:val="24"/>
          <w:szCs w:val="24"/>
        </w:rPr>
        <w:t xml:space="preserve"> r</w:t>
      </w:r>
      <w:r w:rsidR="00C852D1" w:rsidRPr="008D0165">
        <w:rPr>
          <w:rFonts w:cstheme="minorHAnsi"/>
          <w:bCs/>
          <w:sz w:val="24"/>
          <w:szCs w:val="24"/>
        </w:rPr>
        <w:t xml:space="preserve">. </w:t>
      </w:r>
      <w:r w:rsidR="003A4899">
        <w:rPr>
          <w:rFonts w:cstheme="minorHAnsi"/>
          <w:bCs/>
          <w:sz w:val="24"/>
          <w:szCs w:val="24"/>
        </w:rPr>
        <w:t>Od</w:t>
      </w:r>
      <w:r w:rsidR="00D13C34">
        <w:rPr>
          <w:rFonts w:cstheme="minorHAnsi"/>
          <w:bCs/>
          <w:sz w:val="24"/>
          <w:szCs w:val="24"/>
        </w:rPr>
        <w:t> </w:t>
      </w:r>
      <w:r w:rsidR="003A4899">
        <w:rPr>
          <w:rFonts w:cstheme="minorHAnsi"/>
          <w:bCs/>
          <w:sz w:val="24"/>
          <w:szCs w:val="24"/>
        </w:rPr>
        <w:t>1</w:t>
      </w:r>
      <w:r w:rsidR="00D13C34">
        <w:rPr>
          <w:rFonts w:cstheme="minorHAnsi"/>
          <w:bCs/>
          <w:sz w:val="24"/>
          <w:szCs w:val="24"/>
        </w:rPr>
        <w:t> </w:t>
      </w:r>
      <w:r w:rsidR="003A4899">
        <w:rPr>
          <w:rFonts w:cstheme="minorHAnsi"/>
          <w:bCs/>
          <w:sz w:val="24"/>
          <w:szCs w:val="24"/>
        </w:rPr>
        <w:t xml:space="preserve">października 2017 r. </w:t>
      </w:r>
      <w:r w:rsidR="00C852D1" w:rsidRPr="008D0165">
        <w:rPr>
          <w:rFonts w:cstheme="minorHAnsi"/>
          <w:bCs/>
          <w:sz w:val="24"/>
          <w:szCs w:val="24"/>
        </w:rPr>
        <w:t>przywrócono wiek emerytalny dla kobiet 60 lat i dla mężczyzn 65</w:t>
      </w:r>
      <w:r w:rsidR="00D13C34">
        <w:rPr>
          <w:rFonts w:cstheme="minorHAnsi"/>
          <w:bCs/>
          <w:sz w:val="24"/>
          <w:szCs w:val="24"/>
        </w:rPr>
        <w:t> </w:t>
      </w:r>
      <w:r w:rsidR="00C852D1" w:rsidRPr="008D0165">
        <w:rPr>
          <w:rFonts w:cstheme="minorHAnsi"/>
          <w:bCs/>
          <w:sz w:val="24"/>
          <w:szCs w:val="24"/>
        </w:rPr>
        <w:t xml:space="preserve">lat. </w:t>
      </w:r>
      <w:r w:rsidRPr="008D0165">
        <w:rPr>
          <w:rFonts w:cstheme="minorHAnsi"/>
          <w:bCs/>
          <w:sz w:val="24"/>
          <w:szCs w:val="24"/>
        </w:rPr>
        <w:t>D</w:t>
      </w:r>
      <w:r w:rsidR="00C852D1" w:rsidRPr="008D0165">
        <w:rPr>
          <w:rFonts w:cstheme="minorHAnsi"/>
          <w:bCs/>
          <w:sz w:val="24"/>
          <w:szCs w:val="24"/>
        </w:rPr>
        <w:t xml:space="preserve">ecyzja </w:t>
      </w:r>
      <w:r w:rsidRPr="008D0165">
        <w:rPr>
          <w:rFonts w:cstheme="minorHAnsi"/>
          <w:bCs/>
          <w:sz w:val="24"/>
          <w:szCs w:val="24"/>
        </w:rPr>
        <w:t>o</w:t>
      </w:r>
      <w:r w:rsidR="00C852D1" w:rsidRPr="008D0165">
        <w:rPr>
          <w:rFonts w:cstheme="minorHAnsi"/>
          <w:bCs/>
          <w:sz w:val="24"/>
          <w:szCs w:val="24"/>
        </w:rPr>
        <w:t xml:space="preserve"> zakończeni</w:t>
      </w:r>
      <w:r w:rsidRPr="008D0165">
        <w:rPr>
          <w:rFonts w:cstheme="minorHAnsi"/>
          <w:bCs/>
          <w:sz w:val="24"/>
          <w:szCs w:val="24"/>
        </w:rPr>
        <w:t>u</w:t>
      </w:r>
      <w:r w:rsidR="00C852D1" w:rsidRPr="008D0165">
        <w:rPr>
          <w:rFonts w:cstheme="minorHAnsi"/>
          <w:bCs/>
          <w:sz w:val="24"/>
          <w:szCs w:val="24"/>
        </w:rPr>
        <w:t xml:space="preserve"> aktywności zawodowej jest po</w:t>
      </w:r>
      <w:r w:rsidR="00C852D1" w:rsidRPr="008D0165">
        <w:rPr>
          <w:rFonts w:cstheme="minorHAnsi"/>
          <w:bCs/>
          <w:sz w:val="24"/>
          <w:szCs w:val="24"/>
        </w:rPr>
        <w:lastRenderedPageBreak/>
        <w:t>dejmowana przez każdego indywidualnie i uzależniona</w:t>
      </w:r>
      <w:r w:rsidRPr="008D0165">
        <w:rPr>
          <w:rFonts w:cstheme="minorHAnsi"/>
          <w:bCs/>
          <w:sz w:val="24"/>
          <w:szCs w:val="24"/>
        </w:rPr>
        <w:t xml:space="preserve"> jest</w:t>
      </w:r>
      <w:r w:rsidR="00C852D1" w:rsidRPr="008D0165">
        <w:rPr>
          <w:rFonts w:cstheme="minorHAnsi"/>
          <w:bCs/>
          <w:sz w:val="24"/>
          <w:szCs w:val="24"/>
        </w:rPr>
        <w:t xml:space="preserve"> od osobistych uwarunkowań, w tym np. stanu zdrowia. Poziom aktywności osób starszych na rynku pracy nie tyle zależy od ustawowego wieku emerytalnego, </w:t>
      </w:r>
      <w:r w:rsidR="00990E71">
        <w:rPr>
          <w:rFonts w:cstheme="minorHAnsi"/>
          <w:bCs/>
          <w:sz w:val="24"/>
          <w:szCs w:val="24"/>
        </w:rPr>
        <w:t>co</w:t>
      </w:r>
      <w:r w:rsidR="00D13C34">
        <w:rPr>
          <w:rFonts w:cstheme="minorHAnsi"/>
          <w:bCs/>
          <w:sz w:val="24"/>
          <w:szCs w:val="24"/>
        </w:rPr>
        <w:t> </w:t>
      </w:r>
      <w:r w:rsidR="00990E71">
        <w:rPr>
          <w:rFonts w:cstheme="minorHAnsi"/>
          <w:bCs/>
          <w:sz w:val="24"/>
          <w:szCs w:val="24"/>
        </w:rPr>
        <w:t>od</w:t>
      </w:r>
      <w:r w:rsidR="00D13C34">
        <w:rPr>
          <w:rFonts w:cstheme="minorHAnsi"/>
          <w:bCs/>
          <w:sz w:val="24"/>
          <w:szCs w:val="24"/>
        </w:rPr>
        <w:t> </w:t>
      </w:r>
      <w:r w:rsidR="00990E71">
        <w:rPr>
          <w:rFonts w:cstheme="minorHAnsi"/>
          <w:bCs/>
          <w:sz w:val="24"/>
          <w:szCs w:val="24"/>
        </w:rPr>
        <w:t xml:space="preserve">sytuacji na rynku pracy. </w:t>
      </w:r>
    </w:p>
    <w:p w14:paraId="612827AD" w14:textId="68E6C047" w:rsidR="00C852D1" w:rsidRPr="008D0165" w:rsidRDefault="00C852D1" w:rsidP="00C852D1">
      <w:pPr>
        <w:jc w:val="both"/>
        <w:rPr>
          <w:rFonts w:cstheme="minorHAnsi"/>
          <w:bCs/>
          <w:sz w:val="24"/>
          <w:szCs w:val="24"/>
        </w:rPr>
      </w:pPr>
      <w:r w:rsidRPr="008D0165">
        <w:rPr>
          <w:rFonts w:cstheme="minorHAnsi"/>
          <w:bCs/>
          <w:sz w:val="24"/>
          <w:szCs w:val="24"/>
        </w:rPr>
        <w:t>W latach 2012</w:t>
      </w:r>
      <w:r w:rsidR="00A435C2">
        <w:rPr>
          <w:rFonts w:cstheme="minorHAnsi"/>
          <w:bCs/>
          <w:sz w:val="24"/>
          <w:szCs w:val="24"/>
        </w:rPr>
        <w:t>–</w:t>
      </w:r>
      <w:r w:rsidRPr="008D0165">
        <w:rPr>
          <w:rFonts w:cstheme="minorHAnsi"/>
          <w:bCs/>
          <w:sz w:val="24"/>
          <w:szCs w:val="24"/>
        </w:rPr>
        <w:t>2013 stopa bezrobocia rejestrowanego w wyniku kryzysu finansowego stopniowo zwiększała się, od 12,5% do 13,3%. Od 2014</w:t>
      </w:r>
      <w:r w:rsidR="00E828B5" w:rsidRPr="008D0165">
        <w:rPr>
          <w:rFonts w:cstheme="minorHAnsi"/>
          <w:bCs/>
          <w:sz w:val="24"/>
          <w:szCs w:val="24"/>
        </w:rPr>
        <w:t xml:space="preserve"> r.</w:t>
      </w:r>
      <w:r w:rsidRPr="008D0165">
        <w:rPr>
          <w:rFonts w:cstheme="minorHAnsi"/>
          <w:bCs/>
          <w:sz w:val="24"/>
          <w:szCs w:val="24"/>
        </w:rPr>
        <w:t xml:space="preserve"> sytuacja na rynku pracy systematycznie poprawiała się. Stopa bezrobocia rejestrowanego spadała z poziomu 13,0%</w:t>
      </w:r>
      <w:r w:rsidR="00D13C34">
        <w:rPr>
          <w:rFonts w:cstheme="minorHAnsi"/>
          <w:bCs/>
          <w:sz w:val="24"/>
          <w:szCs w:val="24"/>
        </w:rPr>
        <w:t> </w:t>
      </w:r>
      <w:r w:rsidRPr="008D0165">
        <w:rPr>
          <w:rFonts w:cstheme="minorHAnsi"/>
          <w:bCs/>
          <w:sz w:val="24"/>
          <w:szCs w:val="24"/>
        </w:rPr>
        <w:t>(liczba osób bezrobotnych 2082,9</w:t>
      </w:r>
      <w:r w:rsidRPr="008D0165" w:rsidDel="005B478D">
        <w:rPr>
          <w:rFonts w:cstheme="minorHAnsi"/>
          <w:bCs/>
          <w:sz w:val="24"/>
          <w:szCs w:val="24"/>
        </w:rPr>
        <w:t xml:space="preserve"> </w:t>
      </w:r>
      <w:r w:rsidRPr="008D0165">
        <w:rPr>
          <w:rFonts w:cstheme="minorHAnsi"/>
          <w:bCs/>
          <w:sz w:val="24"/>
          <w:szCs w:val="24"/>
        </w:rPr>
        <w:t>tys.) w lutym 2014</w:t>
      </w:r>
      <w:r w:rsidR="00E828B5" w:rsidRPr="008D0165">
        <w:rPr>
          <w:rFonts w:cstheme="minorHAnsi"/>
          <w:bCs/>
          <w:sz w:val="24"/>
          <w:szCs w:val="24"/>
        </w:rPr>
        <w:t xml:space="preserve"> r.</w:t>
      </w:r>
      <w:r w:rsidRPr="008D0165">
        <w:rPr>
          <w:rFonts w:cstheme="minorHAnsi"/>
          <w:bCs/>
          <w:sz w:val="24"/>
          <w:szCs w:val="24"/>
        </w:rPr>
        <w:t xml:space="preserve"> do 5,2% (865,6</w:t>
      </w:r>
      <w:r w:rsidRPr="008D0165" w:rsidDel="005B478D">
        <w:rPr>
          <w:rFonts w:cstheme="minorHAnsi"/>
          <w:bCs/>
          <w:sz w:val="24"/>
          <w:szCs w:val="24"/>
        </w:rPr>
        <w:t xml:space="preserve"> </w:t>
      </w:r>
      <w:r w:rsidRPr="008D0165">
        <w:rPr>
          <w:rFonts w:cstheme="minorHAnsi"/>
          <w:bCs/>
          <w:sz w:val="24"/>
          <w:szCs w:val="24"/>
        </w:rPr>
        <w:t>tys.) w lutym 2022</w:t>
      </w:r>
      <w:r w:rsidR="00E81E74">
        <w:rPr>
          <w:rFonts w:cstheme="minorHAnsi"/>
          <w:bCs/>
          <w:sz w:val="24"/>
          <w:szCs w:val="24"/>
        </w:rPr>
        <w:t xml:space="preserve"> </w:t>
      </w:r>
      <w:r w:rsidR="00E828B5" w:rsidRPr="008D0165">
        <w:rPr>
          <w:rFonts w:cstheme="minorHAnsi"/>
          <w:bCs/>
          <w:sz w:val="24"/>
          <w:szCs w:val="24"/>
        </w:rPr>
        <w:t>r.</w:t>
      </w:r>
      <w:r w:rsidRPr="008D0165">
        <w:rPr>
          <w:rStyle w:val="Odwoanieprzypisudolnego"/>
          <w:rFonts w:cstheme="minorHAnsi"/>
          <w:bCs/>
          <w:sz w:val="24"/>
          <w:szCs w:val="24"/>
        </w:rPr>
        <w:footnoteReference w:id="5"/>
      </w:r>
      <w:r w:rsidR="00474D9C">
        <w:rPr>
          <w:rFonts w:cstheme="minorHAnsi"/>
          <w:bCs/>
          <w:sz w:val="24"/>
          <w:szCs w:val="24"/>
          <w:vertAlign w:val="superscript"/>
        </w:rPr>
        <w:t>)</w:t>
      </w:r>
      <w:r w:rsidRPr="008D0165">
        <w:rPr>
          <w:rFonts w:cstheme="minorHAnsi"/>
          <w:bCs/>
          <w:sz w:val="24"/>
          <w:szCs w:val="24"/>
        </w:rPr>
        <w:t xml:space="preserve"> Jedynie kryzys gospodarczy wywołany pandemią C</w:t>
      </w:r>
      <w:r w:rsidR="00932210">
        <w:rPr>
          <w:rFonts w:cstheme="minorHAnsi"/>
          <w:bCs/>
          <w:sz w:val="24"/>
          <w:szCs w:val="24"/>
        </w:rPr>
        <w:t>OVID</w:t>
      </w:r>
      <w:r w:rsidRPr="008D0165">
        <w:rPr>
          <w:rFonts w:cstheme="minorHAnsi"/>
          <w:bCs/>
          <w:sz w:val="24"/>
          <w:szCs w:val="24"/>
        </w:rPr>
        <w:t>-19 spowodował przejściowy wzrost stopy bezrobocia z 5,1% (860,2 tys.) w lutym 2020</w:t>
      </w:r>
      <w:r w:rsidR="00E828B5" w:rsidRPr="008D0165">
        <w:rPr>
          <w:rFonts w:cstheme="minorHAnsi"/>
          <w:bCs/>
          <w:sz w:val="24"/>
          <w:szCs w:val="24"/>
        </w:rPr>
        <w:t xml:space="preserve"> r.</w:t>
      </w:r>
      <w:r w:rsidRPr="008D0165">
        <w:rPr>
          <w:rFonts w:cstheme="minorHAnsi"/>
          <w:bCs/>
          <w:sz w:val="24"/>
          <w:szCs w:val="24"/>
        </w:rPr>
        <w:t xml:space="preserve"> do 6,3% (1046,4 tys.) w grudniu 2020</w:t>
      </w:r>
      <w:r w:rsidR="00E828B5" w:rsidRPr="008D0165">
        <w:rPr>
          <w:rFonts w:cstheme="minorHAnsi"/>
          <w:bCs/>
          <w:sz w:val="24"/>
          <w:szCs w:val="24"/>
        </w:rPr>
        <w:t xml:space="preserve"> r.</w:t>
      </w:r>
      <w:r w:rsidRPr="008D0165">
        <w:rPr>
          <w:rFonts w:cstheme="minorHAnsi"/>
          <w:bCs/>
          <w:sz w:val="24"/>
          <w:szCs w:val="24"/>
        </w:rPr>
        <w:t xml:space="preserve"> Po tym okresie rynek pracy szybko odbudował się. </w:t>
      </w:r>
    </w:p>
    <w:p w14:paraId="5C86FEF3" w14:textId="41AE2CFA" w:rsidR="00C852D1" w:rsidRPr="008D0165" w:rsidRDefault="00C852D1" w:rsidP="00C852D1">
      <w:pPr>
        <w:jc w:val="both"/>
        <w:rPr>
          <w:rFonts w:cstheme="minorHAnsi"/>
          <w:bCs/>
          <w:sz w:val="24"/>
          <w:szCs w:val="24"/>
        </w:rPr>
      </w:pPr>
      <w:r w:rsidRPr="008D0165">
        <w:rPr>
          <w:rFonts w:cstheme="minorHAnsi"/>
          <w:bCs/>
          <w:sz w:val="24"/>
          <w:szCs w:val="24"/>
        </w:rPr>
        <w:t>Wskaźnik zatrudnienia</w:t>
      </w:r>
      <w:r w:rsidRPr="008D0165">
        <w:rPr>
          <w:rStyle w:val="Odwoanieprzypisudolnego"/>
          <w:rFonts w:cstheme="minorHAnsi"/>
          <w:bCs/>
          <w:sz w:val="24"/>
          <w:szCs w:val="24"/>
        </w:rPr>
        <w:footnoteReference w:id="6"/>
      </w:r>
      <w:r w:rsidR="00474D9C">
        <w:rPr>
          <w:rFonts w:cstheme="minorHAnsi"/>
          <w:bCs/>
          <w:sz w:val="24"/>
          <w:szCs w:val="24"/>
          <w:vertAlign w:val="superscript"/>
        </w:rPr>
        <w:t>)</w:t>
      </w:r>
      <w:r w:rsidRPr="008D0165">
        <w:rPr>
          <w:rFonts w:cstheme="minorHAnsi"/>
          <w:bCs/>
          <w:sz w:val="24"/>
          <w:szCs w:val="24"/>
        </w:rPr>
        <w:t xml:space="preserve"> w populacji osób w wieku 20</w:t>
      </w:r>
      <w:r w:rsidR="00A435C2">
        <w:rPr>
          <w:rFonts w:cstheme="minorHAnsi"/>
          <w:bCs/>
          <w:sz w:val="24"/>
          <w:szCs w:val="24"/>
        </w:rPr>
        <w:t>–</w:t>
      </w:r>
      <w:r w:rsidRPr="008D0165">
        <w:rPr>
          <w:rFonts w:cstheme="minorHAnsi"/>
          <w:bCs/>
          <w:sz w:val="24"/>
          <w:szCs w:val="24"/>
        </w:rPr>
        <w:t>64 lata wzrósł o 11,2 p.p. z 65,0% w</w:t>
      </w:r>
      <w:r w:rsidR="00D13C34">
        <w:rPr>
          <w:rFonts w:cstheme="minorHAnsi"/>
          <w:bCs/>
          <w:sz w:val="24"/>
          <w:szCs w:val="24"/>
        </w:rPr>
        <w:t> </w:t>
      </w:r>
      <w:r w:rsidRPr="008D0165">
        <w:rPr>
          <w:rFonts w:cstheme="minorHAnsi"/>
          <w:bCs/>
          <w:sz w:val="24"/>
          <w:szCs w:val="24"/>
        </w:rPr>
        <w:t>IV</w:t>
      </w:r>
      <w:r w:rsidR="00D13C34">
        <w:rPr>
          <w:rFonts w:cstheme="minorHAnsi"/>
          <w:bCs/>
          <w:sz w:val="24"/>
          <w:szCs w:val="24"/>
        </w:rPr>
        <w:t> </w:t>
      </w:r>
      <w:r w:rsidRPr="008D0165">
        <w:rPr>
          <w:rFonts w:cstheme="minorHAnsi"/>
          <w:bCs/>
          <w:sz w:val="24"/>
          <w:szCs w:val="24"/>
        </w:rPr>
        <w:t>kw. 2012</w:t>
      </w:r>
      <w:r w:rsidR="00E828B5" w:rsidRPr="008D0165">
        <w:rPr>
          <w:rFonts w:cstheme="minorHAnsi"/>
          <w:bCs/>
          <w:sz w:val="24"/>
          <w:szCs w:val="24"/>
        </w:rPr>
        <w:t> r.</w:t>
      </w:r>
      <w:r w:rsidRPr="008D0165">
        <w:rPr>
          <w:rFonts w:cstheme="minorHAnsi"/>
          <w:bCs/>
          <w:sz w:val="24"/>
          <w:szCs w:val="24"/>
        </w:rPr>
        <w:t xml:space="preserve"> do 76,2% w IV kw. 2021</w:t>
      </w:r>
      <w:r w:rsidR="00E828B5" w:rsidRPr="008D0165">
        <w:rPr>
          <w:rFonts w:cstheme="minorHAnsi"/>
          <w:bCs/>
          <w:sz w:val="24"/>
          <w:szCs w:val="24"/>
        </w:rPr>
        <w:t xml:space="preserve"> r</w:t>
      </w:r>
      <w:r w:rsidRPr="008D0165">
        <w:rPr>
          <w:rFonts w:cstheme="minorHAnsi"/>
          <w:bCs/>
          <w:sz w:val="24"/>
          <w:szCs w:val="24"/>
        </w:rPr>
        <w:t xml:space="preserve">. Wśród osób </w:t>
      </w:r>
      <w:r w:rsidR="005916E3">
        <w:rPr>
          <w:rFonts w:cstheme="minorHAnsi"/>
          <w:bCs/>
          <w:sz w:val="24"/>
          <w:szCs w:val="24"/>
        </w:rPr>
        <w:t xml:space="preserve">w </w:t>
      </w:r>
      <w:r w:rsidRPr="008D0165">
        <w:rPr>
          <w:rFonts w:cstheme="minorHAnsi"/>
          <w:bCs/>
          <w:sz w:val="24"/>
          <w:szCs w:val="24"/>
        </w:rPr>
        <w:t>wieku 55</w:t>
      </w:r>
      <w:r w:rsidR="00A435C2">
        <w:rPr>
          <w:rFonts w:cstheme="minorHAnsi"/>
          <w:bCs/>
          <w:sz w:val="24"/>
          <w:szCs w:val="24"/>
        </w:rPr>
        <w:t>–</w:t>
      </w:r>
      <w:r w:rsidRPr="008D0165">
        <w:rPr>
          <w:rFonts w:cstheme="minorHAnsi"/>
          <w:bCs/>
          <w:sz w:val="24"/>
          <w:szCs w:val="24"/>
        </w:rPr>
        <w:t>64 lata dynamika wzrostu wskaźnika zatrudnienia była jeszcze wyższa niż w analizowanej powyżej populacji. Wskaźnik wzrósł o 16 p.p. z 39,8% w IV kw. 2012</w:t>
      </w:r>
      <w:r w:rsidR="00E828B5" w:rsidRPr="008D0165">
        <w:rPr>
          <w:rFonts w:cstheme="minorHAnsi"/>
          <w:bCs/>
          <w:sz w:val="24"/>
          <w:szCs w:val="24"/>
        </w:rPr>
        <w:t> r.</w:t>
      </w:r>
      <w:r w:rsidRPr="008D0165">
        <w:rPr>
          <w:rFonts w:cstheme="minorHAnsi"/>
          <w:bCs/>
          <w:sz w:val="24"/>
          <w:szCs w:val="24"/>
        </w:rPr>
        <w:t xml:space="preserve"> do 55,8% w IV kw. 2021</w:t>
      </w:r>
      <w:r w:rsidR="00E828B5" w:rsidRPr="008D0165">
        <w:rPr>
          <w:rFonts w:cstheme="minorHAnsi"/>
          <w:bCs/>
          <w:sz w:val="24"/>
          <w:szCs w:val="24"/>
        </w:rPr>
        <w:t xml:space="preserve"> r</w:t>
      </w:r>
      <w:r w:rsidRPr="008D0165">
        <w:rPr>
          <w:rFonts w:cstheme="minorHAnsi"/>
          <w:bCs/>
          <w:sz w:val="24"/>
          <w:szCs w:val="24"/>
        </w:rPr>
        <w:t>. W populacji osób powyżej 65 roku życia zarówno dynamika, jak i wartość wskaźnika zatrudnienia gwałtownie spada w</w:t>
      </w:r>
      <w:r w:rsidR="00D13C34">
        <w:rPr>
          <w:rFonts w:cstheme="minorHAnsi"/>
          <w:bCs/>
          <w:sz w:val="24"/>
          <w:szCs w:val="24"/>
        </w:rPr>
        <w:t> </w:t>
      </w:r>
      <w:r w:rsidRPr="008D0165">
        <w:rPr>
          <w:rFonts w:cstheme="minorHAnsi"/>
          <w:bCs/>
          <w:sz w:val="24"/>
          <w:szCs w:val="24"/>
        </w:rPr>
        <w:t>porównaniu z powyżej analizowanym</w:t>
      </w:r>
      <w:r w:rsidR="001F608A">
        <w:rPr>
          <w:rFonts w:cstheme="minorHAnsi"/>
          <w:bCs/>
          <w:sz w:val="24"/>
          <w:szCs w:val="24"/>
        </w:rPr>
        <w:t>i</w:t>
      </w:r>
      <w:r w:rsidRPr="008D0165">
        <w:rPr>
          <w:rFonts w:cstheme="minorHAnsi"/>
          <w:bCs/>
          <w:sz w:val="24"/>
          <w:szCs w:val="24"/>
        </w:rPr>
        <w:t xml:space="preserve"> grupami wiekowymi. W IV kw. 2012</w:t>
      </w:r>
      <w:r w:rsidR="00E828B5" w:rsidRPr="008D0165">
        <w:rPr>
          <w:rFonts w:cstheme="minorHAnsi"/>
          <w:bCs/>
          <w:sz w:val="24"/>
          <w:szCs w:val="24"/>
        </w:rPr>
        <w:t xml:space="preserve"> r.</w:t>
      </w:r>
      <w:r w:rsidRPr="008D0165">
        <w:rPr>
          <w:rFonts w:cstheme="minorHAnsi"/>
          <w:bCs/>
          <w:sz w:val="24"/>
          <w:szCs w:val="24"/>
        </w:rPr>
        <w:t xml:space="preserve"> wyniosła 4,7%, a w IV kw. 2021</w:t>
      </w:r>
      <w:r w:rsidR="00E828B5" w:rsidRPr="008D0165">
        <w:rPr>
          <w:rFonts w:cstheme="minorHAnsi"/>
          <w:bCs/>
          <w:sz w:val="24"/>
          <w:szCs w:val="24"/>
        </w:rPr>
        <w:t xml:space="preserve"> r.</w:t>
      </w:r>
      <w:r w:rsidRPr="008D0165">
        <w:rPr>
          <w:rFonts w:cstheme="minorHAnsi"/>
          <w:bCs/>
          <w:sz w:val="24"/>
          <w:szCs w:val="24"/>
        </w:rPr>
        <w:t xml:space="preserve"> </w:t>
      </w:r>
      <w:r w:rsidR="00C60223">
        <w:rPr>
          <w:rFonts w:cstheme="minorHAnsi"/>
          <w:bCs/>
          <w:sz w:val="24"/>
          <w:szCs w:val="24"/>
        </w:rPr>
        <w:t>–</w:t>
      </w:r>
      <w:r w:rsidR="00C60223" w:rsidRPr="008D0165">
        <w:rPr>
          <w:rFonts w:cstheme="minorHAnsi"/>
          <w:bCs/>
          <w:sz w:val="24"/>
          <w:szCs w:val="24"/>
        </w:rPr>
        <w:t xml:space="preserve"> </w:t>
      </w:r>
      <w:r w:rsidRPr="008D0165">
        <w:rPr>
          <w:rFonts w:cstheme="minorHAnsi"/>
          <w:bCs/>
          <w:sz w:val="24"/>
          <w:szCs w:val="24"/>
        </w:rPr>
        <w:t>6,2% (wzrost o 1,5 p.p.).</w:t>
      </w:r>
    </w:p>
    <w:p w14:paraId="41EF87B8" w14:textId="13FFA8EC" w:rsidR="006C596C" w:rsidRDefault="00C852D1" w:rsidP="00C852D1">
      <w:pPr>
        <w:jc w:val="both"/>
        <w:rPr>
          <w:rFonts w:cstheme="minorHAnsi"/>
          <w:bCs/>
          <w:sz w:val="24"/>
          <w:szCs w:val="24"/>
        </w:rPr>
      </w:pPr>
      <w:r w:rsidRPr="008D0165">
        <w:rPr>
          <w:rFonts w:cstheme="minorHAnsi"/>
          <w:bCs/>
          <w:sz w:val="24"/>
          <w:szCs w:val="24"/>
        </w:rPr>
        <w:t>We wszystkich analizowanych powyżej grupach wiekowych przywrócenie wieku emerytalnego nie miało negatywnego wpływu na wzrost wskaźnika zatrudnienia. Warto zwrócić uwagę, że</w:t>
      </w:r>
      <w:r w:rsidR="006E36F1">
        <w:rPr>
          <w:rFonts w:cstheme="minorHAnsi"/>
          <w:bCs/>
          <w:sz w:val="24"/>
          <w:szCs w:val="24"/>
        </w:rPr>
        <w:t> </w:t>
      </w:r>
      <w:r w:rsidRPr="008D0165">
        <w:rPr>
          <w:rFonts w:cstheme="minorHAnsi"/>
          <w:bCs/>
          <w:sz w:val="24"/>
          <w:szCs w:val="24"/>
        </w:rPr>
        <w:t>kryzys gospodarczy wywołany pandemią C</w:t>
      </w:r>
      <w:r w:rsidR="00932210">
        <w:rPr>
          <w:rFonts w:cstheme="minorHAnsi"/>
          <w:bCs/>
          <w:sz w:val="24"/>
          <w:szCs w:val="24"/>
        </w:rPr>
        <w:t>OVID</w:t>
      </w:r>
      <w:r w:rsidRPr="008D0165">
        <w:rPr>
          <w:rFonts w:cstheme="minorHAnsi"/>
          <w:bCs/>
          <w:sz w:val="24"/>
          <w:szCs w:val="24"/>
        </w:rPr>
        <w:t xml:space="preserve">-19 nie powstrzymał wzrostu zatrudnienia w grupach wiekowych około emerytalnych. Analizując wskaźnik zatrudnienia w tych grupach wiekowych należy wziąć pod uwagę bardzo istotny wskaźnik trwania życia w zdrowiu. </w:t>
      </w:r>
    </w:p>
    <w:p w14:paraId="1D3676B6" w14:textId="70D8C09F" w:rsidR="00723FBD" w:rsidRDefault="00723FBD" w:rsidP="00723FBD">
      <w:pPr>
        <w:spacing w:before="120" w:after="120"/>
        <w:jc w:val="both"/>
        <w:rPr>
          <w:sz w:val="24"/>
          <w:szCs w:val="24"/>
        </w:rPr>
      </w:pPr>
      <w:r w:rsidRPr="00A26E9C">
        <w:rPr>
          <w:sz w:val="24"/>
          <w:szCs w:val="24"/>
        </w:rPr>
        <w:t>W 2020 r. przeciętne dalsze trwanie życia noworodka płci męskiej wynosiło 72,6 roku, natomiast płci żeńskiej 80,7, co oznacza pogorszenie się tych wskaźników w porównaniu do</w:t>
      </w:r>
      <w:r w:rsidR="006E36F1">
        <w:rPr>
          <w:sz w:val="24"/>
          <w:szCs w:val="24"/>
        </w:rPr>
        <w:t> </w:t>
      </w:r>
      <w:r w:rsidRPr="00A26E9C">
        <w:rPr>
          <w:sz w:val="24"/>
          <w:szCs w:val="24"/>
        </w:rPr>
        <w:t xml:space="preserve">roku poprzedniego odpowiednio o 1,5 i 1,1 roku. Kobiety osiągające wiek 60 lat w 2020 r. miały przed sobą ponad 5 lat więcej dalszego trwania życia niż mężczyźni. W 2020 r. mężczyzna w wieku 60 lat miał przed sobą jeszcze średnio 17,9 </w:t>
      </w:r>
      <w:r w:rsidRPr="00A26E9C">
        <w:rPr>
          <w:sz w:val="24"/>
          <w:szCs w:val="24"/>
        </w:rPr>
        <w:lastRenderedPageBreak/>
        <w:t>lat życia (w 2019 r. było to ponad 19 lat), zaś kobieta w tym wieku 23,2 roku życia (w roku poprzednim ponad 24 lata</w:t>
      </w:r>
      <w:r w:rsidR="00230EA4">
        <w:rPr>
          <w:sz w:val="24"/>
          <w:szCs w:val="24"/>
        </w:rPr>
        <w:t>)</w:t>
      </w:r>
      <w:r>
        <w:rPr>
          <w:sz w:val="24"/>
          <w:szCs w:val="24"/>
        </w:rPr>
        <w:t>.</w:t>
      </w:r>
      <w:r w:rsidRPr="00A26E9C">
        <w:rPr>
          <w:sz w:val="24"/>
          <w:szCs w:val="24"/>
        </w:rPr>
        <w:t xml:space="preserve"> Przeciętne dalsze trwanie życia mężczyzn mających 60 lat zamieszkałych w miastach wynosiło 18,2 roku</w:t>
      </w:r>
      <w:r w:rsidR="00EF068F">
        <w:rPr>
          <w:sz w:val="24"/>
          <w:szCs w:val="24"/>
        </w:rPr>
        <w:t>,</w:t>
      </w:r>
      <w:r w:rsidRPr="00A26E9C">
        <w:rPr>
          <w:sz w:val="24"/>
          <w:szCs w:val="24"/>
        </w:rPr>
        <w:t xml:space="preserve"> tj.</w:t>
      </w:r>
      <w:r w:rsidR="006E36F1">
        <w:rPr>
          <w:sz w:val="24"/>
          <w:szCs w:val="24"/>
        </w:rPr>
        <w:t> </w:t>
      </w:r>
      <w:r w:rsidRPr="00A26E9C">
        <w:rPr>
          <w:sz w:val="24"/>
          <w:szCs w:val="24"/>
        </w:rPr>
        <w:t>o</w:t>
      </w:r>
      <w:r w:rsidR="006E36F1">
        <w:rPr>
          <w:sz w:val="24"/>
          <w:szCs w:val="24"/>
        </w:rPr>
        <w:t> </w:t>
      </w:r>
      <w:r w:rsidRPr="00A26E9C">
        <w:rPr>
          <w:sz w:val="24"/>
          <w:szCs w:val="24"/>
        </w:rPr>
        <w:t>0,8</w:t>
      </w:r>
      <w:r w:rsidR="006E36F1">
        <w:rPr>
          <w:sz w:val="24"/>
          <w:szCs w:val="24"/>
        </w:rPr>
        <w:t> </w:t>
      </w:r>
      <w:r w:rsidRPr="00A26E9C">
        <w:rPr>
          <w:sz w:val="24"/>
          <w:szCs w:val="24"/>
        </w:rPr>
        <w:t>rok</w:t>
      </w:r>
      <w:r w:rsidR="00EF068F">
        <w:rPr>
          <w:sz w:val="24"/>
          <w:szCs w:val="24"/>
        </w:rPr>
        <w:t>u</w:t>
      </w:r>
      <w:r w:rsidRPr="00A26E9C">
        <w:rPr>
          <w:sz w:val="24"/>
          <w:szCs w:val="24"/>
        </w:rPr>
        <w:t xml:space="preserve"> dłużej niż mężczyzn na wsi, natomiast </w:t>
      </w:r>
      <w:r w:rsidR="002A74D8">
        <w:rPr>
          <w:sz w:val="24"/>
          <w:szCs w:val="24"/>
        </w:rPr>
        <w:t xml:space="preserve">przeciętne </w:t>
      </w:r>
      <w:r w:rsidRPr="00A26E9C">
        <w:rPr>
          <w:sz w:val="24"/>
          <w:szCs w:val="24"/>
        </w:rPr>
        <w:t>dalsze trwanie życia kobiet w</w:t>
      </w:r>
      <w:r w:rsidR="006E36F1">
        <w:rPr>
          <w:sz w:val="24"/>
          <w:szCs w:val="24"/>
        </w:rPr>
        <w:t> </w:t>
      </w:r>
      <w:r w:rsidRPr="00A26E9C">
        <w:rPr>
          <w:sz w:val="24"/>
          <w:szCs w:val="24"/>
        </w:rPr>
        <w:t>tym wieku zamieszkałych w miastach wyniosło 23,4 roku</w:t>
      </w:r>
      <w:r w:rsidR="00EF068F">
        <w:rPr>
          <w:sz w:val="24"/>
          <w:szCs w:val="24"/>
        </w:rPr>
        <w:t>,</w:t>
      </w:r>
      <w:r w:rsidRPr="00A26E9C">
        <w:rPr>
          <w:sz w:val="24"/>
          <w:szCs w:val="24"/>
        </w:rPr>
        <w:t xml:space="preserve"> tj. o 0,4</w:t>
      </w:r>
      <w:r w:rsidR="00EF068F">
        <w:rPr>
          <w:sz w:val="24"/>
          <w:szCs w:val="24"/>
        </w:rPr>
        <w:t xml:space="preserve"> roku</w:t>
      </w:r>
      <w:r w:rsidRPr="00A26E9C">
        <w:rPr>
          <w:sz w:val="24"/>
          <w:szCs w:val="24"/>
        </w:rPr>
        <w:t xml:space="preserve"> </w:t>
      </w:r>
      <w:r w:rsidR="00EF068F">
        <w:rPr>
          <w:sz w:val="24"/>
          <w:szCs w:val="24"/>
        </w:rPr>
        <w:t>dłużej</w:t>
      </w:r>
      <w:r w:rsidRPr="00A26E9C">
        <w:rPr>
          <w:sz w:val="24"/>
          <w:szCs w:val="24"/>
        </w:rPr>
        <w:t xml:space="preserve"> niż </w:t>
      </w:r>
      <w:r w:rsidR="00EF068F">
        <w:rPr>
          <w:sz w:val="24"/>
          <w:szCs w:val="24"/>
        </w:rPr>
        <w:t xml:space="preserve">kobiet </w:t>
      </w:r>
      <w:r w:rsidRPr="00A26E9C">
        <w:rPr>
          <w:sz w:val="24"/>
          <w:szCs w:val="24"/>
        </w:rPr>
        <w:t>na</w:t>
      </w:r>
      <w:r w:rsidR="006E36F1">
        <w:rPr>
          <w:sz w:val="24"/>
          <w:szCs w:val="24"/>
        </w:rPr>
        <w:t> </w:t>
      </w:r>
      <w:r w:rsidRPr="00A26E9C">
        <w:rPr>
          <w:sz w:val="24"/>
          <w:szCs w:val="24"/>
        </w:rPr>
        <w:t>wsi.</w:t>
      </w:r>
    </w:p>
    <w:p w14:paraId="1F55E3A8" w14:textId="77777777" w:rsidR="00286E76" w:rsidRPr="00A26E9C" w:rsidRDefault="00286E76" w:rsidP="00723FBD">
      <w:pPr>
        <w:spacing w:before="120" w:after="120"/>
        <w:jc w:val="both"/>
        <w:rPr>
          <w:sz w:val="24"/>
          <w:szCs w:val="24"/>
        </w:rPr>
      </w:pPr>
    </w:p>
    <w:p w14:paraId="4D74E7ED" w14:textId="1CD8907F" w:rsidR="00723FBD" w:rsidRDefault="002A74D8" w:rsidP="00723FBD">
      <w:pPr>
        <w:spacing w:before="120" w:after="120"/>
        <w:jc w:val="both"/>
        <w:rPr>
          <w:sz w:val="24"/>
          <w:szCs w:val="24"/>
        </w:rPr>
      </w:pPr>
      <w:r>
        <w:rPr>
          <w:sz w:val="24"/>
          <w:szCs w:val="24"/>
        </w:rPr>
        <w:t>W</w:t>
      </w:r>
      <w:r w:rsidR="00723FBD" w:rsidRPr="00A26E9C">
        <w:rPr>
          <w:sz w:val="24"/>
          <w:szCs w:val="24"/>
        </w:rPr>
        <w:t xml:space="preserve"> 2020 r. trwanie życia w zdrowiu wyniosło 59,2 roku dla mężczyzn i 63,1 roku dla kobiet</w:t>
      </w:r>
      <w:r w:rsidR="006C596C">
        <w:rPr>
          <w:sz w:val="24"/>
          <w:szCs w:val="24"/>
        </w:rPr>
        <w:t xml:space="preserve"> (dla</w:t>
      </w:r>
      <w:r w:rsidR="006E36F1">
        <w:t> </w:t>
      </w:r>
      <w:r w:rsidR="006C596C">
        <w:rPr>
          <w:sz w:val="24"/>
          <w:szCs w:val="24"/>
        </w:rPr>
        <w:t>porównania w 2010 r. odpowiednio 58,0 lat i 61,6 lat)</w:t>
      </w:r>
      <w:r w:rsidR="00723FBD" w:rsidRPr="00A26E9C">
        <w:rPr>
          <w:sz w:val="24"/>
          <w:szCs w:val="24"/>
        </w:rPr>
        <w:t>, oznacza to spadek w stosunku do</w:t>
      </w:r>
      <w:r w:rsidR="006E36F1">
        <w:rPr>
          <w:sz w:val="24"/>
          <w:szCs w:val="24"/>
        </w:rPr>
        <w:t> </w:t>
      </w:r>
      <w:r w:rsidR="00723FBD" w:rsidRPr="00A26E9C">
        <w:rPr>
          <w:sz w:val="24"/>
          <w:szCs w:val="24"/>
        </w:rPr>
        <w:t xml:space="preserve">roku poprzedniego odpowiednio o 0,5 i 0,2 roku. Redukcja ta w głównej mierze była związana ze skróceniem się przeciętnego trwania życia. Wydłużenie trwania życia w zdrowiu jest jednym z głównych celów polityki zdrowotnej wielu krajów. Jeżeli oczekiwane trwanie życia w zdrowiu wzrasta szybciej niż przeciętne trwanie życia, oznacza to, że ludzie przez coraz większą część życia charakteryzują się dobrym zdrowiem. Oczekiwane lata przeżyte w zdrowiu (Healthy Life Years, HLY) nazywane </w:t>
      </w:r>
      <w:r w:rsidR="00723FBD">
        <w:rPr>
          <w:sz w:val="24"/>
          <w:szCs w:val="24"/>
        </w:rPr>
        <w:t xml:space="preserve">jest </w:t>
      </w:r>
      <w:r w:rsidR="00723FBD" w:rsidRPr="00A26E9C">
        <w:rPr>
          <w:sz w:val="24"/>
          <w:szCs w:val="24"/>
        </w:rPr>
        <w:t>też wskaźnikiem oczekiwanej długości życia bez</w:t>
      </w:r>
      <w:r w:rsidR="006E36F1">
        <w:rPr>
          <w:sz w:val="24"/>
          <w:szCs w:val="24"/>
        </w:rPr>
        <w:t> </w:t>
      </w:r>
      <w:r w:rsidR="00723FBD" w:rsidRPr="00A26E9C">
        <w:rPr>
          <w:sz w:val="24"/>
          <w:szCs w:val="24"/>
        </w:rPr>
        <w:t>niepełnosprawności</w:t>
      </w:r>
      <w:r w:rsidR="00723FBD">
        <w:rPr>
          <w:sz w:val="24"/>
          <w:szCs w:val="24"/>
        </w:rPr>
        <w:t>.</w:t>
      </w:r>
    </w:p>
    <w:p w14:paraId="64420143" w14:textId="77777777" w:rsidR="00286E76" w:rsidRPr="00A26E9C" w:rsidRDefault="00286E76" w:rsidP="00723FBD">
      <w:pPr>
        <w:spacing w:before="120" w:after="120"/>
        <w:jc w:val="both"/>
        <w:rPr>
          <w:sz w:val="24"/>
          <w:szCs w:val="24"/>
        </w:rPr>
      </w:pPr>
    </w:p>
    <w:p w14:paraId="241B3762" w14:textId="77777777" w:rsidR="00C852D1" w:rsidRPr="008D0165" w:rsidRDefault="00C852D1" w:rsidP="00C852D1">
      <w:pPr>
        <w:jc w:val="both"/>
        <w:rPr>
          <w:rFonts w:cstheme="minorHAnsi"/>
          <w:bCs/>
          <w:sz w:val="24"/>
          <w:szCs w:val="24"/>
        </w:rPr>
      </w:pPr>
      <w:r w:rsidRPr="008D0165">
        <w:rPr>
          <w:rFonts w:cstheme="minorHAnsi"/>
          <w:bCs/>
          <w:sz w:val="24"/>
          <w:szCs w:val="24"/>
        </w:rPr>
        <w:t>W celu wydłużenia aktywności zawodowej konieczne jest zapewnienie Polakom jak najlepszej profilaktyki zdrowotnej. Od 1 lipca 2021</w:t>
      </w:r>
      <w:r w:rsidR="00E828B5" w:rsidRPr="008D0165">
        <w:rPr>
          <w:rFonts w:cstheme="minorHAnsi"/>
          <w:bCs/>
          <w:sz w:val="24"/>
          <w:szCs w:val="24"/>
        </w:rPr>
        <w:t xml:space="preserve"> r.</w:t>
      </w:r>
      <w:r w:rsidRPr="008D0165">
        <w:rPr>
          <w:rFonts w:cstheme="minorHAnsi"/>
          <w:bCs/>
          <w:sz w:val="24"/>
          <w:szCs w:val="24"/>
        </w:rPr>
        <w:t xml:space="preserve"> każdy Polak powyżej 40 roku życia otrzymał jednorazowy dostęp do bezpłatnego pakietu badań diagnostycznych. Głównym celem programu „Profilaktyka 40 PLUS” jest objęcie osób od 40. roku życia profilaktyczną diagnostyką w zakresie najczęściej występujących problemów zdrowotnych.</w:t>
      </w:r>
    </w:p>
    <w:p w14:paraId="4B866030" w14:textId="3A5A411C" w:rsidR="00497785" w:rsidRDefault="00497785" w:rsidP="00C852D1">
      <w:pPr>
        <w:jc w:val="both"/>
        <w:rPr>
          <w:rFonts w:cstheme="minorHAnsi"/>
          <w:b/>
          <w:sz w:val="24"/>
          <w:szCs w:val="24"/>
        </w:rPr>
      </w:pPr>
    </w:p>
    <w:p w14:paraId="338091A2" w14:textId="77777777" w:rsidR="00286E76" w:rsidRDefault="00286E76" w:rsidP="00C852D1">
      <w:pPr>
        <w:jc w:val="both"/>
        <w:rPr>
          <w:rFonts w:cstheme="minorHAnsi"/>
          <w:b/>
          <w:sz w:val="24"/>
          <w:szCs w:val="24"/>
        </w:rPr>
      </w:pPr>
    </w:p>
    <w:p w14:paraId="43287DC6" w14:textId="50B663B7" w:rsidR="00C852D1" w:rsidRPr="008D0165" w:rsidRDefault="00C852D1" w:rsidP="00C852D1">
      <w:pPr>
        <w:jc w:val="both"/>
        <w:rPr>
          <w:rFonts w:cstheme="minorHAnsi"/>
          <w:b/>
          <w:sz w:val="24"/>
          <w:szCs w:val="24"/>
        </w:rPr>
      </w:pPr>
      <w:r w:rsidRPr="008D0165">
        <w:rPr>
          <w:rFonts w:cstheme="minorHAnsi"/>
          <w:b/>
          <w:sz w:val="24"/>
          <w:szCs w:val="24"/>
        </w:rPr>
        <w:t>Wykres. Wskaźnik zatrudnienia ogółem (%) w grupach wiekowych 20</w:t>
      </w:r>
      <w:r w:rsidR="00A435C2">
        <w:rPr>
          <w:rFonts w:cstheme="minorHAnsi"/>
          <w:b/>
          <w:sz w:val="24"/>
          <w:szCs w:val="24"/>
        </w:rPr>
        <w:t>–</w:t>
      </w:r>
      <w:r w:rsidRPr="008D0165">
        <w:rPr>
          <w:rFonts w:cstheme="minorHAnsi"/>
          <w:b/>
          <w:sz w:val="24"/>
          <w:szCs w:val="24"/>
        </w:rPr>
        <w:t>64, 55</w:t>
      </w:r>
      <w:r w:rsidR="00A435C2">
        <w:rPr>
          <w:rFonts w:cstheme="minorHAnsi"/>
          <w:b/>
          <w:sz w:val="24"/>
          <w:szCs w:val="24"/>
        </w:rPr>
        <w:t>–</w:t>
      </w:r>
      <w:r w:rsidRPr="008D0165">
        <w:rPr>
          <w:rFonts w:cstheme="minorHAnsi"/>
          <w:b/>
          <w:sz w:val="24"/>
          <w:szCs w:val="24"/>
        </w:rPr>
        <w:t>64, 65+</w:t>
      </w:r>
    </w:p>
    <w:p w14:paraId="036DE03D" w14:textId="77777777" w:rsidR="00C852D1" w:rsidRPr="008D0165" w:rsidRDefault="00C852D1" w:rsidP="00C852D1">
      <w:pPr>
        <w:jc w:val="both"/>
        <w:rPr>
          <w:rFonts w:ascii="Arial" w:hAnsi="Arial" w:cs="Arial"/>
          <w:bCs/>
          <w:sz w:val="24"/>
          <w:szCs w:val="24"/>
        </w:rPr>
      </w:pPr>
      <w:r w:rsidRPr="008D0165">
        <w:rPr>
          <w:noProof/>
          <w:sz w:val="24"/>
          <w:szCs w:val="24"/>
          <w:lang w:eastAsia="pl-PL"/>
        </w:rPr>
        <w:lastRenderedPageBreak/>
        <w:drawing>
          <wp:inline distT="0" distB="0" distL="0" distR="0" wp14:anchorId="406BD629" wp14:editId="57DCDFED">
            <wp:extent cx="5448300" cy="2428875"/>
            <wp:effectExtent l="0" t="0" r="0" b="0"/>
            <wp:docPr id="1" name="Wykres 1">
              <a:extLst xmlns:a="http://schemas.openxmlformats.org/drawingml/2006/main">
                <a:ext uri="{FF2B5EF4-FFF2-40B4-BE49-F238E27FC236}">
                  <a16:creationId xmlns:a16="http://schemas.microsoft.com/office/drawing/2014/main" id="{45C72D20-607C-48AB-BCBA-81EB1C70C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402654" w14:textId="07892DC9" w:rsidR="00C852D1" w:rsidRDefault="00C852D1" w:rsidP="0060182E">
      <w:pPr>
        <w:spacing w:after="0" w:line="23" w:lineRule="atLeast"/>
        <w:jc w:val="both"/>
        <w:rPr>
          <w:rFonts w:cstheme="minorHAnsi"/>
          <w:color w:val="000000"/>
          <w:sz w:val="18"/>
          <w:szCs w:val="18"/>
        </w:rPr>
      </w:pPr>
      <w:r w:rsidRPr="00E64CAA">
        <w:rPr>
          <w:rFonts w:cstheme="minorHAnsi"/>
          <w:color w:val="000000"/>
          <w:sz w:val="18"/>
          <w:szCs w:val="18"/>
        </w:rPr>
        <w:t>Źródło: Eurostat [lfsq_ergan] – stan na dzień 24.03.2022</w:t>
      </w:r>
      <w:r w:rsidR="00B749E4">
        <w:rPr>
          <w:rFonts w:cstheme="minorHAnsi"/>
          <w:color w:val="000000"/>
          <w:sz w:val="18"/>
          <w:szCs w:val="18"/>
        </w:rPr>
        <w:t xml:space="preserve"> r.</w:t>
      </w:r>
    </w:p>
    <w:p w14:paraId="1D0B37C3" w14:textId="7C61CC72" w:rsidR="0060182E" w:rsidRDefault="0060182E" w:rsidP="00E64CAA">
      <w:pPr>
        <w:spacing w:after="0" w:line="23" w:lineRule="atLeast"/>
        <w:jc w:val="both"/>
        <w:rPr>
          <w:rFonts w:cstheme="minorHAnsi"/>
          <w:color w:val="000000"/>
          <w:sz w:val="18"/>
          <w:szCs w:val="18"/>
        </w:rPr>
      </w:pPr>
    </w:p>
    <w:p w14:paraId="4EED27F3" w14:textId="14A40718" w:rsidR="00286E76" w:rsidRDefault="00286E76" w:rsidP="00E64CAA">
      <w:pPr>
        <w:spacing w:after="0" w:line="23" w:lineRule="atLeast"/>
        <w:jc w:val="both"/>
        <w:rPr>
          <w:rFonts w:cstheme="minorHAnsi"/>
          <w:color w:val="000000"/>
          <w:sz w:val="18"/>
          <w:szCs w:val="18"/>
        </w:rPr>
      </w:pPr>
    </w:p>
    <w:p w14:paraId="73B0D206" w14:textId="77777777" w:rsidR="00286E76" w:rsidRPr="00E64CAA" w:rsidRDefault="00286E76" w:rsidP="00E64CAA">
      <w:pPr>
        <w:spacing w:after="0" w:line="23" w:lineRule="atLeast"/>
        <w:jc w:val="both"/>
        <w:rPr>
          <w:rFonts w:cstheme="minorHAnsi"/>
          <w:color w:val="000000"/>
          <w:sz w:val="18"/>
          <w:szCs w:val="18"/>
        </w:rPr>
      </w:pPr>
    </w:p>
    <w:p w14:paraId="6E080EC4" w14:textId="77777777" w:rsidR="00286E76" w:rsidRDefault="00286E76" w:rsidP="00C852D1">
      <w:pPr>
        <w:jc w:val="both"/>
        <w:rPr>
          <w:rFonts w:cstheme="minorHAnsi"/>
          <w:bCs/>
          <w:sz w:val="24"/>
          <w:szCs w:val="24"/>
        </w:rPr>
      </w:pPr>
    </w:p>
    <w:p w14:paraId="55624AF2" w14:textId="49903967" w:rsidR="006C596C" w:rsidRPr="004D0F56" w:rsidRDefault="00C852D1" w:rsidP="00C852D1">
      <w:pPr>
        <w:jc w:val="both"/>
        <w:rPr>
          <w:rFonts w:cstheme="minorHAnsi"/>
          <w:bCs/>
          <w:sz w:val="24"/>
          <w:szCs w:val="24"/>
          <w:vertAlign w:val="superscript"/>
        </w:rPr>
      </w:pPr>
      <w:r w:rsidRPr="008D0165">
        <w:rPr>
          <w:rFonts w:cstheme="minorHAnsi"/>
          <w:bCs/>
          <w:sz w:val="24"/>
          <w:szCs w:val="24"/>
        </w:rPr>
        <w:t>W przypadku mężczyzn wskaźnik zatrudnienia w grupie wiekowej 20</w:t>
      </w:r>
      <w:r w:rsidR="00A435C2">
        <w:rPr>
          <w:rFonts w:cstheme="minorHAnsi"/>
          <w:bCs/>
          <w:sz w:val="24"/>
          <w:szCs w:val="24"/>
        </w:rPr>
        <w:t>–</w:t>
      </w:r>
      <w:r w:rsidRPr="008D0165">
        <w:rPr>
          <w:rFonts w:cstheme="minorHAnsi"/>
          <w:bCs/>
          <w:sz w:val="24"/>
          <w:szCs w:val="24"/>
        </w:rPr>
        <w:t>64 lata wzrósł o 10,8 p.p. (z 72,3% w IV kw. 2012</w:t>
      </w:r>
      <w:r w:rsidR="00E828B5" w:rsidRPr="008D0165">
        <w:rPr>
          <w:rFonts w:cstheme="minorHAnsi"/>
          <w:bCs/>
          <w:sz w:val="24"/>
          <w:szCs w:val="24"/>
        </w:rPr>
        <w:t xml:space="preserve"> r.</w:t>
      </w:r>
      <w:r w:rsidRPr="008D0165">
        <w:rPr>
          <w:rFonts w:cstheme="minorHAnsi"/>
          <w:bCs/>
          <w:sz w:val="24"/>
          <w:szCs w:val="24"/>
        </w:rPr>
        <w:t xml:space="preserve"> do 83,1% w IV 2021</w:t>
      </w:r>
      <w:r w:rsidR="00E828B5" w:rsidRPr="008D0165">
        <w:rPr>
          <w:rFonts w:cstheme="minorHAnsi"/>
          <w:bCs/>
          <w:sz w:val="24"/>
          <w:szCs w:val="24"/>
        </w:rPr>
        <w:t xml:space="preserve"> r.</w:t>
      </w:r>
      <w:r w:rsidRPr="008D0165">
        <w:rPr>
          <w:rFonts w:cstheme="minorHAnsi"/>
          <w:bCs/>
          <w:sz w:val="24"/>
          <w:szCs w:val="24"/>
        </w:rPr>
        <w:t>). W tym czasie wskaźnik zatrudnienia mężczyzn w wieku przedemerytalnym (55</w:t>
      </w:r>
      <w:r w:rsidR="00A435C2">
        <w:rPr>
          <w:rFonts w:cstheme="minorHAnsi"/>
          <w:bCs/>
          <w:sz w:val="24"/>
          <w:szCs w:val="24"/>
        </w:rPr>
        <w:t>–</w:t>
      </w:r>
      <w:r w:rsidRPr="008D0165">
        <w:rPr>
          <w:rFonts w:cstheme="minorHAnsi"/>
          <w:bCs/>
          <w:sz w:val="24"/>
          <w:szCs w:val="24"/>
        </w:rPr>
        <w:t>64 lata) wzrósł o 18,9 p.p. (z 50,2% w IV kw. 2012</w:t>
      </w:r>
      <w:r w:rsidR="00E828B5" w:rsidRPr="008D0165">
        <w:rPr>
          <w:rFonts w:cstheme="minorHAnsi"/>
          <w:bCs/>
          <w:sz w:val="24"/>
          <w:szCs w:val="24"/>
        </w:rPr>
        <w:t xml:space="preserve"> r.</w:t>
      </w:r>
      <w:r w:rsidRPr="008D0165">
        <w:rPr>
          <w:rFonts w:cstheme="minorHAnsi"/>
          <w:bCs/>
          <w:sz w:val="24"/>
          <w:szCs w:val="24"/>
        </w:rPr>
        <w:t xml:space="preserve"> do 69,1% w IV 2021</w:t>
      </w:r>
      <w:r w:rsidR="00E828B5" w:rsidRPr="008D0165">
        <w:rPr>
          <w:rFonts w:cstheme="minorHAnsi"/>
          <w:bCs/>
          <w:sz w:val="24"/>
          <w:szCs w:val="24"/>
        </w:rPr>
        <w:t xml:space="preserve"> r.</w:t>
      </w:r>
      <w:r w:rsidRPr="008D0165">
        <w:rPr>
          <w:rFonts w:cstheme="minorHAnsi"/>
          <w:bCs/>
          <w:sz w:val="24"/>
          <w:szCs w:val="24"/>
        </w:rPr>
        <w:t>). Zanotowano również wzrost wskaźnika zatrudnienia po przekroczeniu ustawowego wieku emerytalnego o 1,9 p.p. do poziomu 9,5% w IV kw. 2021</w:t>
      </w:r>
      <w:r w:rsidR="00E828B5" w:rsidRPr="008D0165">
        <w:rPr>
          <w:rFonts w:cstheme="minorHAnsi"/>
          <w:bCs/>
          <w:sz w:val="24"/>
          <w:szCs w:val="24"/>
        </w:rPr>
        <w:t xml:space="preserve"> r</w:t>
      </w:r>
      <w:r w:rsidRPr="008D0165">
        <w:rPr>
          <w:rFonts w:cstheme="minorHAnsi"/>
          <w:bCs/>
          <w:sz w:val="24"/>
          <w:szCs w:val="24"/>
        </w:rPr>
        <w:t>.</w:t>
      </w:r>
      <w:r w:rsidR="00286E76">
        <w:rPr>
          <w:rStyle w:val="Odwoanieprzypisudolnego"/>
          <w:rFonts w:cstheme="minorHAnsi"/>
          <w:bCs/>
          <w:sz w:val="24"/>
          <w:szCs w:val="24"/>
        </w:rPr>
        <w:footnoteReference w:id="7"/>
      </w:r>
      <w:r w:rsidR="00474D9C">
        <w:rPr>
          <w:rFonts w:cstheme="minorHAnsi"/>
          <w:bCs/>
          <w:sz w:val="24"/>
          <w:szCs w:val="24"/>
          <w:vertAlign w:val="superscript"/>
        </w:rPr>
        <w:t>)</w:t>
      </w:r>
    </w:p>
    <w:p w14:paraId="51652CA5" w14:textId="77777777" w:rsidR="00F53BB1" w:rsidRDefault="00F53BB1" w:rsidP="00BC47EA">
      <w:pPr>
        <w:rPr>
          <w:rFonts w:cstheme="minorHAnsi"/>
          <w:b/>
          <w:sz w:val="24"/>
          <w:szCs w:val="24"/>
        </w:rPr>
      </w:pPr>
    </w:p>
    <w:p w14:paraId="162ECB86" w14:textId="17953028" w:rsidR="00C852D1" w:rsidRPr="008D0165" w:rsidRDefault="00C852D1" w:rsidP="00BC47EA">
      <w:pPr>
        <w:rPr>
          <w:rFonts w:cstheme="minorHAnsi"/>
          <w:b/>
          <w:sz w:val="24"/>
          <w:szCs w:val="24"/>
        </w:rPr>
      </w:pPr>
      <w:r w:rsidRPr="008D0165">
        <w:rPr>
          <w:rFonts w:cstheme="minorHAnsi"/>
          <w:b/>
          <w:sz w:val="24"/>
          <w:szCs w:val="24"/>
        </w:rPr>
        <w:t>Wykres. Wskaźnik zatrudnienia mężczyzn (%) w grupach wiekowych 20</w:t>
      </w:r>
      <w:r w:rsidR="00A435C2">
        <w:rPr>
          <w:rFonts w:cstheme="minorHAnsi"/>
          <w:b/>
          <w:sz w:val="24"/>
          <w:szCs w:val="24"/>
        </w:rPr>
        <w:t>–</w:t>
      </w:r>
      <w:r w:rsidRPr="008D0165">
        <w:rPr>
          <w:rFonts w:cstheme="minorHAnsi"/>
          <w:b/>
          <w:sz w:val="24"/>
          <w:szCs w:val="24"/>
        </w:rPr>
        <w:t>64, 55</w:t>
      </w:r>
      <w:r w:rsidR="00A435C2">
        <w:rPr>
          <w:rFonts w:cstheme="minorHAnsi"/>
          <w:b/>
          <w:sz w:val="24"/>
          <w:szCs w:val="24"/>
        </w:rPr>
        <w:t>–</w:t>
      </w:r>
      <w:r w:rsidRPr="008D0165">
        <w:rPr>
          <w:rFonts w:cstheme="minorHAnsi"/>
          <w:b/>
          <w:sz w:val="24"/>
          <w:szCs w:val="24"/>
        </w:rPr>
        <w:t>64, 65+</w:t>
      </w:r>
    </w:p>
    <w:p w14:paraId="1C42837D" w14:textId="77777777" w:rsidR="00C852D1" w:rsidRPr="008D0165" w:rsidRDefault="00C852D1" w:rsidP="00C852D1">
      <w:pPr>
        <w:jc w:val="both"/>
        <w:rPr>
          <w:rFonts w:ascii="Arial" w:hAnsi="Arial" w:cs="Arial"/>
          <w:bCs/>
          <w:sz w:val="24"/>
          <w:szCs w:val="24"/>
        </w:rPr>
      </w:pPr>
      <w:r w:rsidRPr="008D0165">
        <w:rPr>
          <w:noProof/>
          <w:sz w:val="24"/>
          <w:szCs w:val="24"/>
          <w:lang w:eastAsia="pl-PL"/>
        </w:rPr>
        <w:lastRenderedPageBreak/>
        <w:drawing>
          <wp:inline distT="0" distB="0" distL="0" distR="0" wp14:anchorId="1ED6A530" wp14:editId="2B8BD670">
            <wp:extent cx="5430741" cy="2369489"/>
            <wp:effectExtent l="0" t="0" r="0" b="0"/>
            <wp:docPr id="2" name="Wykres 2">
              <a:extLst xmlns:a="http://schemas.openxmlformats.org/drawingml/2006/main">
                <a:ext uri="{FF2B5EF4-FFF2-40B4-BE49-F238E27FC236}">
                  <a16:creationId xmlns:a16="http://schemas.microsoft.com/office/drawing/2014/main" id="{822E66E0-5DA0-4C29-ACCC-4C47325D0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D0165">
        <w:rPr>
          <w:rFonts w:ascii="Arial" w:hAnsi="Arial" w:cs="Arial"/>
          <w:bCs/>
          <w:sz w:val="24"/>
          <w:szCs w:val="24"/>
        </w:rPr>
        <w:t xml:space="preserve"> </w:t>
      </w:r>
    </w:p>
    <w:p w14:paraId="3EBB018A" w14:textId="1C3C8971" w:rsidR="00C852D1" w:rsidRDefault="00C852D1" w:rsidP="0060182E">
      <w:pPr>
        <w:spacing w:after="0" w:line="23" w:lineRule="atLeast"/>
        <w:jc w:val="both"/>
        <w:rPr>
          <w:rFonts w:cstheme="minorHAnsi"/>
          <w:color w:val="000000"/>
          <w:sz w:val="18"/>
          <w:szCs w:val="18"/>
        </w:rPr>
      </w:pPr>
      <w:r w:rsidRPr="00E64CAA">
        <w:rPr>
          <w:rFonts w:cstheme="minorHAnsi"/>
          <w:color w:val="000000"/>
          <w:sz w:val="18"/>
          <w:szCs w:val="18"/>
        </w:rPr>
        <w:t>Źródło: Eurostat [lfsq_ergan] – stan na dzień 24.03.2022</w:t>
      </w:r>
      <w:r w:rsidR="00B749E4">
        <w:rPr>
          <w:rFonts w:cstheme="minorHAnsi"/>
          <w:color w:val="000000"/>
          <w:sz w:val="18"/>
          <w:szCs w:val="18"/>
        </w:rPr>
        <w:t xml:space="preserve"> r.</w:t>
      </w:r>
    </w:p>
    <w:p w14:paraId="79AB3693" w14:textId="5879A6EA" w:rsidR="00286E76" w:rsidRDefault="00286E76" w:rsidP="00E64CAA">
      <w:pPr>
        <w:spacing w:after="0" w:line="23" w:lineRule="atLeast"/>
        <w:jc w:val="both"/>
        <w:rPr>
          <w:rFonts w:cstheme="minorHAnsi"/>
          <w:color w:val="000000"/>
          <w:sz w:val="18"/>
          <w:szCs w:val="18"/>
        </w:rPr>
      </w:pPr>
    </w:p>
    <w:p w14:paraId="4E0548BB" w14:textId="73EF0377" w:rsidR="00F53BB1" w:rsidRDefault="00F53BB1" w:rsidP="00E64CAA">
      <w:pPr>
        <w:spacing w:after="0" w:line="23" w:lineRule="atLeast"/>
        <w:jc w:val="both"/>
        <w:rPr>
          <w:rFonts w:cstheme="minorHAnsi"/>
          <w:color w:val="000000"/>
          <w:sz w:val="18"/>
          <w:szCs w:val="18"/>
        </w:rPr>
      </w:pPr>
    </w:p>
    <w:p w14:paraId="3364F4AD" w14:textId="146FF2D9" w:rsidR="00F53BB1" w:rsidRDefault="00F53BB1" w:rsidP="00E64CAA">
      <w:pPr>
        <w:spacing w:after="0" w:line="23" w:lineRule="atLeast"/>
        <w:jc w:val="both"/>
        <w:rPr>
          <w:rFonts w:cstheme="minorHAnsi"/>
          <w:color w:val="000000"/>
          <w:sz w:val="18"/>
          <w:szCs w:val="18"/>
        </w:rPr>
      </w:pPr>
    </w:p>
    <w:p w14:paraId="25C422FC" w14:textId="25F8EA15" w:rsidR="00F53BB1" w:rsidRDefault="00F53BB1" w:rsidP="00E64CAA">
      <w:pPr>
        <w:spacing w:after="0" w:line="23" w:lineRule="atLeast"/>
        <w:jc w:val="both"/>
        <w:rPr>
          <w:rFonts w:cstheme="minorHAnsi"/>
          <w:color w:val="000000"/>
          <w:sz w:val="18"/>
          <w:szCs w:val="18"/>
        </w:rPr>
      </w:pPr>
    </w:p>
    <w:p w14:paraId="5938F3D4" w14:textId="41594A04" w:rsidR="00F53BB1" w:rsidRDefault="00F53BB1" w:rsidP="00E64CAA">
      <w:pPr>
        <w:spacing w:after="0" w:line="23" w:lineRule="atLeast"/>
        <w:jc w:val="both"/>
        <w:rPr>
          <w:rFonts w:cstheme="minorHAnsi"/>
          <w:color w:val="000000"/>
          <w:sz w:val="18"/>
          <w:szCs w:val="18"/>
        </w:rPr>
      </w:pPr>
    </w:p>
    <w:p w14:paraId="1979610F" w14:textId="77777777" w:rsidR="00F53BB1" w:rsidRPr="00E64CAA" w:rsidRDefault="00F53BB1" w:rsidP="00E64CAA">
      <w:pPr>
        <w:spacing w:after="0" w:line="23" w:lineRule="atLeast"/>
        <w:jc w:val="both"/>
        <w:rPr>
          <w:rFonts w:cstheme="minorHAnsi"/>
          <w:color w:val="000000"/>
          <w:sz w:val="18"/>
          <w:szCs w:val="18"/>
        </w:rPr>
      </w:pPr>
    </w:p>
    <w:p w14:paraId="016DC573" w14:textId="2D4F54E4" w:rsidR="00C852D1" w:rsidRDefault="00C852D1" w:rsidP="00C852D1">
      <w:pPr>
        <w:jc w:val="both"/>
        <w:rPr>
          <w:rFonts w:cstheme="minorHAnsi"/>
          <w:bCs/>
          <w:sz w:val="24"/>
          <w:szCs w:val="24"/>
        </w:rPr>
      </w:pPr>
      <w:r w:rsidRPr="008D0165">
        <w:rPr>
          <w:rFonts w:cstheme="minorHAnsi"/>
          <w:bCs/>
          <w:sz w:val="24"/>
          <w:szCs w:val="24"/>
        </w:rPr>
        <w:t>Wskaźnik zatrudnienia kobiet w wieku 20</w:t>
      </w:r>
      <w:r w:rsidR="00A435C2">
        <w:rPr>
          <w:rFonts w:cstheme="minorHAnsi"/>
          <w:bCs/>
          <w:sz w:val="24"/>
          <w:szCs w:val="24"/>
        </w:rPr>
        <w:t>–</w:t>
      </w:r>
      <w:r w:rsidRPr="008D0165">
        <w:rPr>
          <w:rFonts w:cstheme="minorHAnsi"/>
          <w:bCs/>
          <w:sz w:val="24"/>
          <w:szCs w:val="24"/>
        </w:rPr>
        <w:t>64 lata wzrósł o 11,6 p.p. (z 57,7% w IV kw. 2012</w:t>
      </w:r>
      <w:r w:rsidR="00E828B5" w:rsidRPr="008D0165">
        <w:rPr>
          <w:rFonts w:cstheme="minorHAnsi"/>
          <w:bCs/>
          <w:sz w:val="24"/>
          <w:szCs w:val="24"/>
        </w:rPr>
        <w:t xml:space="preserve"> r.</w:t>
      </w:r>
      <w:r w:rsidRPr="008D0165">
        <w:rPr>
          <w:rFonts w:cstheme="minorHAnsi"/>
          <w:bCs/>
          <w:sz w:val="24"/>
          <w:szCs w:val="24"/>
        </w:rPr>
        <w:t xml:space="preserve"> do 69,3% w IV kw. 2021</w:t>
      </w:r>
      <w:r w:rsidR="00E828B5" w:rsidRPr="008D0165">
        <w:rPr>
          <w:rFonts w:cstheme="minorHAnsi"/>
          <w:bCs/>
          <w:sz w:val="24"/>
          <w:szCs w:val="24"/>
        </w:rPr>
        <w:t xml:space="preserve"> r.</w:t>
      </w:r>
      <w:r w:rsidRPr="008D0165">
        <w:rPr>
          <w:rFonts w:cstheme="minorHAnsi"/>
          <w:bCs/>
          <w:sz w:val="24"/>
          <w:szCs w:val="24"/>
        </w:rPr>
        <w:t>). W wieku przedemerytalnym (55</w:t>
      </w:r>
      <w:r w:rsidR="00A435C2">
        <w:rPr>
          <w:rFonts w:cstheme="minorHAnsi"/>
          <w:bCs/>
          <w:sz w:val="24"/>
          <w:szCs w:val="24"/>
        </w:rPr>
        <w:t>–</w:t>
      </w:r>
      <w:r w:rsidRPr="008D0165">
        <w:rPr>
          <w:rFonts w:cstheme="minorHAnsi"/>
          <w:bCs/>
          <w:sz w:val="24"/>
          <w:szCs w:val="24"/>
        </w:rPr>
        <w:t>59 lat) wzrósł o 23,7 p.p. (z</w:t>
      </w:r>
      <w:r w:rsidR="006E36F1">
        <w:rPr>
          <w:rFonts w:cstheme="minorHAnsi"/>
          <w:bCs/>
          <w:sz w:val="24"/>
          <w:szCs w:val="24"/>
        </w:rPr>
        <w:t> </w:t>
      </w:r>
      <w:r w:rsidRPr="008D0165">
        <w:rPr>
          <w:rFonts w:cstheme="minorHAnsi"/>
          <w:bCs/>
          <w:sz w:val="24"/>
          <w:szCs w:val="24"/>
        </w:rPr>
        <w:t>44,5%</w:t>
      </w:r>
      <w:r w:rsidR="006E36F1">
        <w:rPr>
          <w:rFonts w:cstheme="minorHAnsi"/>
          <w:bCs/>
          <w:sz w:val="24"/>
          <w:szCs w:val="24"/>
        </w:rPr>
        <w:t> </w:t>
      </w:r>
      <w:r w:rsidRPr="008D0165">
        <w:rPr>
          <w:rFonts w:cstheme="minorHAnsi"/>
          <w:bCs/>
          <w:sz w:val="24"/>
          <w:szCs w:val="24"/>
        </w:rPr>
        <w:t>do 68,2%) i w IV kw. 2021</w:t>
      </w:r>
      <w:r w:rsidR="00E828B5" w:rsidRPr="008D0165">
        <w:rPr>
          <w:rFonts w:cstheme="minorHAnsi"/>
          <w:bCs/>
          <w:sz w:val="24"/>
          <w:szCs w:val="24"/>
        </w:rPr>
        <w:t xml:space="preserve"> r.</w:t>
      </w:r>
      <w:r w:rsidRPr="008D0165">
        <w:rPr>
          <w:rFonts w:cstheme="minorHAnsi"/>
          <w:bCs/>
          <w:sz w:val="24"/>
          <w:szCs w:val="24"/>
        </w:rPr>
        <w:t xml:space="preserve"> był niższy jedynie o 1,1 p.p. od ww. wskaźnika dla grupy wiekowej 20</w:t>
      </w:r>
      <w:r w:rsidR="00A435C2">
        <w:rPr>
          <w:rFonts w:cstheme="minorHAnsi"/>
          <w:bCs/>
          <w:sz w:val="24"/>
          <w:szCs w:val="24"/>
        </w:rPr>
        <w:t>–</w:t>
      </w:r>
      <w:r w:rsidRPr="008D0165">
        <w:rPr>
          <w:rFonts w:cstheme="minorHAnsi"/>
          <w:bCs/>
          <w:sz w:val="24"/>
          <w:szCs w:val="24"/>
        </w:rPr>
        <w:t>64 lata. Odnotowano również dynamiczny wzrost wskaźnika zatrudnienia wśród kobiet w wieku 60</w:t>
      </w:r>
      <w:r w:rsidR="00A435C2">
        <w:rPr>
          <w:rFonts w:cstheme="minorHAnsi"/>
          <w:bCs/>
          <w:sz w:val="24"/>
          <w:szCs w:val="24"/>
        </w:rPr>
        <w:t>–</w:t>
      </w:r>
      <w:r w:rsidRPr="008D0165">
        <w:rPr>
          <w:rFonts w:cstheme="minorHAnsi"/>
          <w:bCs/>
          <w:sz w:val="24"/>
          <w:szCs w:val="24"/>
        </w:rPr>
        <w:t xml:space="preserve">64 lat, czyli w grupie wiekowej, której </w:t>
      </w:r>
      <w:r w:rsidR="00312778">
        <w:rPr>
          <w:rFonts w:cstheme="minorHAnsi"/>
          <w:bCs/>
          <w:sz w:val="24"/>
          <w:szCs w:val="24"/>
        </w:rPr>
        <w:t>u</w:t>
      </w:r>
      <w:r w:rsidRPr="008D0165">
        <w:rPr>
          <w:rFonts w:cstheme="minorHAnsi"/>
          <w:bCs/>
          <w:sz w:val="24"/>
          <w:szCs w:val="24"/>
        </w:rPr>
        <w:t xml:space="preserve">stawa </w:t>
      </w:r>
      <w:r w:rsidR="00DF7BF2">
        <w:rPr>
          <w:rFonts w:cstheme="minorHAnsi"/>
          <w:bCs/>
          <w:sz w:val="24"/>
          <w:szCs w:val="24"/>
        </w:rPr>
        <w:t xml:space="preserve">wiekowa </w:t>
      </w:r>
      <w:r w:rsidRPr="008D0165">
        <w:rPr>
          <w:rFonts w:cstheme="minorHAnsi"/>
          <w:bCs/>
          <w:sz w:val="24"/>
          <w:szCs w:val="24"/>
        </w:rPr>
        <w:t>dała prawo do</w:t>
      </w:r>
      <w:r w:rsidR="004B64F2">
        <w:rPr>
          <w:rFonts w:cstheme="minorHAnsi"/>
          <w:bCs/>
          <w:sz w:val="24"/>
          <w:szCs w:val="24"/>
        </w:rPr>
        <w:t> </w:t>
      </w:r>
      <w:r w:rsidRPr="008D0165">
        <w:rPr>
          <w:rFonts w:cstheme="minorHAnsi"/>
          <w:bCs/>
          <w:sz w:val="24"/>
          <w:szCs w:val="24"/>
        </w:rPr>
        <w:t>emerytury w wieku określonym na minimalnym poziomie 60 lat. Wskaźnik zatrudnienia w</w:t>
      </w:r>
      <w:r w:rsidR="004B64F2">
        <w:rPr>
          <w:rFonts w:cstheme="minorHAnsi"/>
          <w:bCs/>
          <w:sz w:val="24"/>
          <w:szCs w:val="24"/>
        </w:rPr>
        <w:t> </w:t>
      </w:r>
      <w:r w:rsidRPr="008D0165">
        <w:rPr>
          <w:rFonts w:cstheme="minorHAnsi"/>
          <w:bCs/>
          <w:sz w:val="24"/>
          <w:szCs w:val="24"/>
        </w:rPr>
        <w:t>tej grupie wiekowej wzrósł o 8,6 p.p. (z 14,9% w IV kw. 2012</w:t>
      </w:r>
      <w:r w:rsidR="00E828B5" w:rsidRPr="008D0165">
        <w:rPr>
          <w:rFonts w:cstheme="minorHAnsi"/>
          <w:bCs/>
          <w:sz w:val="24"/>
          <w:szCs w:val="24"/>
        </w:rPr>
        <w:t xml:space="preserve"> r.</w:t>
      </w:r>
      <w:r w:rsidRPr="008D0165">
        <w:rPr>
          <w:rFonts w:cstheme="minorHAnsi"/>
          <w:bCs/>
          <w:sz w:val="24"/>
          <w:szCs w:val="24"/>
        </w:rPr>
        <w:t xml:space="preserve"> do 23,5% w IV kw. 2021</w:t>
      </w:r>
      <w:r w:rsidR="00E828B5" w:rsidRPr="008D0165">
        <w:rPr>
          <w:rFonts w:cstheme="minorHAnsi"/>
          <w:bCs/>
          <w:sz w:val="24"/>
          <w:szCs w:val="24"/>
        </w:rPr>
        <w:t xml:space="preserve"> r.</w:t>
      </w:r>
      <w:r w:rsidRPr="008D0165">
        <w:rPr>
          <w:rFonts w:cstheme="minorHAnsi"/>
          <w:bCs/>
          <w:sz w:val="24"/>
          <w:szCs w:val="24"/>
        </w:rPr>
        <w:t xml:space="preserve">). </w:t>
      </w:r>
    </w:p>
    <w:p w14:paraId="0394D762" w14:textId="77777777" w:rsidR="00F53BB1" w:rsidRDefault="00F53BB1" w:rsidP="00C852D1">
      <w:pPr>
        <w:jc w:val="both"/>
        <w:rPr>
          <w:rFonts w:cstheme="minorHAnsi"/>
          <w:b/>
          <w:sz w:val="24"/>
          <w:szCs w:val="24"/>
        </w:rPr>
      </w:pPr>
      <w:bookmarkStart w:id="1" w:name="_Hlk99444906"/>
    </w:p>
    <w:p w14:paraId="2A7C009C" w14:textId="77777777" w:rsidR="00F53BB1" w:rsidRDefault="00F53BB1" w:rsidP="00C852D1">
      <w:pPr>
        <w:jc w:val="both"/>
        <w:rPr>
          <w:rFonts w:cstheme="minorHAnsi"/>
          <w:b/>
          <w:sz w:val="24"/>
          <w:szCs w:val="24"/>
        </w:rPr>
      </w:pPr>
    </w:p>
    <w:p w14:paraId="3B9ED8BB" w14:textId="77777777" w:rsidR="00F53BB1" w:rsidRDefault="00F53BB1" w:rsidP="00C852D1">
      <w:pPr>
        <w:jc w:val="both"/>
        <w:rPr>
          <w:rFonts w:cstheme="minorHAnsi"/>
          <w:b/>
          <w:sz w:val="24"/>
          <w:szCs w:val="24"/>
        </w:rPr>
      </w:pPr>
    </w:p>
    <w:p w14:paraId="6B3C8545" w14:textId="17CA0141" w:rsidR="00C852D1" w:rsidRPr="008D0165" w:rsidRDefault="00C852D1" w:rsidP="00C852D1">
      <w:pPr>
        <w:jc w:val="both"/>
        <w:rPr>
          <w:rFonts w:cstheme="minorHAnsi"/>
          <w:b/>
          <w:sz w:val="24"/>
          <w:szCs w:val="24"/>
        </w:rPr>
      </w:pPr>
      <w:r w:rsidRPr="008D0165">
        <w:rPr>
          <w:rFonts w:cstheme="minorHAnsi"/>
          <w:b/>
          <w:sz w:val="24"/>
          <w:szCs w:val="24"/>
        </w:rPr>
        <w:t>Wykres. Wskaźnik zatrudnienia kobiet (%) w grupach wiekowych 20</w:t>
      </w:r>
      <w:r w:rsidR="00A435C2">
        <w:rPr>
          <w:rFonts w:cstheme="minorHAnsi"/>
          <w:b/>
          <w:sz w:val="24"/>
          <w:szCs w:val="24"/>
        </w:rPr>
        <w:t>–</w:t>
      </w:r>
      <w:r w:rsidRPr="008D0165">
        <w:rPr>
          <w:rFonts w:cstheme="minorHAnsi"/>
          <w:b/>
          <w:sz w:val="24"/>
          <w:szCs w:val="24"/>
        </w:rPr>
        <w:t>64, 55</w:t>
      </w:r>
      <w:r w:rsidR="00A435C2">
        <w:rPr>
          <w:rFonts w:cstheme="minorHAnsi"/>
          <w:b/>
          <w:sz w:val="24"/>
          <w:szCs w:val="24"/>
        </w:rPr>
        <w:t>–</w:t>
      </w:r>
      <w:r w:rsidRPr="008D0165">
        <w:rPr>
          <w:rFonts w:cstheme="minorHAnsi"/>
          <w:b/>
          <w:sz w:val="24"/>
          <w:szCs w:val="24"/>
        </w:rPr>
        <w:t>59, 60</w:t>
      </w:r>
      <w:r w:rsidR="00A435C2">
        <w:rPr>
          <w:rFonts w:cstheme="minorHAnsi"/>
          <w:b/>
          <w:sz w:val="24"/>
          <w:szCs w:val="24"/>
        </w:rPr>
        <w:t>–</w:t>
      </w:r>
      <w:r w:rsidRPr="008D0165">
        <w:rPr>
          <w:rFonts w:cstheme="minorHAnsi"/>
          <w:b/>
          <w:sz w:val="24"/>
          <w:szCs w:val="24"/>
        </w:rPr>
        <w:t>64, 65+</w:t>
      </w:r>
    </w:p>
    <w:bookmarkEnd w:id="1"/>
    <w:p w14:paraId="04F1FF34" w14:textId="77777777" w:rsidR="00C852D1" w:rsidRPr="008D0165" w:rsidRDefault="00C852D1" w:rsidP="00C852D1">
      <w:pPr>
        <w:jc w:val="both"/>
        <w:rPr>
          <w:rFonts w:ascii="Arial" w:hAnsi="Arial" w:cs="Arial"/>
          <w:bCs/>
          <w:sz w:val="24"/>
          <w:szCs w:val="24"/>
        </w:rPr>
      </w:pPr>
      <w:r w:rsidRPr="008D0165">
        <w:rPr>
          <w:noProof/>
          <w:sz w:val="24"/>
          <w:szCs w:val="24"/>
          <w:lang w:eastAsia="pl-PL"/>
        </w:rPr>
        <w:lastRenderedPageBreak/>
        <w:drawing>
          <wp:inline distT="0" distB="0" distL="0" distR="0" wp14:anchorId="2EAE62C7" wp14:editId="1B621C4C">
            <wp:extent cx="5267325" cy="2495550"/>
            <wp:effectExtent l="0" t="0" r="0" b="0"/>
            <wp:docPr id="3" name="Wykres 3">
              <a:extLst xmlns:a="http://schemas.openxmlformats.org/drawingml/2006/main">
                <a:ext uri="{FF2B5EF4-FFF2-40B4-BE49-F238E27FC236}">
                  <a16:creationId xmlns:a16="http://schemas.microsoft.com/office/drawing/2014/main" id="{7084C75B-6A8F-4788-B3CB-9A40F6AD1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D80E69" w14:textId="0DE2DB55" w:rsidR="00C852D1" w:rsidRPr="00A77D1A" w:rsidRDefault="00C852D1" w:rsidP="00C852D1">
      <w:pPr>
        <w:jc w:val="both"/>
        <w:rPr>
          <w:rFonts w:cstheme="minorHAnsi"/>
          <w:bCs/>
          <w:sz w:val="18"/>
          <w:szCs w:val="18"/>
        </w:rPr>
      </w:pPr>
      <w:r w:rsidRPr="00A77D1A">
        <w:rPr>
          <w:rFonts w:cstheme="minorHAnsi"/>
          <w:bCs/>
          <w:sz w:val="18"/>
          <w:szCs w:val="18"/>
        </w:rPr>
        <w:t>Źródło: Eurostat [lfsq_ergan] – stan na dzień 24.03.2022</w:t>
      </w:r>
      <w:r w:rsidR="00B749E4">
        <w:rPr>
          <w:rFonts w:cstheme="minorHAnsi"/>
          <w:bCs/>
          <w:sz w:val="18"/>
          <w:szCs w:val="18"/>
        </w:rPr>
        <w:t xml:space="preserve"> r.</w:t>
      </w:r>
    </w:p>
    <w:p w14:paraId="45ADA58A" w14:textId="3A961C47" w:rsidR="00C852D1" w:rsidRPr="008D0165" w:rsidRDefault="00C852D1" w:rsidP="00C852D1">
      <w:pPr>
        <w:jc w:val="both"/>
        <w:rPr>
          <w:rFonts w:cstheme="minorHAnsi"/>
          <w:bCs/>
          <w:sz w:val="24"/>
          <w:szCs w:val="24"/>
        </w:rPr>
      </w:pPr>
      <w:r w:rsidRPr="008D0165">
        <w:rPr>
          <w:rFonts w:cstheme="minorHAnsi"/>
          <w:bCs/>
          <w:sz w:val="24"/>
          <w:szCs w:val="24"/>
        </w:rPr>
        <w:t>Analizując wskaźnik zatrudnienia kobiet należy wziąć pod uwagę czynniki, które wpływają na</w:t>
      </w:r>
      <w:r w:rsidR="007358D5">
        <w:rPr>
          <w:rFonts w:cstheme="minorHAnsi"/>
          <w:bCs/>
          <w:sz w:val="24"/>
          <w:szCs w:val="24"/>
        </w:rPr>
        <w:t> </w:t>
      </w:r>
      <w:r w:rsidRPr="008D0165">
        <w:rPr>
          <w:rFonts w:cstheme="minorHAnsi"/>
          <w:bCs/>
          <w:sz w:val="24"/>
          <w:szCs w:val="24"/>
        </w:rPr>
        <w:t>ich bierność. Kobiety w wieku 50</w:t>
      </w:r>
      <w:r w:rsidR="00A435C2">
        <w:rPr>
          <w:rFonts w:cstheme="minorHAnsi"/>
          <w:bCs/>
          <w:sz w:val="24"/>
          <w:szCs w:val="24"/>
        </w:rPr>
        <w:t>–</w:t>
      </w:r>
      <w:r w:rsidRPr="008D0165">
        <w:rPr>
          <w:rFonts w:cstheme="minorHAnsi"/>
          <w:bCs/>
          <w:sz w:val="24"/>
          <w:szCs w:val="24"/>
        </w:rPr>
        <w:t xml:space="preserve">59 lat najczęściej są bierne zawodowo z powodu choroby </w:t>
      </w:r>
      <w:r w:rsidR="0057735C">
        <w:rPr>
          <w:rFonts w:cstheme="minorHAnsi"/>
          <w:bCs/>
          <w:sz w:val="24"/>
          <w:szCs w:val="24"/>
        </w:rPr>
        <w:t>i niepełnosprawności (34,4</w:t>
      </w:r>
      <w:r w:rsidRPr="008D0165">
        <w:rPr>
          <w:rFonts w:cstheme="minorHAnsi"/>
          <w:bCs/>
          <w:sz w:val="24"/>
          <w:szCs w:val="24"/>
        </w:rPr>
        <w:t>%), emerytury (</w:t>
      </w:r>
      <w:r w:rsidR="0057735C">
        <w:rPr>
          <w:rFonts w:cstheme="minorHAnsi"/>
          <w:bCs/>
          <w:sz w:val="24"/>
          <w:szCs w:val="24"/>
        </w:rPr>
        <w:t>10,7</w:t>
      </w:r>
      <w:r w:rsidRPr="008D0165">
        <w:rPr>
          <w:rFonts w:cstheme="minorHAnsi"/>
          <w:bCs/>
          <w:sz w:val="24"/>
          <w:szCs w:val="24"/>
        </w:rPr>
        <w:t>%), powodów os</w:t>
      </w:r>
      <w:r w:rsidR="0057735C">
        <w:rPr>
          <w:rFonts w:cstheme="minorHAnsi"/>
          <w:bCs/>
          <w:sz w:val="24"/>
          <w:szCs w:val="24"/>
        </w:rPr>
        <w:t>obistych i sytuacji rodzinnej (31,1</w:t>
      </w:r>
      <w:r w:rsidRPr="008D0165">
        <w:rPr>
          <w:rFonts w:cstheme="minorHAnsi"/>
          <w:bCs/>
          <w:sz w:val="24"/>
          <w:szCs w:val="24"/>
        </w:rPr>
        <w:t>%), opieki nad osobami zależnymi (</w:t>
      </w:r>
      <w:r w:rsidR="0057735C">
        <w:rPr>
          <w:rFonts w:cstheme="minorHAnsi"/>
          <w:bCs/>
          <w:sz w:val="24"/>
          <w:szCs w:val="24"/>
        </w:rPr>
        <w:t>11,1</w:t>
      </w:r>
      <w:r w:rsidRPr="008D0165">
        <w:rPr>
          <w:rFonts w:cstheme="minorHAnsi"/>
          <w:bCs/>
          <w:sz w:val="24"/>
          <w:szCs w:val="24"/>
        </w:rPr>
        <w:t>%) oraz innych powodów (</w:t>
      </w:r>
      <w:r w:rsidR="0057735C">
        <w:rPr>
          <w:rFonts w:cstheme="minorHAnsi"/>
          <w:bCs/>
          <w:sz w:val="24"/>
          <w:szCs w:val="24"/>
        </w:rPr>
        <w:t>12,7</w:t>
      </w:r>
      <w:r w:rsidRPr="008D0165">
        <w:rPr>
          <w:rFonts w:cstheme="minorHAnsi"/>
          <w:bCs/>
          <w:sz w:val="24"/>
          <w:szCs w:val="24"/>
        </w:rPr>
        <w:t>%). Po osiągnięciu wieku emerytalnego (6</w:t>
      </w:r>
      <w:r w:rsidR="0025594B">
        <w:rPr>
          <w:rFonts w:cstheme="minorHAnsi"/>
          <w:bCs/>
          <w:sz w:val="24"/>
          <w:szCs w:val="24"/>
        </w:rPr>
        <w:t>0 lat</w:t>
      </w:r>
      <w:r w:rsidRPr="008D0165">
        <w:rPr>
          <w:rFonts w:cstheme="minorHAnsi"/>
          <w:bCs/>
          <w:sz w:val="24"/>
          <w:szCs w:val="24"/>
        </w:rPr>
        <w:t xml:space="preserve"> w przypadku kobiet) emerytura jest dominującą (9</w:t>
      </w:r>
      <w:r w:rsidR="0057735C">
        <w:rPr>
          <w:rFonts w:cstheme="minorHAnsi"/>
          <w:bCs/>
          <w:sz w:val="24"/>
          <w:szCs w:val="24"/>
        </w:rPr>
        <w:t>4,1</w:t>
      </w:r>
      <w:r w:rsidRPr="008D0165">
        <w:rPr>
          <w:rFonts w:cstheme="minorHAnsi"/>
          <w:bCs/>
          <w:sz w:val="24"/>
          <w:szCs w:val="24"/>
        </w:rPr>
        <w:t>%) przyczyną bierności zawodowej</w:t>
      </w:r>
      <w:r w:rsidRPr="008D0165">
        <w:rPr>
          <w:rStyle w:val="Odwoanieprzypisudolnego"/>
          <w:rFonts w:cstheme="minorHAnsi"/>
          <w:bCs/>
          <w:sz w:val="24"/>
          <w:szCs w:val="24"/>
        </w:rPr>
        <w:footnoteReference w:id="8"/>
      </w:r>
      <w:r w:rsidR="00591DAE">
        <w:rPr>
          <w:rFonts w:cstheme="minorHAnsi"/>
          <w:bCs/>
          <w:sz w:val="24"/>
          <w:szCs w:val="24"/>
          <w:vertAlign w:val="superscript"/>
        </w:rPr>
        <w:t>)</w:t>
      </w:r>
      <w:r w:rsidR="0060182E">
        <w:rPr>
          <w:rFonts w:cstheme="minorHAnsi"/>
          <w:bCs/>
          <w:sz w:val="24"/>
          <w:szCs w:val="24"/>
        </w:rPr>
        <w:t>.</w:t>
      </w:r>
    </w:p>
    <w:p w14:paraId="31B47F58" w14:textId="563C26A7" w:rsidR="00C852D1" w:rsidRPr="008D0165" w:rsidRDefault="00C852D1" w:rsidP="00C852D1">
      <w:pPr>
        <w:jc w:val="both"/>
        <w:rPr>
          <w:rFonts w:cstheme="minorHAnsi"/>
          <w:bCs/>
          <w:sz w:val="24"/>
          <w:szCs w:val="24"/>
        </w:rPr>
      </w:pPr>
      <w:r w:rsidRPr="008D0165">
        <w:rPr>
          <w:rFonts w:cstheme="minorHAnsi"/>
          <w:bCs/>
          <w:sz w:val="24"/>
          <w:szCs w:val="24"/>
        </w:rPr>
        <w:t>W przypadku mężczyzn w wieku przedemerytalnym (55</w:t>
      </w:r>
      <w:r w:rsidR="00A435C2">
        <w:rPr>
          <w:rFonts w:cstheme="minorHAnsi"/>
          <w:bCs/>
          <w:sz w:val="24"/>
          <w:szCs w:val="24"/>
        </w:rPr>
        <w:t>–</w:t>
      </w:r>
      <w:r w:rsidRPr="008D0165">
        <w:rPr>
          <w:rFonts w:cstheme="minorHAnsi"/>
          <w:bCs/>
          <w:sz w:val="24"/>
          <w:szCs w:val="24"/>
        </w:rPr>
        <w:t>64 lata) bierność zawodowa jest</w:t>
      </w:r>
      <w:r w:rsidR="007358D5">
        <w:rPr>
          <w:rFonts w:cstheme="minorHAnsi"/>
          <w:bCs/>
          <w:sz w:val="24"/>
          <w:szCs w:val="24"/>
        </w:rPr>
        <w:t> </w:t>
      </w:r>
      <w:r w:rsidRPr="008D0165">
        <w:rPr>
          <w:rFonts w:cstheme="minorHAnsi"/>
          <w:bCs/>
          <w:sz w:val="24"/>
          <w:szCs w:val="24"/>
        </w:rPr>
        <w:t>spowodowana c</w:t>
      </w:r>
      <w:r w:rsidR="0025594B">
        <w:rPr>
          <w:rFonts w:cstheme="minorHAnsi"/>
          <w:bCs/>
          <w:sz w:val="24"/>
          <w:szCs w:val="24"/>
        </w:rPr>
        <w:t>horobą i niepełnosprawnością (46,8%) oraz emeryturą (39,8</w:t>
      </w:r>
      <w:r w:rsidRPr="008D0165">
        <w:rPr>
          <w:rFonts w:cstheme="minorHAnsi"/>
          <w:bCs/>
          <w:sz w:val="24"/>
          <w:szCs w:val="24"/>
        </w:rPr>
        <w:t>%). Pozostałe pow</w:t>
      </w:r>
      <w:r w:rsidR="0025594B">
        <w:rPr>
          <w:rFonts w:cstheme="minorHAnsi"/>
          <w:bCs/>
          <w:sz w:val="24"/>
          <w:szCs w:val="24"/>
        </w:rPr>
        <w:t>ody to jedynie 13,4</w:t>
      </w:r>
      <w:r w:rsidRPr="008D0165">
        <w:rPr>
          <w:rFonts w:cstheme="minorHAnsi"/>
          <w:bCs/>
          <w:sz w:val="24"/>
          <w:szCs w:val="24"/>
        </w:rPr>
        <w:t>%. Po osiągnięciu wieku emerytalnego (65 lat w przypadku mężczyzn) dominującą przyczyną biernoś</w:t>
      </w:r>
      <w:r w:rsidR="006F00C1">
        <w:rPr>
          <w:rFonts w:cstheme="minorHAnsi"/>
          <w:bCs/>
          <w:sz w:val="24"/>
          <w:szCs w:val="24"/>
        </w:rPr>
        <w:t>ci zawodowej</w:t>
      </w:r>
      <w:r w:rsidRPr="008D0165">
        <w:rPr>
          <w:rFonts w:cstheme="minorHAnsi"/>
          <w:bCs/>
          <w:sz w:val="24"/>
          <w:szCs w:val="24"/>
        </w:rPr>
        <w:t>, podobnie jak w przypadku kobiet, jest emerytura (9</w:t>
      </w:r>
      <w:r w:rsidR="0025594B">
        <w:rPr>
          <w:rFonts w:cstheme="minorHAnsi"/>
          <w:bCs/>
          <w:sz w:val="24"/>
          <w:szCs w:val="24"/>
        </w:rPr>
        <w:t>5,8</w:t>
      </w:r>
      <w:r w:rsidRPr="008D0165">
        <w:rPr>
          <w:rFonts w:cstheme="minorHAnsi"/>
          <w:bCs/>
          <w:sz w:val="24"/>
          <w:szCs w:val="24"/>
        </w:rPr>
        <w:t>%)</w:t>
      </w:r>
      <w:r w:rsidRPr="008D0165">
        <w:rPr>
          <w:rStyle w:val="Odwoanieprzypisudolnego"/>
          <w:rFonts w:cstheme="minorHAnsi"/>
          <w:bCs/>
          <w:sz w:val="24"/>
          <w:szCs w:val="24"/>
        </w:rPr>
        <w:footnoteReference w:id="9"/>
      </w:r>
      <w:r w:rsidR="009449A7">
        <w:rPr>
          <w:rFonts w:cstheme="minorHAnsi"/>
          <w:bCs/>
          <w:sz w:val="24"/>
          <w:szCs w:val="24"/>
          <w:vertAlign w:val="superscript"/>
        </w:rPr>
        <w:t>)</w:t>
      </w:r>
      <w:r w:rsidR="0060182E">
        <w:rPr>
          <w:rFonts w:cstheme="minorHAnsi"/>
          <w:bCs/>
          <w:sz w:val="24"/>
          <w:szCs w:val="24"/>
        </w:rPr>
        <w:t>.</w:t>
      </w:r>
    </w:p>
    <w:p w14:paraId="6DCDE460" w14:textId="74AA582E" w:rsidR="00497785" w:rsidRDefault="00C852D1" w:rsidP="00520669">
      <w:pPr>
        <w:jc w:val="both"/>
        <w:rPr>
          <w:rFonts w:cstheme="minorHAnsi"/>
          <w:bCs/>
          <w:sz w:val="24"/>
          <w:szCs w:val="24"/>
        </w:rPr>
      </w:pPr>
      <w:bookmarkStart w:id="2" w:name="_Hlk105741058"/>
      <w:r w:rsidRPr="008D0165">
        <w:rPr>
          <w:rFonts w:cstheme="minorHAnsi"/>
          <w:bCs/>
          <w:sz w:val="24"/>
          <w:szCs w:val="24"/>
        </w:rPr>
        <w:t>Warto zauważyć, że Polacy mimo osiągnięcia ustawowego wieku emerytalnego i przejścia na</w:t>
      </w:r>
      <w:r w:rsidR="007358D5">
        <w:rPr>
          <w:rFonts w:cstheme="minorHAnsi"/>
          <w:bCs/>
          <w:sz w:val="24"/>
          <w:szCs w:val="24"/>
        </w:rPr>
        <w:t> </w:t>
      </w:r>
      <w:r w:rsidRPr="008D0165">
        <w:rPr>
          <w:rFonts w:cstheme="minorHAnsi"/>
          <w:bCs/>
          <w:sz w:val="24"/>
          <w:szCs w:val="24"/>
        </w:rPr>
        <w:t>emeryturę kontynuują aktywność zawodową w coraz większym zakr</w:t>
      </w:r>
      <w:bookmarkEnd w:id="2"/>
      <w:r w:rsidRPr="008D0165">
        <w:rPr>
          <w:rFonts w:cstheme="minorHAnsi"/>
          <w:bCs/>
          <w:sz w:val="24"/>
          <w:szCs w:val="24"/>
        </w:rPr>
        <w:t xml:space="preserve">esie. </w:t>
      </w:r>
      <w:bookmarkStart w:id="3" w:name="_Hlk105741100"/>
      <w:r w:rsidRPr="008D0165">
        <w:rPr>
          <w:rFonts w:cstheme="minorHAnsi"/>
          <w:bCs/>
          <w:sz w:val="24"/>
          <w:szCs w:val="24"/>
        </w:rPr>
        <w:t>Liczba pracujących emerytów wzrosła z 545,4 tys. w grudniu 2012</w:t>
      </w:r>
      <w:r w:rsidR="00E828B5" w:rsidRPr="008D0165">
        <w:rPr>
          <w:rFonts w:cstheme="minorHAnsi"/>
          <w:bCs/>
          <w:sz w:val="24"/>
          <w:szCs w:val="24"/>
        </w:rPr>
        <w:t xml:space="preserve"> r.</w:t>
      </w:r>
      <w:r w:rsidRPr="008D0165">
        <w:rPr>
          <w:rFonts w:cstheme="minorHAnsi"/>
          <w:bCs/>
          <w:sz w:val="24"/>
          <w:szCs w:val="24"/>
        </w:rPr>
        <w:t xml:space="preserve"> do 812,9 tys. w grudniu 2021</w:t>
      </w:r>
      <w:r w:rsidR="00E828B5" w:rsidRPr="008D0165">
        <w:rPr>
          <w:rFonts w:cstheme="minorHAnsi"/>
          <w:bCs/>
          <w:sz w:val="24"/>
          <w:szCs w:val="24"/>
        </w:rPr>
        <w:t xml:space="preserve"> r.</w:t>
      </w:r>
      <w:r w:rsidRPr="008D0165">
        <w:rPr>
          <w:rFonts w:cstheme="minorHAnsi"/>
          <w:bCs/>
          <w:sz w:val="24"/>
          <w:szCs w:val="24"/>
        </w:rPr>
        <w:t>, czyli o 49,0%</w:t>
      </w:r>
      <w:bookmarkEnd w:id="3"/>
      <w:r w:rsidRPr="008D0165">
        <w:rPr>
          <w:rStyle w:val="Odwoanieprzypisudolnego"/>
          <w:rFonts w:cstheme="minorHAnsi"/>
          <w:bCs/>
          <w:sz w:val="24"/>
          <w:szCs w:val="24"/>
        </w:rPr>
        <w:footnoteReference w:id="10"/>
      </w:r>
      <w:r w:rsidR="00591DAE">
        <w:rPr>
          <w:rFonts w:cstheme="minorHAnsi"/>
          <w:bCs/>
          <w:sz w:val="24"/>
          <w:szCs w:val="24"/>
          <w:vertAlign w:val="superscript"/>
        </w:rPr>
        <w:t>)</w:t>
      </w:r>
      <w:r w:rsidR="0060182E">
        <w:rPr>
          <w:rFonts w:cstheme="minorHAnsi"/>
          <w:bCs/>
          <w:sz w:val="24"/>
          <w:szCs w:val="24"/>
        </w:rPr>
        <w:t>.</w:t>
      </w:r>
      <w:r w:rsidRPr="008D0165">
        <w:rPr>
          <w:rFonts w:cstheme="minorHAnsi"/>
          <w:bCs/>
          <w:sz w:val="24"/>
          <w:szCs w:val="24"/>
        </w:rPr>
        <w:t xml:space="preserve"> </w:t>
      </w:r>
    </w:p>
    <w:p w14:paraId="3B90BC13" w14:textId="7A780AE4" w:rsidR="00D923B7" w:rsidRDefault="00D923B7" w:rsidP="00520669">
      <w:pPr>
        <w:jc w:val="both"/>
        <w:rPr>
          <w:rFonts w:cstheme="minorHAnsi"/>
          <w:bCs/>
          <w:sz w:val="24"/>
          <w:szCs w:val="24"/>
        </w:rPr>
      </w:pPr>
    </w:p>
    <w:p w14:paraId="6A46C589" w14:textId="5BAA9E17" w:rsidR="0025594B" w:rsidRDefault="0025594B" w:rsidP="00520669">
      <w:pPr>
        <w:jc w:val="both"/>
        <w:rPr>
          <w:rFonts w:cstheme="minorHAnsi"/>
          <w:bCs/>
          <w:sz w:val="24"/>
          <w:szCs w:val="24"/>
        </w:rPr>
      </w:pPr>
    </w:p>
    <w:p w14:paraId="3B7FC886" w14:textId="77777777" w:rsidR="0025594B" w:rsidRDefault="0025594B" w:rsidP="00520669">
      <w:pPr>
        <w:jc w:val="both"/>
        <w:rPr>
          <w:rFonts w:cstheme="minorHAnsi"/>
          <w:bCs/>
          <w:sz w:val="24"/>
          <w:szCs w:val="24"/>
        </w:rPr>
      </w:pPr>
    </w:p>
    <w:p w14:paraId="55FF8615" w14:textId="2001B5A6" w:rsidR="00C852D1" w:rsidRPr="008D0165" w:rsidRDefault="00C852D1" w:rsidP="00520669">
      <w:pPr>
        <w:jc w:val="both"/>
        <w:rPr>
          <w:rFonts w:cstheme="minorHAnsi"/>
          <w:b/>
          <w:sz w:val="24"/>
          <w:szCs w:val="24"/>
        </w:rPr>
      </w:pPr>
      <w:r w:rsidRPr="008D0165">
        <w:rPr>
          <w:rFonts w:cstheme="minorHAnsi"/>
          <w:b/>
          <w:sz w:val="24"/>
          <w:szCs w:val="24"/>
        </w:rPr>
        <w:lastRenderedPageBreak/>
        <w:t>Wykres. Liczba pracujących emerytów (tys.) w latach 2012</w:t>
      </w:r>
      <w:r w:rsidR="003D7141">
        <w:rPr>
          <w:rFonts w:cstheme="minorHAnsi"/>
          <w:b/>
          <w:sz w:val="24"/>
          <w:szCs w:val="24"/>
        </w:rPr>
        <w:t>–</w:t>
      </w:r>
      <w:r w:rsidRPr="008D0165">
        <w:rPr>
          <w:rFonts w:cstheme="minorHAnsi"/>
          <w:b/>
          <w:sz w:val="24"/>
          <w:szCs w:val="24"/>
        </w:rPr>
        <w:t>2021, stan na grudzień</w:t>
      </w:r>
    </w:p>
    <w:p w14:paraId="46C7C1D9" w14:textId="77777777" w:rsidR="00C852D1" w:rsidRPr="008D0165" w:rsidRDefault="00C852D1" w:rsidP="00C852D1">
      <w:pPr>
        <w:jc w:val="both"/>
        <w:rPr>
          <w:rFonts w:ascii="Arial" w:hAnsi="Arial" w:cs="Arial"/>
          <w:bCs/>
          <w:sz w:val="24"/>
          <w:szCs w:val="24"/>
        </w:rPr>
      </w:pPr>
      <w:r w:rsidRPr="008D0165">
        <w:rPr>
          <w:noProof/>
          <w:sz w:val="24"/>
          <w:szCs w:val="24"/>
          <w:lang w:eastAsia="pl-PL"/>
        </w:rPr>
        <w:drawing>
          <wp:inline distT="0" distB="0" distL="0" distR="0" wp14:anchorId="4DFB6A97" wp14:editId="4134FC65">
            <wp:extent cx="4572000" cy="2743200"/>
            <wp:effectExtent l="0" t="0" r="0" b="0"/>
            <wp:docPr id="5" name="Wykres 5">
              <a:extLst xmlns:a="http://schemas.openxmlformats.org/drawingml/2006/main">
                <a:ext uri="{FF2B5EF4-FFF2-40B4-BE49-F238E27FC236}">
                  <a16:creationId xmlns:a16="http://schemas.microsoft.com/office/drawing/2014/main" id="{C889C980-9F99-4C96-ADA9-17164B445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648316" w14:textId="0210326C" w:rsidR="00C852D1" w:rsidRPr="00A77D1A" w:rsidRDefault="00C852D1" w:rsidP="00C852D1">
      <w:pPr>
        <w:jc w:val="both"/>
        <w:rPr>
          <w:rFonts w:cstheme="minorHAnsi"/>
          <w:bCs/>
          <w:sz w:val="18"/>
          <w:szCs w:val="18"/>
        </w:rPr>
      </w:pPr>
      <w:r w:rsidRPr="00A77D1A">
        <w:rPr>
          <w:rFonts w:cstheme="minorHAnsi"/>
          <w:bCs/>
          <w:sz w:val="18"/>
          <w:szCs w:val="18"/>
        </w:rPr>
        <w:t>Źródło: Statyst</w:t>
      </w:r>
      <w:r w:rsidR="0009646E">
        <w:rPr>
          <w:rFonts w:cstheme="minorHAnsi"/>
          <w:bCs/>
          <w:sz w:val="18"/>
          <w:szCs w:val="18"/>
        </w:rPr>
        <w:t>y</w:t>
      </w:r>
      <w:r w:rsidRPr="00A77D1A">
        <w:rPr>
          <w:rFonts w:cstheme="minorHAnsi"/>
          <w:bCs/>
          <w:sz w:val="18"/>
          <w:szCs w:val="18"/>
        </w:rPr>
        <w:t>ki ZUS w zakresie liczby osób z ustalonym prawem do emerytury podlegających ubezpieczeniu zdrowotnemu z tytułu pracy zarobkowej</w:t>
      </w:r>
    </w:p>
    <w:p w14:paraId="4305DA5A" w14:textId="65B1347E" w:rsidR="001409BE" w:rsidRPr="00A26E9C" w:rsidRDefault="001409BE" w:rsidP="001409BE">
      <w:pPr>
        <w:spacing w:before="120" w:after="120"/>
        <w:jc w:val="both"/>
        <w:rPr>
          <w:sz w:val="24"/>
          <w:szCs w:val="24"/>
        </w:rPr>
      </w:pPr>
      <w:r w:rsidRPr="00A26E9C">
        <w:rPr>
          <w:sz w:val="24"/>
          <w:szCs w:val="24"/>
        </w:rPr>
        <w:t xml:space="preserve">W </w:t>
      </w:r>
      <w:r w:rsidR="006F00C1">
        <w:rPr>
          <w:sz w:val="24"/>
          <w:szCs w:val="24"/>
        </w:rPr>
        <w:t>grudniu</w:t>
      </w:r>
      <w:r w:rsidRPr="00A26E9C">
        <w:rPr>
          <w:sz w:val="24"/>
          <w:szCs w:val="24"/>
        </w:rPr>
        <w:t xml:space="preserve"> 2021 r. 812,9 tys. osób z ustalonym prawem do emerytury podlegało ubezpieczeniu zdrowotnemu z tytułu innego niż bycie emerytem. Spośród tych osób 527,1 tys. podlegało także ubezpieczeniom emerytalnemu i rentowym. W ciągu ostatnich siedmiu lat liczba pracujących emerytów wzrosła o ponad 40%. Nie zmieniła się natomiast istotnie proporcja liczby emerytów podlegających ubezpieczeniu zdrowotnemu do podlegających także ubezpieczeniom emerytalnemu i rentowym – liczba pracujących emerytów podlegających ubezpieczeniu zdrowotnemu jest 1,5 krotnie większa od liczby emerytów podlegających ubezpieczeniom emerytalnemu i rentowym.</w:t>
      </w:r>
    </w:p>
    <w:p w14:paraId="5296962C" w14:textId="766F145B" w:rsidR="001409BE" w:rsidRPr="00A26E9C" w:rsidRDefault="001409BE" w:rsidP="001409BE">
      <w:pPr>
        <w:spacing w:before="120" w:after="120"/>
        <w:jc w:val="both"/>
        <w:rPr>
          <w:sz w:val="24"/>
          <w:szCs w:val="24"/>
        </w:rPr>
      </w:pPr>
      <w:r w:rsidRPr="00A26E9C">
        <w:rPr>
          <w:sz w:val="24"/>
          <w:szCs w:val="24"/>
        </w:rPr>
        <w:t>Wśród pracujących emerytów przeważały kobiety – stanowiły 57,5% tej populacji. Ponad 94%</w:t>
      </w:r>
      <w:r w:rsidR="007358D5">
        <w:rPr>
          <w:sz w:val="24"/>
          <w:szCs w:val="24"/>
        </w:rPr>
        <w:t> </w:t>
      </w:r>
      <w:r w:rsidRPr="00A26E9C">
        <w:rPr>
          <w:sz w:val="24"/>
          <w:szCs w:val="24"/>
        </w:rPr>
        <w:t>pracujących emerytów to osoby w wieku 60/65 lat i więcej. Średni wiek pracujących emerytów wyniósł 66,9 roku, dla mężczyzn było to 68,3 roku, dla kobiet – 65,8 roku.</w:t>
      </w:r>
    </w:p>
    <w:p w14:paraId="760BE9E7" w14:textId="355C7799" w:rsidR="001409BE" w:rsidRPr="00A26E9C" w:rsidRDefault="001409BE" w:rsidP="001409BE">
      <w:pPr>
        <w:pStyle w:val="Default"/>
        <w:spacing w:line="276" w:lineRule="auto"/>
        <w:jc w:val="both"/>
      </w:pPr>
      <w:r w:rsidRPr="00A26E9C">
        <w:t>Najwięcej pracujących emerytów zamieszkuje w województwie mazowieckim (16,2%) i</w:t>
      </w:r>
      <w:r w:rsidR="007358D5">
        <w:t> </w:t>
      </w:r>
      <w:r w:rsidRPr="00A26E9C">
        <w:t xml:space="preserve">śląskim (14,7%), najmniej natomiast – w województwie opolskim – 2,2%. Województwo śląskie jest jedyne, gdzie wśród pracujących emerytów przeważają mężczyźni – stanowią oni 55,8% tej populacji. </w:t>
      </w:r>
    </w:p>
    <w:p w14:paraId="42192D8B" w14:textId="6DAF99FE" w:rsidR="001409BE" w:rsidRPr="00A26E9C" w:rsidRDefault="001409BE" w:rsidP="001409BE">
      <w:pPr>
        <w:pStyle w:val="Default"/>
        <w:spacing w:line="276" w:lineRule="auto"/>
        <w:jc w:val="both"/>
      </w:pPr>
      <w:r w:rsidRPr="00A26E9C">
        <w:t xml:space="preserve">Średnio na 1000 osób pobierających emeryturę 135 osób to pracujący emeryci. Najwięcej pracujących emerytów na 1000 osób pobierających emeryturę zamieszkuje </w:t>
      </w:r>
      <w:r w:rsidRPr="00A26E9C">
        <w:lastRenderedPageBreak/>
        <w:t>województwo mazowieckie (157) i wielkopolskie (153), a najmniej – województwo podkarpackie (85) i</w:t>
      </w:r>
      <w:r w:rsidR="00574961">
        <w:t> </w:t>
      </w:r>
      <w:r w:rsidRPr="00A26E9C">
        <w:t xml:space="preserve">świętokrzyskie (100). </w:t>
      </w:r>
    </w:p>
    <w:p w14:paraId="5AF4F341" w14:textId="164DE80C" w:rsidR="001409BE" w:rsidRPr="00A26E9C" w:rsidRDefault="001409BE" w:rsidP="001409BE">
      <w:pPr>
        <w:spacing w:before="120" w:after="120"/>
        <w:jc w:val="both"/>
        <w:rPr>
          <w:sz w:val="24"/>
          <w:szCs w:val="24"/>
        </w:rPr>
      </w:pPr>
      <w:r w:rsidRPr="00A26E9C">
        <w:rPr>
          <w:sz w:val="24"/>
          <w:szCs w:val="24"/>
        </w:rPr>
        <w:t>Inaczej kształtuje się rozkład terytorialny pracujących emerytów w przeliczeniu na 1000 osób pracujących w gospodarce narodowej. Najwięcej pracujących emerytów w przeliczeniu na</w:t>
      </w:r>
      <w:r w:rsidR="008A1113">
        <w:rPr>
          <w:sz w:val="24"/>
          <w:szCs w:val="24"/>
        </w:rPr>
        <w:t> </w:t>
      </w:r>
      <w:r w:rsidRPr="00A26E9C">
        <w:rPr>
          <w:sz w:val="24"/>
          <w:szCs w:val="24"/>
        </w:rPr>
        <w:t>1000 osób pracujących w gospodarce narodowej zamieszkuje województwa: zachodniopomorskie (79), śląskie (73), lubuskie (72) oraz łódzkie i dolnośląskie (po 68), najmniej natomiast – w województwie podkarpackim (43).</w:t>
      </w:r>
    </w:p>
    <w:p w14:paraId="0224E294" w14:textId="5C064848" w:rsidR="001409BE" w:rsidRPr="00A26E9C" w:rsidRDefault="001409BE" w:rsidP="001409BE">
      <w:pPr>
        <w:spacing w:before="120" w:after="120"/>
        <w:jc w:val="both"/>
        <w:rPr>
          <w:sz w:val="24"/>
          <w:szCs w:val="24"/>
        </w:rPr>
      </w:pPr>
      <w:r w:rsidRPr="00A26E9C">
        <w:rPr>
          <w:sz w:val="24"/>
          <w:szCs w:val="24"/>
        </w:rPr>
        <w:t xml:space="preserve">Wśród pracujących emerytów podlegających ubezpieczeniu zdrowotnemu największą grupą są osoby pracujące na umowę o pracę, stanowią one 38,8% ogółu pracujących emerytów. Osoby prowadzące pozarolniczą działalność </w:t>
      </w:r>
      <w:r w:rsidR="002F0E47">
        <w:rPr>
          <w:sz w:val="24"/>
          <w:szCs w:val="24"/>
        </w:rPr>
        <w:t xml:space="preserve">gospodarczą </w:t>
      </w:r>
      <w:r w:rsidRPr="00A26E9C">
        <w:rPr>
          <w:sz w:val="24"/>
          <w:szCs w:val="24"/>
        </w:rPr>
        <w:t>stanowią 30,4%, a osoby pracujące na umowę zlecenie – 26,0%. W przypadku pracujących emerytów podlegających ubezpieczeniom emerytalnemu i rentowym, zdecydowanie przeważają osoby pracujące na</w:t>
      </w:r>
      <w:r w:rsidR="008A1113">
        <w:rPr>
          <w:sz w:val="24"/>
          <w:szCs w:val="24"/>
        </w:rPr>
        <w:t> </w:t>
      </w:r>
      <w:r w:rsidRPr="00A26E9C">
        <w:rPr>
          <w:sz w:val="24"/>
          <w:szCs w:val="24"/>
        </w:rPr>
        <w:t>umowę o pracę – stanowią oni 58,6%, a osoby pracujące na umowę zlecenie – 35,0%.</w:t>
      </w:r>
    </w:p>
    <w:p w14:paraId="2DB18606" w14:textId="77777777" w:rsidR="00C852D1" w:rsidRPr="008D0165" w:rsidRDefault="00C852D1" w:rsidP="001409BE">
      <w:pPr>
        <w:spacing w:after="0"/>
        <w:jc w:val="both"/>
        <w:rPr>
          <w:rFonts w:cstheme="minorHAnsi"/>
          <w:bCs/>
          <w:sz w:val="24"/>
          <w:szCs w:val="24"/>
        </w:rPr>
      </w:pPr>
      <w:r w:rsidRPr="008D0165">
        <w:rPr>
          <w:rFonts w:cstheme="minorHAnsi"/>
          <w:bCs/>
          <w:sz w:val="24"/>
          <w:szCs w:val="24"/>
        </w:rPr>
        <w:t>Aktywność zawodowa emerytów i osób w wieku przedemerytalnym zależy przede wszystkim od:</w:t>
      </w:r>
    </w:p>
    <w:p w14:paraId="0E6F54FF" w14:textId="457FC44C"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stanu zdrowia i profilaktyki zdrowotnej</w:t>
      </w:r>
      <w:r w:rsidR="00D132CC">
        <w:rPr>
          <w:rFonts w:cstheme="minorHAnsi"/>
          <w:bCs/>
          <w:sz w:val="24"/>
          <w:szCs w:val="24"/>
        </w:rPr>
        <w:t>;</w:t>
      </w:r>
    </w:p>
    <w:p w14:paraId="601C72AE" w14:textId="4C3429C4"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kwalifikacji pracowników</w:t>
      </w:r>
      <w:r w:rsidR="00D132CC">
        <w:rPr>
          <w:rFonts w:cstheme="minorHAnsi"/>
          <w:bCs/>
          <w:sz w:val="24"/>
          <w:szCs w:val="24"/>
        </w:rPr>
        <w:t>;</w:t>
      </w:r>
    </w:p>
    <w:p w14:paraId="3E687852" w14:textId="27B18FF5" w:rsidR="00C852D1"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sytuacji gospodarczej</w:t>
      </w:r>
      <w:r w:rsidR="00A3476E">
        <w:rPr>
          <w:rFonts w:cstheme="minorHAnsi"/>
          <w:bCs/>
          <w:sz w:val="24"/>
          <w:szCs w:val="24"/>
        </w:rPr>
        <w:t>;</w:t>
      </w:r>
    </w:p>
    <w:p w14:paraId="264B30E2" w14:textId="795BCC03"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skutecznej walki z krzywdzącymi stereotypami dotyczącymi osób starszych, jakie</w:t>
      </w:r>
      <w:r w:rsidR="008A1113">
        <w:rPr>
          <w:rFonts w:cstheme="minorHAnsi"/>
          <w:bCs/>
          <w:sz w:val="24"/>
          <w:szCs w:val="24"/>
        </w:rPr>
        <w:t> </w:t>
      </w:r>
      <w:r w:rsidRPr="008D0165">
        <w:rPr>
          <w:rFonts w:cstheme="minorHAnsi"/>
          <w:bCs/>
          <w:sz w:val="24"/>
          <w:szCs w:val="24"/>
        </w:rPr>
        <w:t>występują w miejscach pracy</w:t>
      </w:r>
      <w:r w:rsidR="00D132CC">
        <w:rPr>
          <w:rFonts w:cstheme="minorHAnsi"/>
          <w:bCs/>
          <w:sz w:val="24"/>
          <w:szCs w:val="24"/>
        </w:rPr>
        <w:t>;</w:t>
      </w:r>
    </w:p>
    <w:p w14:paraId="2D9F2326" w14:textId="147BB23C" w:rsidR="00C852D1" w:rsidRPr="008D0165" w:rsidRDefault="00C852D1" w:rsidP="001409BE">
      <w:pPr>
        <w:pStyle w:val="Akapitzlist"/>
        <w:numPr>
          <w:ilvl w:val="0"/>
          <w:numId w:val="20"/>
        </w:numPr>
        <w:spacing w:after="0" w:line="259" w:lineRule="auto"/>
        <w:jc w:val="both"/>
        <w:rPr>
          <w:rFonts w:cstheme="minorHAnsi"/>
          <w:bCs/>
          <w:sz w:val="24"/>
          <w:szCs w:val="24"/>
        </w:rPr>
      </w:pPr>
      <w:r w:rsidRPr="008D0165">
        <w:rPr>
          <w:rFonts w:cstheme="minorHAnsi"/>
          <w:bCs/>
          <w:sz w:val="24"/>
          <w:szCs w:val="24"/>
        </w:rPr>
        <w:t>promocji i wdrażania w firmach strategii zarządzania różnorodnością wiekową</w:t>
      </w:r>
      <w:r w:rsidR="00D132CC">
        <w:rPr>
          <w:rFonts w:cstheme="minorHAnsi"/>
          <w:bCs/>
          <w:sz w:val="24"/>
          <w:szCs w:val="24"/>
        </w:rPr>
        <w:t>;</w:t>
      </w:r>
    </w:p>
    <w:p w14:paraId="4D142280" w14:textId="77777777" w:rsidR="00C852D1" w:rsidRPr="008D0165" w:rsidRDefault="00C852D1" w:rsidP="00C852D1">
      <w:pPr>
        <w:pStyle w:val="Akapitzlist"/>
        <w:numPr>
          <w:ilvl w:val="0"/>
          <w:numId w:val="20"/>
        </w:numPr>
        <w:spacing w:after="160" w:line="259" w:lineRule="auto"/>
        <w:jc w:val="both"/>
        <w:rPr>
          <w:rFonts w:cstheme="minorHAnsi"/>
          <w:bCs/>
          <w:sz w:val="24"/>
          <w:szCs w:val="24"/>
        </w:rPr>
      </w:pPr>
      <w:r w:rsidRPr="008D0165">
        <w:rPr>
          <w:rFonts w:cstheme="minorHAnsi"/>
          <w:bCs/>
          <w:sz w:val="24"/>
          <w:szCs w:val="24"/>
        </w:rPr>
        <w:t xml:space="preserve">wsparcia instytucjonalnego seniorów, którzy są bierni zawodowo ze względu na opiekę nad osobami zależnymi. </w:t>
      </w:r>
    </w:p>
    <w:p w14:paraId="5DBFA558" w14:textId="4FAEBA39" w:rsidR="006C734D" w:rsidRPr="00C75621" w:rsidRDefault="006C734D" w:rsidP="00C75621">
      <w:pPr>
        <w:spacing w:after="0"/>
        <w:jc w:val="both"/>
        <w:rPr>
          <w:rFonts w:cstheme="minorHAnsi"/>
          <w:bCs/>
          <w:sz w:val="24"/>
          <w:szCs w:val="24"/>
        </w:rPr>
      </w:pPr>
      <w:r w:rsidRPr="00C75621">
        <w:rPr>
          <w:rFonts w:cstheme="minorHAnsi"/>
          <w:bCs/>
          <w:sz w:val="24"/>
          <w:szCs w:val="24"/>
        </w:rPr>
        <w:t>Kryzys gospodarczy związany z pandemią COVID-19 spowodował spadek liczby pracujących emerytów o 17,4 tys. w 2020 r/r. Jednak już w 2021 r.</w:t>
      </w:r>
      <w:r w:rsidR="008A1113">
        <w:rPr>
          <w:rFonts w:cstheme="minorHAnsi"/>
          <w:bCs/>
          <w:sz w:val="24"/>
          <w:szCs w:val="24"/>
        </w:rPr>
        <w:t xml:space="preserve"> nastąpił wzrost tej populacji </w:t>
      </w:r>
      <w:r w:rsidRPr="00C75621">
        <w:rPr>
          <w:rFonts w:cstheme="minorHAnsi"/>
          <w:bCs/>
          <w:sz w:val="24"/>
          <w:szCs w:val="24"/>
        </w:rPr>
        <w:t>do</w:t>
      </w:r>
      <w:r w:rsidR="008A1113">
        <w:rPr>
          <w:rFonts w:cstheme="minorHAnsi"/>
          <w:bCs/>
          <w:sz w:val="24"/>
          <w:szCs w:val="24"/>
        </w:rPr>
        <w:t> </w:t>
      </w:r>
      <w:r w:rsidRPr="00C75621">
        <w:rPr>
          <w:rFonts w:cstheme="minorHAnsi"/>
          <w:bCs/>
          <w:sz w:val="24"/>
          <w:szCs w:val="24"/>
        </w:rPr>
        <w:t>812,9</w:t>
      </w:r>
      <w:r w:rsidR="008A1113">
        <w:rPr>
          <w:rFonts w:cstheme="minorHAnsi"/>
          <w:bCs/>
          <w:sz w:val="24"/>
          <w:szCs w:val="24"/>
        </w:rPr>
        <w:t> </w:t>
      </w:r>
      <w:r w:rsidRPr="00C75621">
        <w:rPr>
          <w:rFonts w:cstheme="minorHAnsi"/>
          <w:bCs/>
          <w:sz w:val="24"/>
          <w:szCs w:val="24"/>
        </w:rPr>
        <w:t>tys., czyli najwyższego poziomu w analizowanym okresie 2012–2021.</w:t>
      </w:r>
    </w:p>
    <w:p w14:paraId="187C5D19" w14:textId="77777777" w:rsidR="00E34AD0" w:rsidRDefault="00E34AD0" w:rsidP="0084113E">
      <w:pPr>
        <w:pStyle w:val="Akapitzlist"/>
        <w:spacing w:before="120" w:after="120" w:line="23" w:lineRule="atLeast"/>
        <w:contextualSpacing w:val="0"/>
        <w:jc w:val="both"/>
        <w:rPr>
          <w:rFonts w:cstheme="minorHAnsi"/>
          <w:sz w:val="24"/>
          <w:szCs w:val="24"/>
        </w:rPr>
      </w:pPr>
    </w:p>
    <w:p w14:paraId="760C3E54" w14:textId="77777777" w:rsidR="00EF36B4" w:rsidRPr="008D0165" w:rsidRDefault="00C852D1" w:rsidP="001B7BF3">
      <w:pPr>
        <w:pStyle w:val="Akapitzlist"/>
        <w:numPr>
          <w:ilvl w:val="0"/>
          <w:numId w:val="14"/>
        </w:numPr>
        <w:spacing w:before="120" w:after="120" w:line="23" w:lineRule="atLeast"/>
        <w:ind w:left="284" w:hanging="284"/>
        <w:contextualSpacing w:val="0"/>
        <w:jc w:val="both"/>
        <w:rPr>
          <w:rFonts w:cstheme="minorHAnsi"/>
          <w:b/>
          <w:sz w:val="24"/>
          <w:szCs w:val="24"/>
        </w:rPr>
      </w:pPr>
      <w:r w:rsidRPr="008D0165">
        <w:rPr>
          <w:rStyle w:val="markedcontent"/>
          <w:rFonts w:cstheme="minorHAnsi"/>
          <w:b/>
          <w:sz w:val="24"/>
          <w:szCs w:val="24"/>
        </w:rPr>
        <w:t>Wsparcie osób bezrobotnych i poszukujących pracy w starszych grupach wiekowych w dostępie do programów aktywizacji zawodowej oferowanych przez urzędy pracy</w:t>
      </w:r>
    </w:p>
    <w:p w14:paraId="4EC009D6" w14:textId="6FEDC493" w:rsidR="00C852D1" w:rsidRPr="008D0165" w:rsidRDefault="00C852D1" w:rsidP="00C852D1">
      <w:pPr>
        <w:tabs>
          <w:tab w:val="left" w:pos="4790"/>
          <w:tab w:val="left" w:pos="4970"/>
        </w:tabs>
        <w:spacing w:before="120"/>
        <w:jc w:val="both"/>
        <w:rPr>
          <w:rFonts w:eastAsia="Calibri"/>
          <w:sz w:val="24"/>
          <w:szCs w:val="24"/>
        </w:rPr>
      </w:pPr>
      <w:r w:rsidRPr="008D0165">
        <w:rPr>
          <w:rFonts w:eastAsia="Calibri"/>
          <w:sz w:val="24"/>
          <w:szCs w:val="24"/>
          <w:lang w:bidi="en-US"/>
        </w:rPr>
        <w:t xml:space="preserve">W końcu 2019 r. liczba bezrobotnych powyżej 50 </w:t>
      </w:r>
      <w:r w:rsidRPr="008D0165">
        <w:rPr>
          <w:sz w:val="24"/>
          <w:szCs w:val="24"/>
        </w:rPr>
        <w:t>r.ż. w</w:t>
      </w:r>
      <w:r w:rsidR="008A1113">
        <w:rPr>
          <w:rFonts w:eastAsia="Calibri"/>
          <w:sz w:val="24"/>
          <w:szCs w:val="24"/>
          <w:lang w:bidi="en-US"/>
        </w:rPr>
        <w:t xml:space="preserve">ynosiła 235,7 tys. osób </w:t>
      </w:r>
      <w:r w:rsidRPr="008D0165">
        <w:rPr>
          <w:rFonts w:eastAsia="Calibri"/>
          <w:sz w:val="24"/>
          <w:szCs w:val="24"/>
          <w:lang w:bidi="en-US"/>
        </w:rPr>
        <w:t>i stanowili oni</w:t>
      </w:r>
      <w:r w:rsidR="008A1113">
        <w:rPr>
          <w:rFonts w:eastAsia="Calibri"/>
          <w:sz w:val="24"/>
          <w:szCs w:val="24"/>
          <w:lang w:bidi="en-US"/>
        </w:rPr>
        <w:t> </w:t>
      </w:r>
      <w:r w:rsidRPr="008D0165">
        <w:rPr>
          <w:rFonts w:eastAsia="Calibri"/>
          <w:sz w:val="24"/>
          <w:szCs w:val="24"/>
          <w:lang w:bidi="en-US"/>
        </w:rPr>
        <w:t xml:space="preserve">27,2% </w:t>
      </w:r>
      <w:r w:rsidRPr="008D0165">
        <w:rPr>
          <w:sz w:val="24"/>
          <w:szCs w:val="24"/>
        </w:rPr>
        <w:t>całkowitej liczby zarejestrowanych bezrobotnych. W wyniku wybu</w:t>
      </w:r>
      <w:r w:rsidRPr="008D0165">
        <w:rPr>
          <w:sz w:val="24"/>
          <w:szCs w:val="24"/>
        </w:rPr>
        <w:lastRenderedPageBreak/>
        <w:t xml:space="preserve">chu pandemii COVID-19 od kwietnia 2020 r. </w:t>
      </w:r>
      <w:r w:rsidRPr="008D0165">
        <w:rPr>
          <w:rFonts w:eastAsia="Calibri"/>
          <w:sz w:val="24"/>
          <w:szCs w:val="24"/>
        </w:rPr>
        <w:t>poziom bezrobocia rejestrowanego zaczął wzrastać, a w</w:t>
      </w:r>
      <w:r w:rsidRPr="008D0165">
        <w:rPr>
          <w:sz w:val="24"/>
          <w:szCs w:val="24"/>
        </w:rPr>
        <w:t> konsekwencji, w urzędach pracy w końcu 2020 r. zarejestrowanych było 268,8 tys. bezrobotnych powyżej 50 r.ż., tj. o 33,1 tys. osób (14,0%) więcej niż w końcu 2019 r. Dzięki słabszej, w relacji do młodszych bezrobotnych, dynamice wzrostu zmniejszył się odsetek bezrobotnych powyżej 50 r.ż. do 25,7% ogółu zarejestrowanych. W 2021 r.</w:t>
      </w:r>
      <w:r w:rsidRPr="008D0165">
        <w:rPr>
          <w:rFonts w:eastAsia="Calibri"/>
          <w:sz w:val="24"/>
          <w:szCs w:val="24"/>
        </w:rPr>
        <w:t xml:space="preserve">, mimo nadal trwającej pandemii, nastąpiła wyraźna poprawa sytuacji na rynku pracy i spadek rejestrowanego bezrobocia. </w:t>
      </w:r>
      <w:r w:rsidRPr="008D0165">
        <w:rPr>
          <w:sz w:val="24"/>
          <w:szCs w:val="24"/>
        </w:rPr>
        <w:t xml:space="preserve">W końcu 2021 r. liczba bezrobotnych powyżej 50 r.ż. wyniosła 240,8 tys. osób i był to wynik o 27,9 tys. osób (10,4%) niższy niż w końcu 2020 r. Osoby powyżej 50 r.ż. stanowiły 26,9% ogółu zarejestrowanych bezrobotnych. </w:t>
      </w:r>
    </w:p>
    <w:p w14:paraId="3846312E" w14:textId="7B98FE12" w:rsidR="00C852D1" w:rsidRPr="008D0165" w:rsidRDefault="00C852D1" w:rsidP="001B7BF3">
      <w:pPr>
        <w:spacing w:before="120"/>
        <w:jc w:val="both"/>
        <w:rPr>
          <w:rFonts w:eastAsia="Calibri"/>
          <w:sz w:val="24"/>
          <w:szCs w:val="24"/>
        </w:rPr>
      </w:pPr>
      <w:r w:rsidRPr="008D0165">
        <w:rPr>
          <w:color w:val="000000"/>
          <w:sz w:val="24"/>
          <w:szCs w:val="24"/>
        </w:rPr>
        <w:t xml:space="preserve">Na mocy </w:t>
      </w:r>
      <w:r w:rsidRPr="008D0165">
        <w:rPr>
          <w:sz w:val="24"/>
          <w:szCs w:val="24"/>
        </w:rPr>
        <w:t>ustawy z dnia 20 kwietnia 2004 r</w:t>
      </w:r>
      <w:r w:rsidR="00520669">
        <w:rPr>
          <w:sz w:val="24"/>
          <w:szCs w:val="24"/>
        </w:rPr>
        <w:t>.</w:t>
      </w:r>
      <w:r w:rsidRPr="008D0165">
        <w:rPr>
          <w:sz w:val="24"/>
          <w:szCs w:val="24"/>
        </w:rPr>
        <w:t xml:space="preserve"> o promocji zatrudnienia i instytucjach rynku pracy (</w:t>
      </w:r>
      <w:r w:rsidRPr="008D0165">
        <w:rPr>
          <w:rFonts w:eastAsia="Calibri"/>
          <w:sz w:val="24"/>
          <w:szCs w:val="24"/>
        </w:rPr>
        <w:t>Dz. U. z 2022 r. poz. 690</w:t>
      </w:r>
      <w:r w:rsidR="00C45325">
        <w:rPr>
          <w:rFonts w:eastAsia="Calibri"/>
          <w:sz w:val="24"/>
          <w:szCs w:val="24"/>
        </w:rPr>
        <w:t>,</w:t>
      </w:r>
      <w:r w:rsidRPr="008D0165">
        <w:rPr>
          <w:rFonts w:eastAsia="Calibri"/>
          <w:sz w:val="24"/>
          <w:szCs w:val="24"/>
        </w:rPr>
        <w:t xml:space="preserve"> z późn. zm.</w:t>
      </w:r>
      <w:r w:rsidR="00190881">
        <w:rPr>
          <w:rStyle w:val="Odwoanieprzypisudolnego"/>
          <w:rFonts w:eastAsia="Calibri"/>
          <w:sz w:val="24"/>
          <w:szCs w:val="24"/>
        </w:rPr>
        <w:footnoteReference w:id="11"/>
      </w:r>
      <w:r w:rsidR="00190881">
        <w:rPr>
          <w:rFonts w:eastAsia="Calibri"/>
          <w:sz w:val="24"/>
          <w:szCs w:val="24"/>
          <w:vertAlign w:val="superscript"/>
        </w:rPr>
        <w:t>)</w:t>
      </w:r>
      <w:r w:rsidRPr="008D0165">
        <w:rPr>
          <w:rFonts w:eastAsia="Calibri"/>
          <w:sz w:val="24"/>
          <w:szCs w:val="24"/>
        </w:rPr>
        <w:t>)</w:t>
      </w:r>
      <w:r w:rsidRPr="008D0165">
        <w:rPr>
          <w:sz w:val="24"/>
          <w:szCs w:val="24"/>
        </w:rPr>
        <w:t xml:space="preserve"> osoby bezrobotne powyżej 50 r.ż. mogą na zasadach ogólnych korzystać z szerokiego spektrum usług i instrumentów rynku pracy, obejmującego m.in.: pośrednictwo pracy, poradnictwo zawodowe, szkolenia, staże, skierowanie do pracy na</w:t>
      </w:r>
      <w:r w:rsidR="005776A9">
        <w:rPr>
          <w:sz w:val="24"/>
          <w:szCs w:val="24"/>
        </w:rPr>
        <w:t> </w:t>
      </w:r>
      <w:r w:rsidRPr="008D0165">
        <w:rPr>
          <w:sz w:val="24"/>
          <w:szCs w:val="24"/>
        </w:rPr>
        <w:t>refundowane stanowiska pracy, dofinansowanie podjęcia działalności gospodarczej.</w:t>
      </w:r>
    </w:p>
    <w:p w14:paraId="77D994C3" w14:textId="35CB1F6A" w:rsidR="00C852D1" w:rsidRPr="008D0165" w:rsidRDefault="00C852D1" w:rsidP="001B7BF3">
      <w:pPr>
        <w:pStyle w:val="Default"/>
        <w:spacing w:before="120" w:line="276" w:lineRule="auto"/>
        <w:jc w:val="both"/>
        <w:rPr>
          <w:rFonts w:asciiTheme="minorHAnsi" w:hAnsiTheme="minorHAnsi" w:cstheme="minorHAnsi"/>
        </w:rPr>
      </w:pPr>
      <w:r w:rsidRPr="008D0165">
        <w:rPr>
          <w:rFonts w:asciiTheme="minorHAnsi" w:hAnsiTheme="minorHAnsi" w:cstheme="minorHAnsi"/>
          <w:color w:val="auto"/>
          <w:lang w:eastAsia="pl-PL"/>
        </w:rPr>
        <w:t xml:space="preserve">Dodatkowo </w:t>
      </w:r>
      <w:r w:rsidRPr="008D0165">
        <w:rPr>
          <w:rFonts w:asciiTheme="minorHAnsi" w:hAnsiTheme="minorHAnsi" w:cstheme="minorHAnsi"/>
        </w:rPr>
        <w:t>bezrobotnych powyżej 50 r.ż. uznaje się za osoby będące w szczególnej sytuacji na rynku pracy. Wobec tego przysługuje im pierwszeństwo w skierowaniu do udziału w</w:t>
      </w:r>
      <w:r w:rsidR="005776A9">
        <w:rPr>
          <w:rFonts w:asciiTheme="minorHAnsi" w:hAnsiTheme="minorHAnsi" w:cstheme="minorHAnsi"/>
        </w:rPr>
        <w:t> </w:t>
      </w:r>
      <w:r w:rsidRPr="008D0165">
        <w:rPr>
          <w:rFonts w:asciiTheme="minorHAnsi" w:hAnsiTheme="minorHAnsi" w:cstheme="minorHAnsi"/>
        </w:rPr>
        <w:t>programach specjalnych, które umożliwiają zastosowanie niestandardowych rozwiązań mających doprowadzić uczestników do zatrudnienia.</w:t>
      </w:r>
    </w:p>
    <w:p w14:paraId="712D01FC" w14:textId="6D1A9504" w:rsidR="00C852D1" w:rsidRPr="008D0165" w:rsidRDefault="00C852D1" w:rsidP="001B7BF3">
      <w:pPr>
        <w:autoSpaceDE w:val="0"/>
        <w:autoSpaceDN w:val="0"/>
        <w:adjustRightInd w:val="0"/>
        <w:spacing w:before="120"/>
        <w:jc w:val="both"/>
        <w:rPr>
          <w:rFonts w:cstheme="minorHAnsi"/>
          <w:sz w:val="24"/>
          <w:szCs w:val="24"/>
        </w:rPr>
      </w:pPr>
      <w:r w:rsidRPr="008D0165">
        <w:rPr>
          <w:rFonts w:cstheme="minorHAnsi"/>
          <w:sz w:val="24"/>
          <w:szCs w:val="24"/>
        </w:rPr>
        <w:t>Natomiast pracownicy oraz osoby wykonujące inną pracę zarobkową lub działalność gospodarczą w wieku 45 lat i powyżej, zainteresowane pomocą w rozwoju zawodowym, po</w:t>
      </w:r>
      <w:r w:rsidR="005776A9">
        <w:rPr>
          <w:rFonts w:cstheme="minorHAnsi"/>
          <w:sz w:val="24"/>
          <w:szCs w:val="24"/>
        </w:rPr>
        <w:t> </w:t>
      </w:r>
      <w:r w:rsidRPr="008D0165">
        <w:rPr>
          <w:rFonts w:cstheme="minorHAnsi"/>
          <w:sz w:val="24"/>
          <w:szCs w:val="24"/>
        </w:rPr>
        <w:t>zarejestrowaniu się w urzędzie pracy jako poszukujący pracy, mogą skorzystać m.in.</w:t>
      </w:r>
      <w:r w:rsidR="005776A9">
        <w:rPr>
          <w:rFonts w:cstheme="minorHAnsi"/>
          <w:sz w:val="24"/>
          <w:szCs w:val="24"/>
        </w:rPr>
        <w:t> </w:t>
      </w:r>
      <w:r w:rsidRPr="008D0165">
        <w:rPr>
          <w:rFonts w:cstheme="minorHAnsi"/>
          <w:sz w:val="24"/>
          <w:szCs w:val="24"/>
        </w:rPr>
        <w:t>z</w:t>
      </w:r>
      <w:bookmarkStart w:id="4" w:name="_Hlk105741301"/>
      <w:r w:rsidR="005776A9">
        <w:rPr>
          <w:rFonts w:cstheme="minorHAnsi"/>
          <w:sz w:val="24"/>
          <w:szCs w:val="24"/>
        </w:rPr>
        <w:t> </w:t>
      </w:r>
      <w:r w:rsidRPr="008D0165">
        <w:rPr>
          <w:rFonts w:cstheme="minorHAnsi"/>
          <w:sz w:val="24"/>
          <w:szCs w:val="24"/>
        </w:rPr>
        <w:t>finansowania szkoleń, egzaminów i studiów podyplomowych</w:t>
      </w:r>
      <w:bookmarkEnd w:id="4"/>
      <w:r w:rsidRPr="008D0165">
        <w:rPr>
          <w:rFonts w:cstheme="minorHAnsi"/>
          <w:sz w:val="24"/>
          <w:szCs w:val="24"/>
        </w:rPr>
        <w:t>.</w:t>
      </w:r>
    </w:p>
    <w:p w14:paraId="66B21835" w14:textId="51310CCB" w:rsidR="00C852D1" w:rsidRPr="008D0165" w:rsidRDefault="00C852D1" w:rsidP="001B7BF3">
      <w:pPr>
        <w:autoSpaceDE w:val="0"/>
        <w:autoSpaceDN w:val="0"/>
        <w:adjustRightInd w:val="0"/>
        <w:spacing w:before="120"/>
        <w:jc w:val="both"/>
        <w:rPr>
          <w:rFonts w:cstheme="minorHAnsi"/>
          <w:sz w:val="24"/>
          <w:szCs w:val="24"/>
        </w:rPr>
      </w:pPr>
      <w:r w:rsidRPr="008D0165">
        <w:rPr>
          <w:rFonts w:cstheme="minorHAnsi"/>
          <w:sz w:val="24"/>
          <w:szCs w:val="24"/>
        </w:rPr>
        <w:t xml:space="preserve">Ustawa o promocji przewiduje także </w:t>
      </w:r>
      <w:bookmarkStart w:id="5" w:name="_Hlk105741273"/>
      <w:r w:rsidRPr="008D0165">
        <w:rPr>
          <w:rFonts w:cstheme="minorHAnsi"/>
          <w:sz w:val="24"/>
          <w:szCs w:val="24"/>
        </w:rPr>
        <w:t xml:space="preserve">możliwość finansowania ze środków Funduszu Pracy (FP), w ramach Krajowego Funduszu Szkoleniowego (KFS), </w:t>
      </w:r>
      <w:r w:rsidR="00F90181" w:rsidRPr="00F90181">
        <w:rPr>
          <w:rFonts w:cstheme="minorHAnsi"/>
          <w:sz w:val="24"/>
          <w:szCs w:val="24"/>
        </w:rPr>
        <w:t>działań na rzecz kształcenia ustawicznego pracowników (i pracodawców)</w:t>
      </w:r>
      <w:r w:rsidRPr="008D0165">
        <w:rPr>
          <w:rFonts w:cstheme="minorHAnsi"/>
          <w:sz w:val="24"/>
          <w:szCs w:val="24"/>
        </w:rPr>
        <w:t>, co w znaczący sposób ułatwić powinno starszym pracownikom możliwość dłuższego pozostania na rynku pracy przez możliwość dostosowania kompetencji do potrzeb pracodawców oraz zmian społeczno</w:t>
      </w:r>
      <w:r w:rsidR="00F30436" w:rsidRPr="008D0165">
        <w:rPr>
          <w:rFonts w:cstheme="minorHAnsi"/>
          <w:sz w:val="24"/>
          <w:szCs w:val="24"/>
        </w:rPr>
        <w:t>–</w:t>
      </w:r>
      <w:r w:rsidRPr="008D0165">
        <w:rPr>
          <w:rFonts w:cstheme="minorHAnsi"/>
          <w:sz w:val="24"/>
          <w:szCs w:val="24"/>
        </w:rPr>
        <w:t>gospodarczych.</w:t>
      </w:r>
    </w:p>
    <w:bookmarkEnd w:id="5"/>
    <w:p w14:paraId="5957863D" w14:textId="77777777" w:rsidR="00C852D1" w:rsidRPr="008D0165" w:rsidRDefault="00C852D1" w:rsidP="004C642F">
      <w:pPr>
        <w:spacing w:after="0"/>
        <w:jc w:val="both"/>
        <w:rPr>
          <w:sz w:val="24"/>
          <w:szCs w:val="24"/>
        </w:rPr>
      </w:pPr>
      <w:r w:rsidRPr="008D0165">
        <w:rPr>
          <w:sz w:val="24"/>
          <w:szCs w:val="24"/>
        </w:rPr>
        <w:t xml:space="preserve">Ustawa o promocji przewiduje także szereg </w:t>
      </w:r>
      <w:bookmarkStart w:id="6" w:name="_Hlk105741325"/>
      <w:r w:rsidRPr="008D0165">
        <w:rPr>
          <w:sz w:val="24"/>
          <w:szCs w:val="24"/>
        </w:rPr>
        <w:t>instrumentów, kierowanych do pracodawców, mających stanowić zachętę do zatrudniania osób w starszym wieku i wydłużania tym samym okresu aktywności zawodowej tych osób</w:t>
      </w:r>
      <w:bookmarkEnd w:id="6"/>
      <w:r w:rsidRPr="008D0165">
        <w:rPr>
          <w:sz w:val="24"/>
          <w:szCs w:val="24"/>
        </w:rPr>
        <w:t>, w ramach których:</w:t>
      </w:r>
    </w:p>
    <w:p w14:paraId="0DC5BBF6" w14:textId="15D19104"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lastRenderedPageBreak/>
        <w:t>pracodawca, do którego w ramach prac interwencyjnych został skierowany bezrobotny, który ukończył 50 r</w:t>
      </w:r>
      <w:r w:rsidR="00E81E74">
        <w:rPr>
          <w:sz w:val="24"/>
          <w:szCs w:val="24"/>
        </w:rPr>
        <w:t>.</w:t>
      </w:r>
      <w:r w:rsidRPr="004C642F">
        <w:rPr>
          <w:sz w:val="24"/>
          <w:szCs w:val="24"/>
        </w:rPr>
        <w:t>ż</w:t>
      </w:r>
      <w:r w:rsidR="00E81E74">
        <w:rPr>
          <w:sz w:val="24"/>
          <w:szCs w:val="24"/>
        </w:rPr>
        <w:t>.</w:t>
      </w:r>
      <w:r w:rsidRPr="004C642F">
        <w:rPr>
          <w:sz w:val="24"/>
          <w:szCs w:val="24"/>
        </w:rPr>
        <w:t>, otrzymuje refundację wynagrodzenia i składek na ubezpieczenia społeczne za tę osobę;</w:t>
      </w:r>
    </w:p>
    <w:p w14:paraId="75C8921F" w14:textId="360CFCA2"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pracodawcy i inne jednostki organizacyjne, zatrudniając</w:t>
      </w:r>
      <w:r w:rsidR="00F633F7">
        <w:rPr>
          <w:sz w:val="24"/>
          <w:szCs w:val="24"/>
        </w:rPr>
        <w:t>y</w:t>
      </w:r>
      <w:r w:rsidRPr="004C642F">
        <w:rPr>
          <w:sz w:val="24"/>
          <w:szCs w:val="24"/>
        </w:rPr>
        <w:t xml:space="preserve"> osoby</w:t>
      </w:r>
      <w:r w:rsidR="00190881">
        <w:rPr>
          <w:sz w:val="24"/>
          <w:szCs w:val="24"/>
        </w:rPr>
        <w:t>,</w:t>
      </w:r>
      <w:r w:rsidRPr="004C642F">
        <w:rPr>
          <w:sz w:val="24"/>
          <w:szCs w:val="24"/>
        </w:rPr>
        <w:t xml:space="preserve"> które ukończyły 50 r</w:t>
      </w:r>
      <w:r w:rsidR="00E81E74">
        <w:rPr>
          <w:sz w:val="24"/>
          <w:szCs w:val="24"/>
        </w:rPr>
        <w:t>.</w:t>
      </w:r>
      <w:r w:rsidRPr="004C642F">
        <w:rPr>
          <w:sz w:val="24"/>
          <w:szCs w:val="24"/>
        </w:rPr>
        <w:t>ż</w:t>
      </w:r>
      <w:r w:rsidR="00E81E74">
        <w:rPr>
          <w:sz w:val="24"/>
          <w:szCs w:val="24"/>
        </w:rPr>
        <w:t>.</w:t>
      </w:r>
      <w:r w:rsidR="00A22DAE" w:rsidRPr="00A22DAE">
        <w:rPr>
          <w:color w:val="00B050"/>
          <w:sz w:val="24"/>
          <w:szCs w:val="24"/>
        </w:rPr>
        <w:t xml:space="preserve"> </w:t>
      </w:r>
      <w:r w:rsidR="00A22DAE" w:rsidRPr="00A22DAE">
        <w:rPr>
          <w:sz w:val="24"/>
          <w:szCs w:val="24"/>
        </w:rPr>
        <w:t>i</w:t>
      </w:r>
      <w:r w:rsidR="005776A9">
        <w:rPr>
          <w:sz w:val="24"/>
          <w:szCs w:val="24"/>
        </w:rPr>
        <w:t> </w:t>
      </w:r>
      <w:r w:rsidR="00A22DAE" w:rsidRPr="00A22DAE">
        <w:rPr>
          <w:sz w:val="24"/>
          <w:szCs w:val="24"/>
        </w:rPr>
        <w:t>w</w:t>
      </w:r>
      <w:r w:rsidR="005776A9">
        <w:rPr>
          <w:sz w:val="24"/>
          <w:szCs w:val="24"/>
        </w:rPr>
        <w:t> </w:t>
      </w:r>
      <w:r w:rsidR="00A22DAE" w:rsidRPr="00A22DAE">
        <w:rPr>
          <w:sz w:val="24"/>
          <w:szCs w:val="24"/>
        </w:rPr>
        <w:t>okresie 30 dni przed zatrudnieniem pozostawały w ewidencji bezrobotnych powiatowego urzędu pracy</w:t>
      </w:r>
      <w:r w:rsidRPr="004C642F">
        <w:rPr>
          <w:sz w:val="24"/>
          <w:szCs w:val="24"/>
        </w:rPr>
        <w:t>, są zwolnieni z obowiązku opłacania składek na FP i Fundusz Gwarantowanych Świadczeń Pracowniczych (FGŚP) przez okres 12 miesięcy;</w:t>
      </w:r>
    </w:p>
    <w:p w14:paraId="2A9AB396" w14:textId="3973BDC5"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 xml:space="preserve">pracodawcy </w:t>
      </w:r>
      <w:r w:rsidR="0049614C">
        <w:rPr>
          <w:sz w:val="24"/>
          <w:szCs w:val="24"/>
        </w:rPr>
        <w:t>i</w:t>
      </w:r>
      <w:r w:rsidR="0049614C" w:rsidRPr="004C642F">
        <w:rPr>
          <w:sz w:val="24"/>
          <w:szCs w:val="24"/>
        </w:rPr>
        <w:t xml:space="preserve"> </w:t>
      </w:r>
      <w:r w:rsidRPr="004C642F">
        <w:rPr>
          <w:sz w:val="24"/>
          <w:szCs w:val="24"/>
        </w:rPr>
        <w:t>inne jednostki organizacyjne zatrudniające osoby w wieku powyżej 55 lat (kobiety) i 60 lat (mężczyźni) są całkowicie zwolnieni z obowiązku odprowadzania za nich składek na FP i FGŚP;</w:t>
      </w:r>
    </w:p>
    <w:p w14:paraId="0BE852F1" w14:textId="3F4EB78A" w:rsidR="00C852D1" w:rsidRPr="004C642F" w:rsidRDefault="00C852D1" w:rsidP="004C642F">
      <w:pPr>
        <w:pStyle w:val="Akapitzlist"/>
        <w:numPr>
          <w:ilvl w:val="0"/>
          <w:numId w:val="29"/>
        </w:numPr>
        <w:spacing w:after="0"/>
        <w:ind w:left="284" w:hanging="284"/>
        <w:jc w:val="both"/>
        <w:rPr>
          <w:sz w:val="24"/>
          <w:szCs w:val="24"/>
        </w:rPr>
      </w:pPr>
      <w:r w:rsidRPr="004C642F">
        <w:rPr>
          <w:sz w:val="24"/>
          <w:szCs w:val="24"/>
        </w:rPr>
        <w:t>pracodawcy lub przedsiębiorcy mogą również otrzymać dofinansowanie do wynagrodzenia zatrudnionego skierowanego bezrobotnego, przez okres 12 (jeżeli bezrobotny ukończył 50</w:t>
      </w:r>
      <w:r w:rsidR="005776A9">
        <w:rPr>
          <w:sz w:val="24"/>
          <w:szCs w:val="24"/>
        </w:rPr>
        <w:t> </w:t>
      </w:r>
      <w:r w:rsidRPr="004C642F">
        <w:rPr>
          <w:sz w:val="24"/>
          <w:szCs w:val="24"/>
        </w:rPr>
        <w:t>lat, a nie ukończył 60 lat) lub 24 miesięcy (jeżeli bezrobotny ukończył 60 r</w:t>
      </w:r>
      <w:r w:rsidR="00E81E74">
        <w:rPr>
          <w:sz w:val="24"/>
          <w:szCs w:val="24"/>
        </w:rPr>
        <w:t>.</w:t>
      </w:r>
      <w:r w:rsidRPr="004C642F">
        <w:rPr>
          <w:sz w:val="24"/>
          <w:szCs w:val="24"/>
        </w:rPr>
        <w:t>ż</w:t>
      </w:r>
      <w:r w:rsidR="00E81E74">
        <w:rPr>
          <w:sz w:val="24"/>
          <w:szCs w:val="24"/>
        </w:rPr>
        <w:t>.</w:t>
      </w:r>
      <w:r w:rsidRPr="004C642F">
        <w:rPr>
          <w:sz w:val="24"/>
          <w:szCs w:val="24"/>
        </w:rPr>
        <w:t>).</w:t>
      </w:r>
    </w:p>
    <w:p w14:paraId="6AC2AC08" w14:textId="5AA9FEA1" w:rsidR="00C852D1" w:rsidRPr="008D0165" w:rsidRDefault="00C852D1" w:rsidP="00D47524">
      <w:pPr>
        <w:spacing w:before="120" w:after="120"/>
        <w:jc w:val="both"/>
        <w:rPr>
          <w:rFonts w:eastAsia="Calibri"/>
          <w:sz w:val="24"/>
          <w:szCs w:val="24"/>
        </w:rPr>
      </w:pPr>
      <w:r w:rsidRPr="008D0165">
        <w:rPr>
          <w:rFonts w:eastAsia="Calibri"/>
          <w:sz w:val="24"/>
          <w:szCs w:val="24"/>
        </w:rPr>
        <w:t>W 2019 r. zaktywizowano 41,5</w:t>
      </w:r>
      <w:r w:rsidR="00805834">
        <w:rPr>
          <w:rFonts w:eastAsia="Calibri"/>
          <w:sz w:val="24"/>
          <w:szCs w:val="24"/>
        </w:rPr>
        <w:t xml:space="preserve"> tys.</w:t>
      </w:r>
      <w:r w:rsidRPr="008D0165">
        <w:rPr>
          <w:rFonts w:eastAsia="Calibri"/>
          <w:sz w:val="24"/>
          <w:szCs w:val="24"/>
        </w:rPr>
        <w:t xml:space="preserve"> bezrobotnych powyżej 50 </w:t>
      </w:r>
      <w:r w:rsidRPr="008D0165">
        <w:rPr>
          <w:sz w:val="24"/>
          <w:szCs w:val="24"/>
        </w:rPr>
        <w:t>r.ż.</w:t>
      </w:r>
      <w:r w:rsidRPr="008D0165">
        <w:rPr>
          <w:rFonts w:eastAsia="Calibri"/>
          <w:sz w:val="24"/>
          <w:szCs w:val="24"/>
        </w:rPr>
        <w:t xml:space="preserve"> (14,4% ogółu zaktywizowanych bezrobotnych), w 2020 r. z uwagi na ograniczenia w funkcjonowaniu gospodarki wprowadzone w związku z pandemią COVID-19 zaktywizowano 30,1 tys. bezrobotnych w tej grupie wiekowej (14,1%), a w 2021 r. liczba zaktywizowanych bezrobotnych pow. 50 </w:t>
      </w:r>
      <w:r w:rsidRPr="008D0165">
        <w:rPr>
          <w:sz w:val="24"/>
          <w:szCs w:val="24"/>
        </w:rPr>
        <w:t xml:space="preserve">r.ż. </w:t>
      </w:r>
      <w:r w:rsidRPr="008D0165">
        <w:rPr>
          <w:rFonts w:eastAsia="Calibri"/>
          <w:sz w:val="24"/>
          <w:szCs w:val="24"/>
        </w:rPr>
        <w:t xml:space="preserve">wzrosła do 37,1 tys. osób, choć odsetek osób powyżej 50 </w:t>
      </w:r>
      <w:r w:rsidRPr="008D0165">
        <w:rPr>
          <w:sz w:val="24"/>
          <w:szCs w:val="24"/>
        </w:rPr>
        <w:t xml:space="preserve">r.ż. </w:t>
      </w:r>
      <w:r w:rsidRPr="008D0165">
        <w:rPr>
          <w:rFonts w:eastAsia="Calibri"/>
          <w:sz w:val="24"/>
          <w:szCs w:val="24"/>
        </w:rPr>
        <w:t>zmniejszył się do 13,3%. Może to wskazywać na obawy albo też trudności w aktywizowaniu i wracaniu na rynek pracy w okresie trwającej pandemii.</w:t>
      </w:r>
    </w:p>
    <w:p w14:paraId="494EAFDC" w14:textId="1E8D5601" w:rsidR="00C852D1" w:rsidRPr="008D0165" w:rsidRDefault="00C852D1" w:rsidP="00D47524">
      <w:pPr>
        <w:spacing w:before="120" w:after="120"/>
        <w:jc w:val="both"/>
        <w:rPr>
          <w:sz w:val="24"/>
          <w:szCs w:val="24"/>
        </w:rPr>
      </w:pPr>
      <w:r w:rsidRPr="008D0165">
        <w:rPr>
          <w:rFonts w:eastAsia="Calibri"/>
          <w:sz w:val="24"/>
          <w:szCs w:val="24"/>
        </w:rPr>
        <w:t xml:space="preserve">Najczęściej bezrobotni powyżej 50 </w:t>
      </w:r>
      <w:r w:rsidRPr="008D0165">
        <w:rPr>
          <w:sz w:val="24"/>
          <w:szCs w:val="24"/>
        </w:rPr>
        <w:t xml:space="preserve">r.ż. </w:t>
      </w:r>
      <w:r w:rsidRPr="008D0165">
        <w:rPr>
          <w:rFonts w:eastAsia="Calibri"/>
          <w:sz w:val="24"/>
          <w:szCs w:val="24"/>
        </w:rPr>
        <w:t xml:space="preserve">podejmowali </w:t>
      </w:r>
      <w:r w:rsidRPr="008D0165">
        <w:rPr>
          <w:sz w:val="24"/>
          <w:szCs w:val="24"/>
        </w:rPr>
        <w:t>prace subsydiowane, prace społecznie użyteczne, ale także staże i szkolenia, choć nie należy zapominać również o specjalnej formie aktywizacji przeznaczonej dla tej grupy, a mianowicie dofinansowaniu wynagrodzeń za</w:t>
      </w:r>
      <w:r w:rsidR="005776A9">
        <w:rPr>
          <w:sz w:val="24"/>
          <w:szCs w:val="24"/>
        </w:rPr>
        <w:t> </w:t>
      </w:r>
      <w:r w:rsidRPr="008D0165">
        <w:rPr>
          <w:sz w:val="24"/>
          <w:szCs w:val="24"/>
        </w:rPr>
        <w:t>zatrudnienie skierowanego bezrobotnego powyżej 50 r.ż. Od początku wprowadzenia tego rozwiązania w 2014 r. pracę z takim dofinansowaniem podjęło prawie 17,9 tys. bezrobotnych, w tym 3,8 tys. w latach 2019</w:t>
      </w:r>
      <w:r w:rsidR="00A435C2">
        <w:rPr>
          <w:sz w:val="24"/>
          <w:szCs w:val="24"/>
        </w:rPr>
        <w:t>–</w:t>
      </w:r>
      <w:r w:rsidRPr="008D0165">
        <w:rPr>
          <w:sz w:val="24"/>
          <w:szCs w:val="24"/>
        </w:rPr>
        <w:t xml:space="preserve">2021. </w:t>
      </w:r>
    </w:p>
    <w:p w14:paraId="6ABD558C" w14:textId="36930DAA" w:rsidR="00FF6E32" w:rsidRPr="006C70CC" w:rsidRDefault="00FF6E32" w:rsidP="001B7BF3">
      <w:pPr>
        <w:spacing w:before="120" w:after="120"/>
        <w:jc w:val="both"/>
        <w:rPr>
          <w:rFonts w:cstheme="minorHAnsi"/>
          <w:sz w:val="24"/>
          <w:szCs w:val="24"/>
        </w:rPr>
      </w:pPr>
      <w:r w:rsidRPr="009C0CC9">
        <w:rPr>
          <w:rFonts w:cstheme="minorHAnsi"/>
          <w:sz w:val="24"/>
          <w:szCs w:val="24"/>
        </w:rPr>
        <w:t>Od 2012 r. notowany jest w Polsce spadek liczby ludności, a równocześnie z powodu dwóch współwystępujących zjawisk</w:t>
      </w:r>
      <w:r w:rsidR="00C30875">
        <w:rPr>
          <w:rFonts w:cstheme="minorHAnsi"/>
          <w:sz w:val="24"/>
          <w:szCs w:val="24"/>
        </w:rPr>
        <w:t>,</w:t>
      </w:r>
      <w:r w:rsidRPr="009C0CC9">
        <w:rPr>
          <w:rFonts w:cstheme="minorHAnsi"/>
          <w:sz w:val="24"/>
          <w:szCs w:val="24"/>
        </w:rPr>
        <w:t xml:space="preserve"> tj. niskiego wskaźnika dzietności oraz wydłużającej się długości życia</w:t>
      </w:r>
      <w:r w:rsidR="00C30875">
        <w:rPr>
          <w:rFonts w:cstheme="minorHAnsi"/>
          <w:sz w:val="24"/>
          <w:szCs w:val="24"/>
        </w:rPr>
        <w:t>,</w:t>
      </w:r>
      <w:r w:rsidRPr="009C0CC9">
        <w:rPr>
          <w:rFonts w:cstheme="minorHAnsi"/>
          <w:sz w:val="24"/>
          <w:szCs w:val="24"/>
        </w:rPr>
        <w:t xml:space="preserve"> rośnie udział osób starszych w populacji. </w:t>
      </w:r>
      <w:r w:rsidRPr="00A26E9C">
        <w:rPr>
          <w:rFonts w:cstheme="minorHAnsi"/>
          <w:sz w:val="24"/>
          <w:szCs w:val="24"/>
        </w:rPr>
        <w:t>W końcu 2021 r. osoby w wieku poprodukcyjnym stanowiły 22,6% ludności wobec 16,8% w końcu 2010 r.</w:t>
      </w:r>
      <w:r w:rsidRPr="006C70CC">
        <w:rPr>
          <w:rFonts w:cstheme="minorHAnsi"/>
          <w:sz w:val="24"/>
          <w:szCs w:val="24"/>
        </w:rPr>
        <w:t xml:space="preserve"> Uwarunkowania demograficzne rodzą istotne konsekwencje dla podaży pracy w postaci zmniejszenia</w:t>
      </w:r>
      <w:r w:rsidR="005776A9">
        <w:rPr>
          <w:rFonts w:cstheme="minorHAnsi"/>
          <w:sz w:val="24"/>
          <w:szCs w:val="24"/>
        </w:rPr>
        <w:t> </w:t>
      </w:r>
      <w:r w:rsidRPr="006C70CC">
        <w:rPr>
          <w:rFonts w:cstheme="minorHAnsi"/>
          <w:sz w:val="24"/>
          <w:szCs w:val="24"/>
        </w:rPr>
        <w:t>i</w:t>
      </w:r>
      <w:r w:rsidR="005776A9">
        <w:rPr>
          <w:rFonts w:cstheme="minorHAnsi"/>
          <w:sz w:val="24"/>
          <w:szCs w:val="24"/>
        </w:rPr>
        <w:t> </w:t>
      </w:r>
      <w:r w:rsidRPr="006C70CC">
        <w:rPr>
          <w:rFonts w:cstheme="minorHAnsi"/>
          <w:sz w:val="24"/>
          <w:szCs w:val="24"/>
        </w:rPr>
        <w:t xml:space="preserve">„starzenia” się zasobów pracy. </w:t>
      </w:r>
      <w:r w:rsidRPr="00A26E9C">
        <w:rPr>
          <w:rFonts w:cstheme="minorHAnsi"/>
          <w:sz w:val="24"/>
          <w:szCs w:val="24"/>
        </w:rPr>
        <w:t>W końcu 2021 r. liczba ludności w wieku produkcyjnym (18</w:t>
      </w:r>
      <w:r w:rsidR="00A435C2">
        <w:rPr>
          <w:rFonts w:cstheme="minorHAnsi"/>
          <w:sz w:val="24"/>
          <w:szCs w:val="24"/>
        </w:rPr>
        <w:t>–</w:t>
      </w:r>
      <w:r w:rsidRPr="00A26E9C">
        <w:rPr>
          <w:rFonts w:cstheme="minorHAnsi"/>
          <w:sz w:val="24"/>
          <w:szCs w:val="24"/>
        </w:rPr>
        <w:t>59 dla kobiet, 18</w:t>
      </w:r>
      <w:r w:rsidR="00A435C2">
        <w:rPr>
          <w:rFonts w:cstheme="minorHAnsi"/>
          <w:sz w:val="24"/>
          <w:szCs w:val="24"/>
        </w:rPr>
        <w:t>–</w:t>
      </w:r>
      <w:r w:rsidRPr="00A26E9C">
        <w:rPr>
          <w:rFonts w:cstheme="minorHAnsi"/>
          <w:sz w:val="24"/>
          <w:szCs w:val="24"/>
        </w:rPr>
        <w:t>64 dla mężczyzn) wynosiła 22,5 mln</w:t>
      </w:r>
      <w:r w:rsidRPr="006C70CC">
        <w:rPr>
          <w:rFonts w:cstheme="minorHAnsi"/>
          <w:sz w:val="24"/>
          <w:szCs w:val="24"/>
        </w:rPr>
        <w:t xml:space="preserve"> i była aż o 2,3 mln niższa niż w końcu 2010 r. W efekcie udział osób w wieku </w:t>
      </w:r>
      <w:r w:rsidRPr="006C70CC">
        <w:rPr>
          <w:rFonts w:cstheme="minorHAnsi"/>
          <w:sz w:val="24"/>
          <w:szCs w:val="24"/>
        </w:rPr>
        <w:lastRenderedPageBreak/>
        <w:t>produkcyjnym spadł z 64,4% w końcu 2010 r. do 59,</w:t>
      </w:r>
      <w:r w:rsidR="00560094">
        <w:rPr>
          <w:rFonts w:cstheme="minorHAnsi"/>
          <w:sz w:val="24"/>
          <w:szCs w:val="24"/>
        </w:rPr>
        <w:t>2</w:t>
      </w:r>
      <w:r w:rsidRPr="006C70CC">
        <w:rPr>
          <w:rFonts w:cstheme="minorHAnsi"/>
          <w:sz w:val="24"/>
          <w:szCs w:val="24"/>
        </w:rPr>
        <w:t xml:space="preserve">% w końcu 2021 r. Powoduje to również wzrost obciążenia osób w wieku produkcyjnym ludnością </w:t>
      </w:r>
      <w:r w:rsidRPr="00294D40">
        <w:rPr>
          <w:rFonts w:cstheme="minorHAnsi"/>
          <w:sz w:val="24"/>
          <w:szCs w:val="24"/>
        </w:rPr>
        <w:t>w wieku poprodukcyjnym. Według danych GUS w końcu 2021 r. na</w:t>
      </w:r>
      <w:r w:rsidR="005776A9">
        <w:rPr>
          <w:rFonts w:cstheme="minorHAnsi"/>
          <w:sz w:val="24"/>
          <w:szCs w:val="24"/>
        </w:rPr>
        <w:t> </w:t>
      </w:r>
      <w:r w:rsidRPr="00294D40">
        <w:rPr>
          <w:rFonts w:cstheme="minorHAnsi"/>
          <w:sz w:val="24"/>
          <w:szCs w:val="24"/>
        </w:rPr>
        <w:t>każde 100 osób w wieku produkcyjnym przypadało 31 osób w wieku przedprodukcyjnym (29 osób w końcu 2010 r.) i aż 38 osób w wieku poprodukcyjnym (26 w 2010 r.)</w:t>
      </w:r>
      <w:r w:rsidRPr="006C70CC">
        <w:rPr>
          <w:rStyle w:val="Odwoanieprzypisudolnego"/>
          <w:rFonts w:cstheme="minorHAnsi"/>
          <w:sz w:val="24"/>
          <w:szCs w:val="24"/>
        </w:rPr>
        <w:footnoteReference w:id="12"/>
      </w:r>
      <w:r w:rsidR="00474D9C">
        <w:rPr>
          <w:rFonts w:cstheme="minorHAnsi"/>
          <w:sz w:val="24"/>
          <w:szCs w:val="24"/>
          <w:vertAlign w:val="superscript"/>
        </w:rPr>
        <w:t>)</w:t>
      </w:r>
      <w:r w:rsidR="00C30875">
        <w:rPr>
          <w:rFonts w:cstheme="minorHAnsi"/>
          <w:sz w:val="24"/>
          <w:szCs w:val="24"/>
        </w:rPr>
        <w:t>.</w:t>
      </w:r>
    </w:p>
    <w:p w14:paraId="7C87D8C3" w14:textId="1404E4EE" w:rsidR="00626E78" w:rsidRPr="00A26E9C" w:rsidRDefault="00FF6E32" w:rsidP="001B7BF3">
      <w:pPr>
        <w:spacing w:before="120" w:after="120"/>
        <w:jc w:val="both"/>
        <w:rPr>
          <w:rFonts w:cstheme="minorHAnsi"/>
          <w:sz w:val="24"/>
          <w:szCs w:val="24"/>
        </w:rPr>
      </w:pPr>
      <w:r w:rsidRPr="009C0CC9">
        <w:rPr>
          <w:rFonts w:cstheme="minorHAnsi"/>
          <w:sz w:val="24"/>
          <w:szCs w:val="24"/>
        </w:rPr>
        <w:t>Według</w:t>
      </w:r>
      <w:r w:rsidR="001B7BF3">
        <w:rPr>
          <w:rFonts w:cstheme="minorHAnsi"/>
          <w:sz w:val="24"/>
          <w:szCs w:val="24"/>
        </w:rPr>
        <w:t xml:space="preserve"> </w:t>
      </w:r>
      <w:r w:rsidR="006224CF">
        <w:rPr>
          <w:rFonts w:cstheme="minorHAnsi"/>
          <w:sz w:val="24"/>
          <w:szCs w:val="24"/>
        </w:rPr>
        <w:t>prognozy demograficznej GUS</w:t>
      </w:r>
      <w:r w:rsidR="00626E78" w:rsidRPr="00A26E9C">
        <w:rPr>
          <w:rFonts w:cstheme="minorHAnsi"/>
          <w:sz w:val="24"/>
          <w:szCs w:val="24"/>
        </w:rPr>
        <w:t xml:space="preserve"> </w:t>
      </w:r>
      <w:r w:rsidR="00626E78" w:rsidRPr="00A26E9C">
        <w:rPr>
          <w:rStyle w:val="markedcontent"/>
          <w:rFonts w:cstheme="minorHAnsi"/>
          <w:sz w:val="24"/>
          <w:szCs w:val="24"/>
        </w:rPr>
        <w:t xml:space="preserve">do 2050 </w:t>
      </w:r>
      <w:r w:rsidR="00E81E74">
        <w:rPr>
          <w:rStyle w:val="markedcontent"/>
          <w:rFonts w:cstheme="minorHAnsi"/>
          <w:sz w:val="24"/>
          <w:szCs w:val="24"/>
        </w:rPr>
        <w:t xml:space="preserve">r. </w:t>
      </w:r>
      <w:r w:rsidR="00626E78" w:rsidRPr="00A26E9C">
        <w:rPr>
          <w:rStyle w:val="markedcontent"/>
          <w:rFonts w:cstheme="minorHAnsi"/>
          <w:sz w:val="24"/>
          <w:szCs w:val="24"/>
        </w:rPr>
        <w:t xml:space="preserve">populacja Polski będzie stawała się coraz starsza </w:t>
      </w:r>
      <w:r w:rsidR="00C96C91">
        <w:rPr>
          <w:rStyle w:val="markedcontent"/>
          <w:rFonts w:cstheme="minorHAnsi"/>
          <w:sz w:val="24"/>
          <w:szCs w:val="24"/>
        </w:rPr>
        <w:t>–</w:t>
      </w:r>
      <w:r w:rsidR="00C96C91" w:rsidRPr="00A26E9C">
        <w:rPr>
          <w:rStyle w:val="markedcontent"/>
          <w:rFonts w:cstheme="minorHAnsi"/>
          <w:sz w:val="24"/>
          <w:szCs w:val="24"/>
        </w:rPr>
        <w:t xml:space="preserve"> </w:t>
      </w:r>
      <w:r w:rsidR="00626E78" w:rsidRPr="00A26E9C">
        <w:rPr>
          <w:rStyle w:val="markedcontent"/>
          <w:rFonts w:cstheme="minorHAnsi"/>
          <w:sz w:val="24"/>
          <w:szCs w:val="24"/>
        </w:rPr>
        <w:t>przy znaczącym spadku liczby ludności spodziewany jest stały wzrost liczby ludności w wieku senioralnym. L</w:t>
      </w:r>
      <w:r w:rsidR="00626E78" w:rsidRPr="00A26E9C">
        <w:rPr>
          <w:rFonts w:cstheme="minorHAnsi"/>
          <w:sz w:val="24"/>
          <w:szCs w:val="24"/>
        </w:rPr>
        <w:t xml:space="preserve">iczba ludności w wieku 60 lat i więcej w Polsce w 2030 </w:t>
      </w:r>
      <w:r w:rsidR="00520669">
        <w:rPr>
          <w:rFonts w:cstheme="minorHAnsi"/>
          <w:sz w:val="24"/>
          <w:szCs w:val="24"/>
        </w:rPr>
        <w:t xml:space="preserve">r. </w:t>
      </w:r>
      <w:r w:rsidR="00626E78" w:rsidRPr="00A26E9C">
        <w:rPr>
          <w:rFonts w:cstheme="minorHAnsi"/>
          <w:sz w:val="24"/>
          <w:szCs w:val="24"/>
        </w:rPr>
        <w:t xml:space="preserve">ma wzrosnąć do poziomu 10,8 mln (wzrost o 10% w stosunku do 2020 r.), a w 2050 r. </w:t>
      </w:r>
      <w:r w:rsidR="00C30875">
        <w:rPr>
          <w:rFonts w:cstheme="minorHAnsi"/>
          <w:sz w:val="24"/>
          <w:szCs w:val="24"/>
        </w:rPr>
        <w:t>do</w:t>
      </w:r>
      <w:r w:rsidR="00C30875" w:rsidRPr="00A26E9C">
        <w:rPr>
          <w:rFonts w:cstheme="minorHAnsi"/>
          <w:sz w:val="24"/>
          <w:szCs w:val="24"/>
        </w:rPr>
        <w:t xml:space="preserve"> </w:t>
      </w:r>
      <w:r w:rsidR="00626E78" w:rsidRPr="00A26E9C">
        <w:rPr>
          <w:rFonts w:cstheme="minorHAnsi"/>
          <w:sz w:val="24"/>
          <w:szCs w:val="24"/>
        </w:rPr>
        <w:t>13,7 mln. Osoby te</w:t>
      </w:r>
      <w:r w:rsidR="006E4712">
        <w:rPr>
          <w:rFonts w:cstheme="minorHAnsi"/>
          <w:sz w:val="24"/>
          <w:szCs w:val="24"/>
        </w:rPr>
        <w:t> </w:t>
      </w:r>
      <w:r w:rsidR="00626E78" w:rsidRPr="00A26E9C">
        <w:rPr>
          <w:rFonts w:cstheme="minorHAnsi"/>
          <w:sz w:val="24"/>
          <w:szCs w:val="24"/>
        </w:rPr>
        <w:t>będą stanowiły około 40% ogółu ludności Polski</w:t>
      </w:r>
      <w:r w:rsidR="00626E78" w:rsidRPr="00A26E9C">
        <w:rPr>
          <w:rStyle w:val="Odwoanieprzypisudolnego"/>
          <w:rFonts w:cstheme="minorHAnsi"/>
          <w:sz w:val="24"/>
          <w:szCs w:val="24"/>
        </w:rPr>
        <w:footnoteReference w:id="13"/>
      </w:r>
      <w:r w:rsidR="00474D9C">
        <w:rPr>
          <w:rFonts w:cstheme="minorHAnsi"/>
          <w:sz w:val="24"/>
          <w:szCs w:val="24"/>
          <w:vertAlign w:val="superscript"/>
        </w:rPr>
        <w:t>)</w:t>
      </w:r>
      <w:r w:rsidR="00C96C91">
        <w:rPr>
          <w:rFonts w:cstheme="minorHAnsi"/>
          <w:sz w:val="24"/>
          <w:szCs w:val="24"/>
        </w:rPr>
        <w:t>.</w:t>
      </w:r>
    </w:p>
    <w:p w14:paraId="0293A92E" w14:textId="2164686C" w:rsidR="00626E78" w:rsidRDefault="00626E78" w:rsidP="001B7BF3">
      <w:pPr>
        <w:spacing w:before="120" w:after="120"/>
        <w:jc w:val="both"/>
        <w:rPr>
          <w:rFonts w:cstheme="minorHAnsi"/>
          <w:sz w:val="24"/>
          <w:szCs w:val="24"/>
        </w:rPr>
      </w:pPr>
      <w:r w:rsidRPr="00A26E9C">
        <w:rPr>
          <w:rFonts w:cstheme="minorHAnsi"/>
          <w:sz w:val="24"/>
          <w:szCs w:val="24"/>
        </w:rPr>
        <w:t xml:space="preserve">W sytuacji starzenia się ludności szczególnego znaczenia nabierają zmiany jakościowe na rynku pracy. </w:t>
      </w:r>
      <w:r w:rsidR="00C30875">
        <w:rPr>
          <w:rFonts w:cstheme="minorHAnsi"/>
          <w:sz w:val="24"/>
          <w:szCs w:val="24"/>
        </w:rPr>
        <w:t>Do g</w:t>
      </w:r>
      <w:r w:rsidRPr="00A26E9C">
        <w:rPr>
          <w:rFonts w:cstheme="minorHAnsi"/>
          <w:sz w:val="24"/>
          <w:szCs w:val="24"/>
        </w:rPr>
        <w:t>łówny</w:t>
      </w:r>
      <w:r w:rsidR="00C30875">
        <w:rPr>
          <w:rFonts w:cstheme="minorHAnsi"/>
          <w:sz w:val="24"/>
          <w:szCs w:val="24"/>
        </w:rPr>
        <w:t>ch</w:t>
      </w:r>
      <w:r w:rsidRPr="00A26E9C">
        <w:rPr>
          <w:rFonts w:cstheme="minorHAnsi"/>
          <w:sz w:val="24"/>
          <w:szCs w:val="24"/>
        </w:rPr>
        <w:t xml:space="preserve"> </w:t>
      </w:r>
      <w:r w:rsidR="00C30875" w:rsidRPr="00A26E9C">
        <w:rPr>
          <w:rFonts w:cstheme="minorHAnsi"/>
          <w:sz w:val="24"/>
          <w:szCs w:val="24"/>
        </w:rPr>
        <w:t>wyzwa</w:t>
      </w:r>
      <w:r w:rsidR="00C30875">
        <w:rPr>
          <w:rFonts w:cstheme="minorHAnsi"/>
          <w:sz w:val="24"/>
          <w:szCs w:val="24"/>
        </w:rPr>
        <w:t>ń</w:t>
      </w:r>
      <w:r w:rsidRPr="00A26E9C">
        <w:rPr>
          <w:rFonts w:cstheme="minorHAnsi"/>
          <w:sz w:val="24"/>
          <w:szCs w:val="24"/>
        </w:rPr>
        <w:t xml:space="preserve"> polityki senioralnej </w:t>
      </w:r>
      <w:r w:rsidR="00C30875">
        <w:rPr>
          <w:rFonts w:cstheme="minorHAnsi"/>
          <w:sz w:val="24"/>
          <w:szCs w:val="24"/>
        </w:rPr>
        <w:t>należą:</w:t>
      </w:r>
      <w:r w:rsidR="00C30875" w:rsidRPr="00A26E9C">
        <w:rPr>
          <w:rFonts w:cstheme="minorHAnsi"/>
          <w:sz w:val="24"/>
          <w:szCs w:val="24"/>
        </w:rPr>
        <w:t xml:space="preserve"> </w:t>
      </w:r>
      <w:r w:rsidRPr="00A26E9C">
        <w:rPr>
          <w:rFonts w:cstheme="minorHAnsi"/>
          <w:sz w:val="24"/>
          <w:szCs w:val="24"/>
        </w:rPr>
        <w:t xml:space="preserve">konieczność wydłużenia okresu aktywności zawodowej oraz </w:t>
      </w:r>
      <w:r w:rsidR="00C30875">
        <w:rPr>
          <w:rFonts w:cstheme="minorHAnsi"/>
          <w:sz w:val="24"/>
          <w:szCs w:val="24"/>
        </w:rPr>
        <w:t xml:space="preserve">zwiększenie </w:t>
      </w:r>
      <w:r w:rsidR="00C30875" w:rsidRPr="00A26E9C">
        <w:rPr>
          <w:rFonts w:cstheme="minorHAnsi"/>
          <w:sz w:val="24"/>
          <w:szCs w:val="24"/>
        </w:rPr>
        <w:t xml:space="preserve">aktywności społecznej i obywatelskiej </w:t>
      </w:r>
      <w:r w:rsidRPr="00A26E9C">
        <w:rPr>
          <w:rFonts w:cstheme="minorHAnsi"/>
          <w:sz w:val="24"/>
          <w:szCs w:val="24"/>
        </w:rPr>
        <w:t>osób starszych. Istotnego znaczenia nabierają działania wdrażające strategie zarządzania wiekiem w przedsiębiorstwach i zachęty do jak najdłuższej obecności na rynku pracy oraz aktywności zawodowej.</w:t>
      </w:r>
    </w:p>
    <w:p w14:paraId="653DBFA0" w14:textId="77777777" w:rsidR="00560094" w:rsidRDefault="00560094" w:rsidP="00A26E9C">
      <w:pPr>
        <w:spacing w:before="120" w:after="120"/>
        <w:jc w:val="both"/>
        <w:rPr>
          <w:b/>
          <w:sz w:val="24"/>
          <w:szCs w:val="24"/>
          <w:lang w:eastAsia="pl-PL" w:bidi="en-US"/>
        </w:rPr>
      </w:pPr>
    </w:p>
    <w:p w14:paraId="62773146" w14:textId="77777777" w:rsidR="00560094" w:rsidRDefault="00560094" w:rsidP="00A26E9C">
      <w:pPr>
        <w:spacing w:before="120" w:after="120"/>
        <w:jc w:val="both"/>
        <w:rPr>
          <w:b/>
          <w:sz w:val="24"/>
          <w:szCs w:val="24"/>
          <w:lang w:eastAsia="pl-PL" w:bidi="en-US"/>
        </w:rPr>
      </w:pPr>
    </w:p>
    <w:p w14:paraId="2330E162" w14:textId="77777777" w:rsidR="00560094" w:rsidRDefault="00560094" w:rsidP="00A26E9C">
      <w:pPr>
        <w:spacing w:before="120" w:after="120"/>
        <w:jc w:val="both"/>
        <w:rPr>
          <w:b/>
          <w:sz w:val="24"/>
          <w:szCs w:val="24"/>
          <w:lang w:eastAsia="pl-PL" w:bidi="en-US"/>
        </w:rPr>
      </w:pPr>
    </w:p>
    <w:p w14:paraId="75CDF265" w14:textId="3E8A93B6" w:rsidR="00626E78" w:rsidRPr="004D0F56" w:rsidRDefault="00626E78" w:rsidP="00A26E9C">
      <w:pPr>
        <w:spacing w:before="120" w:after="120"/>
        <w:jc w:val="both"/>
        <w:rPr>
          <w:b/>
          <w:sz w:val="24"/>
          <w:szCs w:val="24"/>
          <w:vertAlign w:val="superscript"/>
          <w:lang w:eastAsia="pl-PL" w:bidi="en-US"/>
        </w:rPr>
      </w:pPr>
      <w:r w:rsidRPr="00A26E9C">
        <w:rPr>
          <w:b/>
          <w:sz w:val="24"/>
          <w:szCs w:val="24"/>
          <w:lang w:eastAsia="pl-PL" w:bidi="en-US"/>
        </w:rPr>
        <w:t>Aktywność zawodowa, zatrudnienie i bezrobocie wg Badania Aktywności Ekonomicznej Ludności</w:t>
      </w:r>
      <w:r w:rsidRPr="00A26E9C">
        <w:rPr>
          <w:rStyle w:val="Odwoanieprzypisudolnego"/>
          <w:sz w:val="24"/>
          <w:szCs w:val="24"/>
          <w:lang w:eastAsia="pl-PL" w:bidi="en-US"/>
        </w:rPr>
        <w:footnoteReference w:id="14"/>
      </w:r>
      <w:r w:rsidR="00474D9C">
        <w:rPr>
          <w:b/>
          <w:sz w:val="24"/>
          <w:szCs w:val="24"/>
          <w:vertAlign w:val="superscript"/>
          <w:lang w:eastAsia="pl-PL" w:bidi="en-US"/>
        </w:rPr>
        <w:t>)</w:t>
      </w:r>
    </w:p>
    <w:p w14:paraId="78D8FEBB" w14:textId="035227FA" w:rsidR="00626E78" w:rsidRPr="00A26E9C" w:rsidRDefault="00626E78" w:rsidP="00626E78">
      <w:pPr>
        <w:tabs>
          <w:tab w:val="left" w:pos="4790"/>
          <w:tab w:val="left" w:pos="4970"/>
        </w:tabs>
        <w:spacing w:after="120"/>
        <w:jc w:val="both"/>
        <w:rPr>
          <w:rFonts w:cstheme="minorHAnsi"/>
          <w:sz w:val="24"/>
          <w:szCs w:val="24"/>
        </w:rPr>
      </w:pPr>
      <w:r w:rsidRPr="00A26E9C">
        <w:rPr>
          <w:rFonts w:cstheme="minorHAnsi"/>
          <w:sz w:val="24"/>
          <w:szCs w:val="24"/>
        </w:rPr>
        <w:t>Wskaźniki obrazujące kształtowanie się aktywności zawodowej, zatrudnienia i</w:t>
      </w:r>
      <w:r w:rsidR="008A5AE8">
        <w:rPr>
          <w:rFonts w:cstheme="minorHAnsi"/>
          <w:sz w:val="24"/>
          <w:szCs w:val="24"/>
        </w:rPr>
        <w:t> </w:t>
      </w:r>
      <w:r w:rsidRPr="00A26E9C">
        <w:rPr>
          <w:rFonts w:cstheme="minorHAnsi"/>
          <w:sz w:val="24"/>
          <w:szCs w:val="24"/>
        </w:rPr>
        <w:t>bezrobocia</w:t>
      </w:r>
      <w:r w:rsidR="008A5AE8">
        <w:rPr>
          <w:rFonts w:cstheme="minorHAnsi"/>
          <w:sz w:val="24"/>
          <w:szCs w:val="24"/>
        </w:rPr>
        <w:t> </w:t>
      </w:r>
      <w:r w:rsidRPr="00A26E9C">
        <w:rPr>
          <w:rFonts w:cstheme="minorHAnsi"/>
          <w:sz w:val="24"/>
          <w:szCs w:val="24"/>
        </w:rPr>
        <w:t>są</w:t>
      </w:r>
      <w:r w:rsidR="008A5AE8">
        <w:rPr>
          <w:rFonts w:cstheme="minorHAnsi"/>
          <w:sz w:val="24"/>
          <w:szCs w:val="24"/>
        </w:rPr>
        <w:t> </w:t>
      </w:r>
      <w:r w:rsidRPr="00A26E9C">
        <w:rPr>
          <w:rFonts w:cstheme="minorHAnsi"/>
          <w:sz w:val="24"/>
          <w:szCs w:val="24"/>
        </w:rPr>
        <w:t>silnie skorelowane z wiekiem. Najkorzystniejsze wartości przyjmują dla osób w</w:t>
      </w:r>
      <w:r w:rsidR="008A5AE8">
        <w:rPr>
          <w:rFonts w:cstheme="minorHAnsi"/>
          <w:sz w:val="24"/>
          <w:szCs w:val="24"/>
        </w:rPr>
        <w:t> </w:t>
      </w:r>
      <w:r w:rsidRPr="00A26E9C">
        <w:rPr>
          <w:rFonts w:cstheme="minorHAnsi"/>
          <w:sz w:val="24"/>
          <w:szCs w:val="24"/>
        </w:rPr>
        <w:t>wieku 35</w:t>
      </w:r>
      <w:r w:rsidR="003D7141">
        <w:rPr>
          <w:rFonts w:cstheme="minorHAnsi"/>
          <w:sz w:val="24"/>
          <w:szCs w:val="24"/>
        </w:rPr>
        <w:t>–</w:t>
      </w:r>
      <w:r w:rsidRPr="00A26E9C">
        <w:rPr>
          <w:rFonts w:cstheme="minorHAnsi"/>
          <w:sz w:val="24"/>
          <w:szCs w:val="24"/>
        </w:rPr>
        <w:t>44 lata. Natomiast najgorsze wartości dotyczą osób młodych oraz w wieku przedemerytalnym (wyjątek stanowi wskaźnik bezrobocia, który dla osób starszych przyjmuje niskie wartości).</w:t>
      </w:r>
    </w:p>
    <w:p w14:paraId="37B14E62" w14:textId="01DCDC1B" w:rsidR="00626E78" w:rsidRPr="00A26E9C" w:rsidRDefault="00626E78" w:rsidP="00A26E9C">
      <w:pPr>
        <w:spacing w:before="120" w:after="120"/>
        <w:jc w:val="both"/>
        <w:rPr>
          <w:rFonts w:eastAsia="Times New Roman" w:cstheme="minorHAnsi"/>
          <w:sz w:val="24"/>
          <w:szCs w:val="24"/>
          <w:lang w:eastAsia="pl-PL"/>
        </w:rPr>
      </w:pPr>
      <w:r w:rsidRPr="004C642F">
        <w:rPr>
          <w:rFonts w:eastAsia="Times New Roman" w:cstheme="minorHAnsi"/>
          <w:sz w:val="24"/>
          <w:szCs w:val="24"/>
          <w:lang w:eastAsia="pl-PL"/>
        </w:rPr>
        <w:t>Aktywność zawodowa i wskaźnik zatrudnienia ludności w wieku 50</w:t>
      </w:r>
      <w:r w:rsidR="003D7141">
        <w:rPr>
          <w:rFonts w:eastAsia="Times New Roman" w:cstheme="minorHAnsi"/>
          <w:sz w:val="24"/>
          <w:szCs w:val="24"/>
          <w:lang w:eastAsia="pl-PL"/>
        </w:rPr>
        <w:t>–</w:t>
      </w:r>
      <w:r w:rsidRPr="004C642F">
        <w:rPr>
          <w:rFonts w:eastAsia="Times New Roman" w:cstheme="minorHAnsi"/>
          <w:sz w:val="24"/>
          <w:szCs w:val="24"/>
          <w:lang w:eastAsia="pl-PL"/>
        </w:rPr>
        <w:t>64 lata z roku na rok wzrastają,</w:t>
      </w:r>
      <w:r w:rsidRPr="00A26E9C">
        <w:rPr>
          <w:rFonts w:eastAsia="Times New Roman" w:cstheme="minorHAnsi"/>
          <w:sz w:val="24"/>
          <w:szCs w:val="24"/>
          <w:lang w:eastAsia="pl-PL"/>
        </w:rPr>
        <w:t xml:space="preserve"> choć nadal pozostają niższe zarówno od średniej w UE</w:t>
      </w:r>
      <w:r w:rsidR="00560094">
        <w:rPr>
          <w:rFonts w:eastAsia="Times New Roman" w:cstheme="minorHAnsi"/>
          <w:sz w:val="24"/>
          <w:szCs w:val="24"/>
          <w:lang w:eastAsia="pl-PL"/>
        </w:rPr>
        <w:t>-27</w:t>
      </w:r>
      <w:r w:rsidRPr="00A26E9C">
        <w:rPr>
          <w:rFonts w:eastAsia="Times New Roman" w:cstheme="minorHAnsi"/>
          <w:sz w:val="24"/>
          <w:szCs w:val="24"/>
          <w:lang w:eastAsia="pl-PL"/>
        </w:rPr>
        <w:t>, jak i dla osób w wieku produkcyjnym. Równocześnie nasz dystans do średniej w UE</w:t>
      </w:r>
      <w:r w:rsidR="00560094">
        <w:rPr>
          <w:rFonts w:eastAsia="Times New Roman" w:cstheme="minorHAnsi"/>
          <w:sz w:val="24"/>
          <w:szCs w:val="24"/>
          <w:lang w:eastAsia="pl-PL"/>
        </w:rPr>
        <w:t>-27</w:t>
      </w:r>
      <w:r w:rsidRPr="00A26E9C">
        <w:rPr>
          <w:rFonts w:eastAsia="Times New Roman" w:cstheme="minorHAnsi"/>
          <w:sz w:val="24"/>
          <w:szCs w:val="24"/>
          <w:lang w:eastAsia="pl-PL"/>
        </w:rPr>
        <w:t xml:space="preserve"> wciąż </w:t>
      </w:r>
      <w:r w:rsidRPr="00A26E9C">
        <w:rPr>
          <w:rFonts w:eastAsia="Times New Roman" w:cstheme="minorHAnsi"/>
          <w:sz w:val="24"/>
          <w:szCs w:val="24"/>
          <w:lang w:eastAsia="pl-PL"/>
        </w:rPr>
        <w:lastRenderedPageBreak/>
        <w:t xml:space="preserve">utrzymuje się na dość wysokim poziomie, choć w 2020 r. wyraźnie się zmniejszył w zestawieniu z 2019 </w:t>
      </w:r>
      <w:r w:rsidR="004C642F">
        <w:rPr>
          <w:rFonts w:eastAsia="Times New Roman" w:cstheme="minorHAnsi"/>
          <w:sz w:val="24"/>
          <w:szCs w:val="24"/>
          <w:lang w:eastAsia="pl-PL"/>
        </w:rPr>
        <w:t xml:space="preserve">r. </w:t>
      </w:r>
      <w:r w:rsidR="00B40222">
        <w:rPr>
          <w:rFonts w:eastAsia="Times New Roman" w:cstheme="minorHAnsi"/>
          <w:sz w:val="24"/>
          <w:szCs w:val="24"/>
          <w:lang w:eastAsia="pl-PL"/>
        </w:rPr>
        <w:t>(</w:t>
      </w:r>
      <w:r w:rsidRPr="00A26E9C">
        <w:rPr>
          <w:rFonts w:eastAsia="Times New Roman" w:cstheme="minorHAnsi"/>
          <w:sz w:val="24"/>
          <w:szCs w:val="24"/>
          <w:lang w:eastAsia="pl-PL"/>
        </w:rPr>
        <w:t>współczynnik aktywności zawodowej w Polsce był o 8,7 p.p. niższy niż w UE</w:t>
      </w:r>
      <w:r w:rsidR="00560094">
        <w:rPr>
          <w:rFonts w:eastAsia="Times New Roman" w:cstheme="minorHAnsi"/>
          <w:sz w:val="24"/>
          <w:szCs w:val="24"/>
          <w:lang w:eastAsia="pl-PL"/>
        </w:rPr>
        <w:t>-27</w:t>
      </w:r>
      <w:r w:rsidRPr="00A26E9C">
        <w:rPr>
          <w:rFonts w:eastAsia="Times New Roman" w:cstheme="minorHAnsi"/>
          <w:sz w:val="24"/>
          <w:szCs w:val="24"/>
          <w:lang w:eastAsia="pl-PL"/>
        </w:rPr>
        <w:t xml:space="preserve"> wobec 10,4</w:t>
      </w:r>
      <w:r w:rsidR="008A5AE8">
        <w:rPr>
          <w:rFonts w:eastAsia="Times New Roman" w:cstheme="minorHAnsi"/>
          <w:sz w:val="24"/>
          <w:szCs w:val="24"/>
          <w:lang w:eastAsia="pl-PL"/>
        </w:rPr>
        <w:t> </w:t>
      </w:r>
      <w:r w:rsidRPr="00A26E9C">
        <w:rPr>
          <w:rFonts w:eastAsia="Times New Roman" w:cstheme="minorHAnsi"/>
          <w:sz w:val="24"/>
          <w:szCs w:val="24"/>
          <w:lang w:eastAsia="pl-PL"/>
        </w:rPr>
        <w:t>p.p. w 2019 r.), a wskaźnik zatrudnienia w Polsce był o 6,4 p.p. niższy niż w UE</w:t>
      </w:r>
      <w:r w:rsidR="00560094">
        <w:rPr>
          <w:rFonts w:eastAsia="Times New Roman" w:cstheme="minorHAnsi"/>
          <w:sz w:val="24"/>
          <w:szCs w:val="24"/>
          <w:lang w:eastAsia="pl-PL"/>
        </w:rPr>
        <w:t>-27</w:t>
      </w:r>
      <w:r w:rsidRPr="00A26E9C">
        <w:rPr>
          <w:rFonts w:eastAsia="Times New Roman" w:cstheme="minorHAnsi"/>
          <w:sz w:val="24"/>
          <w:szCs w:val="24"/>
          <w:lang w:eastAsia="pl-PL"/>
        </w:rPr>
        <w:t xml:space="preserve"> (wobec</w:t>
      </w:r>
      <w:r w:rsidR="008A5AE8">
        <w:rPr>
          <w:rFonts w:eastAsia="Times New Roman" w:cstheme="minorHAnsi"/>
          <w:sz w:val="24"/>
          <w:szCs w:val="24"/>
          <w:lang w:eastAsia="pl-PL"/>
        </w:rPr>
        <w:t> </w:t>
      </w:r>
      <w:r w:rsidRPr="00A26E9C">
        <w:rPr>
          <w:rFonts w:eastAsia="Times New Roman" w:cstheme="minorHAnsi"/>
          <w:sz w:val="24"/>
          <w:szCs w:val="24"/>
          <w:lang w:eastAsia="pl-PL"/>
        </w:rPr>
        <w:t>różnicy o 8,2 p.p. w 2019 r.). Natomiast stopa bezrobocia w grupie 50</w:t>
      </w:r>
      <w:r w:rsidR="003D7141">
        <w:rPr>
          <w:rFonts w:eastAsia="Times New Roman" w:cstheme="minorHAnsi"/>
          <w:sz w:val="24"/>
          <w:szCs w:val="24"/>
          <w:lang w:eastAsia="pl-PL"/>
        </w:rPr>
        <w:t>–</w:t>
      </w:r>
      <w:r w:rsidRPr="00A26E9C">
        <w:rPr>
          <w:rFonts w:eastAsia="Times New Roman" w:cstheme="minorHAnsi"/>
          <w:sz w:val="24"/>
          <w:szCs w:val="24"/>
          <w:lang w:eastAsia="pl-PL"/>
        </w:rPr>
        <w:t>64 lata od</w:t>
      </w:r>
      <w:r w:rsidR="008A5AE8">
        <w:rPr>
          <w:rFonts w:eastAsia="Times New Roman" w:cstheme="minorHAnsi"/>
          <w:sz w:val="24"/>
          <w:szCs w:val="24"/>
          <w:lang w:eastAsia="pl-PL"/>
        </w:rPr>
        <w:t> </w:t>
      </w:r>
      <w:r w:rsidRPr="00A26E9C">
        <w:rPr>
          <w:rFonts w:eastAsia="Times New Roman" w:cstheme="minorHAnsi"/>
          <w:sz w:val="24"/>
          <w:szCs w:val="24"/>
          <w:lang w:eastAsia="pl-PL"/>
        </w:rPr>
        <w:t>2012</w:t>
      </w:r>
      <w:r w:rsidR="008A5AE8">
        <w:rPr>
          <w:rFonts w:eastAsia="Times New Roman" w:cstheme="minorHAnsi"/>
          <w:sz w:val="24"/>
          <w:szCs w:val="24"/>
          <w:lang w:eastAsia="pl-PL"/>
        </w:rPr>
        <w:t> </w:t>
      </w:r>
      <w:r w:rsidRPr="00A26E9C">
        <w:rPr>
          <w:rFonts w:eastAsia="Times New Roman" w:cstheme="minorHAnsi"/>
          <w:sz w:val="24"/>
          <w:szCs w:val="24"/>
          <w:lang w:eastAsia="pl-PL"/>
        </w:rPr>
        <w:t>r. pozostaje w Polsce niższa niż w UE</w:t>
      </w:r>
      <w:r w:rsidR="00560094">
        <w:rPr>
          <w:rFonts w:eastAsia="Times New Roman" w:cstheme="minorHAnsi"/>
          <w:sz w:val="24"/>
          <w:szCs w:val="24"/>
          <w:lang w:eastAsia="pl-PL"/>
        </w:rPr>
        <w:t>-27</w:t>
      </w:r>
      <w:r w:rsidRPr="00A26E9C">
        <w:rPr>
          <w:rFonts w:eastAsia="Times New Roman" w:cstheme="minorHAnsi"/>
          <w:sz w:val="24"/>
          <w:szCs w:val="24"/>
          <w:lang w:eastAsia="pl-PL"/>
        </w:rPr>
        <w:t xml:space="preserve"> i sytuacja w tym zakresie wciąż się poprawia – w 2020 r. stopa bezrobocia</w:t>
      </w:r>
      <w:r w:rsidR="00B40222">
        <w:rPr>
          <w:rFonts w:eastAsia="Times New Roman" w:cstheme="minorHAnsi"/>
          <w:sz w:val="24"/>
          <w:szCs w:val="24"/>
          <w:lang w:eastAsia="pl-PL"/>
        </w:rPr>
        <w:t>,</w:t>
      </w:r>
      <w:r w:rsidRPr="00A26E9C">
        <w:rPr>
          <w:rFonts w:eastAsia="Times New Roman" w:cstheme="minorHAnsi"/>
          <w:sz w:val="24"/>
          <w:szCs w:val="24"/>
          <w:lang w:eastAsia="pl-PL"/>
        </w:rPr>
        <w:t xml:space="preserve"> liczona na podstawie wyników prowadzonego przez GUS badania Aktywności Ekonomicznej Ludności (BAEL) i odpowiedników tegoż badania w innych krajach</w:t>
      </w:r>
      <w:r w:rsidR="00B40222">
        <w:rPr>
          <w:rFonts w:eastAsia="Times New Roman" w:cstheme="minorHAnsi"/>
          <w:sz w:val="24"/>
          <w:szCs w:val="24"/>
          <w:lang w:eastAsia="pl-PL"/>
        </w:rPr>
        <w:t>,</w:t>
      </w:r>
      <w:r w:rsidRPr="00A26E9C">
        <w:rPr>
          <w:rFonts w:eastAsia="Times New Roman" w:cstheme="minorHAnsi"/>
          <w:sz w:val="24"/>
          <w:szCs w:val="24"/>
          <w:lang w:eastAsia="pl-PL"/>
        </w:rPr>
        <w:t xml:space="preserve"> była w Polsce ponad 2-krotnie niższa niż w UE</w:t>
      </w:r>
      <w:r w:rsidR="00560094">
        <w:rPr>
          <w:rFonts w:eastAsia="Times New Roman" w:cstheme="minorHAnsi"/>
          <w:sz w:val="24"/>
          <w:szCs w:val="24"/>
          <w:lang w:eastAsia="pl-PL"/>
        </w:rPr>
        <w:t>-27</w:t>
      </w:r>
      <w:r w:rsidRPr="00A26E9C">
        <w:rPr>
          <w:rFonts w:eastAsia="Times New Roman" w:cstheme="minorHAnsi"/>
          <w:sz w:val="24"/>
          <w:szCs w:val="24"/>
          <w:lang w:eastAsia="pl-PL"/>
        </w:rPr>
        <w:t xml:space="preserve">. </w:t>
      </w:r>
    </w:p>
    <w:p w14:paraId="2818E895" w14:textId="36FE8A65" w:rsidR="00626E78" w:rsidRPr="00A26E9C" w:rsidRDefault="00626E78" w:rsidP="001B7BF3">
      <w:pPr>
        <w:suppressAutoHyphens/>
        <w:spacing w:after="0"/>
        <w:jc w:val="both"/>
        <w:rPr>
          <w:rFonts w:eastAsia="Times New Roman" w:cstheme="minorHAnsi"/>
          <w:sz w:val="24"/>
          <w:szCs w:val="24"/>
          <w:lang w:eastAsia="pl-PL"/>
        </w:rPr>
      </w:pPr>
      <w:bookmarkStart w:id="7" w:name="_Hlk72230127"/>
      <w:r w:rsidRPr="00A26E9C">
        <w:rPr>
          <w:rFonts w:eastAsia="Times New Roman" w:cstheme="minorHAnsi"/>
          <w:sz w:val="24"/>
          <w:szCs w:val="24"/>
          <w:lang w:eastAsia="pl-PL"/>
        </w:rPr>
        <w:t>W 2020 r. w grupie osób w wieku 50</w:t>
      </w:r>
      <w:r w:rsidR="003D7141">
        <w:rPr>
          <w:rFonts w:eastAsia="Times New Roman" w:cstheme="minorHAnsi"/>
          <w:sz w:val="24"/>
          <w:szCs w:val="24"/>
          <w:lang w:eastAsia="pl-PL"/>
        </w:rPr>
        <w:t>–</w:t>
      </w:r>
      <w:r w:rsidRPr="00A26E9C">
        <w:rPr>
          <w:rFonts w:eastAsia="Times New Roman" w:cstheme="minorHAnsi"/>
          <w:sz w:val="24"/>
          <w:szCs w:val="24"/>
          <w:lang w:eastAsia="pl-PL"/>
        </w:rPr>
        <w:t>64 lata:</w:t>
      </w:r>
    </w:p>
    <w:p w14:paraId="5E9F73F1" w14:textId="77777777" w:rsidR="00626E78" w:rsidRPr="00A26E9C" w:rsidRDefault="00626E78" w:rsidP="001B7BF3">
      <w:pPr>
        <w:pStyle w:val="Akapitzlist"/>
        <w:numPr>
          <w:ilvl w:val="0"/>
          <w:numId w:val="25"/>
        </w:numPr>
        <w:suppressAutoHyphens/>
        <w:spacing w:after="0"/>
        <w:ind w:left="470" w:hanging="357"/>
        <w:jc w:val="both"/>
        <w:rPr>
          <w:rFonts w:eastAsia="Times New Roman" w:cstheme="minorHAnsi"/>
          <w:sz w:val="24"/>
          <w:szCs w:val="24"/>
          <w:lang w:eastAsia="pl-PL"/>
        </w:rPr>
      </w:pPr>
      <w:r w:rsidRPr="00A26E9C">
        <w:rPr>
          <w:rFonts w:eastAsiaTheme="minorEastAsia" w:cstheme="minorHAnsi"/>
          <w:color w:val="000000" w:themeColor="text1"/>
          <w:sz w:val="24"/>
          <w:szCs w:val="24"/>
          <w:u w:val="single"/>
        </w:rPr>
        <w:t>współczynnik aktywności zawodowej ludności</w:t>
      </w:r>
      <w:r w:rsidRPr="00A26E9C">
        <w:rPr>
          <w:rFonts w:eastAsiaTheme="minorEastAsia" w:cstheme="minorHAnsi"/>
          <w:color w:val="000000" w:themeColor="text1"/>
          <w:sz w:val="24"/>
          <w:szCs w:val="24"/>
        </w:rPr>
        <w:t xml:space="preserve"> </w:t>
      </w:r>
      <w:r w:rsidRPr="00A26E9C">
        <w:rPr>
          <w:rFonts w:cstheme="minorHAnsi"/>
          <w:sz w:val="24"/>
          <w:szCs w:val="24"/>
        </w:rPr>
        <w:t xml:space="preserve">określający odsetek liczby aktywnych zawodowo (pracujących i bezrobotnych) do liczby ludności w danej grupie wiekowej </w:t>
      </w:r>
      <w:r w:rsidRPr="00A26E9C">
        <w:rPr>
          <w:rFonts w:eastAsiaTheme="minorEastAsia" w:cstheme="minorHAnsi"/>
          <w:color w:val="000000" w:themeColor="text1"/>
          <w:sz w:val="24"/>
          <w:szCs w:val="24"/>
        </w:rPr>
        <w:t>wynosił</w:t>
      </w:r>
      <w:r w:rsidR="004C642F">
        <w:rPr>
          <w:rFonts w:eastAsiaTheme="minorEastAsia" w:cstheme="minorHAnsi"/>
          <w:color w:val="000000" w:themeColor="text1"/>
          <w:sz w:val="24"/>
          <w:szCs w:val="24"/>
        </w:rPr>
        <w:t>:</w:t>
      </w:r>
      <w:r w:rsidRPr="00A26E9C">
        <w:rPr>
          <w:rFonts w:eastAsiaTheme="minorEastAsia" w:cstheme="minorHAnsi"/>
          <w:color w:val="000000" w:themeColor="text1"/>
          <w:sz w:val="24"/>
          <w:szCs w:val="24"/>
        </w:rPr>
        <w:t xml:space="preserve"> </w:t>
      </w:r>
    </w:p>
    <w:p w14:paraId="262FE042" w14:textId="7EE7DF34" w:rsidR="00626E78" w:rsidRPr="00A26E9C" w:rsidRDefault="00233CD8" w:rsidP="009D2FE9">
      <w:pPr>
        <w:pStyle w:val="Listapunktowana"/>
        <w:numPr>
          <w:ilvl w:val="0"/>
          <w:numId w:val="0"/>
        </w:numPr>
        <w:spacing w:after="0" w:line="276" w:lineRule="auto"/>
        <w:ind w:left="360" w:firstLine="348"/>
        <w:contextualSpacing w:val="0"/>
        <w:jc w:val="both"/>
        <w:rPr>
          <w:rFonts w:cstheme="minorHAnsi"/>
          <w:color w:val="auto"/>
          <w:sz w:val="24"/>
          <w:szCs w:val="24"/>
        </w:rPr>
      </w:pPr>
      <w:r>
        <w:rPr>
          <w:rFonts w:cstheme="minorHAnsi"/>
          <w:sz w:val="24"/>
          <w:szCs w:val="24"/>
        </w:rPr>
        <w:t xml:space="preserve">– </w:t>
      </w:r>
      <w:r w:rsidR="00626E78" w:rsidRPr="00A26E9C">
        <w:rPr>
          <w:rFonts w:cstheme="minorHAnsi"/>
          <w:sz w:val="24"/>
          <w:szCs w:val="24"/>
        </w:rPr>
        <w:t xml:space="preserve">61,6% w Polsce </w:t>
      </w:r>
      <w:r>
        <w:rPr>
          <w:rFonts w:cstheme="minorHAnsi"/>
          <w:sz w:val="24"/>
          <w:szCs w:val="24"/>
        </w:rPr>
        <w:t>–</w:t>
      </w:r>
      <w:r w:rsidR="00626E78" w:rsidRPr="00A26E9C">
        <w:rPr>
          <w:rFonts w:cstheme="minorHAnsi"/>
          <w:sz w:val="24"/>
          <w:szCs w:val="24"/>
        </w:rPr>
        <w:t xml:space="preserve"> wzrost r/r o 1,9 p</w:t>
      </w:r>
      <w:r w:rsidR="00C96C91">
        <w:rPr>
          <w:rFonts w:cstheme="minorHAnsi"/>
          <w:sz w:val="24"/>
          <w:szCs w:val="24"/>
        </w:rPr>
        <w:t>.</w:t>
      </w:r>
      <w:r w:rsidR="00626E78" w:rsidRPr="00A26E9C">
        <w:rPr>
          <w:rFonts w:cstheme="minorHAnsi"/>
          <w:sz w:val="24"/>
          <w:szCs w:val="24"/>
        </w:rPr>
        <w:t>p.;</w:t>
      </w:r>
    </w:p>
    <w:p w14:paraId="15BB198C" w14:textId="722DC770" w:rsidR="001B7BF3" w:rsidRPr="001B7BF3" w:rsidRDefault="00233CD8" w:rsidP="009D2FE9">
      <w:pPr>
        <w:pStyle w:val="Listapunktowana"/>
        <w:numPr>
          <w:ilvl w:val="0"/>
          <w:numId w:val="0"/>
        </w:numPr>
        <w:spacing w:after="0" w:line="276" w:lineRule="auto"/>
        <w:ind w:left="360" w:firstLine="348"/>
        <w:contextualSpacing w:val="0"/>
        <w:jc w:val="both"/>
        <w:rPr>
          <w:rFonts w:cstheme="minorHAnsi"/>
          <w:color w:val="auto"/>
          <w:sz w:val="24"/>
          <w:szCs w:val="24"/>
        </w:rPr>
      </w:pPr>
      <w:r>
        <w:rPr>
          <w:rFonts w:cstheme="minorHAnsi"/>
          <w:sz w:val="24"/>
          <w:szCs w:val="24"/>
        </w:rPr>
        <w:t xml:space="preserve">– </w:t>
      </w:r>
      <w:r w:rsidR="00626E78" w:rsidRPr="001B7BF3">
        <w:rPr>
          <w:rFonts w:cstheme="minorHAnsi"/>
          <w:sz w:val="24"/>
          <w:szCs w:val="24"/>
        </w:rPr>
        <w:t xml:space="preserve">70,3% w UE-27 </w:t>
      </w:r>
      <w:r>
        <w:rPr>
          <w:rFonts w:cstheme="minorHAnsi"/>
          <w:sz w:val="24"/>
          <w:szCs w:val="24"/>
        </w:rPr>
        <w:t>–</w:t>
      </w:r>
      <w:r w:rsidR="00626E78" w:rsidRPr="001B7BF3">
        <w:rPr>
          <w:rFonts w:cstheme="minorHAnsi"/>
          <w:sz w:val="24"/>
          <w:szCs w:val="24"/>
        </w:rPr>
        <w:t xml:space="preserve"> wzrost r/r o 0,2 p</w:t>
      </w:r>
      <w:r w:rsidR="00C96C91">
        <w:rPr>
          <w:rFonts w:cstheme="minorHAnsi"/>
          <w:sz w:val="24"/>
          <w:szCs w:val="24"/>
        </w:rPr>
        <w:t>.</w:t>
      </w:r>
      <w:r w:rsidR="00626E78" w:rsidRPr="001B7BF3">
        <w:rPr>
          <w:rFonts w:cstheme="minorHAnsi"/>
          <w:sz w:val="24"/>
          <w:szCs w:val="24"/>
        </w:rPr>
        <w:t>p.</w:t>
      </w:r>
    </w:p>
    <w:p w14:paraId="45CFD3F8" w14:textId="77777777" w:rsidR="00626E78" w:rsidRPr="00A26E9C" w:rsidRDefault="00626E78" w:rsidP="001B7BF3">
      <w:pPr>
        <w:pStyle w:val="Akapitzlist"/>
        <w:numPr>
          <w:ilvl w:val="0"/>
          <w:numId w:val="25"/>
        </w:numPr>
        <w:suppressAutoHyphens/>
        <w:spacing w:after="0"/>
        <w:ind w:left="470" w:hanging="357"/>
        <w:jc w:val="both"/>
        <w:rPr>
          <w:rFonts w:eastAsiaTheme="minorEastAsia" w:cstheme="minorHAnsi"/>
          <w:color w:val="000000" w:themeColor="text1"/>
          <w:sz w:val="24"/>
          <w:szCs w:val="24"/>
          <w:u w:val="single"/>
        </w:rPr>
      </w:pPr>
      <w:r w:rsidRPr="00A26E9C">
        <w:rPr>
          <w:rFonts w:eastAsiaTheme="minorEastAsia" w:cstheme="minorHAnsi"/>
          <w:color w:val="000000" w:themeColor="text1"/>
          <w:sz w:val="24"/>
          <w:szCs w:val="24"/>
          <w:u w:val="single"/>
        </w:rPr>
        <w:t>wskaźnik zatrudnienia (udział pracujących w liczbie ludności) wynosił:</w:t>
      </w:r>
    </w:p>
    <w:p w14:paraId="5103AF34" w14:textId="6F9F6EEF" w:rsidR="00626E78" w:rsidRPr="00A26E9C" w:rsidRDefault="00626E78" w:rsidP="001B7BF3">
      <w:pPr>
        <w:pStyle w:val="Listapunktowana"/>
        <w:numPr>
          <w:ilvl w:val="0"/>
          <w:numId w:val="23"/>
        </w:numPr>
        <w:spacing w:after="0" w:line="276" w:lineRule="auto"/>
        <w:ind w:left="883" w:hanging="219"/>
        <w:contextualSpacing w:val="0"/>
        <w:jc w:val="both"/>
        <w:rPr>
          <w:rFonts w:cstheme="minorHAnsi"/>
          <w:color w:val="auto"/>
          <w:sz w:val="24"/>
          <w:szCs w:val="24"/>
        </w:rPr>
      </w:pPr>
      <w:r w:rsidRPr="00A26E9C">
        <w:rPr>
          <w:rFonts w:cstheme="minorHAnsi"/>
          <w:color w:val="auto"/>
          <w:sz w:val="24"/>
          <w:szCs w:val="24"/>
        </w:rPr>
        <w:t xml:space="preserve">60,3% w Polsce </w:t>
      </w:r>
      <w:r w:rsidR="00233CD8">
        <w:rPr>
          <w:rFonts w:cstheme="minorHAnsi"/>
          <w:color w:val="auto"/>
          <w:sz w:val="24"/>
          <w:szCs w:val="24"/>
        </w:rPr>
        <w:t>–</w:t>
      </w:r>
      <w:r w:rsidRPr="00A26E9C">
        <w:rPr>
          <w:rFonts w:cstheme="minorHAnsi"/>
          <w:color w:val="auto"/>
          <w:sz w:val="24"/>
          <w:szCs w:val="24"/>
        </w:rPr>
        <w:t xml:space="preserve"> wzrost r/r o 2,0 </w:t>
      </w:r>
      <w:r w:rsidRPr="00A26E9C">
        <w:rPr>
          <w:rFonts w:cstheme="minorHAnsi"/>
          <w:sz w:val="24"/>
          <w:szCs w:val="24"/>
        </w:rPr>
        <w:t>p</w:t>
      </w:r>
      <w:r w:rsidR="00C96C91">
        <w:rPr>
          <w:rFonts w:cstheme="minorHAnsi"/>
          <w:sz w:val="24"/>
          <w:szCs w:val="24"/>
        </w:rPr>
        <w:t>.</w:t>
      </w:r>
      <w:r w:rsidRPr="00A26E9C">
        <w:rPr>
          <w:rFonts w:cstheme="minorHAnsi"/>
          <w:color w:val="auto"/>
          <w:sz w:val="24"/>
          <w:szCs w:val="24"/>
        </w:rPr>
        <w:t>p.;</w:t>
      </w:r>
    </w:p>
    <w:p w14:paraId="15653D21" w14:textId="79B533F1" w:rsidR="00626E78" w:rsidRPr="00A26E9C" w:rsidRDefault="00626E78" w:rsidP="001B7BF3">
      <w:pPr>
        <w:pStyle w:val="Listapunktowana"/>
        <w:numPr>
          <w:ilvl w:val="0"/>
          <w:numId w:val="23"/>
        </w:numPr>
        <w:spacing w:after="0" w:line="276" w:lineRule="auto"/>
        <w:ind w:left="883" w:hanging="219"/>
        <w:contextualSpacing w:val="0"/>
        <w:jc w:val="both"/>
        <w:rPr>
          <w:rFonts w:cstheme="minorHAnsi"/>
          <w:color w:val="auto"/>
          <w:sz w:val="24"/>
          <w:szCs w:val="24"/>
        </w:rPr>
      </w:pPr>
      <w:r w:rsidRPr="00A26E9C">
        <w:rPr>
          <w:rFonts w:cstheme="minorHAnsi"/>
          <w:color w:val="auto"/>
          <w:sz w:val="24"/>
          <w:szCs w:val="24"/>
        </w:rPr>
        <w:t xml:space="preserve">66,7% w UE-27 – </w:t>
      </w:r>
      <w:r w:rsidRPr="00A26E9C">
        <w:rPr>
          <w:rFonts w:cstheme="minorHAnsi"/>
          <w:sz w:val="24"/>
          <w:szCs w:val="24"/>
        </w:rPr>
        <w:t>wzrost r/r o 0,2 p</w:t>
      </w:r>
      <w:r w:rsidR="00C96C91">
        <w:rPr>
          <w:rFonts w:cstheme="minorHAnsi"/>
          <w:sz w:val="24"/>
          <w:szCs w:val="24"/>
        </w:rPr>
        <w:t>.</w:t>
      </w:r>
      <w:r w:rsidRPr="00A26E9C">
        <w:rPr>
          <w:rFonts w:cstheme="minorHAnsi"/>
          <w:sz w:val="24"/>
          <w:szCs w:val="24"/>
        </w:rPr>
        <w:t>p.</w:t>
      </w:r>
    </w:p>
    <w:p w14:paraId="67E6C94B" w14:textId="77777777" w:rsidR="00626E78" w:rsidRPr="00A26E9C" w:rsidRDefault="00626E78" w:rsidP="001B7BF3">
      <w:pPr>
        <w:pStyle w:val="Akapitzlist"/>
        <w:numPr>
          <w:ilvl w:val="0"/>
          <w:numId w:val="25"/>
        </w:numPr>
        <w:suppressAutoHyphens/>
        <w:spacing w:after="0"/>
        <w:ind w:left="470" w:hanging="357"/>
        <w:jc w:val="both"/>
        <w:rPr>
          <w:rFonts w:eastAsiaTheme="minorEastAsia" w:cstheme="minorHAnsi"/>
          <w:color w:val="000000" w:themeColor="text1"/>
          <w:sz w:val="24"/>
          <w:szCs w:val="24"/>
          <w:u w:val="single"/>
        </w:rPr>
      </w:pPr>
      <w:r w:rsidRPr="00A26E9C">
        <w:rPr>
          <w:rFonts w:eastAsiaTheme="minorEastAsia" w:cstheme="minorHAnsi"/>
          <w:color w:val="000000" w:themeColor="text1"/>
          <w:sz w:val="24"/>
          <w:szCs w:val="24"/>
          <w:u w:val="single"/>
        </w:rPr>
        <w:t>stopa bezrobocia (udział bezrobotnych w liczbie aktywnych zawodowo) wynosiła:</w:t>
      </w:r>
    </w:p>
    <w:p w14:paraId="1BC525D4" w14:textId="21462661" w:rsidR="00626E78" w:rsidRPr="00A26E9C" w:rsidRDefault="00626E78" w:rsidP="001B7BF3">
      <w:pPr>
        <w:pStyle w:val="Listapunktowana"/>
        <w:numPr>
          <w:ilvl w:val="0"/>
          <w:numId w:val="24"/>
        </w:numPr>
        <w:spacing w:after="0" w:line="276" w:lineRule="auto"/>
        <w:ind w:left="883" w:hanging="142"/>
        <w:contextualSpacing w:val="0"/>
        <w:jc w:val="both"/>
        <w:rPr>
          <w:rFonts w:cstheme="minorHAnsi"/>
          <w:color w:val="auto"/>
          <w:sz w:val="24"/>
          <w:szCs w:val="24"/>
        </w:rPr>
      </w:pPr>
      <w:r w:rsidRPr="00A26E9C">
        <w:rPr>
          <w:rFonts w:cstheme="minorHAnsi"/>
          <w:color w:val="auto"/>
          <w:sz w:val="24"/>
          <w:szCs w:val="24"/>
        </w:rPr>
        <w:t xml:space="preserve"> 2,2% w Polsce – spadek r/r o 0,2 </w:t>
      </w:r>
      <w:r w:rsidRPr="00A26E9C">
        <w:rPr>
          <w:rFonts w:cstheme="minorHAnsi"/>
          <w:sz w:val="24"/>
          <w:szCs w:val="24"/>
        </w:rPr>
        <w:t>p</w:t>
      </w:r>
      <w:r w:rsidR="00C96C91">
        <w:rPr>
          <w:rFonts w:cstheme="minorHAnsi"/>
          <w:sz w:val="24"/>
          <w:szCs w:val="24"/>
        </w:rPr>
        <w:t>.</w:t>
      </w:r>
      <w:r w:rsidR="00C96C91">
        <w:rPr>
          <w:rFonts w:cstheme="minorHAnsi"/>
          <w:color w:val="auto"/>
          <w:sz w:val="24"/>
          <w:szCs w:val="24"/>
        </w:rPr>
        <w:t xml:space="preserve"> </w:t>
      </w:r>
      <w:r w:rsidRPr="00A26E9C">
        <w:rPr>
          <w:rFonts w:cstheme="minorHAnsi"/>
          <w:color w:val="auto"/>
          <w:sz w:val="24"/>
          <w:szCs w:val="24"/>
        </w:rPr>
        <w:t xml:space="preserve">p.; </w:t>
      </w:r>
    </w:p>
    <w:p w14:paraId="7548F8D9" w14:textId="77777777" w:rsidR="00626E78" w:rsidRPr="00A26E9C" w:rsidRDefault="00626E78" w:rsidP="001B7BF3">
      <w:pPr>
        <w:pStyle w:val="Listapunktowana"/>
        <w:numPr>
          <w:ilvl w:val="0"/>
          <w:numId w:val="24"/>
        </w:numPr>
        <w:spacing w:after="0" w:line="276" w:lineRule="auto"/>
        <w:ind w:left="883" w:hanging="142"/>
        <w:contextualSpacing w:val="0"/>
        <w:jc w:val="both"/>
        <w:rPr>
          <w:rFonts w:cstheme="minorHAnsi"/>
          <w:sz w:val="24"/>
          <w:szCs w:val="24"/>
        </w:rPr>
      </w:pPr>
      <w:r w:rsidRPr="00A26E9C">
        <w:rPr>
          <w:rFonts w:cstheme="minorHAnsi"/>
          <w:color w:val="auto"/>
          <w:sz w:val="24"/>
          <w:szCs w:val="24"/>
        </w:rPr>
        <w:t xml:space="preserve"> 5,1% w UE-27 – bez zmian r/r</w:t>
      </w:r>
      <w:bookmarkEnd w:id="7"/>
      <w:r w:rsidRPr="00A26E9C">
        <w:rPr>
          <w:rFonts w:cstheme="minorHAnsi"/>
          <w:color w:val="auto"/>
          <w:sz w:val="24"/>
          <w:szCs w:val="24"/>
        </w:rPr>
        <w:t>.</w:t>
      </w:r>
    </w:p>
    <w:p w14:paraId="0B7F9DF0" w14:textId="2B338A82" w:rsidR="00626E78" w:rsidRPr="00A26E9C" w:rsidRDefault="00626E78" w:rsidP="001B7BF3">
      <w:pPr>
        <w:spacing w:after="0"/>
        <w:jc w:val="both"/>
        <w:rPr>
          <w:rFonts w:eastAsia="Times New Roman" w:cstheme="minorHAnsi"/>
          <w:sz w:val="24"/>
          <w:szCs w:val="24"/>
          <w:lang w:eastAsia="pl-PL"/>
        </w:rPr>
      </w:pPr>
    </w:p>
    <w:p w14:paraId="39DAB277" w14:textId="2DAB1EC4" w:rsidR="00626E78" w:rsidRPr="004D0F56" w:rsidRDefault="00626E78" w:rsidP="00A26E9C">
      <w:pPr>
        <w:spacing w:before="120" w:after="120"/>
        <w:jc w:val="both"/>
        <w:rPr>
          <w:rFonts w:eastAsia="Times New Roman" w:cstheme="minorHAnsi"/>
          <w:b/>
          <w:sz w:val="24"/>
          <w:szCs w:val="24"/>
          <w:vertAlign w:val="superscript"/>
          <w:lang w:eastAsia="pl-PL"/>
        </w:rPr>
      </w:pPr>
      <w:r w:rsidRPr="00A26E9C">
        <w:rPr>
          <w:rFonts w:eastAsia="Times New Roman" w:cstheme="minorHAnsi"/>
          <w:b/>
          <w:sz w:val="24"/>
          <w:szCs w:val="24"/>
          <w:lang w:eastAsia="pl-PL"/>
        </w:rPr>
        <w:t>Bezrobocie rejestrowane</w:t>
      </w:r>
      <w:r w:rsidRPr="00A26E9C">
        <w:rPr>
          <w:rStyle w:val="Odwoanieprzypisudolnego"/>
          <w:rFonts w:eastAsia="Times New Roman" w:cstheme="minorHAnsi"/>
          <w:sz w:val="24"/>
          <w:szCs w:val="24"/>
          <w:lang w:eastAsia="pl-PL"/>
        </w:rPr>
        <w:footnoteReference w:id="15"/>
      </w:r>
      <w:r w:rsidR="00474D9C">
        <w:rPr>
          <w:rFonts w:eastAsia="Times New Roman" w:cstheme="minorHAnsi"/>
          <w:b/>
          <w:sz w:val="24"/>
          <w:szCs w:val="24"/>
          <w:vertAlign w:val="superscript"/>
          <w:lang w:eastAsia="pl-PL"/>
        </w:rPr>
        <w:t>)</w:t>
      </w:r>
    </w:p>
    <w:p w14:paraId="15FD5480" w14:textId="6A9B398A" w:rsidR="00626E78" w:rsidRPr="00A26E9C" w:rsidRDefault="00626E78" w:rsidP="00A26E9C">
      <w:pPr>
        <w:suppressAutoHyphens/>
        <w:autoSpaceDE w:val="0"/>
        <w:autoSpaceDN w:val="0"/>
        <w:adjustRightInd w:val="0"/>
        <w:spacing w:before="120" w:after="120"/>
        <w:jc w:val="both"/>
        <w:rPr>
          <w:rFonts w:ascii="Calibri" w:hAnsi="Calibri" w:cs="Calibri"/>
          <w:bCs/>
          <w:sz w:val="24"/>
          <w:szCs w:val="24"/>
        </w:rPr>
      </w:pPr>
      <w:r w:rsidRPr="00A26E9C">
        <w:rPr>
          <w:rFonts w:cstheme="minorHAnsi"/>
          <w:sz w:val="24"/>
          <w:szCs w:val="24"/>
        </w:rPr>
        <w:t xml:space="preserve">Mimo faktu, że od 2020 r. również rynek pracy mierzy się ze skutkami pandemii i zakłócone zostały korzystne tendencje w postaci rekordowo niskiego bezrobocia, to zmiany nie były tak gwałtowne jak prognozowano po ogłoszeniu pierwszego lockdownu. </w:t>
      </w:r>
      <w:r w:rsidRPr="00A26E9C">
        <w:rPr>
          <w:rFonts w:cstheme="minorHAnsi"/>
          <w:bCs/>
          <w:sz w:val="24"/>
          <w:szCs w:val="24"/>
        </w:rPr>
        <w:t>Jednym z powodów tej sytuacji były braki kadrowe w wielu branżach, co spowodowało, że z obawy przed trudnościami w pozyskaniu dobrych specjalistów w okresie ożywienia, pracodawcy niechętnie podejmowali decyzje o zwolnieniach. Z drugiej strony kluczowa była pomoc państwa, czyli</w:t>
      </w:r>
      <w:r w:rsidR="00B454A3">
        <w:rPr>
          <w:rFonts w:cstheme="minorHAnsi"/>
          <w:bCs/>
          <w:sz w:val="24"/>
          <w:szCs w:val="24"/>
        </w:rPr>
        <w:t> </w:t>
      </w:r>
      <w:r w:rsidRPr="00A26E9C">
        <w:rPr>
          <w:rFonts w:cstheme="minorHAnsi"/>
          <w:bCs/>
          <w:sz w:val="24"/>
          <w:szCs w:val="24"/>
        </w:rPr>
        <w:t xml:space="preserve">szybko i </w:t>
      </w:r>
      <w:r w:rsidRPr="00A26E9C">
        <w:rPr>
          <w:rFonts w:cstheme="minorHAnsi"/>
          <w:sz w:val="24"/>
          <w:szCs w:val="24"/>
        </w:rPr>
        <w:t xml:space="preserve">dobrze zaplanowane działania Rządu zawarte w Tarczy </w:t>
      </w:r>
      <w:r w:rsidRPr="00A26E9C">
        <w:rPr>
          <w:rFonts w:ascii="Calibri" w:hAnsi="Calibri" w:cs="Calibri"/>
          <w:sz w:val="24"/>
          <w:szCs w:val="24"/>
        </w:rPr>
        <w:t>Antykryzysowej. Pomogły one przezwyciężyć trudności finansowe i umożliwiły kontynuację działalności gospodarczej wielu firmom, a pracownikom pozwoliły zachować miejsca pracy.</w:t>
      </w:r>
    </w:p>
    <w:p w14:paraId="329F811A" w14:textId="02971AFB" w:rsidR="00626E78" w:rsidRPr="001B7BF3" w:rsidRDefault="00626E78" w:rsidP="00A26E9C">
      <w:pPr>
        <w:suppressAutoHyphens/>
        <w:autoSpaceDE w:val="0"/>
        <w:autoSpaceDN w:val="0"/>
        <w:adjustRightInd w:val="0"/>
        <w:spacing w:before="120" w:after="120"/>
        <w:jc w:val="both"/>
        <w:rPr>
          <w:rFonts w:ascii="Calibri" w:hAnsi="Calibri" w:cs="Calibri"/>
          <w:sz w:val="24"/>
          <w:szCs w:val="24"/>
        </w:rPr>
      </w:pPr>
      <w:r w:rsidRPr="00A26E9C">
        <w:rPr>
          <w:rFonts w:ascii="Calibri" w:hAnsi="Calibri" w:cs="Calibri"/>
          <w:sz w:val="24"/>
          <w:szCs w:val="24"/>
        </w:rPr>
        <w:lastRenderedPageBreak/>
        <w:t>Wprawdzie w końcu 2020 r. liczba bezrobotnych wzrosła o ponad 180 tys. osób (tj. 20,8%) do</w:t>
      </w:r>
      <w:r w:rsidR="00B454A3">
        <w:rPr>
          <w:rFonts w:ascii="Calibri" w:hAnsi="Calibri" w:cs="Calibri"/>
          <w:sz w:val="24"/>
          <w:szCs w:val="24"/>
        </w:rPr>
        <w:t> </w:t>
      </w:r>
      <w:r w:rsidRPr="00A26E9C">
        <w:rPr>
          <w:rFonts w:ascii="Calibri" w:hAnsi="Calibri" w:cs="Calibri"/>
          <w:sz w:val="24"/>
          <w:szCs w:val="24"/>
        </w:rPr>
        <w:t>1 046,4 tys. osób, a stopa rejestrowanego bezrobocia wzrosła z 5,2% w końcu 2019 r. do</w:t>
      </w:r>
      <w:r w:rsidR="00B454A3">
        <w:rPr>
          <w:rFonts w:ascii="Calibri" w:hAnsi="Calibri" w:cs="Calibri"/>
          <w:sz w:val="24"/>
          <w:szCs w:val="24"/>
        </w:rPr>
        <w:t> </w:t>
      </w:r>
      <w:r w:rsidRPr="00A26E9C">
        <w:rPr>
          <w:rFonts w:ascii="Calibri" w:hAnsi="Calibri" w:cs="Calibri"/>
          <w:sz w:val="24"/>
          <w:szCs w:val="24"/>
        </w:rPr>
        <w:t xml:space="preserve">6,3%, ale w 2021 r. sytuacja wyraźnie zaczęła się poprawiać. </w:t>
      </w:r>
      <w:r w:rsidRPr="001B7BF3">
        <w:rPr>
          <w:rFonts w:ascii="Calibri" w:hAnsi="Calibri" w:cs="Calibri"/>
          <w:color w:val="000000"/>
          <w:sz w:val="24"/>
          <w:szCs w:val="24"/>
        </w:rPr>
        <w:t>W końcu 2021 r. w rejestrach powiatowych urzędów pracy zarejestrowanych było 895,2 tys. bezrobotnych, czyli</w:t>
      </w:r>
      <w:r w:rsidR="00B454A3">
        <w:rPr>
          <w:rFonts w:ascii="Calibri" w:hAnsi="Calibri" w:cs="Calibri"/>
          <w:color w:val="000000"/>
          <w:sz w:val="24"/>
          <w:szCs w:val="24"/>
        </w:rPr>
        <w:t> </w:t>
      </w:r>
      <w:r w:rsidRPr="001B7BF3">
        <w:rPr>
          <w:rFonts w:ascii="Calibri" w:hAnsi="Calibri" w:cs="Calibri"/>
          <w:color w:val="000000"/>
          <w:sz w:val="24"/>
          <w:szCs w:val="24"/>
        </w:rPr>
        <w:t>o</w:t>
      </w:r>
      <w:r w:rsidR="00B454A3">
        <w:rPr>
          <w:rFonts w:ascii="Calibri" w:hAnsi="Calibri" w:cs="Calibri"/>
          <w:color w:val="000000"/>
          <w:sz w:val="24"/>
          <w:szCs w:val="24"/>
        </w:rPr>
        <w:t> </w:t>
      </w:r>
      <w:r w:rsidRPr="001B7BF3">
        <w:rPr>
          <w:rFonts w:ascii="Calibri" w:hAnsi="Calibri" w:cs="Calibri"/>
          <w:color w:val="000000"/>
          <w:sz w:val="24"/>
          <w:szCs w:val="24"/>
        </w:rPr>
        <w:t>151,2 tys.</w:t>
      </w:r>
      <w:r w:rsidR="00B454A3">
        <w:rPr>
          <w:rFonts w:ascii="Calibri" w:hAnsi="Calibri" w:cs="Calibri"/>
          <w:color w:val="000000"/>
          <w:sz w:val="24"/>
          <w:szCs w:val="24"/>
        </w:rPr>
        <w:t> </w:t>
      </w:r>
      <w:r w:rsidRPr="001B7BF3">
        <w:rPr>
          <w:rFonts w:ascii="Calibri" w:hAnsi="Calibri" w:cs="Calibri"/>
          <w:color w:val="000000"/>
          <w:sz w:val="24"/>
          <w:szCs w:val="24"/>
        </w:rPr>
        <w:t>(tj. o 14,5%) mniej bezrobotnych niż w końcu 2020 r. i o 24,7 tys. (2,7%)</w:t>
      </w:r>
      <w:r w:rsidR="00B454A3">
        <w:rPr>
          <w:rFonts w:ascii="Calibri" w:hAnsi="Calibri" w:cs="Calibri"/>
          <w:color w:val="000000"/>
          <w:sz w:val="24"/>
          <w:szCs w:val="24"/>
        </w:rPr>
        <w:t> </w:t>
      </w:r>
      <w:r w:rsidRPr="001B7BF3">
        <w:rPr>
          <w:rFonts w:ascii="Calibri" w:hAnsi="Calibri" w:cs="Calibri"/>
          <w:color w:val="000000"/>
          <w:sz w:val="24"/>
          <w:szCs w:val="24"/>
        </w:rPr>
        <w:t>mniej niż w końcu lutego 2020 r., czyli przed wybuchem pandemii C</w:t>
      </w:r>
      <w:r w:rsidR="00932210">
        <w:rPr>
          <w:rFonts w:ascii="Calibri" w:hAnsi="Calibri" w:cs="Calibri"/>
          <w:color w:val="000000"/>
          <w:sz w:val="24"/>
          <w:szCs w:val="24"/>
        </w:rPr>
        <w:t>OVID</w:t>
      </w:r>
      <w:r w:rsidRPr="001B7BF3">
        <w:rPr>
          <w:rFonts w:ascii="Calibri" w:hAnsi="Calibri" w:cs="Calibri"/>
          <w:color w:val="000000"/>
          <w:sz w:val="24"/>
          <w:szCs w:val="24"/>
        </w:rPr>
        <w:t xml:space="preserve">-19. </w:t>
      </w:r>
      <w:r w:rsidRPr="001B7BF3">
        <w:rPr>
          <w:rFonts w:ascii="Calibri" w:hAnsi="Calibri" w:cs="Calibri"/>
          <w:bCs/>
          <w:sz w:val="24"/>
          <w:szCs w:val="24"/>
        </w:rPr>
        <w:t>Stopa bezrobocia rejestrowanego</w:t>
      </w:r>
      <w:r w:rsidRPr="001B7BF3">
        <w:rPr>
          <w:rFonts w:ascii="Calibri" w:hAnsi="Calibri" w:cs="Calibri"/>
          <w:sz w:val="24"/>
          <w:szCs w:val="24"/>
        </w:rPr>
        <w:t xml:space="preserve"> w końcu 2021 r. wyniosła 5,4%, co oznacza, że w zestawieniu z</w:t>
      </w:r>
      <w:r w:rsidR="00B454A3">
        <w:rPr>
          <w:rFonts w:ascii="Calibri" w:hAnsi="Calibri" w:cs="Calibri"/>
          <w:sz w:val="24"/>
          <w:szCs w:val="24"/>
        </w:rPr>
        <w:t> </w:t>
      </w:r>
      <w:r w:rsidRPr="001B7BF3">
        <w:rPr>
          <w:rFonts w:ascii="Calibri" w:hAnsi="Calibri" w:cs="Calibri"/>
          <w:sz w:val="24"/>
          <w:szCs w:val="24"/>
        </w:rPr>
        <w:t>końcem 2020 r. była niższa o 0,9 p</w:t>
      </w:r>
      <w:r w:rsidR="00C96C91">
        <w:rPr>
          <w:rFonts w:ascii="Calibri" w:hAnsi="Calibri" w:cs="Calibri"/>
          <w:sz w:val="24"/>
          <w:szCs w:val="24"/>
        </w:rPr>
        <w:t>.</w:t>
      </w:r>
      <w:r w:rsidRPr="001B7BF3">
        <w:rPr>
          <w:rFonts w:ascii="Calibri" w:hAnsi="Calibri" w:cs="Calibri"/>
          <w:sz w:val="24"/>
          <w:szCs w:val="24"/>
        </w:rPr>
        <w:t>p., natomiast w porównaniu do lutego 2020 r. spadła o 0,1 p</w:t>
      </w:r>
      <w:r w:rsidR="00C96C91">
        <w:rPr>
          <w:rFonts w:ascii="Calibri" w:hAnsi="Calibri" w:cs="Calibri"/>
          <w:sz w:val="24"/>
          <w:szCs w:val="24"/>
        </w:rPr>
        <w:t>.</w:t>
      </w:r>
      <w:r w:rsidRPr="001B7BF3">
        <w:rPr>
          <w:rFonts w:ascii="Calibri" w:hAnsi="Calibri" w:cs="Calibri"/>
          <w:sz w:val="24"/>
          <w:szCs w:val="24"/>
        </w:rPr>
        <w:t>p.</w:t>
      </w:r>
    </w:p>
    <w:p w14:paraId="2C288AAD" w14:textId="7029E666" w:rsidR="00626E78" w:rsidRPr="00A26E9C" w:rsidRDefault="00626E78" w:rsidP="00A26E9C">
      <w:pPr>
        <w:suppressAutoHyphens/>
        <w:autoSpaceDE w:val="0"/>
        <w:autoSpaceDN w:val="0"/>
        <w:adjustRightInd w:val="0"/>
        <w:spacing w:before="120" w:after="120"/>
        <w:jc w:val="both"/>
        <w:rPr>
          <w:rFonts w:ascii="Calibri" w:hAnsi="Calibri" w:cs="Calibri"/>
          <w:sz w:val="24"/>
          <w:szCs w:val="24"/>
        </w:rPr>
      </w:pPr>
      <w:r w:rsidRPr="00A26E9C">
        <w:rPr>
          <w:rFonts w:ascii="Calibri" w:hAnsi="Calibri" w:cs="Calibri"/>
          <w:sz w:val="24"/>
          <w:szCs w:val="24"/>
        </w:rPr>
        <w:t>Niekorzystne zmiany na rynku pracy w czasie pandemii dotknęły najbardziej osoby młode</w:t>
      </w:r>
      <w:r w:rsidR="006C734D">
        <w:rPr>
          <w:rFonts w:ascii="Calibri" w:hAnsi="Calibri" w:cs="Calibri"/>
          <w:sz w:val="24"/>
          <w:szCs w:val="24"/>
        </w:rPr>
        <w:t xml:space="preserve"> </w:t>
      </w:r>
      <w:r w:rsidR="0009646E">
        <w:rPr>
          <w:rFonts w:ascii="Calibri" w:hAnsi="Calibri" w:cs="Calibri"/>
          <w:sz w:val="24"/>
          <w:szCs w:val="24"/>
        </w:rPr>
        <w:t>świadcząc</w:t>
      </w:r>
      <w:r w:rsidR="006C734D">
        <w:rPr>
          <w:rFonts w:ascii="Calibri" w:hAnsi="Calibri" w:cs="Calibri"/>
          <w:sz w:val="24"/>
          <w:szCs w:val="24"/>
        </w:rPr>
        <w:t>e</w:t>
      </w:r>
      <w:r w:rsidR="0009646E">
        <w:rPr>
          <w:rFonts w:ascii="Calibri" w:hAnsi="Calibri" w:cs="Calibri"/>
          <w:sz w:val="24"/>
          <w:szCs w:val="24"/>
        </w:rPr>
        <w:t xml:space="preserve"> pracę</w:t>
      </w:r>
      <w:r w:rsidRPr="00A26E9C">
        <w:rPr>
          <w:rFonts w:ascii="Calibri" w:hAnsi="Calibri" w:cs="Calibri"/>
          <w:sz w:val="24"/>
          <w:szCs w:val="24"/>
        </w:rPr>
        <w:t xml:space="preserve"> na niestabilnych </w:t>
      </w:r>
      <w:r w:rsidR="0009646E">
        <w:rPr>
          <w:rFonts w:ascii="Calibri" w:hAnsi="Calibri" w:cs="Calibri"/>
          <w:sz w:val="24"/>
          <w:szCs w:val="24"/>
        </w:rPr>
        <w:t>formach zatrudnienia</w:t>
      </w:r>
      <w:r w:rsidRPr="00A26E9C">
        <w:rPr>
          <w:rFonts w:ascii="Calibri" w:hAnsi="Calibri" w:cs="Calibri"/>
          <w:sz w:val="24"/>
          <w:szCs w:val="24"/>
        </w:rPr>
        <w:t xml:space="preserve"> oraz w sektorach najbardziej dotkniętych wprowadzonymi ograniczeniami w funkcjonowaniu, ale również starsi odc</w:t>
      </w:r>
      <w:r w:rsidR="006224CF">
        <w:rPr>
          <w:rFonts w:ascii="Calibri" w:hAnsi="Calibri" w:cs="Calibri"/>
          <w:sz w:val="24"/>
          <w:szCs w:val="24"/>
        </w:rPr>
        <w:t>zuli tego skutki. Należy przy tym</w:t>
      </w:r>
      <w:r w:rsidRPr="00A26E9C">
        <w:rPr>
          <w:rFonts w:ascii="Calibri" w:hAnsi="Calibri" w:cs="Calibri"/>
          <w:sz w:val="24"/>
          <w:szCs w:val="24"/>
        </w:rPr>
        <w:t xml:space="preserve"> zauważyć, że wraz ze starzeniem się społeczeństwa można powiedzieć, że starzeją się również zarejestrowani w urzędach pracy bezrobotni, tzn. rośnie udział osób w starszych grupach wiekowych wśród zarejestrowanych bezrobotnych, choć</w:t>
      </w:r>
      <w:r w:rsidR="00B454A3">
        <w:rPr>
          <w:rFonts w:ascii="Calibri" w:hAnsi="Calibri" w:cs="Calibri"/>
          <w:sz w:val="24"/>
          <w:szCs w:val="24"/>
        </w:rPr>
        <w:t> </w:t>
      </w:r>
      <w:r w:rsidRPr="00A26E9C">
        <w:rPr>
          <w:rFonts w:ascii="Calibri" w:hAnsi="Calibri" w:cs="Calibri"/>
          <w:sz w:val="24"/>
          <w:szCs w:val="24"/>
        </w:rPr>
        <w:t>w</w:t>
      </w:r>
      <w:r w:rsidR="00B454A3">
        <w:rPr>
          <w:rFonts w:ascii="Calibri" w:hAnsi="Calibri" w:cs="Calibri"/>
          <w:sz w:val="24"/>
          <w:szCs w:val="24"/>
        </w:rPr>
        <w:t> </w:t>
      </w:r>
      <w:r w:rsidRPr="00A26E9C">
        <w:rPr>
          <w:rFonts w:ascii="Calibri" w:hAnsi="Calibri" w:cs="Calibri"/>
          <w:sz w:val="24"/>
          <w:szCs w:val="24"/>
        </w:rPr>
        <w:t>tym zakresie istotne były również zmiany wieku emerytalnego.</w:t>
      </w:r>
    </w:p>
    <w:p w14:paraId="2A5CEC96" w14:textId="282F45F4" w:rsidR="00626E78" w:rsidRPr="00A26E9C" w:rsidRDefault="00626E78" w:rsidP="00A26E9C">
      <w:pPr>
        <w:spacing w:before="120" w:after="120"/>
        <w:jc w:val="both"/>
        <w:rPr>
          <w:rFonts w:ascii="Calibri" w:hAnsi="Calibri" w:cs="Calibri"/>
          <w:sz w:val="24"/>
          <w:szCs w:val="24"/>
        </w:rPr>
      </w:pPr>
      <w:r w:rsidRPr="001B7BF3">
        <w:rPr>
          <w:rFonts w:ascii="Calibri" w:hAnsi="Calibri" w:cs="Calibri"/>
          <w:sz w:val="24"/>
          <w:szCs w:val="24"/>
        </w:rPr>
        <w:t>Generalnie na przestrzeni lat odsetek osób w wieku 60 lat i więcej systematycznie rośnie –</w:t>
      </w:r>
      <w:r w:rsidR="00B454A3">
        <w:rPr>
          <w:rFonts w:ascii="Calibri" w:hAnsi="Calibri" w:cs="Calibri"/>
          <w:sz w:val="24"/>
          <w:szCs w:val="24"/>
        </w:rPr>
        <w:t> </w:t>
      </w:r>
      <w:r w:rsidRPr="00A26E9C">
        <w:rPr>
          <w:rFonts w:ascii="Calibri" w:hAnsi="Calibri" w:cs="Calibri"/>
          <w:sz w:val="24"/>
          <w:szCs w:val="24"/>
        </w:rPr>
        <w:t>w</w:t>
      </w:r>
      <w:r w:rsidR="00B454A3">
        <w:rPr>
          <w:rFonts w:ascii="Calibri" w:hAnsi="Calibri" w:cs="Calibri"/>
          <w:sz w:val="24"/>
          <w:szCs w:val="24"/>
        </w:rPr>
        <w:t> </w:t>
      </w:r>
      <w:r w:rsidRPr="00A26E9C">
        <w:rPr>
          <w:rFonts w:ascii="Calibri" w:hAnsi="Calibri" w:cs="Calibri"/>
          <w:sz w:val="24"/>
          <w:szCs w:val="24"/>
        </w:rPr>
        <w:t xml:space="preserve">końcu 2000 r. stanowili oni zaledwie 0,3% bezrobotnych, w końcu 2010 r. 1,9%, a w końcu 2016 r. 7,0%. Po obniżeniu wieku emerytalnego w 2017 r. udział ten spadł do 6,1%. W końcu 2020 r. w urzędach pracy zarejestrowanych było 67,6 </w:t>
      </w:r>
      <w:r w:rsidR="00A266F5">
        <w:rPr>
          <w:rFonts w:ascii="Calibri" w:hAnsi="Calibri" w:cs="Calibri"/>
          <w:sz w:val="24"/>
          <w:szCs w:val="24"/>
        </w:rPr>
        <w:t xml:space="preserve">tys. </w:t>
      </w:r>
      <w:r w:rsidRPr="00A26E9C">
        <w:rPr>
          <w:rFonts w:ascii="Calibri" w:hAnsi="Calibri" w:cs="Calibri"/>
          <w:sz w:val="24"/>
          <w:szCs w:val="24"/>
        </w:rPr>
        <w:t>osób w omawianej grupie wiekowej (6,5% ogółu zarejestrowanych), a w końcu 2021 r. ich liczba spadła o 8,5% do 61,8 tys. (6,9%</w:t>
      </w:r>
      <w:r w:rsidR="00B454A3">
        <w:t> </w:t>
      </w:r>
      <w:r w:rsidRPr="00A26E9C">
        <w:rPr>
          <w:rFonts w:ascii="Calibri" w:hAnsi="Calibri" w:cs="Calibri"/>
          <w:sz w:val="24"/>
          <w:szCs w:val="24"/>
        </w:rPr>
        <w:t xml:space="preserve">zarejestrowanych bezrobotnych). </w:t>
      </w:r>
    </w:p>
    <w:p w14:paraId="49ECF2E2" w14:textId="605296F1" w:rsidR="00626E78" w:rsidRPr="001B7BF3" w:rsidRDefault="00626E78" w:rsidP="00A26E9C">
      <w:pPr>
        <w:spacing w:before="120" w:after="120"/>
        <w:jc w:val="both"/>
        <w:rPr>
          <w:rFonts w:ascii="Calibri" w:eastAsia="Calibri" w:hAnsi="Calibri" w:cs="Calibri"/>
          <w:sz w:val="24"/>
          <w:szCs w:val="24"/>
        </w:rPr>
      </w:pPr>
      <w:r w:rsidRPr="00A26E9C">
        <w:rPr>
          <w:rFonts w:ascii="Calibri" w:hAnsi="Calibri" w:cs="Calibri"/>
          <w:sz w:val="24"/>
          <w:szCs w:val="24"/>
          <w:lang w:eastAsia="pl-PL" w:bidi="en-US"/>
        </w:rPr>
        <w:t>W końcu 2019 r. liczba bezrobotnych powyżej 50 r</w:t>
      </w:r>
      <w:r w:rsidR="00E81E74">
        <w:rPr>
          <w:rFonts w:ascii="Calibri" w:hAnsi="Calibri" w:cs="Calibri"/>
          <w:sz w:val="24"/>
          <w:szCs w:val="24"/>
          <w:lang w:eastAsia="pl-PL" w:bidi="en-US"/>
        </w:rPr>
        <w:t>.</w:t>
      </w:r>
      <w:r w:rsidRPr="00A26E9C">
        <w:rPr>
          <w:rFonts w:ascii="Calibri" w:hAnsi="Calibri" w:cs="Calibri"/>
          <w:sz w:val="24"/>
          <w:szCs w:val="24"/>
          <w:lang w:eastAsia="pl-PL" w:bidi="en-US"/>
        </w:rPr>
        <w:t>ż</w:t>
      </w:r>
      <w:r w:rsidR="00E81E74">
        <w:rPr>
          <w:rFonts w:ascii="Calibri" w:hAnsi="Calibri" w:cs="Calibri"/>
          <w:sz w:val="24"/>
          <w:szCs w:val="24"/>
          <w:lang w:eastAsia="pl-PL" w:bidi="en-US"/>
        </w:rPr>
        <w:t>.</w:t>
      </w:r>
      <w:r w:rsidRPr="00A26E9C">
        <w:rPr>
          <w:rFonts w:ascii="Calibri" w:hAnsi="Calibri" w:cs="Calibri"/>
          <w:sz w:val="24"/>
          <w:szCs w:val="24"/>
          <w:lang w:eastAsia="pl-PL" w:bidi="en-US"/>
        </w:rPr>
        <w:t xml:space="preserve"> wynosiła 235,7 tys. osób, czyli była o 27,0 tys. osób (tj. o 10,3%) niższa od stanu w końcu 2018</w:t>
      </w:r>
      <w:r w:rsidR="00E81E74">
        <w:rPr>
          <w:rFonts w:ascii="Calibri" w:hAnsi="Calibri" w:cs="Calibri"/>
          <w:sz w:val="24"/>
          <w:szCs w:val="24"/>
          <w:lang w:eastAsia="pl-PL" w:bidi="en-US"/>
        </w:rPr>
        <w:t xml:space="preserve"> r</w:t>
      </w:r>
      <w:r w:rsidRPr="00A26E9C">
        <w:rPr>
          <w:rFonts w:ascii="Calibri" w:hAnsi="Calibri" w:cs="Calibri"/>
          <w:sz w:val="24"/>
          <w:szCs w:val="24"/>
          <w:lang w:eastAsia="pl-PL" w:bidi="en-US"/>
        </w:rPr>
        <w:t xml:space="preserve">. Osoby w wieku powyżej 50 lat stanowiły 27,2% </w:t>
      </w:r>
      <w:r w:rsidRPr="00A26E9C">
        <w:rPr>
          <w:rFonts w:ascii="Calibri" w:eastAsia="Times New Roman" w:hAnsi="Calibri" w:cs="Calibri"/>
          <w:sz w:val="24"/>
          <w:szCs w:val="24"/>
          <w:lang w:eastAsia="pl-PL"/>
        </w:rPr>
        <w:t xml:space="preserve">całkowitej liczby zarejestrowanych bezrobotnych. </w:t>
      </w:r>
      <w:r w:rsidRPr="001B7BF3">
        <w:rPr>
          <w:rFonts w:ascii="Calibri" w:eastAsia="Times New Roman" w:hAnsi="Calibri" w:cs="Calibri"/>
          <w:sz w:val="24"/>
          <w:szCs w:val="24"/>
          <w:lang w:eastAsia="pl-PL"/>
        </w:rPr>
        <w:t xml:space="preserve">W 2020 r. w wyniku wybuchu pandemii COVID-19 doszło do zakłócenia wcześniej występujących pozytywnych tendencji rynku pracy, a </w:t>
      </w:r>
      <w:r w:rsidRPr="001B7BF3">
        <w:rPr>
          <w:rFonts w:ascii="Calibri" w:hAnsi="Calibri" w:cs="Calibri"/>
          <w:sz w:val="24"/>
          <w:szCs w:val="24"/>
          <w:lang w:eastAsia="pl-PL"/>
        </w:rPr>
        <w:t>poziom bezrobocia rejestrowanego zaczął wzrastać</w:t>
      </w:r>
      <w:r w:rsidRPr="00A26E9C">
        <w:rPr>
          <w:rFonts w:ascii="Calibri" w:hAnsi="Calibri" w:cs="Calibri"/>
          <w:b/>
          <w:sz w:val="24"/>
          <w:szCs w:val="24"/>
          <w:lang w:eastAsia="pl-PL"/>
        </w:rPr>
        <w:t>.</w:t>
      </w:r>
      <w:r w:rsidRPr="00A26E9C">
        <w:rPr>
          <w:rFonts w:ascii="Calibri" w:hAnsi="Calibri" w:cs="Calibri"/>
          <w:sz w:val="24"/>
          <w:szCs w:val="24"/>
        </w:rPr>
        <w:t xml:space="preserve"> Zwiększyła się</w:t>
      </w:r>
      <w:r w:rsidR="00B454A3">
        <w:rPr>
          <w:rFonts w:ascii="Calibri" w:hAnsi="Calibri" w:cs="Calibri"/>
          <w:sz w:val="24"/>
          <w:szCs w:val="24"/>
        </w:rPr>
        <w:t> </w:t>
      </w:r>
      <w:r w:rsidRPr="00A26E9C">
        <w:rPr>
          <w:rFonts w:ascii="Calibri" w:hAnsi="Calibri" w:cs="Calibri"/>
          <w:sz w:val="24"/>
          <w:szCs w:val="24"/>
        </w:rPr>
        <w:t>również liczba bezrobotnych powyżej 50 r</w:t>
      </w:r>
      <w:r w:rsidR="00E81E74">
        <w:rPr>
          <w:rFonts w:ascii="Calibri" w:hAnsi="Calibri" w:cs="Calibri"/>
          <w:sz w:val="24"/>
          <w:szCs w:val="24"/>
        </w:rPr>
        <w:t>.</w:t>
      </w:r>
      <w:r w:rsidRPr="00A26E9C">
        <w:rPr>
          <w:rFonts w:ascii="Calibri" w:hAnsi="Calibri" w:cs="Calibri"/>
          <w:sz w:val="24"/>
          <w:szCs w:val="24"/>
        </w:rPr>
        <w:t>ż</w:t>
      </w:r>
      <w:r w:rsidR="00E81E74">
        <w:rPr>
          <w:rFonts w:ascii="Calibri" w:hAnsi="Calibri" w:cs="Calibri"/>
          <w:sz w:val="24"/>
          <w:szCs w:val="24"/>
        </w:rPr>
        <w:t>.</w:t>
      </w:r>
      <w:r w:rsidRPr="00A26E9C">
        <w:rPr>
          <w:rFonts w:ascii="Calibri" w:hAnsi="Calibri" w:cs="Calibri"/>
          <w:sz w:val="24"/>
          <w:szCs w:val="24"/>
        </w:rPr>
        <w:t xml:space="preserve">, choć dynamika wzrostu liczby bezrobotnych w tej grupie była słabsza niż wynosił ogólny wzrost bezrobocia. </w:t>
      </w:r>
      <w:r w:rsidRPr="00A26E9C">
        <w:rPr>
          <w:rFonts w:ascii="Calibri" w:eastAsia="Times New Roman" w:hAnsi="Calibri" w:cs="Calibri"/>
          <w:sz w:val="24"/>
          <w:szCs w:val="24"/>
          <w:lang w:eastAsia="pl-PL"/>
        </w:rPr>
        <w:t>W urzędach pracy w końcu 2020 r. zarejestrowanych było 268,8 tys. bezrobotnych powyżej 50 r</w:t>
      </w:r>
      <w:r w:rsidR="00E81E74">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E81E74">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tj. o 33,1 tys. osób (14,0%) więcej niż w końcu 2019 r. Dzięki słabszej dynamice wzrostu zmniejszył się odsetek bezrobotnych powyżej 50 r</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00635424">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do 25,7% ogółu zarejestrowanych. Natomiast</w:t>
      </w:r>
      <w:r w:rsidRPr="00A26E9C">
        <w:rPr>
          <w:rFonts w:ascii="Calibri" w:eastAsia="Times New Roman" w:hAnsi="Calibri" w:cs="Calibri"/>
          <w:b/>
          <w:sz w:val="24"/>
          <w:szCs w:val="24"/>
          <w:lang w:eastAsia="pl-PL"/>
        </w:rPr>
        <w:t xml:space="preserve"> </w:t>
      </w:r>
      <w:r w:rsidRPr="00A26E9C">
        <w:rPr>
          <w:rFonts w:ascii="Calibri" w:eastAsia="Times New Roman" w:hAnsi="Calibri" w:cs="Calibri"/>
          <w:sz w:val="24"/>
          <w:szCs w:val="24"/>
          <w:lang w:eastAsia="pl-PL"/>
        </w:rPr>
        <w:t xml:space="preserve">w </w:t>
      </w:r>
      <w:r w:rsidRPr="00A26E9C">
        <w:rPr>
          <w:rFonts w:ascii="Calibri" w:eastAsia="Calibri" w:hAnsi="Calibri" w:cs="Calibri"/>
          <w:sz w:val="24"/>
          <w:szCs w:val="24"/>
        </w:rPr>
        <w:t>ubiegłym roku, mimo nadal trwającej pandemii</w:t>
      </w:r>
      <w:r w:rsidR="00233CD8">
        <w:rPr>
          <w:rFonts w:ascii="Calibri" w:eastAsia="Calibri" w:hAnsi="Calibri" w:cs="Calibri"/>
          <w:sz w:val="24"/>
          <w:szCs w:val="24"/>
        </w:rPr>
        <w:t>,</w:t>
      </w:r>
      <w:r w:rsidRPr="00A26E9C">
        <w:rPr>
          <w:rFonts w:ascii="Calibri" w:eastAsia="Calibri" w:hAnsi="Calibri" w:cs="Calibri"/>
          <w:sz w:val="24"/>
          <w:szCs w:val="24"/>
        </w:rPr>
        <w:t xml:space="preserve"> nastąpiła wyraźna poprawa sytuacji na rynku pracy i spadek rejestrowanego bezrobocia.</w:t>
      </w:r>
      <w:r w:rsidRPr="00A26E9C">
        <w:rPr>
          <w:rFonts w:ascii="Calibri" w:eastAsia="Calibri" w:hAnsi="Calibri" w:cs="Calibri"/>
          <w:b/>
          <w:sz w:val="24"/>
          <w:szCs w:val="24"/>
        </w:rPr>
        <w:t xml:space="preserve"> </w:t>
      </w:r>
      <w:r w:rsidRPr="001B7BF3">
        <w:rPr>
          <w:rFonts w:ascii="Calibri" w:eastAsia="Times New Roman" w:hAnsi="Calibri" w:cs="Calibri"/>
          <w:sz w:val="24"/>
          <w:szCs w:val="24"/>
          <w:lang w:eastAsia="pl-PL"/>
        </w:rPr>
        <w:t>W końcu 2021 r. liczba bezrobotnych powyżej 50 r</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 xml:space="preserve"> wyniosła 240,8 tys. osób i był to wynik o 27,9 tys. osób (10,4%) niższy niż w </w:t>
      </w:r>
      <w:r w:rsidRPr="001B7BF3">
        <w:rPr>
          <w:rFonts w:ascii="Calibri" w:eastAsia="Times New Roman" w:hAnsi="Calibri" w:cs="Calibri"/>
          <w:sz w:val="24"/>
          <w:szCs w:val="24"/>
          <w:lang w:eastAsia="pl-PL"/>
        </w:rPr>
        <w:lastRenderedPageBreak/>
        <w:t>końcu 2020 r., jednakże dynamika spadku w tej grupie była słabsza niż bezrobocia ogółem, a zatem odsetek bezrobotnych powyżej 50 r</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1B7BF3">
        <w:rPr>
          <w:rFonts w:ascii="Calibri" w:eastAsia="Times New Roman" w:hAnsi="Calibri" w:cs="Calibri"/>
          <w:sz w:val="24"/>
          <w:szCs w:val="24"/>
          <w:lang w:eastAsia="pl-PL"/>
        </w:rPr>
        <w:t xml:space="preserve"> wzrósł do 26,9% ogółu zarejestrowanych bezrobotnych.</w:t>
      </w:r>
    </w:p>
    <w:p w14:paraId="222EB161" w14:textId="6EC56198" w:rsidR="00626E78" w:rsidRPr="001B7BF3" w:rsidRDefault="00626E78" w:rsidP="00A26E9C">
      <w:pPr>
        <w:spacing w:before="120" w:after="120"/>
        <w:jc w:val="both"/>
        <w:rPr>
          <w:rFonts w:ascii="Calibri" w:eastAsia="Times New Roman" w:hAnsi="Calibri" w:cs="Calibri"/>
          <w:sz w:val="24"/>
          <w:szCs w:val="24"/>
          <w:lang w:eastAsia="pl-PL"/>
        </w:rPr>
      </w:pPr>
      <w:r w:rsidRPr="001B7BF3">
        <w:rPr>
          <w:rFonts w:ascii="Calibri" w:hAnsi="Calibri" w:cs="Calibri"/>
          <w:sz w:val="24"/>
          <w:szCs w:val="24"/>
        </w:rPr>
        <w:t>Porównując poziom bezrobocia rejestrowanego w końcu 2021 r. do stanu sprzed wybuchu</w:t>
      </w:r>
      <w:r w:rsidR="00B454A3">
        <w:rPr>
          <w:rFonts w:ascii="Calibri" w:hAnsi="Calibri" w:cs="Calibri"/>
          <w:sz w:val="24"/>
          <w:szCs w:val="24"/>
        </w:rPr>
        <w:t xml:space="preserve"> </w:t>
      </w:r>
      <w:r w:rsidRPr="001B7BF3">
        <w:rPr>
          <w:rFonts w:ascii="Calibri" w:hAnsi="Calibri" w:cs="Calibri"/>
          <w:sz w:val="24"/>
          <w:szCs w:val="24"/>
        </w:rPr>
        <w:t>w</w:t>
      </w:r>
      <w:r w:rsidR="00B454A3">
        <w:rPr>
          <w:rFonts w:ascii="Calibri" w:hAnsi="Calibri" w:cs="Calibri"/>
          <w:sz w:val="24"/>
          <w:szCs w:val="24"/>
        </w:rPr>
        <w:t> </w:t>
      </w:r>
      <w:r w:rsidRPr="001B7BF3">
        <w:rPr>
          <w:rFonts w:ascii="Calibri" w:hAnsi="Calibri" w:cs="Calibri"/>
          <w:sz w:val="24"/>
          <w:szCs w:val="24"/>
        </w:rPr>
        <w:t>Polsce epidemii COVID-19 (luty 2020) liczba bezrobotnych powyżej 50 roku życia spadła o</w:t>
      </w:r>
      <w:r w:rsidR="000C2BE5">
        <w:rPr>
          <w:rFonts w:ascii="Calibri" w:hAnsi="Calibri" w:cs="Calibri"/>
          <w:sz w:val="24"/>
          <w:szCs w:val="24"/>
        </w:rPr>
        <w:t> </w:t>
      </w:r>
      <w:r w:rsidRPr="001B7BF3">
        <w:rPr>
          <w:rFonts w:ascii="Calibri" w:hAnsi="Calibri" w:cs="Calibri"/>
          <w:sz w:val="24"/>
          <w:szCs w:val="24"/>
        </w:rPr>
        <w:t>3,7 tys. osób (o 1,5%), przy ogólnym spadku bezrobocia o 2,7%. Tym samym można zaryzykować stwierdzenie, że osoby starsze silniej odczuły skutki pandemii,</w:t>
      </w:r>
      <w:r w:rsidRPr="00A26E9C">
        <w:rPr>
          <w:rFonts w:ascii="Calibri" w:eastAsia="Times New Roman" w:hAnsi="Calibri" w:cs="Calibri"/>
          <w:sz w:val="24"/>
          <w:szCs w:val="24"/>
          <w:lang w:eastAsia="pl-PL"/>
        </w:rPr>
        <w:t xml:space="preserve"> zwłaszcza że</w:t>
      </w:r>
      <w:r w:rsidR="000C2BE5">
        <w:rPr>
          <w:rFonts w:ascii="Calibri" w:eastAsia="Times New Roman" w:hAnsi="Calibri" w:cs="Calibri"/>
          <w:sz w:val="24"/>
          <w:szCs w:val="24"/>
          <w:lang w:eastAsia="pl-PL"/>
        </w:rPr>
        <w:t> </w:t>
      </w:r>
      <w:r w:rsidRPr="00A26E9C">
        <w:rPr>
          <w:rFonts w:ascii="Calibri" w:eastAsia="Times New Roman" w:hAnsi="Calibri" w:cs="Calibri"/>
          <w:sz w:val="24"/>
          <w:szCs w:val="24"/>
          <w:lang w:eastAsia="pl-PL"/>
        </w:rPr>
        <w:t>cechują się niższą mobilnością zarówno zawodową, jak i geograficzną, a zatem trudniej jest</w:t>
      </w:r>
      <w:r w:rsidR="000C2BE5">
        <w:rPr>
          <w:rFonts w:ascii="Calibri" w:eastAsia="Times New Roman" w:hAnsi="Calibri" w:cs="Calibri"/>
          <w:sz w:val="24"/>
          <w:szCs w:val="24"/>
          <w:lang w:eastAsia="pl-PL"/>
        </w:rPr>
        <w:t> </w:t>
      </w:r>
      <w:r w:rsidRPr="00A26E9C">
        <w:rPr>
          <w:rFonts w:ascii="Calibri" w:eastAsia="Times New Roman" w:hAnsi="Calibri" w:cs="Calibri"/>
          <w:sz w:val="24"/>
          <w:szCs w:val="24"/>
          <w:lang w:eastAsia="pl-PL"/>
        </w:rPr>
        <w:t>im wrócić na rynek pracy po utracie zatrudnienia. Przyczynia się do tego również niższy poziom wykształcenia</w:t>
      </w:r>
      <w:r w:rsidR="00635424">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jakim legitymują się starsi bezrobotni – w końcu 2021 r. wyksztalcenie wyższe posiadało 6,3% bezrobotnych powyżej 50 r</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i 17,2% pozostałych bezrobotnych, zaś</w:t>
      </w:r>
      <w:r w:rsidR="000C2BE5">
        <w:rPr>
          <w:rFonts w:ascii="Calibri" w:eastAsia="Times New Roman" w:hAnsi="Calibri" w:cs="Calibri"/>
          <w:sz w:val="24"/>
          <w:szCs w:val="24"/>
          <w:lang w:eastAsia="pl-PL"/>
        </w:rPr>
        <w:t> </w:t>
      </w:r>
      <w:r w:rsidRPr="00A26E9C">
        <w:rPr>
          <w:rFonts w:ascii="Calibri" w:eastAsia="Times New Roman" w:hAnsi="Calibri" w:cs="Calibri"/>
          <w:sz w:val="24"/>
          <w:szCs w:val="24"/>
          <w:lang w:eastAsia="pl-PL"/>
        </w:rPr>
        <w:t>gimnazjalne/podstawowe i poniżej oraz zasadnicze zawodowe 71,1% bezrobotnych 50+</w:t>
      </w:r>
      <w:r w:rsidR="000C2BE5">
        <w:rPr>
          <w:rFonts w:ascii="Calibri" w:eastAsia="Times New Roman" w:hAnsi="Calibri" w:cs="Calibri"/>
          <w:sz w:val="24"/>
          <w:szCs w:val="24"/>
          <w:lang w:eastAsia="pl-PL"/>
        </w:rPr>
        <w:t> </w:t>
      </w:r>
      <w:r w:rsidRPr="00A26E9C">
        <w:rPr>
          <w:rFonts w:ascii="Calibri" w:eastAsia="Times New Roman" w:hAnsi="Calibri" w:cs="Calibri"/>
          <w:sz w:val="24"/>
          <w:szCs w:val="24"/>
          <w:lang w:eastAsia="pl-PL"/>
        </w:rPr>
        <w:t>i</w:t>
      </w:r>
      <w:r w:rsidR="000C2BE5">
        <w:t> </w:t>
      </w:r>
      <w:r w:rsidRPr="00A26E9C">
        <w:rPr>
          <w:rFonts w:ascii="Calibri" w:eastAsia="Times New Roman" w:hAnsi="Calibri" w:cs="Calibri"/>
          <w:sz w:val="24"/>
          <w:szCs w:val="24"/>
          <w:lang w:eastAsia="pl-PL"/>
        </w:rPr>
        <w:t>44,7% pozostałych. Może mieć to bezpośredni wpływ na dłuższy czas pozostawania w</w:t>
      </w:r>
      <w:r w:rsidR="000E0BD2">
        <w:rPr>
          <w:rFonts w:ascii="Calibri" w:eastAsia="Times New Roman" w:hAnsi="Calibri" w:cs="Calibri"/>
          <w:sz w:val="24"/>
          <w:szCs w:val="24"/>
          <w:lang w:eastAsia="pl-PL"/>
        </w:rPr>
        <w:t> </w:t>
      </w:r>
      <w:r w:rsidRPr="00A26E9C">
        <w:rPr>
          <w:rFonts w:ascii="Calibri" w:eastAsia="Times New Roman" w:hAnsi="Calibri" w:cs="Calibri"/>
          <w:sz w:val="24"/>
          <w:szCs w:val="24"/>
          <w:lang w:eastAsia="pl-PL"/>
        </w:rPr>
        <w:t>rejestrach urzędów pracy przez starszych bezrobotnych, bowiem w końcu 2021 r. niemal 57% bezrobotnych powyżej 50 r</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ż</w:t>
      </w:r>
      <w:r w:rsidR="002B18A7">
        <w:rPr>
          <w:rFonts w:ascii="Calibri" w:eastAsia="Times New Roman" w:hAnsi="Calibri" w:cs="Calibri"/>
          <w:sz w:val="24"/>
          <w:szCs w:val="24"/>
          <w:lang w:eastAsia="pl-PL"/>
        </w:rPr>
        <w:t>.</w:t>
      </w:r>
      <w:r w:rsidRPr="00A26E9C">
        <w:rPr>
          <w:rFonts w:ascii="Calibri" w:eastAsia="Times New Roman" w:hAnsi="Calibri" w:cs="Calibri"/>
          <w:sz w:val="24"/>
          <w:szCs w:val="24"/>
          <w:lang w:eastAsia="pl-PL"/>
        </w:rPr>
        <w:t xml:space="preserve"> pozostawało w rejestrach pow</w:t>
      </w:r>
      <w:r w:rsidR="005C6FF5">
        <w:rPr>
          <w:rFonts w:ascii="Calibri" w:eastAsia="Times New Roman" w:hAnsi="Calibri" w:cs="Calibri"/>
          <w:sz w:val="24"/>
          <w:szCs w:val="24"/>
          <w:lang w:eastAsia="pl-PL"/>
        </w:rPr>
        <w:t>yżej</w:t>
      </w:r>
      <w:r w:rsidRPr="00A26E9C">
        <w:rPr>
          <w:rFonts w:ascii="Calibri" w:eastAsia="Times New Roman" w:hAnsi="Calibri" w:cs="Calibri"/>
          <w:sz w:val="24"/>
          <w:szCs w:val="24"/>
          <w:lang w:eastAsia="pl-PL"/>
        </w:rPr>
        <w:t xml:space="preserve"> 12 miesięcy, podczas gdy wśród pozostałych bezrobotnych było to 44,4%</w:t>
      </w:r>
      <w:r w:rsidRPr="00A26E9C">
        <w:rPr>
          <w:rFonts w:cstheme="minorHAnsi"/>
          <w:sz w:val="24"/>
          <w:szCs w:val="24"/>
        </w:rPr>
        <w:t>. Z drugiej strony osoby bezrobotne powyżej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charakteryzują się dłuższym stażem pracy, dzięki czemu częściej posiadają prawo do zasiłku dla bezrobotnych niż osoby młodsze. </w:t>
      </w:r>
      <w:r w:rsidRPr="001B7BF3">
        <w:rPr>
          <w:rFonts w:cstheme="minorHAnsi"/>
          <w:sz w:val="24"/>
          <w:szCs w:val="24"/>
        </w:rPr>
        <w:t>W końcu 2021 r. prawo do zasiłku posiadało 15,6% bezrobotnych powyżej 50 r.ż. i 12,5% pozostałych bezrobotnych.</w:t>
      </w:r>
    </w:p>
    <w:p w14:paraId="74579194" w14:textId="05993525" w:rsidR="00626E78" w:rsidRPr="00A26E9C" w:rsidRDefault="00626E78" w:rsidP="00A26E9C">
      <w:pPr>
        <w:spacing w:before="120" w:after="120"/>
        <w:jc w:val="both"/>
        <w:rPr>
          <w:rFonts w:cstheme="minorHAnsi"/>
          <w:sz w:val="24"/>
          <w:szCs w:val="24"/>
        </w:rPr>
      </w:pPr>
      <w:r w:rsidRPr="00A26E9C">
        <w:rPr>
          <w:rFonts w:cstheme="minorHAnsi"/>
          <w:sz w:val="24"/>
          <w:szCs w:val="24"/>
        </w:rPr>
        <w:t>Starzenie się społeczeństwa w Polsce obserwowane jest z różnym natężeniem w</w:t>
      </w:r>
      <w:r w:rsidR="000E0BD2">
        <w:rPr>
          <w:rFonts w:cstheme="minorHAnsi"/>
          <w:sz w:val="24"/>
          <w:szCs w:val="24"/>
        </w:rPr>
        <w:t> </w:t>
      </w:r>
      <w:r w:rsidRPr="00A26E9C">
        <w:rPr>
          <w:rFonts w:cstheme="minorHAnsi"/>
          <w:sz w:val="24"/>
          <w:szCs w:val="24"/>
        </w:rPr>
        <w:t>poszczególnych województwach, a tym samym występują różnice w strukturze zarejestrowanych bezrobotnych. W końcu 2021 r. najwyższym odsetkiem osób bezrobotnych w wieku 50 lat i więcej charakteryzowały się województwa opolskie (30,6%) i łódzkie (29,7%), natomiast najniższym – lubelskie (23,2%) i podkarpackie (24,1%).</w:t>
      </w:r>
    </w:p>
    <w:p w14:paraId="5E78D592" w14:textId="30F7DBF3" w:rsidR="00626E78" w:rsidRPr="00A26E9C" w:rsidRDefault="00626E78" w:rsidP="00A26E9C">
      <w:pPr>
        <w:spacing w:before="120" w:after="120"/>
        <w:jc w:val="both"/>
        <w:rPr>
          <w:rFonts w:eastAsia="Times New Roman" w:cstheme="minorHAnsi"/>
          <w:sz w:val="24"/>
          <w:szCs w:val="24"/>
          <w:lang w:eastAsia="pl-PL"/>
        </w:rPr>
      </w:pPr>
      <w:r w:rsidRPr="00A26E9C">
        <w:rPr>
          <w:rFonts w:cstheme="minorHAnsi"/>
          <w:sz w:val="24"/>
          <w:szCs w:val="24"/>
        </w:rPr>
        <w:t>W świetle zmian zachodzących na rynku pracy i starzenia się społeczeństwa zasadne jest</w:t>
      </w:r>
      <w:r w:rsidR="000E0BD2">
        <w:rPr>
          <w:rFonts w:cstheme="minorHAnsi"/>
          <w:sz w:val="24"/>
          <w:szCs w:val="24"/>
        </w:rPr>
        <w:t> </w:t>
      </w:r>
      <w:r w:rsidRPr="00A26E9C">
        <w:rPr>
          <w:rFonts w:cstheme="minorHAnsi"/>
          <w:sz w:val="24"/>
          <w:szCs w:val="24"/>
        </w:rPr>
        <w:t>podejmowanie działań mających na celu wspieranie aktywności zawodowej grup oddalonych od rynku pracy, w tym osób starszych. Jednak osoby pow</w:t>
      </w:r>
      <w:r w:rsidR="005C6FF5">
        <w:rPr>
          <w:rFonts w:cstheme="minorHAnsi"/>
          <w:sz w:val="24"/>
          <w:szCs w:val="24"/>
        </w:rPr>
        <w:t>yżej</w:t>
      </w:r>
      <w:r w:rsidRPr="00A26E9C">
        <w:rPr>
          <w:rFonts w:cstheme="minorHAnsi"/>
          <w:sz w:val="24"/>
          <w:szCs w:val="24"/>
        </w:rPr>
        <w:t xml:space="preserve">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trudniej jest</w:t>
      </w:r>
      <w:r w:rsidR="000E0BD2">
        <w:rPr>
          <w:rFonts w:cstheme="minorHAnsi"/>
          <w:sz w:val="24"/>
          <w:szCs w:val="24"/>
        </w:rPr>
        <w:t> </w:t>
      </w:r>
      <w:r w:rsidRPr="00A26E9C">
        <w:rPr>
          <w:rFonts w:cstheme="minorHAnsi"/>
          <w:sz w:val="24"/>
          <w:szCs w:val="24"/>
        </w:rPr>
        <w:t>aktywizować niż młodych bezrobotnych i dlatego też udział osób powyżej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wśród aktywizowanych bezrobotnych pozostaje niski – w latach 2019</w:t>
      </w:r>
      <w:r w:rsidR="003D7141">
        <w:rPr>
          <w:rFonts w:cstheme="minorHAnsi"/>
          <w:sz w:val="24"/>
          <w:szCs w:val="24"/>
        </w:rPr>
        <w:t>–</w:t>
      </w:r>
      <w:r w:rsidRPr="00A26E9C">
        <w:rPr>
          <w:rFonts w:cstheme="minorHAnsi"/>
          <w:sz w:val="24"/>
          <w:szCs w:val="24"/>
        </w:rPr>
        <w:t xml:space="preserve">2021 oscylował na poziomie ok 14%. W 2019 r. zaktywizowano 41,5 </w:t>
      </w:r>
      <w:r w:rsidR="00733060">
        <w:rPr>
          <w:rFonts w:cstheme="minorHAnsi"/>
          <w:sz w:val="24"/>
          <w:szCs w:val="24"/>
        </w:rPr>
        <w:t xml:space="preserve">tys. </w:t>
      </w:r>
      <w:r w:rsidRPr="00A26E9C">
        <w:rPr>
          <w:rFonts w:cstheme="minorHAnsi"/>
          <w:sz w:val="24"/>
          <w:szCs w:val="24"/>
        </w:rPr>
        <w:t>bezrobotnych powyżej 50 r</w:t>
      </w:r>
      <w:r w:rsidR="002B18A7">
        <w:rPr>
          <w:rFonts w:cstheme="minorHAnsi"/>
          <w:sz w:val="24"/>
          <w:szCs w:val="24"/>
        </w:rPr>
        <w:t>.</w:t>
      </w:r>
      <w:r w:rsidRPr="00A26E9C">
        <w:rPr>
          <w:rFonts w:cstheme="minorHAnsi"/>
          <w:sz w:val="24"/>
          <w:szCs w:val="24"/>
        </w:rPr>
        <w:t>ż</w:t>
      </w:r>
      <w:r w:rsidR="002B18A7">
        <w:rPr>
          <w:rFonts w:cstheme="minorHAnsi"/>
          <w:sz w:val="24"/>
          <w:szCs w:val="24"/>
        </w:rPr>
        <w:t>.</w:t>
      </w:r>
      <w:r w:rsidRPr="00A26E9C">
        <w:rPr>
          <w:rFonts w:cstheme="minorHAnsi"/>
          <w:sz w:val="24"/>
          <w:szCs w:val="24"/>
        </w:rPr>
        <w:t xml:space="preserve">, w 2020 r. z uwagi na ograniczenia w funkcjonowaniu gospodarki zaktywizowano 30,1 tys. bezrobotnych w tej grupie wiekowej, a </w:t>
      </w:r>
      <w:r w:rsidRPr="001B7BF3">
        <w:rPr>
          <w:rFonts w:cstheme="minorHAnsi"/>
          <w:sz w:val="24"/>
          <w:szCs w:val="24"/>
        </w:rPr>
        <w:t>w 2021 r. liczba zaktywizowanych bezrobotnych pow</w:t>
      </w:r>
      <w:r w:rsidR="005C6FF5">
        <w:rPr>
          <w:rFonts w:cstheme="minorHAnsi"/>
          <w:sz w:val="24"/>
          <w:szCs w:val="24"/>
        </w:rPr>
        <w:t>yżej</w:t>
      </w:r>
      <w:r w:rsidRPr="001B7BF3">
        <w:rPr>
          <w:rFonts w:cstheme="minorHAnsi"/>
          <w:sz w:val="24"/>
          <w:szCs w:val="24"/>
        </w:rPr>
        <w:t xml:space="preserve"> 50 r</w:t>
      </w:r>
      <w:r w:rsidR="002B18A7">
        <w:rPr>
          <w:rFonts w:cstheme="minorHAnsi"/>
          <w:sz w:val="24"/>
          <w:szCs w:val="24"/>
        </w:rPr>
        <w:t>.</w:t>
      </w:r>
      <w:r w:rsidRPr="001B7BF3">
        <w:rPr>
          <w:rFonts w:cstheme="minorHAnsi"/>
          <w:sz w:val="24"/>
          <w:szCs w:val="24"/>
        </w:rPr>
        <w:t>ż</w:t>
      </w:r>
      <w:r w:rsidR="002B18A7">
        <w:rPr>
          <w:rFonts w:cstheme="minorHAnsi"/>
          <w:sz w:val="24"/>
          <w:szCs w:val="24"/>
        </w:rPr>
        <w:t>.</w:t>
      </w:r>
      <w:r w:rsidRPr="001B7BF3">
        <w:rPr>
          <w:rFonts w:cstheme="minorHAnsi"/>
          <w:sz w:val="24"/>
          <w:szCs w:val="24"/>
        </w:rPr>
        <w:t xml:space="preserve"> wzrosła do</w:t>
      </w:r>
      <w:r w:rsidR="000E0BD2">
        <w:rPr>
          <w:rFonts w:cstheme="minorHAnsi"/>
          <w:sz w:val="24"/>
          <w:szCs w:val="24"/>
        </w:rPr>
        <w:t> </w:t>
      </w:r>
      <w:r w:rsidRPr="001B7BF3">
        <w:rPr>
          <w:rFonts w:cstheme="minorHAnsi"/>
          <w:sz w:val="24"/>
          <w:szCs w:val="24"/>
        </w:rPr>
        <w:t>37,1 tys. osób,</w:t>
      </w:r>
      <w:r w:rsidRPr="00A26E9C">
        <w:rPr>
          <w:rFonts w:cstheme="minorHAnsi"/>
          <w:sz w:val="24"/>
          <w:szCs w:val="24"/>
        </w:rPr>
        <w:t xml:space="preserve"> tj. o 23,3%. Najczęściej bezrobotni ci podejmowali </w:t>
      </w:r>
      <w:r w:rsidRPr="00A26E9C">
        <w:rPr>
          <w:rFonts w:eastAsia="Times New Roman" w:cstheme="minorHAnsi"/>
          <w:sz w:val="24"/>
          <w:szCs w:val="24"/>
          <w:lang w:eastAsia="pl-PL"/>
        </w:rPr>
        <w:t xml:space="preserve">prace subsydiowane, prace społecznie użyteczne, ale także staże i szkolenia. </w:t>
      </w:r>
    </w:p>
    <w:p w14:paraId="5CA63727" w14:textId="49F3E14F" w:rsidR="00626E78" w:rsidRPr="00A26E9C" w:rsidRDefault="00626E78" w:rsidP="00A26E9C">
      <w:pPr>
        <w:spacing w:before="120" w:after="120"/>
        <w:jc w:val="both"/>
        <w:rPr>
          <w:rFonts w:eastAsia="Times New Roman" w:cstheme="minorHAnsi"/>
          <w:b/>
          <w:sz w:val="24"/>
          <w:szCs w:val="24"/>
          <w:lang w:eastAsia="pl-PL"/>
        </w:rPr>
      </w:pPr>
      <w:r w:rsidRPr="00A26E9C">
        <w:rPr>
          <w:rFonts w:eastAsia="Times New Roman" w:cstheme="minorHAnsi"/>
          <w:b/>
          <w:sz w:val="24"/>
          <w:szCs w:val="24"/>
          <w:lang w:eastAsia="pl-PL"/>
        </w:rPr>
        <w:lastRenderedPageBreak/>
        <w:t>Urzędy Pracy – formy pomocy osobom starszym</w:t>
      </w:r>
    </w:p>
    <w:p w14:paraId="6F9EA955" w14:textId="4A137B13" w:rsidR="00626E78" w:rsidRPr="00A26E9C" w:rsidRDefault="00626E78" w:rsidP="00A26E9C">
      <w:pPr>
        <w:shd w:val="clear" w:color="auto" w:fill="FFFFFF"/>
        <w:spacing w:before="120" w:after="120"/>
        <w:jc w:val="both"/>
        <w:rPr>
          <w:rFonts w:cstheme="minorHAnsi"/>
          <w:bCs/>
          <w:iCs/>
          <w:sz w:val="24"/>
          <w:szCs w:val="24"/>
        </w:rPr>
      </w:pPr>
      <w:r w:rsidRPr="00A26E9C">
        <w:rPr>
          <w:rFonts w:cstheme="minorHAnsi"/>
          <w:sz w:val="24"/>
          <w:szCs w:val="24"/>
        </w:rPr>
        <w:t>Przepisy ustawy o promocji zawierają szereg r</w:t>
      </w:r>
      <w:r w:rsidRPr="00A26E9C">
        <w:rPr>
          <w:rFonts w:cstheme="minorHAnsi"/>
          <w:bCs/>
          <w:iCs/>
          <w:sz w:val="24"/>
          <w:szCs w:val="24"/>
        </w:rPr>
        <w:t xml:space="preserve">ozwiązań na rzecz promowania zatrudniania osób starszych. </w:t>
      </w:r>
    </w:p>
    <w:p w14:paraId="34D31DBD" w14:textId="66D049C3" w:rsidR="00626E78" w:rsidRPr="00A26E9C" w:rsidRDefault="00626E78" w:rsidP="00A26E9C">
      <w:pPr>
        <w:spacing w:before="120" w:after="120"/>
        <w:jc w:val="both"/>
        <w:rPr>
          <w:rFonts w:eastAsia="Calibri" w:cstheme="minorHAnsi"/>
          <w:color w:val="000000"/>
          <w:sz w:val="24"/>
          <w:szCs w:val="24"/>
        </w:rPr>
      </w:pPr>
      <w:r w:rsidRPr="00A26E9C">
        <w:rPr>
          <w:rFonts w:eastAsia="Calibri" w:cstheme="minorHAnsi"/>
          <w:color w:val="000000"/>
          <w:sz w:val="24"/>
          <w:szCs w:val="24"/>
        </w:rPr>
        <w:t xml:space="preserve">Należy również podkreślić, że Ministerstwo Rodziny i Polityki Społecznej finansuje obecnie projekty pilotażowe, które zostały wyłonione do realizacji w naborze pn. „Nowe spojrzenie </w:t>
      </w:r>
      <w:r w:rsidR="00801F11">
        <w:rPr>
          <w:rFonts w:eastAsia="Calibri" w:cstheme="minorHAnsi"/>
          <w:color w:val="000000"/>
          <w:sz w:val="24"/>
          <w:szCs w:val="24"/>
        </w:rPr>
        <w:t>–</w:t>
      </w:r>
      <w:r w:rsidRPr="00A26E9C">
        <w:rPr>
          <w:rFonts w:eastAsia="Calibri" w:cstheme="minorHAnsi"/>
          <w:color w:val="000000"/>
          <w:sz w:val="24"/>
          <w:szCs w:val="24"/>
        </w:rPr>
        <w:t xml:space="preserve"> nowe możliwości” oraz pn. „Stabilna praca </w:t>
      </w:r>
      <w:r w:rsidR="00801F11">
        <w:rPr>
          <w:rFonts w:eastAsia="Calibri" w:cstheme="minorHAnsi"/>
          <w:color w:val="000000"/>
          <w:sz w:val="24"/>
          <w:szCs w:val="24"/>
        </w:rPr>
        <w:t>–</w:t>
      </w:r>
      <w:r w:rsidRPr="00A26E9C">
        <w:rPr>
          <w:rFonts w:eastAsia="Calibri" w:cstheme="minorHAnsi"/>
          <w:color w:val="000000"/>
          <w:sz w:val="24"/>
          <w:szCs w:val="24"/>
        </w:rPr>
        <w:t xml:space="preserve"> silna rodzina”. Projekty pilotażowe adresowane są do publicznych służb zatrudnienia – m.in. wojewódzkich i powiatowych urzędów pracy, które chcą wdrożyć nowe metody czy sposoby pomocy osobom bezrobotnym, poszukującym pracy lub pracodawcom w celu przygotowywania rozwiązań o charakterze systemowym. Oznacza to, że jeżeli zaproponowane i testowane w wybranych projektach nowe formy wsparcia przyniosą w efekcie końcowym pożądany skutek, będą mogły zostać implementowane do przepisów prawa.</w:t>
      </w:r>
    </w:p>
    <w:p w14:paraId="222898E1" w14:textId="0DE6441C" w:rsidR="00626E78" w:rsidRPr="00A26E9C" w:rsidRDefault="00626E78" w:rsidP="00A26E9C">
      <w:pPr>
        <w:spacing w:before="120" w:after="120"/>
        <w:jc w:val="both"/>
        <w:rPr>
          <w:rFonts w:cstheme="minorHAnsi"/>
          <w:sz w:val="24"/>
          <w:szCs w:val="24"/>
        </w:rPr>
      </w:pPr>
      <w:r w:rsidRPr="00A26E9C">
        <w:rPr>
          <w:rFonts w:cstheme="minorHAnsi"/>
          <w:sz w:val="24"/>
          <w:szCs w:val="24"/>
        </w:rPr>
        <w:t>Zastosowanie projektów pilotażowych testujących innowacyjn</w:t>
      </w:r>
      <w:r w:rsidR="000E0BD2">
        <w:rPr>
          <w:rFonts w:cstheme="minorHAnsi"/>
          <w:sz w:val="24"/>
          <w:szCs w:val="24"/>
        </w:rPr>
        <w:t>e działania aktywizujące m.in. </w:t>
      </w:r>
      <w:r w:rsidRPr="00A26E9C">
        <w:rPr>
          <w:rFonts w:cstheme="minorHAnsi"/>
          <w:sz w:val="24"/>
          <w:szCs w:val="24"/>
        </w:rPr>
        <w:t>w stosunku do os</w:t>
      </w:r>
      <w:r w:rsidR="00ED6F3A">
        <w:rPr>
          <w:rFonts w:cstheme="minorHAnsi"/>
          <w:sz w:val="24"/>
          <w:szCs w:val="24"/>
        </w:rPr>
        <w:t>ób starszych</w:t>
      </w:r>
      <w:r w:rsidRPr="00A26E9C">
        <w:rPr>
          <w:rFonts w:cstheme="minorHAnsi"/>
          <w:sz w:val="24"/>
          <w:szCs w:val="24"/>
        </w:rPr>
        <w:t xml:space="preserve"> pozwoli na wypracowanie metod, które wpłyną na</w:t>
      </w:r>
      <w:r w:rsidR="000E0BD2">
        <w:rPr>
          <w:rFonts w:cstheme="minorHAnsi"/>
          <w:sz w:val="24"/>
          <w:szCs w:val="24"/>
        </w:rPr>
        <w:t> </w:t>
      </w:r>
      <w:r w:rsidRPr="00A26E9C">
        <w:rPr>
          <w:rFonts w:cstheme="minorHAnsi"/>
          <w:sz w:val="24"/>
          <w:szCs w:val="24"/>
        </w:rPr>
        <w:t>skuteczną aktywizację dotąd niewykorzystanych zasobów ludzkich.</w:t>
      </w:r>
    </w:p>
    <w:p w14:paraId="0A7DB294" w14:textId="77777777" w:rsidR="00626E78" w:rsidRPr="00A26E9C" w:rsidRDefault="00626E78" w:rsidP="00A26E9C">
      <w:pPr>
        <w:spacing w:before="120" w:after="120"/>
        <w:rPr>
          <w:rFonts w:cstheme="minorHAnsi"/>
          <w:b/>
          <w:sz w:val="24"/>
          <w:szCs w:val="24"/>
        </w:rPr>
      </w:pPr>
      <w:r w:rsidRPr="00A26E9C">
        <w:rPr>
          <w:rFonts w:cstheme="minorHAnsi"/>
          <w:b/>
          <w:sz w:val="24"/>
          <w:szCs w:val="24"/>
        </w:rPr>
        <w:t>Krajowy Plan Działania</w:t>
      </w:r>
    </w:p>
    <w:p w14:paraId="13388C25" w14:textId="65B8EE06" w:rsidR="00626E78" w:rsidRPr="001409BE" w:rsidRDefault="00626E78" w:rsidP="00A26E9C">
      <w:pPr>
        <w:spacing w:before="120" w:after="120"/>
        <w:jc w:val="both"/>
        <w:rPr>
          <w:rFonts w:cstheme="minorHAnsi"/>
          <w:sz w:val="24"/>
          <w:szCs w:val="24"/>
        </w:rPr>
      </w:pPr>
      <w:r w:rsidRPr="00A26E9C">
        <w:rPr>
          <w:rFonts w:cstheme="minorHAnsi"/>
          <w:sz w:val="24"/>
          <w:szCs w:val="24"/>
        </w:rPr>
        <w:t>W związku z rozpoznaniem w Krajowym Planie Działań na rzecz Zatrudnienia na 2019 r</w:t>
      </w:r>
      <w:r w:rsidR="005C6FF5">
        <w:rPr>
          <w:rFonts w:cstheme="minorHAnsi"/>
          <w:sz w:val="24"/>
          <w:szCs w:val="24"/>
        </w:rPr>
        <w:t>.</w:t>
      </w:r>
      <w:r w:rsidRPr="00A26E9C">
        <w:rPr>
          <w:rFonts w:cstheme="minorHAnsi"/>
          <w:sz w:val="24"/>
          <w:szCs w:val="24"/>
        </w:rPr>
        <w:t xml:space="preserve"> potrzeby inicjowania działań, które pozwolą na zredukowanie negatywnych skutków płynących z zachodzących procesów demograficznych, postulowano potrzebę podejmowania działań na rzecz utrzymania w dobrym zdrowiu </w:t>
      </w:r>
      <w:r w:rsidRPr="001409BE">
        <w:rPr>
          <w:rFonts w:cstheme="minorHAnsi"/>
          <w:sz w:val="24"/>
          <w:szCs w:val="24"/>
        </w:rPr>
        <w:t>pracowników w starszym wieku oraz</w:t>
      </w:r>
      <w:r w:rsidR="00CA48F3">
        <w:rPr>
          <w:rFonts w:cstheme="minorHAnsi"/>
          <w:sz w:val="24"/>
          <w:szCs w:val="24"/>
        </w:rPr>
        <w:t> </w:t>
      </w:r>
      <w:r w:rsidRPr="001409BE">
        <w:rPr>
          <w:rFonts w:cstheme="minorHAnsi"/>
          <w:sz w:val="24"/>
          <w:szCs w:val="24"/>
        </w:rPr>
        <w:t xml:space="preserve">zachęcenia ich do pozostawania w zatrudnieniu również po osiągnięciu wieku emerytalnego, m.in. przez uświadomienie/wskazanie korzyści płynących z dłuższego pozostawania </w:t>
      </w:r>
      <w:r w:rsidR="00990E71">
        <w:rPr>
          <w:rFonts w:cstheme="minorHAnsi"/>
          <w:sz w:val="24"/>
          <w:szCs w:val="24"/>
        </w:rPr>
        <w:t>w</w:t>
      </w:r>
      <w:r w:rsidR="000E0BD2">
        <w:rPr>
          <w:rFonts w:cstheme="minorHAnsi"/>
          <w:sz w:val="24"/>
          <w:szCs w:val="24"/>
        </w:rPr>
        <w:t> </w:t>
      </w:r>
      <w:r w:rsidR="00990E71">
        <w:rPr>
          <w:rFonts w:cstheme="minorHAnsi"/>
          <w:sz w:val="24"/>
          <w:szCs w:val="24"/>
        </w:rPr>
        <w:t xml:space="preserve">aktywności zawodowej. </w:t>
      </w:r>
    </w:p>
    <w:p w14:paraId="7B6519A4" w14:textId="2CE0B1E8" w:rsidR="00626E78" w:rsidRPr="001409BE" w:rsidRDefault="00626E78" w:rsidP="00A26E9C">
      <w:pPr>
        <w:spacing w:before="120" w:after="120"/>
        <w:jc w:val="both"/>
        <w:rPr>
          <w:rFonts w:cstheme="minorHAnsi"/>
          <w:sz w:val="24"/>
          <w:szCs w:val="24"/>
        </w:rPr>
      </w:pPr>
      <w:r w:rsidRPr="001409BE">
        <w:rPr>
          <w:rFonts w:cstheme="minorHAnsi"/>
          <w:sz w:val="24"/>
          <w:szCs w:val="24"/>
        </w:rPr>
        <w:t>W efekcie w ramach Krajowego Planu Działań na rzecz Zatrudnienia na 2019 (KPDZ/2019) r</w:t>
      </w:r>
      <w:r w:rsidR="005C6FF5">
        <w:rPr>
          <w:rFonts w:cstheme="minorHAnsi"/>
          <w:sz w:val="24"/>
          <w:szCs w:val="24"/>
        </w:rPr>
        <w:t>.</w:t>
      </w:r>
      <w:r w:rsidRPr="001409BE">
        <w:rPr>
          <w:rFonts w:cstheme="minorHAnsi"/>
          <w:sz w:val="24"/>
          <w:szCs w:val="24"/>
        </w:rPr>
        <w:t xml:space="preserve"> wyznaczony był cel główny:</w:t>
      </w:r>
    </w:p>
    <w:p w14:paraId="70959D3D" w14:textId="77777777" w:rsidR="00626E78" w:rsidRPr="00A26E9C" w:rsidRDefault="00626E78" w:rsidP="00A26E9C">
      <w:pPr>
        <w:spacing w:before="120" w:after="120"/>
        <w:jc w:val="both"/>
        <w:rPr>
          <w:rFonts w:cstheme="minorHAnsi"/>
          <w:sz w:val="24"/>
          <w:szCs w:val="24"/>
        </w:rPr>
      </w:pPr>
      <w:r w:rsidRPr="001409BE">
        <w:rPr>
          <w:rFonts w:cstheme="minorHAnsi"/>
          <w:sz w:val="24"/>
          <w:szCs w:val="24"/>
        </w:rPr>
        <w:t>Zwiększenie zatrudnienia ogółem, skrajnych grup wiekowych, długotrwale bezrobotnych, kobiet i osób</w:t>
      </w:r>
      <w:r w:rsidR="001409BE">
        <w:rPr>
          <w:rFonts w:cstheme="minorHAnsi"/>
          <w:sz w:val="24"/>
          <w:szCs w:val="24"/>
        </w:rPr>
        <w:t xml:space="preserve"> </w:t>
      </w:r>
      <w:r w:rsidRPr="001409BE">
        <w:rPr>
          <w:rFonts w:cstheme="minorHAnsi"/>
          <w:sz w:val="24"/>
          <w:szCs w:val="24"/>
        </w:rPr>
        <w:t>z niepełnosprawnościami, przy jednoczesnym zagwarantowaniu</w:t>
      </w:r>
      <w:r w:rsidRPr="00A26E9C">
        <w:rPr>
          <w:rFonts w:cstheme="minorHAnsi"/>
          <w:sz w:val="24"/>
          <w:szCs w:val="24"/>
        </w:rPr>
        <w:t xml:space="preserve"> wysokiego bezpieczeństwa zatrudnienia.</w:t>
      </w:r>
    </w:p>
    <w:p w14:paraId="36BE2652" w14:textId="77777777" w:rsidR="00626E78" w:rsidRPr="00A26E9C" w:rsidRDefault="00626E78" w:rsidP="00A26E9C">
      <w:pPr>
        <w:spacing w:before="120" w:after="120"/>
        <w:jc w:val="both"/>
        <w:rPr>
          <w:rFonts w:cstheme="minorHAnsi"/>
          <w:sz w:val="24"/>
          <w:szCs w:val="24"/>
        </w:rPr>
      </w:pPr>
      <w:r w:rsidRPr="00A26E9C">
        <w:rPr>
          <w:rFonts w:cstheme="minorHAnsi"/>
          <w:sz w:val="24"/>
          <w:szCs w:val="24"/>
        </w:rPr>
        <w:t xml:space="preserve">W konsekwencji przyjętego celu głównego KPDZ/2019 oraz identyfikacji wyzwań demograficznych w Priorytecie I. </w:t>
      </w:r>
      <w:r w:rsidRPr="00A26E9C">
        <w:rPr>
          <w:rFonts w:cstheme="minorHAnsi"/>
          <w:i/>
          <w:sz w:val="24"/>
          <w:szCs w:val="24"/>
        </w:rPr>
        <w:t>Sprawny i bezpieczny rynek pracy</w:t>
      </w:r>
      <w:r w:rsidRPr="00A26E9C">
        <w:rPr>
          <w:rFonts w:cstheme="minorHAnsi"/>
          <w:sz w:val="24"/>
          <w:szCs w:val="24"/>
        </w:rPr>
        <w:t xml:space="preserve"> w Działaniu kierunkowym </w:t>
      </w:r>
      <w:r w:rsidRPr="00A26E9C">
        <w:rPr>
          <w:rFonts w:cstheme="minorHAnsi"/>
          <w:i/>
          <w:sz w:val="24"/>
          <w:szCs w:val="24"/>
        </w:rPr>
        <w:t>Ograniczenie negatywnych skutków zjawisk związanych z demografią i zmianami technologicznymi,</w:t>
      </w:r>
      <w:r w:rsidRPr="00A26E9C">
        <w:rPr>
          <w:rFonts w:cstheme="minorHAnsi"/>
          <w:sz w:val="24"/>
          <w:szCs w:val="24"/>
        </w:rPr>
        <w:t xml:space="preserve"> zgłoszono do realizacji zadanie 1.3 </w:t>
      </w:r>
      <w:r w:rsidRPr="00A26E9C">
        <w:rPr>
          <w:rFonts w:cstheme="minorHAnsi"/>
          <w:i/>
          <w:sz w:val="24"/>
          <w:szCs w:val="24"/>
        </w:rPr>
        <w:t xml:space="preserve">Działania adresowane do osób w wieku przedemerytalnym. </w:t>
      </w:r>
      <w:r w:rsidRPr="00A26E9C">
        <w:rPr>
          <w:rFonts w:cstheme="minorHAnsi"/>
          <w:sz w:val="24"/>
          <w:szCs w:val="24"/>
        </w:rPr>
        <w:t>Zgłaszającym i realizatorem tego zadania był ZUS.</w:t>
      </w:r>
    </w:p>
    <w:p w14:paraId="37D0E6B0" w14:textId="77777777" w:rsidR="00626E78" w:rsidRPr="00A26E9C" w:rsidRDefault="00626E78" w:rsidP="00A26E9C">
      <w:pPr>
        <w:spacing w:before="120" w:after="120"/>
        <w:jc w:val="both"/>
        <w:rPr>
          <w:rFonts w:cstheme="minorHAnsi"/>
          <w:sz w:val="24"/>
          <w:szCs w:val="24"/>
        </w:rPr>
      </w:pPr>
      <w:r w:rsidRPr="00A26E9C">
        <w:rPr>
          <w:rFonts w:cstheme="minorHAnsi"/>
          <w:sz w:val="24"/>
          <w:szCs w:val="24"/>
        </w:rPr>
        <w:t>W ramach tego zadania przewidywano następujące działania:</w:t>
      </w:r>
    </w:p>
    <w:p w14:paraId="642ED20A" w14:textId="77777777" w:rsidR="00626E78" w:rsidRPr="00A26E9C" w:rsidRDefault="00B40222" w:rsidP="00A26E9C">
      <w:pPr>
        <w:numPr>
          <w:ilvl w:val="0"/>
          <w:numId w:val="26"/>
        </w:numPr>
        <w:spacing w:before="120" w:after="120"/>
        <w:ind w:left="0" w:firstLine="0"/>
        <w:contextualSpacing/>
        <w:jc w:val="both"/>
        <w:rPr>
          <w:rFonts w:cstheme="minorHAnsi"/>
          <w:sz w:val="24"/>
          <w:szCs w:val="24"/>
        </w:rPr>
      </w:pPr>
      <w:r>
        <w:rPr>
          <w:rFonts w:cstheme="minorHAnsi"/>
          <w:sz w:val="24"/>
          <w:szCs w:val="24"/>
        </w:rPr>
        <w:lastRenderedPageBreak/>
        <w:t>p</w:t>
      </w:r>
      <w:r w:rsidR="00626E78" w:rsidRPr="00A26E9C">
        <w:rPr>
          <w:rFonts w:cstheme="minorHAnsi"/>
          <w:sz w:val="24"/>
          <w:szCs w:val="24"/>
        </w:rPr>
        <w:t>rowadzenie programu rehabilitacji leczniczej w ramach prewencji rentowej ZUS,</w:t>
      </w:r>
    </w:p>
    <w:p w14:paraId="733CBD3F" w14:textId="3C466D03" w:rsidR="00626E78" w:rsidRPr="00A26E9C" w:rsidRDefault="00B40222" w:rsidP="00A26E9C">
      <w:pPr>
        <w:numPr>
          <w:ilvl w:val="0"/>
          <w:numId w:val="26"/>
        </w:numPr>
        <w:spacing w:before="120" w:after="120"/>
        <w:ind w:left="709" w:hanging="709"/>
        <w:contextualSpacing/>
        <w:jc w:val="both"/>
        <w:rPr>
          <w:rFonts w:cstheme="minorHAnsi"/>
          <w:sz w:val="24"/>
          <w:szCs w:val="24"/>
        </w:rPr>
      </w:pPr>
      <w:r>
        <w:rPr>
          <w:rFonts w:cstheme="minorHAnsi"/>
          <w:sz w:val="24"/>
          <w:szCs w:val="24"/>
        </w:rPr>
        <w:t>p</w:t>
      </w:r>
      <w:r w:rsidR="00626E78" w:rsidRPr="00A26E9C">
        <w:rPr>
          <w:rFonts w:cstheme="minorHAnsi"/>
          <w:sz w:val="24"/>
          <w:szCs w:val="24"/>
        </w:rPr>
        <w:t>rowadzenie kampanii informacyjnej o wpływie dłuższej działalności zawodowej na</w:t>
      </w:r>
      <w:r w:rsidR="000E0BD2">
        <w:rPr>
          <w:rFonts w:cstheme="minorHAnsi"/>
          <w:sz w:val="24"/>
          <w:szCs w:val="24"/>
        </w:rPr>
        <w:t> </w:t>
      </w:r>
      <w:r w:rsidR="00626E78" w:rsidRPr="00A26E9C">
        <w:rPr>
          <w:rFonts w:cstheme="minorHAnsi"/>
          <w:sz w:val="24"/>
          <w:szCs w:val="24"/>
        </w:rPr>
        <w:t>wysokość przyszłej emerytury – „Twoja emerytura – Twój wybór”,</w:t>
      </w:r>
    </w:p>
    <w:p w14:paraId="7C34FE23" w14:textId="1A25A7D1" w:rsidR="00626E78" w:rsidRPr="00A26E9C" w:rsidRDefault="00C75621" w:rsidP="00A26E9C">
      <w:pPr>
        <w:numPr>
          <w:ilvl w:val="0"/>
          <w:numId w:val="26"/>
        </w:numPr>
        <w:spacing w:before="120" w:after="120"/>
        <w:ind w:left="0" w:firstLine="0"/>
        <w:contextualSpacing/>
        <w:jc w:val="both"/>
        <w:rPr>
          <w:rFonts w:cstheme="minorHAnsi"/>
          <w:sz w:val="24"/>
          <w:szCs w:val="24"/>
        </w:rPr>
      </w:pPr>
      <w:r w:rsidRPr="00C75621">
        <w:rPr>
          <w:sz w:val="24"/>
          <w:szCs w:val="24"/>
        </w:rPr>
        <w:t>powołanie doradców emerytalnych</w:t>
      </w:r>
      <w:r>
        <w:t xml:space="preserve"> </w:t>
      </w:r>
      <w:r w:rsidR="00626E78" w:rsidRPr="00A26E9C">
        <w:rPr>
          <w:rFonts w:cstheme="minorHAnsi"/>
          <w:sz w:val="24"/>
          <w:szCs w:val="24"/>
        </w:rPr>
        <w:t>w placówkach ZUS,</w:t>
      </w:r>
    </w:p>
    <w:p w14:paraId="1806866B" w14:textId="77777777" w:rsidR="00626E78" w:rsidRPr="00A26E9C" w:rsidRDefault="00B40222" w:rsidP="001409BE">
      <w:pPr>
        <w:numPr>
          <w:ilvl w:val="0"/>
          <w:numId w:val="26"/>
        </w:numPr>
        <w:spacing w:before="120" w:after="120"/>
        <w:ind w:left="709" w:hanging="709"/>
        <w:contextualSpacing/>
        <w:jc w:val="both"/>
        <w:rPr>
          <w:rFonts w:cstheme="minorHAnsi"/>
          <w:sz w:val="24"/>
          <w:szCs w:val="24"/>
        </w:rPr>
      </w:pPr>
      <w:r>
        <w:rPr>
          <w:rFonts w:cstheme="minorHAnsi"/>
          <w:sz w:val="24"/>
          <w:szCs w:val="24"/>
        </w:rPr>
        <w:t>u</w:t>
      </w:r>
      <w:r w:rsidR="00626E78" w:rsidRPr="00A26E9C">
        <w:rPr>
          <w:rFonts w:cstheme="minorHAnsi"/>
          <w:sz w:val="24"/>
          <w:szCs w:val="24"/>
        </w:rPr>
        <w:t>dzielanie bieżących informacji przez ekspertów ZUS dla potencjalnych świadczeniobiorców.</w:t>
      </w:r>
      <w:r w:rsidR="001409BE">
        <w:rPr>
          <w:rFonts w:cstheme="minorHAnsi"/>
          <w:sz w:val="24"/>
          <w:szCs w:val="24"/>
        </w:rPr>
        <w:t xml:space="preserve"> </w:t>
      </w:r>
    </w:p>
    <w:p w14:paraId="4D5F7A88" w14:textId="77777777" w:rsidR="00626E78" w:rsidRPr="00A26E9C" w:rsidRDefault="00626E78" w:rsidP="001409BE">
      <w:pPr>
        <w:spacing w:before="120" w:after="120"/>
        <w:ind w:left="709" w:hanging="709"/>
        <w:jc w:val="both"/>
        <w:rPr>
          <w:rFonts w:cstheme="minorHAnsi"/>
          <w:sz w:val="24"/>
          <w:szCs w:val="24"/>
        </w:rPr>
      </w:pPr>
      <w:r w:rsidRPr="00A26E9C">
        <w:rPr>
          <w:rFonts w:cstheme="minorHAnsi"/>
          <w:sz w:val="24"/>
          <w:szCs w:val="24"/>
        </w:rPr>
        <w:t>Realizacja zadania miała przyczynić się do</w:t>
      </w:r>
      <w:r w:rsidR="00B40222">
        <w:rPr>
          <w:rFonts w:cstheme="minorHAnsi"/>
          <w:sz w:val="24"/>
          <w:szCs w:val="24"/>
        </w:rPr>
        <w:t>:</w:t>
      </w:r>
    </w:p>
    <w:p w14:paraId="62EC8E11" w14:textId="4DB93FE9" w:rsidR="00626E78" w:rsidRPr="00A26E9C" w:rsidRDefault="00B40222" w:rsidP="00A26E9C">
      <w:pPr>
        <w:numPr>
          <w:ilvl w:val="0"/>
          <w:numId w:val="27"/>
        </w:numPr>
        <w:spacing w:before="120" w:after="120"/>
        <w:ind w:left="709" w:hanging="709"/>
        <w:contextualSpacing/>
        <w:jc w:val="both"/>
        <w:rPr>
          <w:rFonts w:cstheme="minorHAnsi"/>
          <w:sz w:val="24"/>
          <w:szCs w:val="24"/>
        </w:rPr>
      </w:pPr>
      <w:r>
        <w:rPr>
          <w:rFonts w:cstheme="minorHAnsi"/>
          <w:sz w:val="24"/>
          <w:szCs w:val="24"/>
        </w:rPr>
        <w:t>w</w:t>
      </w:r>
      <w:r w:rsidR="00626E78" w:rsidRPr="00A26E9C">
        <w:rPr>
          <w:rFonts w:cstheme="minorHAnsi"/>
          <w:sz w:val="24"/>
          <w:szCs w:val="24"/>
        </w:rPr>
        <w:t>zrostu odsetka osób w wieku 50+, które po zakończeniu rehabilitacji nie będą pobierały świadczeń z FUS,</w:t>
      </w:r>
    </w:p>
    <w:p w14:paraId="28131A23" w14:textId="77777777" w:rsidR="00626E78" w:rsidRPr="00A26E9C" w:rsidRDefault="00B40222" w:rsidP="00A26E9C">
      <w:pPr>
        <w:numPr>
          <w:ilvl w:val="0"/>
          <w:numId w:val="27"/>
        </w:numPr>
        <w:spacing w:before="120" w:after="120"/>
        <w:ind w:left="0" w:firstLine="0"/>
        <w:contextualSpacing/>
        <w:jc w:val="both"/>
        <w:rPr>
          <w:rFonts w:cstheme="minorHAnsi"/>
          <w:sz w:val="24"/>
          <w:szCs w:val="24"/>
        </w:rPr>
      </w:pPr>
      <w:r>
        <w:rPr>
          <w:rFonts w:cstheme="minorHAnsi"/>
          <w:sz w:val="24"/>
          <w:szCs w:val="24"/>
        </w:rPr>
        <w:t>d</w:t>
      </w:r>
      <w:r w:rsidR="00626E78" w:rsidRPr="00A26E9C">
        <w:rPr>
          <w:rFonts w:cstheme="minorHAnsi"/>
          <w:sz w:val="24"/>
          <w:szCs w:val="24"/>
        </w:rPr>
        <w:t>oskonalenia świadczonych usług,</w:t>
      </w:r>
    </w:p>
    <w:p w14:paraId="7FDE8322" w14:textId="3EFBCABD" w:rsidR="00626E78" w:rsidRPr="00A26E9C" w:rsidRDefault="00B40222" w:rsidP="00A26E9C">
      <w:pPr>
        <w:numPr>
          <w:ilvl w:val="0"/>
          <w:numId w:val="27"/>
        </w:numPr>
        <w:spacing w:before="120" w:after="120"/>
        <w:ind w:left="709" w:hanging="709"/>
        <w:contextualSpacing/>
        <w:jc w:val="both"/>
        <w:rPr>
          <w:rFonts w:cstheme="minorHAnsi"/>
          <w:sz w:val="24"/>
          <w:szCs w:val="24"/>
        </w:rPr>
      </w:pPr>
      <w:r>
        <w:rPr>
          <w:rFonts w:cstheme="minorHAnsi"/>
          <w:sz w:val="24"/>
          <w:szCs w:val="24"/>
        </w:rPr>
        <w:t>p</w:t>
      </w:r>
      <w:r w:rsidR="00626E78" w:rsidRPr="00A26E9C">
        <w:rPr>
          <w:rFonts w:cstheme="minorHAnsi"/>
          <w:sz w:val="24"/>
          <w:szCs w:val="24"/>
        </w:rPr>
        <w:t>odniesienia świadomości przyszłych emerytów o wpływie aktywności zawodowej na</w:t>
      </w:r>
      <w:r w:rsidR="000E0BD2">
        <w:rPr>
          <w:rFonts w:cstheme="minorHAnsi"/>
          <w:sz w:val="24"/>
          <w:szCs w:val="24"/>
        </w:rPr>
        <w:t> </w:t>
      </w:r>
      <w:r w:rsidR="00626E78" w:rsidRPr="00A26E9C">
        <w:rPr>
          <w:rFonts w:cstheme="minorHAnsi"/>
          <w:sz w:val="24"/>
          <w:szCs w:val="24"/>
        </w:rPr>
        <w:t>wysokość emerytury,</w:t>
      </w:r>
    </w:p>
    <w:p w14:paraId="1659A810" w14:textId="56D5AC5A" w:rsidR="00626E78" w:rsidRPr="00A26E9C" w:rsidRDefault="00B40222" w:rsidP="00A26E9C">
      <w:pPr>
        <w:numPr>
          <w:ilvl w:val="0"/>
          <w:numId w:val="27"/>
        </w:numPr>
        <w:spacing w:before="120" w:after="120"/>
        <w:ind w:left="0" w:firstLine="0"/>
        <w:contextualSpacing/>
        <w:jc w:val="both"/>
        <w:rPr>
          <w:rFonts w:cstheme="minorHAnsi"/>
          <w:sz w:val="24"/>
          <w:szCs w:val="24"/>
        </w:rPr>
      </w:pPr>
      <w:r>
        <w:rPr>
          <w:rFonts w:cstheme="minorHAnsi"/>
          <w:sz w:val="24"/>
          <w:szCs w:val="24"/>
        </w:rPr>
        <w:t>p</w:t>
      </w:r>
      <w:r w:rsidR="00626E78" w:rsidRPr="00A26E9C">
        <w:rPr>
          <w:rFonts w:cstheme="minorHAnsi"/>
          <w:sz w:val="24"/>
          <w:szCs w:val="24"/>
        </w:rPr>
        <w:t>owstania około 2</w:t>
      </w:r>
      <w:r w:rsidR="00C60223" w:rsidRPr="008D0165">
        <w:rPr>
          <w:sz w:val="24"/>
          <w:szCs w:val="24"/>
        </w:rPr>
        <w:t> </w:t>
      </w:r>
      <w:r w:rsidR="00626E78" w:rsidRPr="00A26E9C">
        <w:rPr>
          <w:rFonts w:cstheme="minorHAnsi"/>
          <w:sz w:val="24"/>
          <w:szCs w:val="24"/>
        </w:rPr>
        <w:t>000 publikacji prasowych,</w:t>
      </w:r>
    </w:p>
    <w:p w14:paraId="08913945" w14:textId="0BAC8ED6" w:rsidR="00626E78" w:rsidRPr="00A26E9C" w:rsidRDefault="004416EE" w:rsidP="00A26E9C">
      <w:pPr>
        <w:numPr>
          <w:ilvl w:val="0"/>
          <w:numId w:val="27"/>
        </w:numPr>
        <w:spacing w:before="120" w:after="120"/>
        <w:ind w:left="0" w:firstLine="0"/>
        <w:contextualSpacing/>
        <w:jc w:val="both"/>
        <w:rPr>
          <w:rFonts w:cstheme="minorHAnsi"/>
          <w:sz w:val="24"/>
          <w:szCs w:val="24"/>
        </w:rPr>
      </w:pPr>
      <w:r>
        <w:rPr>
          <w:rFonts w:cstheme="minorHAnsi"/>
          <w:sz w:val="24"/>
          <w:szCs w:val="24"/>
        </w:rPr>
        <w:t xml:space="preserve">zapewnienia </w:t>
      </w:r>
      <w:r w:rsidR="00B40222">
        <w:rPr>
          <w:rFonts w:cstheme="minorHAnsi"/>
          <w:sz w:val="24"/>
          <w:szCs w:val="24"/>
        </w:rPr>
        <w:t>w</w:t>
      </w:r>
      <w:r w:rsidR="00626E78" w:rsidRPr="00A26E9C">
        <w:rPr>
          <w:rFonts w:cstheme="minorHAnsi"/>
          <w:sz w:val="24"/>
          <w:szCs w:val="24"/>
        </w:rPr>
        <w:t>ysokiego poziom satysfakcji klientów odwiedzających doradców emerytalnych.</w:t>
      </w:r>
    </w:p>
    <w:p w14:paraId="464EBC2C" w14:textId="77777777" w:rsidR="00626E78" w:rsidRPr="00A26E9C" w:rsidRDefault="00626E78" w:rsidP="00A26E9C">
      <w:pPr>
        <w:spacing w:before="120" w:after="120"/>
        <w:contextualSpacing/>
        <w:jc w:val="both"/>
        <w:rPr>
          <w:rFonts w:cstheme="minorHAnsi"/>
          <w:sz w:val="24"/>
          <w:szCs w:val="24"/>
        </w:rPr>
      </w:pPr>
    </w:p>
    <w:p w14:paraId="5595AEFD" w14:textId="073D817A" w:rsidR="00626E78" w:rsidRPr="00A26E9C" w:rsidRDefault="00626E78" w:rsidP="00A26E9C">
      <w:pPr>
        <w:spacing w:before="120" w:after="120"/>
        <w:contextualSpacing/>
        <w:jc w:val="both"/>
        <w:rPr>
          <w:rFonts w:cstheme="minorHAnsi"/>
          <w:sz w:val="24"/>
          <w:szCs w:val="24"/>
        </w:rPr>
      </w:pPr>
      <w:r w:rsidRPr="00A26E9C">
        <w:rPr>
          <w:rFonts w:cstheme="minorHAnsi"/>
          <w:sz w:val="24"/>
          <w:szCs w:val="24"/>
        </w:rPr>
        <w:t xml:space="preserve">Ze sprawozdania z realizacji KPDZ/2019 wynika, że w okresie jego obowiązywania prowadzono działania związane z kontynuacją rozwiązań wprowadzonych ustawą </w:t>
      </w:r>
      <w:r w:rsidR="004416EE">
        <w:rPr>
          <w:rFonts w:cstheme="minorHAnsi"/>
          <w:sz w:val="24"/>
          <w:szCs w:val="24"/>
        </w:rPr>
        <w:t>wiekową</w:t>
      </w:r>
      <w:r w:rsidRPr="00A26E9C">
        <w:rPr>
          <w:rFonts w:cstheme="minorHAnsi"/>
          <w:sz w:val="24"/>
          <w:szCs w:val="24"/>
        </w:rPr>
        <w:t xml:space="preserve">, dotyczącą </w:t>
      </w:r>
      <w:r w:rsidR="00AE1675">
        <w:rPr>
          <w:rFonts w:cstheme="minorHAnsi"/>
          <w:sz w:val="24"/>
          <w:szCs w:val="24"/>
        </w:rPr>
        <w:t xml:space="preserve">obniżenia </w:t>
      </w:r>
      <w:r w:rsidRPr="00A26E9C">
        <w:rPr>
          <w:rFonts w:cstheme="minorHAnsi"/>
          <w:sz w:val="24"/>
          <w:szCs w:val="24"/>
        </w:rPr>
        <w:t xml:space="preserve">powszechnego wieku emerytalnego. </w:t>
      </w:r>
    </w:p>
    <w:p w14:paraId="6A66F2EE" w14:textId="77777777" w:rsidR="00626E78" w:rsidRPr="00A26E9C" w:rsidRDefault="00626E78" w:rsidP="00A26E9C">
      <w:pPr>
        <w:spacing w:before="120" w:after="120"/>
        <w:contextualSpacing/>
        <w:jc w:val="both"/>
        <w:rPr>
          <w:rFonts w:cstheme="minorHAnsi"/>
          <w:sz w:val="24"/>
          <w:szCs w:val="24"/>
        </w:rPr>
      </w:pPr>
      <w:r w:rsidRPr="00A26E9C">
        <w:rPr>
          <w:rFonts w:cstheme="minorHAnsi"/>
          <w:sz w:val="24"/>
          <w:szCs w:val="24"/>
        </w:rPr>
        <w:t>Obejmowały one:</w:t>
      </w:r>
    </w:p>
    <w:p w14:paraId="0A827832"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realizację programu edukacji skierowanego do przyszłych emerytów na temat korzyści płynących z opóźnienia decyzji przejścia na emeryturę,</w:t>
      </w:r>
    </w:p>
    <w:p w14:paraId="4A49C093" w14:textId="3120FD6B"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prowadzenie kampanii informacyjnej o wpływie dłuższej działalności zawodowej na</w:t>
      </w:r>
      <w:r w:rsidR="000E0BD2">
        <w:rPr>
          <w:rFonts w:cstheme="minorHAnsi"/>
          <w:sz w:val="24"/>
          <w:szCs w:val="24"/>
        </w:rPr>
        <w:t> </w:t>
      </w:r>
      <w:r w:rsidRPr="00A26E9C">
        <w:rPr>
          <w:rFonts w:cstheme="minorHAnsi"/>
          <w:sz w:val="24"/>
          <w:szCs w:val="24"/>
        </w:rPr>
        <w:t>wysokość przyszłej emerytury – „Twoja emerytura – Twój wybór”,</w:t>
      </w:r>
    </w:p>
    <w:p w14:paraId="0A6D99E7" w14:textId="50E67F91"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upowszechnianie informacji w formie współpracy z mediami, prasą lokalną i</w:t>
      </w:r>
      <w:r w:rsidR="000E0BD2">
        <w:rPr>
          <w:rFonts w:cstheme="minorHAnsi"/>
          <w:sz w:val="24"/>
          <w:szCs w:val="24"/>
        </w:rPr>
        <w:t> </w:t>
      </w:r>
      <w:r w:rsidRPr="00A26E9C">
        <w:rPr>
          <w:rFonts w:cstheme="minorHAnsi"/>
          <w:sz w:val="24"/>
          <w:szCs w:val="24"/>
        </w:rPr>
        <w:t>ogólnokrajową; przez media cyfrowe, w tym audycje radiowe, programy telewizyjne, stronę internetową ZUS, ekrany multimedialne w placówkach ZUS; media drukowane: prasę lokalną i ogólnokrajową, wydawnictwa ZUS; wydarzenia organizowane przez</w:t>
      </w:r>
      <w:r w:rsidR="00ED6F3A">
        <w:rPr>
          <w:rFonts w:cstheme="minorHAnsi"/>
          <w:sz w:val="24"/>
          <w:szCs w:val="24"/>
        </w:rPr>
        <w:t> </w:t>
      </w:r>
      <w:r w:rsidRPr="00A26E9C">
        <w:rPr>
          <w:rFonts w:cstheme="minorHAnsi"/>
          <w:sz w:val="24"/>
          <w:szCs w:val="24"/>
        </w:rPr>
        <w:t>ZUS: dzień Seniora, dni Ubezpieczonego, dzień Osób Niepełnosprawnych, inne wydarzenia; zaangażowanie Rzeczników Regionalnych ZUS,</w:t>
      </w:r>
    </w:p>
    <w:p w14:paraId="29B5E5DF" w14:textId="77777777" w:rsidR="00626E78" w:rsidRPr="00A26E9C" w:rsidRDefault="00626E78" w:rsidP="00A26E9C">
      <w:pPr>
        <w:pStyle w:val="Akapitzlist"/>
        <w:numPr>
          <w:ilvl w:val="0"/>
          <w:numId w:val="28"/>
        </w:numPr>
        <w:spacing w:before="120" w:after="120"/>
        <w:ind w:left="0" w:firstLine="0"/>
        <w:jc w:val="both"/>
        <w:rPr>
          <w:rFonts w:cstheme="minorHAnsi"/>
          <w:sz w:val="24"/>
          <w:szCs w:val="24"/>
        </w:rPr>
      </w:pPr>
      <w:r w:rsidRPr="00A26E9C">
        <w:rPr>
          <w:rFonts w:cstheme="minorHAnsi"/>
          <w:sz w:val="24"/>
          <w:szCs w:val="24"/>
        </w:rPr>
        <w:t>świadczenie usługi doradczej przez doradców emerytalnych w placówkach ZUS,</w:t>
      </w:r>
    </w:p>
    <w:p w14:paraId="42406345"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lastRenderedPageBreak/>
        <w:t>zapewnienie możliwości prognozowania wysokości świadczenia w postaci symulacji kwoty świadczenia obliczonej w roku bieżącym oraz prognozy świadczenia na kolejne lata przy wykorzystaniu kalkulatora emerytury powszechnej, kalkulatora nauczycielskiego świadczenia kompensacyjnego, kalkulatora emerytury pomostowej,</w:t>
      </w:r>
    </w:p>
    <w:p w14:paraId="3B2D1DF1" w14:textId="33F57D5F"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udzielanie informacji przez konsultantów Centrum Obsługi Telefonicznej (COT ZUS), której celem było zapewnienia niezbędnych informacji przyszłym emerytom, umożliwiający</w:t>
      </w:r>
      <w:r w:rsidR="004F0B34">
        <w:rPr>
          <w:rFonts w:cstheme="minorHAnsi"/>
          <w:sz w:val="24"/>
          <w:szCs w:val="24"/>
        </w:rPr>
        <w:t>ch</w:t>
      </w:r>
      <w:r w:rsidRPr="00A26E9C">
        <w:rPr>
          <w:rFonts w:cstheme="minorHAnsi"/>
          <w:sz w:val="24"/>
          <w:szCs w:val="24"/>
        </w:rPr>
        <w:t xml:space="preserve"> im świadome podjęcie decyzji o przejściu na emeryturę, w tym m.in.</w:t>
      </w:r>
      <w:r w:rsidR="000E0BD2">
        <w:rPr>
          <w:rFonts w:cstheme="minorHAnsi"/>
          <w:sz w:val="24"/>
          <w:szCs w:val="24"/>
        </w:rPr>
        <w:t> </w:t>
      </w:r>
      <w:r w:rsidRPr="00A26E9C">
        <w:rPr>
          <w:rFonts w:cstheme="minorHAnsi"/>
          <w:sz w:val="24"/>
          <w:szCs w:val="24"/>
        </w:rPr>
        <w:t>przez wyliczenie prognozy przyszłego świadczenia,</w:t>
      </w:r>
    </w:p>
    <w:p w14:paraId="4CE27227" w14:textId="4B0A160F"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zarządzanie informacją przez wysoko wykwalifikowanych specjalistów ZUS, przez</w:t>
      </w:r>
      <w:r w:rsidR="000E0BD2">
        <w:rPr>
          <w:rFonts w:cstheme="minorHAnsi"/>
          <w:sz w:val="24"/>
          <w:szCs w:val="24"/>
        </w:rPr>
        <w:t> </w:t>
      </w:r>
      <w:r w:rsidRPr="00A26E9C">
        <w:rPr>
          <w:rFonts w:cstheme="minorHAnsi"/>
          <w:sz w:val="24"/>
          <w:szCs w:val="24"/>
        </w:rPr>
        <w:t xml:space="preserve">bieżącą weryfikację i aktualizację treści internetowych, ulotek, organizacji </w:t>
      </w:r>
      <w:r w:rsidR="00B40222">
        <w:rPr>
          <w:rFonts w:cstheme="minorHAnsi"/>
          <w:sz w:val="24"/>
          <w:szCs w:val="24"/>
        </w:rPr>
        <w:t>wydarzeń</w:t>
      </w:r>
      <w:r w:rsidR="00B40222" w:rsidRPr="00A26E9C">
        <w:rPr>
          <w:rFonts w:cstheme="minorHAnsi"/>
          <w:sz w:val="24"/>
          <w:szCs w:val="24"/>
        </w:rPr>
        <w:t xml:space="preserve"> </w:t>
      </w:r>
      <w:r w:rsidRPr="00A26E9C">
        <w:rPr>
          <w:rFonts w:cstheme="minorHAnsi"/>
          <w:sz w:val="24"/>
          <w:szCs w:val="24"/>
        </w:rPr>
        <w:t>w celu zapewnienia bieżących informacji dla potencjalnych świadczeniobiorców,</w:t>
      </w:r>
    </w:p>
    <w:p w14:paraId="26422693" w14:textId="77777777"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prowadzenie jako działanie ustawowe programu rehabilitacji leczniczej,</w:t>
      </w:r>
    </w:p>
    <w:p w14:paraId="52CE982A" w14:textId="6DE0749C" w:rsidR="00626E78" w:rsidRPr="00A26E9C" w:rsidRDefault="00626E78" w:rsidP="00A26E9C">
      <w:pPr>
        <w:pStyle w:val="Akapitzlist"/>
        <w:numPr>
          <w:ilvl w:val="0"/>
          <w:numId w:val="28"/>
        </w:numPr>
        <w:spacing w:before="120" w:after="120"/>
        <w:ind w:left="709" w:hanging="709"/>
        <w:jc w:val="both"/>
        <w:rPr>
          <w:rFonts w:cstheme="minorHAnsi"/>
          <w:sz w:val="24"/>
          <w:szCs w:val="24"/>
        </w:rPr>
      </w:pPr>
      <w:r w:rsidRPr="00A26E9C">
        <w:rPr>
          <w:rFonts w:cstheme="minorHAnsi"/>
          <w:sz w:val="24"/>
          <w:szCs w:val="24"/>
        </w:rPr>
        <w:t>wprowadzenie w lipcu 2019 r. nowego pilotażowego programu rehabilitacji leczniczej w systemie stacjonarnym – dla osób z uszkodzeniem ośrodkowego układu nerwowego.</w:t>
      </w:r>
    </w:p>
    <w:p w14:paraId="5AB05707" w14:textId="28FB996B" w:rsidR="00626E78" w:rsidRPr="00A26E9C" w:rsidRDefault="00626E78" w:rsidP="00A26E9C">
      <w:pPr>
        <w:spacing w:before="120" w:after="120"/>
        <w:jc w:val="both"/>
        <w:rPr>
          <w:rFonts w:cstheme="minorHAnsi"/>
          <w:sz w:val="24"/>
          <w:szCs w:val="24"/>
        </w:rPr>
      </w:pPr>
      <w:r w:rsidRPr="00A26E9C">
        <w:rPr>
          <w:rFonts w:cstheme="minorHAnsi"/>
          <w:sz w:val="24"/>
          <w:szCs w:val="24"/>
        </w:rPr>
        <w:t>W wyniku podjętych działań w 2019 r. ponad 2,2 mln klientów skorzystało z usługi doradcy emerytalnego. Doradcy emerytalni wykonali w tym czasie ponad 650 tys. wyliczeń prognozowanej emerytury. Konsultanci COT wykonali w 2019 r. ponad 9,3 tys. wyliczeń w</w:t>
      </w:r>
      <w:r w:rsidR="000E0BD2">
        <w:rPr>
          <w:rFonts w:cstheme="minorHAnsi"/>
          <w:sz w:val="24"/>
          <w:szCs w:val="24"/>
        </w:rPr>
        <w:t> </w:t>
      </w:r>
      <w:r w:rsidRPr="00A26E9C">
        <w:rPr>
          <w:rFonts w:cstheme="minorHAnsi"/>
          <w:sz w:val="24"/>
          <w:szCs w:val="24"/>
        </w:rPr>
        <w:t>kalkulatorze emerytalnym. Klienci korzystali również z narzędzi udostępnionych przez ZUS na portalu PUE i stronie www.zus.pl – w 2019 r. klienci ZUS wykonali ponad 1,1 mln obliczeń w kalkulatorze na portalu PUE oraz 169 tys. wyliczeń w kalkulatorze na www.zus.pl. W związku z założonym celem edukacj</w:t>
      </w:r>
      <w:r w:rsidR="00ED6F3A">
        <w:rPr>
          <w:rFonts w:cstheme="minorHAnsi"/>
          <w:sz w:val="24"/>
          <w:szCs w:val="24"/>
        </w:rPr>
        <w:t>i osób w wieku przedemerytalnym</w:t>
      </w:r>
      <w:r w:rsidRPr="00A26E9C">
        <w:rPr>
          <w:rFonts w:cstheme="minorHAnsi"/>
          <w:sz w:val="24"/>
          <w:szCs w:val="24"/>
        </w:rPr>
        <w:t xml:space="preserve"> </w:t>
      </w:r>
      <w:r w:rsidR="008D57AD">
        <w:rPr>
          <w:rFonts w:cstheme="minorHAnsi"/>
          <w:sz w:val="24"/>
          <w:szCs w:val="24"/>
        </w:rPr>
        <w:t xml:space="preserve">ZUS </w:t>
      </w:r>
      <w:r w:rsidRPr="00A26E9C">
        <w:rPr>
          <w:rFonts w:cstheme="minorHAnsi"/>
          <w:sz w:val="24"/>
          <w:szCs w:val="24"/>
        </w:rPr>
        <w:t>nieustannie doskonalił usługi świadczone w obszarze obsługi klientów. Doradcy emerytalni podnosili świadomoś</w:t>
      </w:r>
      <w:r w:rsidR="00C75621">
        <w:rPr>
          <w:rFonts w:cstheme="minorHAnsi"/>
          <w:sz w:val="24"/>
          <w:szCs w:val="24"/>
        </w:rPr>
        <w:t>ć</w:t>
      </w:r>
      <w:r w:rsidRPr="00A26E9C">
        <w:rPr>
          <w:rFonts w:cstheme="minorHAnsi"/>
          <w:sz w:val="24"/>
          <w:szCs w:val="24"/>
        </w:rPr>
        <w:t xml:space="preserve"> przyszłych emerytów </w:t>
      </w:r>
      <w:r w:rsidR="00C75621">
        <w:rPr>
          <w:rFonts w:cstheme="minorHAnsi"/>
          <w:sz w:val="24"/>
          <w:szCs w:val="24"/>
        </w:rPr>
        <w:t xml:space="preserve">w zakresie </w:t>
      </w:r>
      <w:r w:rsidRPr="00A26E9C">
        <w:rPr>
          <w:rFonts w:cstheme="minorHAnsi"/>
          <w:sz w:val="24"/>
          <w:szCs w:val="24"/>
        </w:rPr>
        <w:t>wpływ</w:t>
      </w:r>
      <w:r w:rsidR="00C75621">
        <w:rPr>
          <w:rFonts w:cstheme="minorHAnsi"/>
          <w:sz w:val="24"/>
          <w:szCs w:val="24"/>
        </w:rPr>
        <w:t>u</w:t>
      </w:r>
      <w:r w:rsidRPr="00A26E9C">
        <w:rPr>
          <w:rFonts w:cstheme="minorHAnsi"/>
          <w:sz w:val="24"/>
          <w:szCs w:val="24"/>
        </w:rPr>
        <w:t xml:space="preserve"> długości aktywności zawodowej na wysokość emerytury.</w:t>
      </w:r>
    </w:p>
    <w:p w14:paraId="3A07843B" w14:textId="6EBB3117" w:rsidR="00626E78" w:rsidRPr="00A26E9C" w:rsidRDefault="00626E78" w:rsidP="00A26E9C">
      <w:pPr>
        <w:spacing w:before="120" w:after="120"/>
        <w:jc w:val="both"/>
        <w:rPr>
          <w:rFonts w:cstheme="minorHAnsi"/>
          <w:sz w:val="24"/>
          <w:szCs w:val="24"/>
        </w:rPr>
      </w:pPr>
      <w:r w:rsidRPr="00A26E9C">
        <w:rPr>
          <w:rFonts w:cstheme="minorHAnsi"/>
          <w:sz w:val="24"/>
          <w:szCs w:val="24"/>
        </w:rPr>
        <w:t>Przeprowadzone w 2019 r. badania satysfakcji klientów pokazały, że aż 88% klientów, którzy</w:t>
      </w:r>
      <w:r w:rsidR="000E0BD2">
        <w:rPr>
          <w:rFonts w:cstheme="minorHAnsi"/>
          <w:sz w:val="24"/>
          <w:szCs w:val="24"/>
        </w:rPr>
        <w:t> </w:t>
      </w:r>
      <w:r w:rsidRPr="00A26E9C">
        <w:rPr>
          <w:rFonts w:cstheme="minorHAnsi"/>
          <w:sz w:val="24"/>
          <w:szCs w:val="24"/>
        </w:rPr>
        <w:t xml:space="preserve">skorzystali z usługi doradcy emerytalnego, było zadowolonych ze wsparcia udzielonego przez doradcę emerytalnego. Była to najwyższa ocena spośród wszystkich badanych grup klientów. </w:t>
      </w:r>
    </w:p>
    <w:p w14:paraId="4D68995C" w14:textId="39C901F9" w:rsidR="00626E78" w:rsidRPr="00A26E9C" w:rsidRDefault="00626E78" w:rsidP="00A26E9C">
      <w:pPr>
        <w:spacing w:before="120" w:after="120"/>
        <w:jc w:val="both"/>
        <w:rPr>
          <w:rFonts w:cstheme="minorHAnsi"/>
          <w:sz w:val="24"/>
          <w:szCs w:val="24"/>
        </w:rPr>
      </w:pPr>
      <w:r w:rsidRPr="00A26E9C">
        <w:rPr>
          <w:rFonts w:cstheme="minorHAnsi"/>
          <w:sz w:val="24"/>
          <w:szCs w:val="24"/>
        </w:rPr>
        <w:t>Począwszy od 4 października 2019 r. odbywały się wydarzenia w ramach akcji Dzień Seniora. Ich celem była aktywizacja osób starszych i zachęcenie do wyjścia z domu oraz informowanie o ubezpieczeniach sp</w:t>
      </w:r>
      <w:r w:rsidR="00ED6F3A">
        <w:rPr>
          <w:rFonts w:cstheme="minorHAnsi"/>
          <w:sz w:val="24"/>
          <w:szCs w:val="24"/>
        </w:rPr>
        <w:t>ołecznych. Podczas Dnia Seniora</w:t>
      </w:r>
      <w:r w:rsidRPr="00A26E9C">
        <w:rPr>
          <w:rFonts w:cstheme="minorHAnsi"/>
          <w:sz w:val="24"/>
          <w:szCs w:val="24"/>
        </w:rPr>
        <w:t xml:space="preserve"> osoby starsze mogły skorzystać z porad ekspertów ZUS m.in. w zakresie przysługujących im </w:t>
      </w:r>
      <w:r w:rsidRPr="00A26E9C">
        <w:rPr>
          <w:rFonts w:cstheme="minorHAnsi"/>
          <w:sz w:val="24"/>
          <w:szCs w:val="24"/>
        </w:rPr>
        <w:lastRenderedPageBreak/>
        <w:t>świadczeń, waloryzacji, zatrudnienia na</w:t>
      </w:r>
      <w:r w:rsidR="000E0BD2">
        <w:rPr>
          <w:rFonts w:cstheme="minorHAnsi"/>
          <w:sz w:val="24"/>
          <w:szCs w:val="24"/>
        </w:rPr>
        <w:t> </w:t>
      </w:r>
      <w:r w:rsidRPr="00A26E9C">
        <w:rPr>
          <w:rFonts w:cstheme="minorHAnsi"/>
          <w:sz w:val="24"/>
          <w:szCs w:val="24"/>
        </w:rPr>
        <w:t>emeryturze, czy zasad wyliczenia emerytury. Na seniorów czekali specjaliści, którzy</w:t>
      </w:r>
      <w:r w:rsidR="000E0BD2">
        <w:rPr>
          <w:rFonts w:cstheme="minorHAnsi"/>
          <w:sz w:val="24"/>
          <w:szCs w:val="24"/>
        </w:rPr>
        <w:t> </w:t>
      </w:r>
      <w:r w:rsidRPr="00A26E9C">
        <w:rPr>
          <w:rFonts w:cstheme="minorHAnsi"/>
          <w:sz w:val="24"/>
          <w:szCs w:val="24"/>
        </w:rPr>
        <w:t>udzielali informacji dotyczących zdrowia, bezpieczeństwa, przysługujących im praw, a</w:t>
      </w:r>
      <w:r w:rsidR="000E0BD2">
        <w:rPr>
          <w:rFonts w:cstheme="minorHAnsi"/>
          <w:sz w:val="24"/>
          <w:szCs w:val="24"/>
        </w:rPr>
        <w:t> </w:t>
      </w:r>
      <w:r w:rsidRPr="00A26E9C">
        <w:rPr>
          <w:rFonts w:cstheme="minorHAnsi"/>
          <w:sz w:val="24"/>
          <w:szCs w:val="24"/>
        </w:rPr>
        <w:t>także porad prawnych na wypadek trudnych sytuacji życiowych. Celem akcji była również aktywizacja społeczna osób starszych, które dzięki wydarzeniom i atrakcjom mogły spotkać się</w:t>
      </w:r>
      <w:r w:rsidR="00ED6F3A">
        <w:rPr>
          <w:rFonts w:cstheme="minorHAnsi"/>
          <w:sz w:val="24"/>
          <w:szCs w:val="24"/>
        </w:rPr>
        <w:t> </w:t>
      </w:r>
      <w:r w:rsidRPr="00A26E9C">
        <w:rPr>
          <w:rFonts w:cstheme="minorHAnsi"/>
          <w:sz w:val="24"/>
          <w:szCs w:val="24"/>
        </w:rPr>
        <w:t>z innymi i spędzić aktywnie czas. Na potrzeb</w:t>
      </w:r>
      <w:r w:rsidR="00ED6F3A">
        <w:rPr>
          <w:rFonts w:cstheme="minorHAnsi"/>
          <w:sz w:val="24"/>
          <w:szCs w:val="24"/>
        </w:rPr>
        <w:t>y akcji</w:t>
      </w:r>
      <w:r w:rsidRPr="00A26E9C">
        <w:rPr>
          <w:rFonts w:cstheme="minorHAnsi"/>
          <w:sz w:val="24"/>
          <w:szCs w:val="24"/>
        </w:rPr>
        <w:t xml:space="preserve"> wydany został kolejny numer publikacji „ZUS dla Seniora”, która zawierał</w:t>
      </w:r>
      <w:r w:rsidR="00DB638C">
        <w:rPr>
          <w:rFonts w:cstheme="minorHAnsi"/>
          <w:sz w:val="24"/>
          <w:szCs w:val="24"/>
        </w:rPr>
        <w:t>a</w:t>
      </w:r>
      <w:r w:rsidRPr="00A26E9C">
        <w:rPr>
          <w:rFonts w:cstheme="minorHAnsi"/>
          <w:sz w:val="24"/>
          <w:szCs w:val="24"/>
        </w:rPr>
        <w:t xml:space="preserve"> najważniejsze informacje z punktu widzenia osób starszych.</w:t>
      </w:r>
    </w:p>
    <w:p w14:paraId="40D034AA" w14:textId="709F082D" w:rsidR="00626E78" w:rsidRDefault="00626E78" w:rsidP="00A26E9C">
      <w:pPr>
        <w:spacing w:before="120" w:after="120"/>
        <w:jc w:val="both"/>
        <w:rPr>
          <w:rFonts w:cstheme="minorHAnsi"/>
          <w:sz w:val="24"/>
          <w:szCs w:val="24"/>
        </w:rPr>
      </w:pPr>
      <w:r w:rsidRPr="00A26E9C">
        <w:rPr>
          <w:rFonts w:cstheme="minorHAnsi"/>
          <w:sz w:val="24"/>
          <w:szCs w:val="24"/>
        </w:rPr>
        <w:t>Koordynatorzy ds. komunikacji społecznej i edukacji</w:t>
      </w:r>
      <w:r w:rsidR="00ED6F3A">
        <w:rPr>
          <w:rFonts w:cstheme="minorHAnsi"/>
          <w:sz w:val="24"/>
          <w:szCs w:val="24"/>
        </w:rPr>
        <w:t xml:space="preserve"> oraz lokalni rzecznicy prasowi</w:t>
      </w:r>
      <w:r w:rsidRPr="00A26E9C">
        <w:rPr>
          <w:rFonts w:cstheme="minorHAnsi"/>
          <w:sz w:val="24"/>
          <w:szCs w:val="24"/>
        </w:rPr>
        <w:t xml:space="preserve"> publikowali w prasie krajowej i regionalnej artykuły, które informowały klientów, że im dłużej będą pracować, tym wyższą otrzymają emeryturę, ponieważ odłożą więcej składek, które będą waloryzowane, a ich średnie dalsze trwanie życia (przez które dzieli się zgromadzone składki emerytalne i kapitał początkowy po waloryzacji) będzie niższe. W 2019 r. rehabilitację w</w:t>
      </w:r>
      <w:r w:rsidR="000E0BD2">
        <w:rPr>
          <w:rFonts w:cstheme="minorHAnsi"/>
          <w:sz w:val="24"/>
          <w:szCs w:val="24"/>
        </w:rPr>
        <w:t> </w:t>
      </w:r>
      <w:r w:rsidRPr="00A26E9C">
        <w:rPr>
          <w:rFonts w:cstheme="minorHAnsi"/>
          <w:sz w:val="24"/>
          <w:szCs w:val="24"/>
        </w:rPr>
        <w:t>ramach prewencji rentowej ZUS ukończyło – 86</w:t>
      </w:r>
      <w:r w:rsidR="00C60223" w:rsidRPr="008D0165">
        <w:rPr>
          <w:sz w:val="24"/>
          <w:szCs w:val="24"/>
        </w:rPr>
        <w:t> </w:t>
      </w:r>
      <w:r w:rsidRPr="00A26E9C">
        <w:rPr>
          <w:rFonts w:cstheme="minorHAnsi"/>
          <w:sz w:val="24"/>
          <w:szCs w:val="24"/>
        </w:rPr>
        <w:t>392 w tym niespełna 66% osób powyżej 50</w:t>
      </w:r>
      <w:r w:rsidR="000E0BD2">
        <w:rPr>
          <w:rFonts w:cstheme="minorHAnsi"/>
          <w:sz w:val="24"/>
          <w:szCs w:val="24"/>
        </w:rPr>
        <w:t> </w:t>
      </w:r>
      <w:r w:rsidRPr="00A26E9C">
        <w:rPr>
          <w:rFonts w:cstheme="minorHAnsi"/>
          <w:sz w:val="24"/>
          <w:szCs w:val="24"/>
        </w:rPr>
        <w:t>r</w:t>
      </w:r>
      <w:r w:rsidR="002B18A7">
        <w:rPr>
          <w:rFonts w:cstheme="minorHAnsi"/>
          <w:sz w:val="24"/>
          <w:szCs w:val="24"/>
        </w:rPr>
        <w:t>.</w:t>
      </w:r>
      <w:r w:rsidRPr="00A26E9C">
        <w:rPr>
          <w:rFonts w:cstheme="minorHAnsi"/>
          <w:sz w:val="24"/>
          <w:szCs w:val="24"/>
        </w:rPr>
        <w:t>ż.</w:t>
      </w:r>
      <w:r w:rsidR="00A51AD1">
        <w:rPr>
          <w:rFonts w:cstheme="minorHAnsi"/>
          <w:sz w:val="24"/>
          <w:szCs w:val="24"/>
        </w:rPr>
        <w:t xml:space="preserve"> </w:t>
      </w:r>
      <w:r w:rsidRPr="00A26E9C">
        <w:rPr>
          <w:rFonts w:cstheme="minorHAnsi"/>
          <w:sz w:val="24"/>
          <w:szCs w:val="24"/>
        </w:rPr>
        <w:t>Zgodnie z badaniem, opublikowanym w 2019 r.</w:t>
      </w:r>
      <w:r w:rsidR="00ED6F3A">
        <w:rPr>
          <w:rFonts w:cstheme="minorHAnsi"/>
          <w:sz w:val="24"/>
          <w:szCs w:val="24"/>
        </w:rPr>
        <w:t>,</w:t>
      </w:r>
      <w:r w:rsidRPr="00A26E9C">
        <w:rPr>
          <w:rFonts w:cstheme="minorHAnsi"/>
          <w:sz w:val="24"/>
          <w:szCs w:val="24"/>
        </w:rPr>
        <w:t xml:space="preserve"> w okresie 12 miesięcy od daty zakończenia rehabilitacji leczniczej w 2017 r. 59,7% osób poddanych rehabilitacji nie pobierało żadnych świadczeń z ubezpieczeń społecznych z tytułu choroby, która była przyczyną skierowania na rehabilitację.</w:t>
      </w:r>
    </w:p>
    <w:p w14:paraId="07AA6C35" w14:textId="77777777" w:rsidR="008D57AD" w:rsidRPr="00A26E9C" w:rsidRDefault="008D57AD" w:rsidP="00A26E9C">
      <w:pPr>
        <w:spacing w:before="120" w:after="120"/>
        <w:jc w:val="both"/>
        <w:rPr>
          <w:rFonts w:cstheme="minorHAnsi"/>
          <w:sz w:val="24"/>
          <w:szCs w:val="24"/>
        </w:rPr>
      </w:pPr>
    </w:p>
    <w:p w14:paraId="0E813A39" w14:textId="77777777" w:rsidR="00EF36B4" w:rsidRPr="008D0165" w:rsidRDefault="00EF36B4" w:rsidP="001409BE">
      <w:pPr>
        <w:pStyle w:val="Akapitzlist"/>
        <w:numPr>
          <w:ilvl w:val="0"/>
          <w:numId w:val="14"/>
        </w:numPr>
        <w:spacing w:before="120" w:after="120" w:line="23" w:lineRule="atLeast"/>
        <w:ind w:left="284" w:hanging="284"/>
        <w:contextualSpacing w:val="0"/>
        <w:rPr>
          <w:b/>
          <w:sz w:val="24"/>
          <w:szCs w:val="24"/>
        </w:rPr>
      </w:pPr>
      <w:r w:rsidRPr="008D0165">
        <w:rPr>
          <w:b/>
          <w:sz w:val="24"/>
          <w:szCs w:val="24"/>
        </w:rPr>
        <w:t>Podsumowanie</w:t>
      </w:r>
    </w:p>
    <w:p w14:paraId="1B080174" w14:textId="6D481A58" w:rsidR="007F779F" w:rsidRDefault="007F779F" w:rsidP="001409BE">
      <w:pPr>
        <w:pStyle w:val="Akapitzlist"/>
        <w:numPr>
          <w:ilvl w:val="0"/>
          <w:numId w:val="15"/>
        </w:numPr>
        <w:spacing w:before="120" w:after="120"/>
        <w:contextualSpacing w:val="0"/>
        <w:jc w:val="both"/>
        <w:rPr>
          <w:sz w:val="24"/>
          <w:szCs w:val="24"/>
        </w:rPr>
      </w:pPr>
      <w:r w:rsidRPr="007F779F">
        <w:rPr>
          <w:sz w:val="24"/>
          <w:szCs w:val="24"/>
        </w:rPr>
        <w:t>Przywrócenie wieku emerytalnego</w:t>
      </w:r>
    </w:p>
    <w:p w14:paraId="0EA355BB" w14:textId="02052924" w:rsidR="00BD16B2" w:rsidRPr="008D0165" w:rsidRDefault="00BD16B2" w:rsidP="00B900CF">
      <w:pPr>
        <w:pStyle w:val="Akapitzlist"/>
        <w:spacing w:before="120" w:after="120"/>
        <w:contextualSpacing w:val="0"/>
        <w:jc w:val="both"/>
        <w:rPr>
          <w:sz w:val="24"/>
          <w:szCs w:val="24"/>
        </w:rPr>
      </w:pPr>
      <w:r w:rsidRPr="008D0165">
        <w:rPr>
          <w:sz w:val="24"/>
          <w:szCs w:val="24"/>
        </w:rPr>
        <w:t>Od dnia 1 października 2017 r. został przywrócony wiek emerytalny obowiązujący do</w:t>
      </w:r>
      <w:r w:rsidR="000E0BD2">
        <w:rPr>
          <w:sz w:val="24"/>
          <w:szCs w:val="24"/>
        </w:rPr>
        <w:t> </w:t>
      </w:r>
      <w:r w:rsidRPr="008D0165">
        <w:rPr>
          <w:sz w:val="24"/>
          <w:szCs w:val="24"/>
        </w:rPr>
        <w:t>końca 2012 r., tj. 60 lat dla kobiet i 65 lat dla mężczyzn.</w:t>
      </w:r>
      <w:r w:rsidR="00965D1A" w:rsidRPr="008D0165">
        <w:rPr>
          <w:sz w:val="24"/>
          <w:szCs w:val="24"/>
        </w:rPr>
        <w:t xml:space="preserve"> </w:t>
      </w:r>
      <w:r w:rsidRPr="008D0165">
        <w:rPr>
          <w:sz w:val="24"/>
          <w:szCs w:val="24"/>
        </w:rPr>
        <w:t>Dotyczy to nie tylko systemu powszechnego, ale również osób podlegających ubezpieczeniu społecznemu rolników, a także sędziów i prokuratorów.</w:t>
      </w:r>
    </w:p>
    <w:p w14:paraId="2B1CA32D" w14:textId="30D12E3B" w:rsidR="00BD16B2" w:rsidRPr="008D0165" w:rsidRDefault="00BD16B2" w:rsidP="001409BE">
      <w:pPr>
        <w:pStyle w:val="Akapitzlist"/>
        <w:spacing w:before="120" w:after="120"/>
        <w:contextualSpacing w:val="0"/>
        <w:jc w:val="both"/>
        <w:rPr>
          <w:sz w:val="24"/>
          <w:szCs w:val="24"/>
        </w:rPr>
      </w:pPr>
      <w:r w:rsidRPr="008D0165">
        <w:rPr>
          <w:sz w:val="24"/>
          <w:szCs w:val="24"/>
        </w:rPr>
        <w:t>To z jednej strony spełnienie obietnicy złożonej wyborcom, a z drugiej – wyjście naprzeciw oczekiwaniom polskiego społeczeństwa, które w znacznej większości nie</w:t>
      </w:r>
      <w:r w:rsidR="000E0BD2">
        <w:rPr>
          <w:sz w:val="24"/>
          <w:szCs w:val="24"/>
        </w:rPr>
        <w:t> </w:t>
      </w:r>
      <w:r w:rsidRPr="008D0165">
        <w:rPr>
          <w:sz w:val="24"/>
          <w:szCs w:val="24"/>
        </w:rPr>
        <w:t>zgadzało się na podniesienie wieku emerytalnego. Jak pokazują badania CBOS, przeprowadzone w okresie prac legislacyjnych nad ustawą przywracającą wiek emerytalny, aż 84% Polaków poparło powrót do poprzedniego wieku emerytalnego.</w:t>
      </w:r>
    </w:p>
    <w:p w14:paraId="69F7FE9B" w14:textId="3C21FEC0" w:rsidR="006232F1" w:rsidRDefault="0023347E" w:rsidP="009D2FE9">
      <w:pPr>
        <w:pStyle w:val="Akapitzlist"/>
        <w:spacing w:after="0"/>
        <w:jc w:val="both"/>
        <w:rPr>
          <w:sz w:val="24"/>
          <w:szCs w:val="24"/>
        </w:rPr>
      </w:pPr>
      <w:r w:rsidRPr="008D0165">
        <w:rPr>
          <w:sz w:val="24"/>
          <w:szCs w:val="24"/>
        </w:rPr>
        <w:t>Przejście na emeryturę jest prawem, a nie obowiązkiem. Ustawa określa minimalny wiek emerytalny</w:t>
      </w:r>
      <w:r w:rsidR="00965D1A" w:rsidRPr="008D0165">
        <w:rPr>
          <w:sz w:val="24"/>
          <w:szCs w:val="24"/>
        </w:rPr>
        <w:t xml:space="preserve">, w którym można skorzystać z prawa do emerytury, </w:t>
      </w:r>
      <w:r w:rsidR="00965D1A" w:rsidRPr="008D0165">
        <w:rPr>
          <w:sz w:val="24"/>
          <w:szCs w:val="24"/>
        </w:rPr>
        <w:lastRenderedPageBreak/>
        <w:t>tym samym</w:t>
      </w:r>
      <w:r w:rsidRPr="008D0165">
        <w:rPr>
          <w:sz w:val="24"/>
          <w:szCs w:val="24"/>
        </w:rPr>
        <w:t xml:space="preserve"> daje wybór ubezpieczonemu</w:t>
      </w:r>
      <w:r w:rsidR="00965D1A" w:rsidRPr="008D0165">
        <w:rPr>
          <w:sz w:val="24"/>
          <w:szCs w:val="24"/>
        </w:rPr>
        <w:t>, kiedy</w:t>
      </w:r>
      <w:r w:rsidRPr="008D0165">
        <w:rPr>
          <w:sz w:val="24"/>
          <w:szCs w:val="24"/>
        </w:rPr>
        <w:t xml:space="preserve"> zakończ</w:t>
      </w:r>
      <w:r w:rsidR="00965D1A" w:rsidRPr="008D0165">
        <w:rPr>
          <w:sz w:val="24"/>
          <w:szCs w:val="24"/>
        </w:rPr>
        <w:t>yć</w:t>
      </w:r>
      <w:r w:rsidRPr="008D0165">
        <w:rPr>
          <w:sz w:val="24"/>
          <w:szCs w:val="24"/>
        </w:rPr>
        <w:t xml:space="preserve"> aktywnoś</w:t>
      </w:r>
      <w:r w:rsidR="00965D1A" w:rsidRPr="008D0165">
        <w:rPr>
          <w:sz w:val="24"/>
          <w:szCs w:val="24"/>
        </w:rPr>
        <w:t>ć</w:t>
      </w:r>
      <w:r w:rsidRPr="008D0165">
        <w:rPr>
          <w:sz w:val="24"/>
          <w:szCs w:val="24"/>
        </w:rPr>
        <w:t xml:space="preserve"> zawodow</w:t>
      </w:r>
      <w:r w:rsidR="00965D1A" w:rsidRPr="008D0165">
        <w:rPr>
          <w:sz w:val="24"/>
          <w:szCs w:val="24"/>
        </w:rPr>
        <w:t>ą</w:t>
      </w:r>
      <w:r w:rsidRPr="008D0165">
        <w:rPr>
          <w:sz w:val="24"/>
          <w:szCs w:val="24"/>
        </w:rPr>
        <w:t>. Decyzja o</w:t>
      </w:r>
      <w:r w:rsidR="000E0BD2">
        <w:rPr>
          <w:sz w:val="24"/>
          <w:szCs w:val="24"/>
        </w:rPr>
        <w:t> </w:t>
      </w:r>
      <w:r w:rsidRPr="008D0165">
        <w:rPr>
          <w:sz w:val="24"/>
          <w:szCs w:val="24"/>
        </w:rPr>
        <w:t>skorzystaniu z prawa do emerytury czy też o kontynuowaniu pracy zawodowej, przesuwając w czasie swoje przejście na emeryturę, w dużej mierze determinowana jest indywidualną sytuacją ubezpieczonego w zakresie jego stanu zdrowia, sytuacji i</w:t>
      </w:r>
      <w:r w:rsidR="000E0BD2">
        <w:rPr>
          <w:sz w:val="24"/>
          <w:szCs w:val="24"/>
        </w:rPr>
        <w:t> </w:t>
      </w:r>
      <w:r w:rsidRPr="008D0165">
        <w:rPr>
          <w:sz w:val="24"/>
          <w:szCs w:val="24"/>
        </w:rPr>
        <w:t>pozycji na rynku pracy, planów dotyczących długości odpoczynku po zakończeniu aktywności zawodowej, jak również oczekiwań dotyczących wysokości świadczeń emerytalnych.</w:t>
      </w:r>
      <w:r w:rsidR="002D7496">
        <w:rPr>
          <w:sz w:val="24"/>
          <w:szCs w:val="24"/>
        </w:rPr>
        <w:t xml:space="preserve"> </w:t>
      </w:r>
      <w:r w:rsidR="002D7496" w:rsidRPr="001271B9">
        <w:rPr>
          <w:sz w:val="24"/>
          <w:szCs w:val="24"/>
        </w:rPr>
        <w:t>Korzyści wynikające z dłuższej aktywności zawodowej</w:t>
      </w:r>
      <w:r w:rsidR="002D7496">
        <w:rPr>
          <w:sz w:val="24"/>
          <w:szCs w:val="24"/>
        </w:rPr>
        <w:t>,</w:t>
      </w:r>
      <w:r w:rsidR="002D7496" w:rsidRPr="001271B9">
        <w:rPr>
          <w:sz w:val="24"/>
          <w:szCs w:val="24"/>
        </w:rPr>
        <w:t xml:space="preserve"> uzależnione od</w:t>
      </w:r>
      <w:r w:rsidR="000E0BD2">
        <w:rPr>
          <w:sz w:val="24"/>
          <w:szCs w:val="24"/>
        </w:rPr>
        <w:t> </w:t>
      </w:r>
      <w:r w:rsidR="002D7496" w:rsidRPr="001271B9">
        <w:rPr>
          <w:sz w:val="24"/>
          <w:szCs w:val="24"/>
        </w:rPr>
        <w:t>indywidualnej sytuacji</w:t>
      </w:r>
      <w:r w:rsidR="002D7496">
        <w:rPr>
          <w:sz w:val="24"/>
          <w:szCs w:val="24"/>
        </w:rPr>
        <w:t>,</w:t>
      </w:r>
      <w:r w:rsidR="002D7496" w:rsidRPr="001271B9">
        <w:rPr>
          <w:sz w:val="24"/>
          <w:szCs w:val="24"/>
        </w:rPr>
        <w:t xml:space="preserve"> każdy ubezpieczony ocenia subiektywnie. </w:t>
      </w:r>
    </w:p>
    <w:p w14:paraId="04ACD0B0" w14:textId="005E3DBD" w:rsidR="0023347E" w:rsidRPr="00B33698" w:rsidRDefault="0023347E" w:rsidP="009D2FE9">
      <w:pPr>
        <w:pStyle w:val="Akapitzlist"/>
        <w:jc w:val="both"/>
      </w:pPr>
    </w:p>
    <w:p w14:paraId="74CEB385" w14:textId="7E8B7307" w:rsidR="0023347E" w:rsidRPr="00A77D1A" w:rsidRDefault="0023347E" w:rsidP="00E5554B">
      <w:pPr>
        <w:pStyle w:val="Akapitzlist"/>
        <w:numPr>
          <w:ilvl w:val="0"/>
          <w:numId w:val="15"/>
        </w:numPr>
        <w:spacing w:before="120" w:after="120"/>
        <w:contextualSpacing w:val="0"/>
        <w:jc w:val="both"/>
        <w:rPr>
          <w:sz w:val="24"/>
          <w:szCs w:val="24"/>
        </w:rPr>
      </w:pPr>
      <w:r w:rsidRPr="00A77D1A">
        <w:rPr>
          <w:sz w:val="24"/>
          <w:szCs w:val="24"/>
        </w:rPr>
        <w:t>Liczba osób, które przeszły na emeryturę, średni wiek, przeciętna wysokość emerytury</w:t>
      </w:r>
    </w:p>
    <w:p w14:paraId="38C9EF60" w14:textId="4B76F50D" w:rsidR="008F4158" w:rsidRDefault="008F4158" w:rsidP="001409BE">
      <w:pPr>
        <w:pStyle w:val="Akapitzlist"/>
        <w:spacing w:before="120" w:after="120"/>
        <w:contextualSpacing w:val="0"/>
        <w:jc w:val="both"/>
        <w:rPr>
          <w:sz w:val="24"/>
          <w:szCs w:val="24"/>
        </w:rPr>
      </w:pPr>
      <w:r w:rsidRPr="008D0165">
        <w:rPr>
          <w:sz w:val="24"/>
          <w:szCs w:val="24"/>
        </w:rPr>
        <w:t xml:space="preserve">W przywróconym ustawą </w:t>
      </w:r>
      <w:r w:rsidR="004416EE">
        <w:rPr>
          <w:sz w:val="24"/>
          <w:szCs w:val="24"/>
        </w:rPr>
        <w:t>wiekową</w:t>
      </w:r>
      <w:r w:rsidRPr="008D0165">
        <w:rPr>
          <w:sz w:val="24"/>
          <w:szCs w:val="24"/>
        </w:rPr>
        <w:t xml:space="preserve"> wieku emerytalnym w 2019 r. po raz pierwszy przyznano 29</w:t>
      </w:r>
      <w:r w:rsidR="00234C9C" w:rsidRPr="008D0165">
        <w:rPr>
          <w:sz w:val="24"/>
          <w:szCs w:val="24"/>
        </w:rPr>
        <w:t>5</w:t>
      </w:r>
      <w:r w:rsidRPr="008D0165">
        <w:rPr>
          <w:sz w:val="24"/>
          <w:szCs w:val="24"/>
        </w:rPr>
        <w:t>,</w:t>
      </w:r>
      <w:r w:rsidR="00234C9C" w:rsidRPr="008D0165">
        <w:rPr>
          <w:sz w:val="24"/>
          <w:szCs w:val="24"/>
        </w:rPr>
        <w:t>2</w:t>
      </w:r>
      <w:r w:rsidRPr="008D0165">
        <w:rPr>
          <w:sz w:val="24"/>
          <w:szCs w:val="24"/>
        </w:rPr>
        <w:t xml:space="preserve"> tys. emerytur liczonych na nowych zasadach. W 2020 r. przyznano 28</w:t>
      </w:r>
      <w:r w:rsidR="00234C9C" w:rsidRPr="008D0165">
        <w:rPr>
          <w:sz w:val="24"/>
          <w:szCs w:val="24"/>
        </w:rPr>
        <w:t>7</w:t>
      </w:r>
      <w:r w:rsidRPr="008D0165">
        <w:rPr>
          <w:sz w:val="24"/>
          <w:szCs w:val="24"/>
        </w:rPr>
        <w:t>,</w:t>
      </w:r>
      <w:r w:rsidR="00234C9C" w:rsidRPr="008D0165">
        <w:rPr>
          <w:sz w:val="24"/>
          <w:szCs w:val="24"/>
        </w:rPr>
        <w:t>9</w:t>
      </w:r>
      <w:r w:rsidRPr="008D0165">
        <w:rPr>
          <w:sz w:val="24"/>
          <w:szCs w:val="24"/>
        </w:rPr>
        <w:t xml:space="preserve"> tys., a w 2021 r. 28</w:t>
      </w:r>
      <w:r w:rsidR="00234C9C" w:rsidRPr="008D0165">
        <w:rPr>
          <w:sz w:val="24"/>
          <w:szCs w:val="24"/>
        </w:rPr>
        <w:t>9</w:t>
      </w:r>
      <w:r w:rsidRPr="008D0165">
        <w:rPr>
          <w:sz w:val="24"/>
          <w:szCs w:val="24"/>
        </w:rPr>
        <w:t>,</w:t>
      </w:r>
      <w:r w:rsidR="00234C9C" w:rsidRPr="008D0165">
        <w:rPr>
          <w:sz w:val="24"/>
          <w:szCs w:val="24"/>
        </w:rPr>
        <w:t>7</w:t>
      </w:r>
      <w:r w:rsidRPr="008D0165">
        <w:rPr>
          <w:sz w:val="24"/>
          <w:szCs w:val="24"/>
        </w:rPr>
        <w:t xml:space="preserve"> tys. tych świadczeń.</w:t>
      </w:r>
      <w:r w:rsidR="009755C7" w:rsidRPr="008D0165">
        <w:rPr>
          <w:sz w:val="24"/>
          <w:szCs w:val="24"/>
        </w:rPr>
        <w:t xml:space="preserve"> W </w:t>
      </w:r>
      <w:r w:rsidR="00965D1A" w:rsidRPr="008D0165">
        <w:rPr>
          <w:sz w:val="24"/>
          <w:szCs w:val="24"/>
        </w:rPr>
        <w:t>tym</w:t>
      </w:r>
      <w:r w:rsidR="009755C7" w:rsidRPr="008D0165">
        <w:rPr>
          <w:sz w:val="24"/>
          <w:szCs w:val="24"/>
        </w:rPr>
        <w:t xml:space="preserve"> okresie</w:t>
      </w:r>
      <w:r w:rsidR="00D27293" w:rsidRPr="008D0165">
        <w:rPr>
          <w:sz w:val="24"/>
          <w:szCs w:val="24"/>
        </w:rPr>
        <w:t xml:space="preserve"> blisko 60% emerytów stanowiły kobiety.</w:t>
      </w:r>
    </w:p>
    <w:p w14:paraId="552101CF" w14:textId="5993CAE8" w:rsidR="002D7496" w:rsidRPr="008D0165" w:rsidRDefault="002D7496" w:rsidP="00E64CAA">
      <w:pPr>
        <w:spacing w:before="120" w:after="120"/>
        <w:ind w:left="709"/>
        <w:jc w:val="both"/>
        <w:rPr>
          <w:sz w:val="24"/>
          <w:szCs w:val="24"/>
        </w:rPr>
      </w:pPr>
      <w:r>
        <w:rPr>
          <w:sz w:val="24"/>
          <w:szCs w:val="24"/>
        </w:rPr>
        <w:t>Zauważalny jest trend związany ze spadkiem liczby nowo przyznanych emerytur (choć</w:t>
      </w:r>
      <w:r w:rsidR="000E0BD2">
        <w:rPr>
          <w:sz w:val="24"/>
          <w:szCs w:val="24"/>
        </w:rPr>
        <w:t> </w:t>
      </w:r>
      <w:r>
        <w:rPr>
          <w:sz w:val="24"/>
          <w:szCs w:val="24"/>
        </w:rPr>
        <w:t>jeszcze cały czas liczba ta utrzymuje się na stosunkowo wysokim poziomie). W</w:t>
      </w:r>
      <w:r w:rsidR="000E0BD2">
        <w:rPr>
          <w:sz w:val="24"/>
          <w:szCs w:val="24"/>
        </w:rPr>
        <w:t> </w:t>
      </w:r>
      <w:r w:rsidRPr="008D0165">
        <w:rPr>
          <w:sz w:val="24"/>
          <w:szCs w:val="24"/>
        </w:rPr>
        <w:t xml:space="preserve">2018 r. liczba nowo przyznanych emerytur </w:t>
      </w:r>
      <w:r>
        <w:rPr>
          <w:sz w:val="24"/>
          <w:szCs w:val="24"/>
        </w:rPr>
        <w:t xml:space="preserve">wynosiła </w:t>
      </w:r>
      <w:r w:rsidR="00CD7268">
        <w:rPr>
          <w:sz w:val="24"/>
          <w:szCs w:val="24"/>
        </w:rPr>
        <w:t>–</w:t>
      </w:r>
      <w:r>
        <w:rPr>
          <w:sz w:val="24"/>
          <w:szCs w:val="24"/>
        </w:rPr>
        <w:t xml:space="preserve"> </w:t>
      </w:r>
      <w:r w:rsidRPr="008D0165">
        <w:rPr>
          <w:sz w:val="24"/>
          <w:szCs w:val="24"/>
        </w:rPr>
        <w:t>354,6 tys</w:t>
      </w:r>
      <w:r>
        <w:rPr>
          <w:sz w:val="24"/>
          <w:szCs w:val="24"/>
        </w:rPr>
        <w:t xml:space="preserve">., w 2019 r. </w:t>
      </w:r>
      <w:r w:rsidR="00CD7268">
        <w:rPr>
          <w:sz w:val="24"/>
          <w:szCs w:val="24"/>
        </w:rPr>
        <w:t>–</w:t>
      </w:r>
      <w:r w:rsidRPr="008D0165">
        <w:rPr>
          <w:sz w:val="24"/>
          <w:szCs w:val="24"/>
        </w:rPr>
        <w:t xml:space="preserve"> 302,3</w:t>
      </w:r>
      <w:r w:rsidR="000E0BD2">
        <w:rPr>
          <w:sz w:val="24"/>
          <w:szCs w:val="24"/>
        </w:rPr>
        <w:t> </w:t>
      </w:r>
      <w:r w:rsidRPr="008D0165">
        <w:rPr>
          <w:sz w:val="24"/>
          <w:szCs w:val="24"/>
        </w:rPr>
        <w:t xml:space="preserve">tys.; </w:t>
      </w:r>
      <w:r>
        <w:rPr>
          <w:sz w:val="24"/>
          <w:szCs w:val="24"/>
        </w:rPr>
        <w:t xml:space="preserve">w 2020 r. </w:t>
      </w:r>
      <w:r w:rsidR="00CD7268">
        <w:rPr>
          <w:sz w:val="24"/>
          <w:szCs w:val="24"/>
        </w:rPr>
        <w:t>–</w:t>
      </w:r>
      <w:r>
        <w:rPr>
          <w:sz w:val="24"/>
          <w:szCs w:val="24"/>
        </w:rPr>
        <w:t xml:space="preserve"> </w:t>
      </w:r>
      <w:r w:rsidRPr="008D0165">
        <w:rPr>
          <w:sz w:val="24"/>
          <w:szCs w:val="24"/>
        </w:rPr>
        <w:t>293,1 tys.</w:t>
      </w:r>
      <w:r>
        <w:rPr>
          <w:sz w:val="24"/>
          <w:szCs w:val="24"/>
        </w:rPr>
        <w:t xml:space="preserve"> (</w:t>
      </w:r>
      <w:r w:rsidRPr="008D0165">
        <w:rPr>
          <w:sz w:val="24"/>
          <w:szCs w:val="24"/>
        </w:rPr>
        <w:t xml:space="preserve">wyjątkiem jest nieznaczny wzrost </w:t>
      </w:r>
      <w:r>
        <w:rPr>
          <w:sz w:val="24"/>
          <w:szCs w:val="24"/>
        </w:rPr>
        <w:t xml:space="preserve">w </w:t>
      </w:r>
      <w:r w:rsidRPr="008D0165">
        <w:rPr>
          <w:sz w:val="24"/>
          <w:szCs w:val="24"/>
        </w:rPr>
        <w:t xml:space="preserve">2021 r. </w:t>
      </w:r>
      <w:r>
        <w:rPr>
          <w:sz w:val="24"/>
          <w:szCs w:val="24"/>
        </w:rPr>
        <w:t>do</w:t>
      </w:r>
      <w:r w:rsidR="000E0BD2">
        <w:rPr>
          <w:sz w:val="24"/>
          <w:szCs w:val="24"/>
        </w:rPr>
        <w:t> </w:t>
      </w:r>
      <w:r w:rsidRPr="008D0165">
        <w:rPr>
          <w:sz w:val="24"/>
          <w:szCs w:val="24"/>
        </w:rPr>
        <w:t>293,9</w:t>
      </w:r>
      <w:r w:rsidR="000E0BD2">
        <w:rPr>
          <w:sz w:val="24"/>
          <w:szCs w:val="24"/>
        </w:rPr>
        <w:t> </w:t>
      </w:r>
      <w:r w:rsidRPr="008D0165">
        <w:rPr>
          <w:sz w:val="24"/>
          <w:szCs w:val="24"/>
        </w:rPr>
        <w:t>tys.</w:t>
      </w:r>
      <w:r>
        <w:rPr>
          <w:sz w:val="24"/>
          <w:szCs w:val="24"/>
        </w:rPr>
        <w:t>).</w:t>
      </w:r>
    </w:p>
    <w:p w14:paraId="35F10BAB" w14:textId="515820D0" w:rsidR="0023347E" w:rsidRPr="008D0165" w:rsidRDefault="0023347E" w:rsidP="001409BE">
      <w:pPr>
        <w:pStyle w:val="Akapitzlist"/>
        <w:spacing w:before="120" w:after="120"/>
        <w:contextualSpacing w:val="0"/>
        <w:jc w:val="both"/>
        <w:rPr>
          <w:sz w:val="24"/>
          <w:szCs w:val="24"/>
        </w:rPr>
      </w:pPr>
      <w:r w:rsidRPr="008D0165">
        <w:rPr>
          <w:sz w:val="24"/>
          <w:szCs w:val="24"/>
        </w:rPr>
        <w:t>Należy zauważyć, że struktura demograficzna naszego społeczeństwa, a więc procesy demograficzne powodują wzrost bezwzględnej liczby świadczeniobiorców.</w:t>
      </w:r>
      <w:r w:rsidR="00640D6A" w:rsidRPr="008D0165">
        <w:rPr>
          <w:sz w:val="24"/>
          <w:szCs w:val="24"/>
        </w:rPr>
        <w:t xml:space="preserve"> </w:t>
      </w:r>
      <w:r w:rsidRPr="008D0165">
        <w:rPr>
          <w:sz w:val="24"/>
          <w:szCs w:val="24"/>
        </w:rPr>
        <w:t>Według danych GUS w latach 20</w:t>
      </w:r>
      <w:r w:rsidR="00A751B7" w:rsidRPr="008D0165">
        <w:rPr>
          <w:sz w:val="24"/>
          <w:szCs w:val="24"/>
        </w:rPr>
        <w:t>11</w:t>
      </w:r>
      <w:r w:rsidR="003D7141">
        <w:rPr>
          <w:sz w:val="24"/>
          <w:szCs w:val="24"/>
        </w:rPr>
        <w:t>–</w:t>
      </w:r>
      <w:r w:rsidRPr="008D0165">
        <w:rPr>
          <w:sz w:val="24"/>
          <w:szCs w:val="24"/>
        </w:rPr>
        <w:t>20</w:t>
      </w:r>
      <w:r w:rsidR="00A751B7" w:rsidRPr="008D0165">
        <w:rPr>
          <w:sz w:val="24"/>
          <w:szCs w:val="24"/>
        </w:rPr>
        <w:t>2</w:t>
      </w:r>
      <w:r w:rsidR="00933B3B">
        <w:rPr>
          <w:sz w:val="24"/>
          <w:szCs w:val="24"/>
        </w:rPr>
        <w:t>1</w:t>
      </w:r>
      <w:r w:rsidRPr="008D0165">
        <w:rPr>
          <w:sz w:val="24"/>
          <w:szCs w:val="24"/>
        </w:rPr>
        <w:t xml:space="preserve"> liczba ludności Polski </w:t>
      </w:r>
      <w:r w:rsidR="00A751B7" w:rsidRPr="008D0165">
        <w:rPr>
          <w:sz w:val="24"/>
          <w:szCs w:val="24"/>
        </w:rPr>
        <w:t>zmniejszył</w:t>
      </w:r>
      <w:r w:rsidRPr="008D0165">
        <w:rPr>
          <w:sz w:val="24"/>
          <w:szCs w:val="24"/>
        </w:rPr>
        <w:t xml:space="preserve">a się o </w:t>
      </w:r>
      <w:r w:rsidR="00A751B7" w:rsidRPr="008D0165">
        <w:rPr>
          <w:sz w:val="24"/>
          <w:szCs w:val="24"/>
        </w:rPr>
        <w:t>4</w:t>
      </w:r>
      <w:r w:rsidR="00933B3B">
        <w:rPr>
          <w:sz w:val="24"/>
          <w:szCs w:val="24"/>
        </w:rPr>
        <w:t>58,0</w:t>
      </w:r>
      <w:r w:rsidRPr="008D0165">
        <w:rPr>
          <w:sz w:val="24"/>
          <w:szCs w:val="24"/>
        </w:rPr>
        <w:t xml:space="preserve"> tys. osób, tj. o </w:t>
      </w:r>
      <w:r w:rsidR="00933B3B">
        <w:rPr>
          <w:sz w:val="24"/>
          <w:szCs w:val="24"/>
        </w:rPr>
        <w:t>1</w:t>
      </w:r>
      <w:r w:rsidRPr="008D0165">
        <w:rPr>
          <w:sz w:val="24"/>
          <w:szCs w:val="24"/>
        </w:rPr>
        <w:t>,</w:t>
      </w:r>
      <w:r w:rsidR="00933B3B">
        <w:rPr>
          <w:sz w:val="24"/>
          <w:szCs w:val="24"/>
        </w:rPr>
        <w:t>2</w:t>
      </w:r>
      <w:r w:rsidRPr="008D0165">
        <w:rPr>
          <w:sz w:val="24"/>
          <w:szCs w:val="24"/>
        </w:rPr>
        <w:t>%. W tym samym czasie liczba ludności w wieku poprodukcyjnym (60/65 lat i więcej) wzrosła o 1</w:t>
      </w:r>
      <w:r w:rsidR="00AD1868">
        <w:rPr>
          <w:sz w:val="24"/>
          <w:szCs w:val="24"/>
        </w:rPr>
        <w:t>961,3</w:t>
      </w:r>
      <w:r w:rsidRPr="008D0165">
        <w:rPr>
          <w:sz w:val="24"/>
          <w:szCs w:val="24"/>
        </w:rPr>
        <w:t xml:space="preserve"> tys., a jej udział ogółem wzrósł z </w:t>
      </w:r>
      <w:r w:rsidR="00AD1868">
        <w:rPr>
          <w:sz w:val="24"/>
          <w:szCs w:val="24"/>
        </w:rPr>
        <w:t>17</w:t>
      </w:r>
      <w:r w:rsidR="00F31F58" w:rsidRPr="008D0165">
        <w:rPr>
          <w:sz w:val="24"/>
          <w:szCs w:val="24"/>
        </w:rPr>
        <w:t>,</w:t>
      </w:r>
      <w:r w:rsidR="00AD1868">
        <w:rPr>
          <w:sz w:val="24"/>
          <w:szCs w:val="24"/>
        </w:rPr>
        <w:t>3</w:t>
      </w:r>
      <w:r w:rsidR="00F31F58" w:rsidRPr="008D0165">
        <w:rPr>
          <w:sz w:val="24"/>
          <w:szCs w:val="24"/>
        </w:rPr>
        <w:t>% do 22,</w:t>
      </w:r>
      <w:r w:rsidR="00AD1868">
        <w:rPr>
          <w:sz w:val="24"/>
          <w:szCs w:val="24"/>
        </w:rPr>
        <w:t>6</w:t>
      </w:r>
      <w:r w:rsidR="00F31F58" w:rsidRPr="008D0165">
        <w:rPr>
          <w:sz w:val="24"/>
          <w:szCs w:val="24"/>
        </w:rPr>
        <w:t xml:space="preserve">%. W tym samym okresie udział populacji w wieku produkcyjnym zmniejszył się o </w:t>
      </w:r>
      <w:r w:rsidR="00AD1868">
        <w:rPr>
          <w:sz w:val="24"/>
          <w:szCs w:val="24"/>
        </w:rPr>
        <w:t>2</w:t>
      </w:r>
      <w:r w:rsidR="00C60223" w:rsidRPr="008D0165">
        <w:rPr>
          <w:sz w:val="24"/>
          <w:szCs w:val="24"/>
        </w:rPr>
        <w:t> </w:t>
      </w:r>
      <w:r w:rsidR="00AD1868">
        <w:rPr>
          <w:sz w:val="24"/>
          <w:szCs w:val="24"/>
        </w:rPr>
        <w:t>211</w:t>
      </w:r>
      <w:r w:rsidR="00F31F58" w:rsidRPr="008D0165">
        <w:rPr>
          <w:sz w:val="24"/>
          <w:szCs w:val="24"/>
        </w:rPr>
        <w:t>,</w:t>
      </w:r>
      <w:r w:rsidR="00AD1868">
        <w:rPr>
          <w:sz w:val="24"/>
          <w:szCs w:val="24"/>
        </w:rPr>
        <w:t>2</w:t>
      </w:r>
      <w:r w:rsidR="00F31F58" w:rsidRPr="008D0165">
        <w:rPr>
          <w:sz w:val="24"/>
          <w:szCs w:val="24"/>
        </w:rPr>
        <w:t xml:space="preserve"> tys., </w:t>
      </w:r>
      <w:r w:rsidR="00AD1868">
        <w:rPr>
          <w:sz w:val="24"/>
          <w:szCs w:val="24"/>
        </w:rPr>
        <w:t>z </w:t>
      </w:r>
      <w:r w:rsidR="00E02D66" w:rsidRPr="008D0165">
        <w:rPr>
          <w:sz w:val="24"/>
          <w:szCs w:val="24"/>
        </w:rPr>
        <w:t>6</w:t>
      </w:r>
      <w:r w:rsidR="00AD1868">
        <w:rPr>
          <w:sz w:val="24"/>
          <w:szCs w:val="24"/>
        </w:rPr>
        <w:t>4</w:t>
      </w:r>
      <w:r w:rsidR="00E02D66" w:rsidRPr="008D0165">
        <w:rPr>
          <w:sz w:val="24"/>
          <w:szCs w:val="24"/>
        </w:rPr>
        <w:t>,</w:t>
      </w:r>
      <w:r w:rsidR="00AD1868">
        <w:rPr>
          <w:sz w:val="24"/>
          <w:szCs w:val="24"/>
        </w:rPr>
        <w:t>2</w:t>
      </w:r>
      <w:r w:rsidR="00E02D66" w:rsidRPr="008D0165">
        <w:rPr>
          <w:sz w:val="24"/>
          <w:szCs w:val="24"/>
        </w:rPr>
        <w:t>% do 59,</w:t>
      </w:r>
      <w:r w:rsidR="00AD1868">
        <w:rPr>
          <w:sz w:val="24"/>
          <w:szCs w:val="24"/>
        </w:rPr>
        <w:t>2</w:t>
      </w:r>
      <w:r w:rsidR="00E02D66" w:rsidRPr="008D0165">
        <w:rPr>
          <w:sz w:val="24"/>
          <w:szCs w:val="24"/>
        </w:rPr>
        <w:t xml:space="preserve">%. </w:t>
      </w:r>
      <w:r w:rsidR="00854748" w:rsidRPr="008D0165">
        <w:rPr>
          <w:sz w:val="24"/>
          <w:szCs w:val="24"/>
        </w:rPr>
        <w:t xml:space="preserve">Zmniejszył się również udział populacji w wieku przedprodukcyjnym o </w:t>
      </w:r>
      <w:r w:rsidR="00AD1868">
        <w:rPr>
          <w:sz w:val="24"/>
          <w:szCs w:val="24"/>
        </w:rPr>
        <w:t>208</w:t>
      </w:r>
      <w:r w:rsidR="00854748" w:rsidRPr="008D0165">
        <w:rPr>
          <w:sz w:val="24"/>
          <w:szCs w:val="24"/>
        </w:rPr>
        <w:t xml:space="preserve">,2 tys., z </w:t>
      </w:r>
      <w:r w:rsidR="00AD1868">
        <w:rPr>
          <w:sz w:val="24"/>
          <w:szCs w:val="24"/>
        </w:rPr>
        <w:t>18</w:t>
      </w:r>
      <w:r w:rsidR="00854748" w:rsidRPr="008D0165">
        <w:rPr>
          <w:sz w:val="24"/>
          <w:szCs w:val="24"/>
        </w:rPr>
        <w:t>,</w:t>
      </w:r>
      <w:r w:rsidR="00AD1868">
        <w:rPr>
          <w:sz w:val="24"/>
          <w:szCs w:val="24"/>
        </w:rPr>
        <w:t>5</w:t>
      </w:r>
      <w:r w:rsidR="00854748" w:rsidRPr="008D0165">
        <w:rPr>
          <w:sz w:val="24"/>
          <w:szCs w:val="24"/>
        </w:rPr>
        <w:t>% populacji ogółem do 18,2%. Warto zwrócić uwagę na spadek liczby populacji ogólnej w 202</w:t>
      </w:r>
      <w:r w:rsidR="00AD1868">
        <w:rPr>
          <w:sz w:val="24"/>
          <w:szCs w:val="24"/>
        </w:rPr>
        <w:t>1</w:t>
      </w:r>
      <w:r w:rsidR="00854748" w:rsidRPr="008D0165">
        <w:rPr>
          <w:sz w:val="24"/>
          <w:szCs w:val="24"/>
        </w:rPr>
        <w:t xml:space="preserve"> r. względem roku </w:t>
      </w:r>
      <w:r w:rsidR="00AE2220">
        <w:rPr>
          <w:sz w:val="24"/>
          <w:szCs w:val="24"/>
        </w:rPr>
        <w:t>poprzedniego</w:t>
      </w:r>
      <w:r w:rsidR="00FC7A1D" w:rsidRPr="008D0165">
        <w:rPr>
          <w:sz w:val="24"/>
          <w:szCs w:val="24"/>
        </w:rPr>
        <w:t xml:space="preserve"> </w:t>
      </w:r>
      <w:r w:rsidR="00854748" w:rsidRPr="008D0165">
        <w:rPr>
          <w:sz w:val="24"/>
          <w:szCs w:val="24"/>
        </w:rPr>
        <w:t>(o 1</w:t>
      </w:r>
      <w:r w:rsidR="00AD1868">
        <w:rPr>
          <w:sz w:val="24"/>
          <w:szCs w:val="24"/>
        </w:rPr>
        <w:t>84</w:t>
      </w:r>
      <w:r w:rsidR="00854748" w:rsidRPr="008D0165">
        <w:rPr>
          <w:sz w:val="24"/>
          <w:szCs w:val="24"/>
        </w:rPr>
        <w:t>,6 tys.), na co niewątpliwie wpływ miała pandemia COVID-19. Dla porównania względem lat ubiegłych w 201</w:t>
      </w:r>
      <w:r w:rsidR="00AD1868">
        <w:rPr>
          <w:sz w:val="24"/>
          <w:szCs w:val="24"/>
        </w:rPr>
        <w:t>9</w:t>
      </w:r>
      <w:r w:rsidR="00854748" w:rsidRPr="008D0165">
        <w:rPr>
          <w:sz w:val="24"/>
          <w:szCs w:val="24"/>
        </w:rPr>
        <w:t xml:space="preserve"> </w:t>
      </w:r>
      <w:r w:rsidR="002B18A7">
        <w:rPr>
          <w:sz w:val="24"/>
          <w:szCs w:val="24"/>
        </w:rPr>
        <w:t xml:space="preserve">r. </w:t>
      </w:r>
      <w:r w:rsidR="00AD1868">
        <w:rPr>
          <w:sz w:val="24"/>
          <w:szCs w:val="24"/>
        </w:rPr>
        <w:t>było to 28</w:t>
      </w:r>
      <w:r w:rsidR="00854748" w:rsidRPr="008D0165">
        <w:rPr>
          <w:sz w:val="24"/>
          <w:szCs w:val="24"/>
        </w:rPr>
        <w:t>,</w:t>
      </w:r>
      <w:r w:rsidR="00AD1868">
        <w:rPr>
          <w:sz w:val="24"/>
          <w:szCs w:val="24"/>
        </w:rPr>
        <w:t>6</w:t>
      </w:r>
      <w:r w:rsidR="00854748" w:rsidRPr="008D0165">
        <w:rPr>
          <w:sz w:val="24"/>
          <w:szCs w:val="24"/>
        </w:rPr>
        <w:t xml:space="preserve"> </w:t>
      </w:r>
      <w:r w:rsidR="00717776">
        <w:rPr>
          <w:sz w:val="24"/>
          <w:szCs w:val="24"/>
        </w:rPr>
        <w:t xml:space="preserve">tys. </w:t>
      </w:r>
      <w:r w:rsidR="00AD1868">
        <w:rPr>
          <w:sz w:val="24"/>
          <w:szCs w:val="24"/>
        </w:rPr>
        <w:t>osób, a w 2020</w:t>
      </w:r>
      <w:r w:rsidR="00854748" w:rsidRPr="008D0165">
        <w:rPr>
          <w:sz w:val="24"/>
          <w:szCs w:val="24"/>
        </w:rPr>
        <w:t xml:space="preserve"> r.</w:t>
      </w:r>
      <w:r w:rsidR="005F0B18" w:rsidRPr="008D0165">
        <w:rPr>
          <w:sz w:val="24"/>
          <w:szCs w:val="24"/>
        </w:rPr>
        <w:t xml:space="preserve"> </w:t>
      </w:r>
      <w:r w:rsidR="00BD38A4" w:rsidRPr="008D0165">
        <w:rPr>
          <w:sz w:val="24"/>
          <w:szCs w:val="24"/>
        </w:rPr>
        <w:t xml:space="preserve">– </w:t>
      </w:r>
      <w:r w:rsidR="00AD1868">
        <w:rPr>
          <w:sz w:val="24"/>
          <w:szCs w:val="24"/>
        </w:rPr>
        <w:t>117</w:t>
      </w:r>
      <w:r w:rsidR="00854748" w:rsidRPr="008D0165">
        <w:rPr>
          <w:sz w:val="24"/>
          <w:szCs w:val="24"/>
        </w:rPr>
        <w:t>,</w:t>
      </w:r>
      <w:r w:rsidR="00AD1868">
        <w:rPr>
          <w:sz w:val="24"/>
          <w:szCs w:val="24"/>
        </w:rPr>
        <w:t>6</w:t>
      </w:r>
      <w:r w:rsidR="00854748" w:rsidRPr="008D0165">
        <w:rPr>
          <w:sz w:val="24"/>
          <w:szCs w:val="24"/>
        </w:rPr>
        <w:t xml:space="preserve"> tys.</w:t>
      </w:r>
    </w:p>
    <w:p w14:paraId="7B597822" w14:textId="60C027B5" w:rsidR="006F33D9" w:rsidRDefault="0023347E" w:rsidP="001409BE">
      <w:pPr>
        <w:pStyle w:val="Akapitzlist"/>
        <w:spacing w:before="120" w:after="120"/>
        <w:contextualSpacing w:val="0"/>
        <w:jc w:val="both"/>
        <w:rPr>
          <w:sz w:val="24"/>
          <w:szCs w:val="24"/>
        </w:rPr>
      </w:pPr>
      <w:r w:rsidRPr="008D0165">
        <w:rPr>
          <w:sz w:val="24"/>
          <w:szCs w:val="24"/>
        </w:rPr>
        <w:lastRenderedPageBreak/>
        <w:t>Znaczna część nowych emerytów nie była wcześniej aktywna zawodowo, lecz</w:t>
      </w:r>
      <w:r w:rsidR="000E0BD2">
        <w:rPr>
          <w:sz w:val="24"/>
          <w:szCs w:val="24"/>
        </w:rPr>
        <w:t> </w:t>
      </w:r>
      <w:r w:rsidRPr="008D0165">
        <w:rPr>
          <w:sz w:val="24"/>
          <w:szCs w:val="24"/>
        </w:rPr>
        <w:t>korzystała z innych świadczeń. Zgodnie z danymi ZUS liczba osób pobierających rentę spadła, w pierwszym okresie po przywróceniu wieku emerytalnego o 99 tys., a</w:t>
      </w:r>
      <w:r w:rsidR="000E0BD2">
        <w:rPr>
          <w:sz w:val="24"/>
          <w:szCs w:val="24"/>
        </w:rPr>
        <w:t> </w:t>
      </w:r>
      <w:r w:rsidRPr="008D0165">
        <w:rPr>
          <w:sz w:val="24"/>
          <w:szCs w:val="24"/>
        </w:rPr>
        <w:t xml:space="preserve">liczba osób pobierających inne świadczenia (emeryturę częściową, zasiłek przedemerytalny lub świadczenie przedemerytalne) zmniejszyła się łącznie o 61,6 tys. </w:t>
      </w:r>
    </w:p>
    <w:p w14:paraId="7B0C5310" w14:textId="674AC10B" w:rsidR="002D7496" w:rsidRPr="008D0165" w:rsidRDefault="002D7496" w:rsidP="008D57AD">
      <w:pPr>
        <w:spacing w:after="0"/>
        <w:ind w:left="709"/>
        <w:jc w:val="both"/>
        <w:rPr>
          <w:sz w:val="24"/>
          <w:szCs w:val="24"/>
        </w:rPr>
      </w:pPr>
      <w:r>
        <w:rPr>
          <w:sz w:val="24"/>
          <w:szCs w:val="24"/>
        </w:rPr>
        <w:t>Podkreślenia wymaga, że w</w:t>
      </w:r>
      <w:r w:rsidRPr="007E2567">
        <w:rPr>
          <w:sz w:val="24"/>
          <w:szCs w:val="24"/>
        </w:rPr>
        <w:t>iek osób pobierających i przechodzących na emeryturę w</w:t>
      </w:r>
      <w:r w:rsidR="000E0BD2">
        <w:rPr>
          <w:sz w:val="24"/>
          <w:szCs w:val="24"/>
        </w:rPr>
        <w:t> </w:t>
      </w:r>
      <w:r w:rsidRPr="007E2567">
        <w:rPr>
          <w:sz w:val="24"/>
          <w:szCs w:val="24"/>
        </w:rPr>
        <w:t>ostatnich latach powoli, lecz stopniowo rośnie</w:t>
      </w:r>
      <w:r>
        <w:rPr>
          <w:sz w:val="24"/>
          <w:szCs w:val="24"/>
        </w:rPr>
        <w:t>.</w:t>
      </w:r>
    </w:p>
    <w:p w14:paraId="3F204002" w14:textId="452F0BA7" w:rsidR="002D7496" w:rsidRDefault="00105B9B" w:rsidP="001409BE">
      <w:pPr>
        <w:spacing w:before="120" w:after="120"/>
        <w:ind w:left="708"/>
        <w:jc w:val="both"/>
        <w:rPr>
          <w:sz w:val="24"/>
          <w:szCs w:val="24"/>
        </w:rPr>
      </w:pPr>
      <w:r w:rsidRPr="008D0165">
        <w:rPr>
          <w:sz w:val="24"/>
          <w:szCs w:val="24"/>
        </w:rPr>
        <w:t>W 2019 r. przeciętny wiek osób, którym przyznano emeryturę wynosił 62,1</w:t>
      </w:r>
      <w:r w:rsidR="007C0F13" w:rsidRPr="008D0165">
        <w:rPr>
          <w:sz w:val="24"/>
          <w:szCs w:val="24"/>
        </w:rPr>
        <w:t xml:space="preserve"> lat</w:t>
      </w:r>
      <w:r w:rsidRPr="008D0165">
        <w:rPr>
          <w:sz w:val="24"/>
          <w:szCs w:val="24"/>
        </w:rPr>
        <w:t>, w</w:t>
      </w:r>
      <w:r w:rsidR="000E0BD2">
        <w:rPr>
          <w:sz w:val="24"/>
          <w:szCs w:val="24"/>
        </w:rPr>
        <w:t> </w:t>
      </w:r>
      <w:r w:rsidRPr="008D0165">
        <w:rPr>
          <w:sz w:val="24"/>
          <w:szCs w:val="24"/>
        </w:rPr>
        <w:t>przypadku mężczyzn 64,6 lat, a w przypadku kobiet 60,7 lat. W 2020 r. było to</w:t>
      </w:r>
      <w:r w:rsidR="000E0BD2">
        <w:rPr>
          <w:sz w:val="24"/>
          <w:szCs w:val="24"/>
        </w:rPr>
        <w:t> </w:t>
      </w:r>
      <w:r w:rsidRPr="008D0165">
        <w:rPr>
          <w:sz w:val="24"/>
          <w:szCs w:val="24"/>
        </w:rPr>
        <w:t xml:space="preserve">odpowiednio 62,3 lat, przy czym 64,8 lat dla mężczyzn i 60,6 lat dla kobiet. </w:t>
      </w:r>
      <w:r w:rsidR="003A4899" w:rsidRPr="008D0165">
        <w:rPr>
          <w:sz w:val="24"/>
          <w:szCs w:val="24"/>
        </w:rPr>
        <w:t xml:space="preserve">W </w:t>
      </w:r>
      <w:r w:rsidR="003A4899">
        <w:rPr>
          <w:sz w:val="24"/>
          <w:szCs w:val="24"/>
        </w:rPr>
        <w:t>2021</w:t>
      </w:r>
      <w:r w:rsidR="000E0BD2">
        <w:rPr>
          <w:sz w:val="24"/>
          <w:szCs w:val="24"/>
        </w:rPr>
        <w:t> </w:t>
      </w:r>
      <w:r w:rsidR="003A4899" w:rsidRPr="008D0165">
        <w:rPr>
          <w:sz w:val="24"/>
          <w:szCs w:val="24"/>
        </w:rPr>
        <w:t>r. przeciętny wiek przejścia na emeryturę wynosił 62,4 lat (64,8 dla mężczyzn, 60,6 dla kobiet).</w:t>
      </w:r>
      <w:r w:rsidR="003A4899">
        <w:rPr>
          <w:sz w:val="24"/>
          <w:szCs w:val="24"/>
        </w:rPr>
        <w:t xml:space="preserve"> </w:t>
      </w:r>
      <w:r w:rsidRPr="008D0165">
        <w:rPr>
          <w:sz w:val="24"/>
          <w:szCs w:val="24"/>
        </w:rPr>
        <w:t xml:space="preserve">W 2021 r. dominującym wiekiem </w:t>
      </w:r>
      <w:r w:rsidR="0015246D" w:rsidRPr="008D0165">
        <w:rPr>
          <w:sz w:val="24"/>
          <w:szCs w:val="24"/>
        </w:rPr>
        <w:t xml:space="preserve">przyznania emerytury </w:t>
      </w:r>
      <w:r w:rsidRPr="008D0165">
        <w:rPr>
          <w:sz w:val="24"/>
          <w:szCs w:val="24"/>
        </w:rPr>
        <w:t>był wiek 60 lat dla kobiet (</w:t>
      </w:r>
      <w:r w:rsidR="0056538C" w:rsidRPr="008D0165">
        <w:rPr>
          <w:sz w:val="24"/>
          <w:szCs w:val="24"/>
        </w:rPr>
        <w:t>84,3</w:t>
      </w:r>
      <w:r w:rsidRPr="008D0165">
        <w:rPr>
          <w:sz w:val="24"/>
          <w:szCs w:val="24"/>
        </w:rPr>
        <w:t>%) i 65 lat dla mężczyzn (</w:t>
      </w:r>
      <w:r w:rsidR="0056538C" w:rsidRPr="008D0165">
        <w:rPr>
          <w:sz w:val="24"/>
          <w:szCs w:val="24"/>
        </w:rPr>
        <w:t>92,9</w:t>
      </w:r>
      <w:r w:rsidRPr="008D0165">
        <w:rPr>
          <w:sz w:val="24"/>
          <w:szCs w:val="24"/>
        </w:rPr>
        <w:t>%)</w:t>
      </w:r>
      <w:r w:rsidR="0015246D" w:rsidRPr="008D0165">
        <w:rPr>
          <w:sz w:val="24"/>
          <w:szCs w:val="24"/>
        </w:rPr>
        <w:t>, czyli aktualny ustawowy powszechny wiek emerytalny.</w:t>
      </w:r>
      <w:r w:rsidR="002D7496">
        <w:rPr>
          <w:sz w:val="24"/>
          <w:szCs w:val="24"/>
        </w:rPr>
        <w:t xml:space="preserve"> </w:t>
      </w:r>
    </w:p>
    <w:p w14:paraId="3262A876" w14:textId="0952C842" w:rsidR="00105B9B" w:rsidRPr="008D0165" w:rsidRDefault="002D7496" w:rsidP="001409BE">
      <w:pPr>
        <w:spacing w:before="120" w:after="120"/>
        <w:ind w:left="708"/>
        <w:jc w:val="both"/>
        <w:rPr>
          <w:sz w:val="24"/>
          <w:szCs w:val="24"/>
        </w:rPr>
      </w:pPr>
      <w:r>
        <w:rPr>
          <w:sz w:val="24"/>
          <w:szCs w:val="24"/>
        </w:rPr>
        <w:t>Zauważenia przy tym wymaga, że przeciętny wiek emerytalny kobiet jest wyższy niż</w:t>
      </w:r>
      <w:r w:rsidR="000E0BD2">
        <w:rPr>
          <w:sz w:val="24"/>
          <w:szCs w:val="24"/>
        </w:rPr>
        <w:t> </w:t>
      </w:r>
      <w:r>
        <w:rPr>
          <w:sz w:val="24"/>
          <w:szCs w:val="24"/>
        </w:rPr>
        <w:t>ustawowy wiek emerytalny</w:t>
      </w:r>
      <w:r w:rsidR="008D57AD">
        <w:rPr>
          <w:sz w:val="24"/>
          <w:szCs w:val="24"/>
        </w:rPr>
        <w:t xml:space="preserve"> (60,6 lat)</w:t>
      </w:r>
      <w:r>
        <w:rPr>
          <w:sz w:val="24"/>
          <w:szCs w:val="24"/>
        </w:rPr>
        <w:t>, natomiast przeciętny wiek emerytalny mężczyzn rośnie od 2019 r. i zbliża się do poziomu ustawowego wieku emerytalnego</w:t>
      </w:r>
      <w:r w:rsidR="008D57AD">
        <w:rPr>
          <w:sz w:val="24"/>
          <w:szCs w:val="24"/>
        </w:rPr>
        <w:t xml:space="preserve"> (64,8 lat)</w:t>
      </w:r>
      <w:r>
        <w:rPr>
          <w:sz w:val="24"/>
          <w:szCs w:val="24"/>
        </w:rPr>
        <w:t>.</w:t>
      </w:r>
    </w:p>
    <w:p w14:paraId="0DE5974E" w14:textId="0B21AB9C" w:rsidR="0023347E" w:rsidRPr="008D0165" w:rsidRDefault="006F33D9" w:rsidP="001409BE">
      <w:pPr>
        <w:pStyle w:val="Akapitzlist"/>
        <w:spacing w:before="120" w:after="120"/>
        <w:contextualSpacing w:val="0"/>
        <w:jc w:val="both"/>
        <w:rPr>
          <w:sz w:val="24"/>
          <w:szCs w:val="24"/>
          <w:highlight w:val="yellow"/>
        </w:rPr>
      </w:pPr>
      <w:r w:rsidRPr="008D0165">
        <w:rPr>
          <w:sz w:val="24"/>
          <w:szCs w:val="24"/>
        </w:rPr>
        <w:t>N</w:t>
      </w:r>
      <w:r w:rsidR="0023347E" w:rsidRPr="008D0165">
        <w:rPr>
          <w:sz w:val="24"/>
          <w:szCs w:val="24"/>
        </w:rPr>
        <w:t>a wysokość przeciętnego świadczenia</w:t>
      </w:r>
      <w:r w:rsidRPr="008D0165">
        <w:rPr>
          <w:sz w:val="24"/>
          <w:szCs w:val="24"/>
        </w:rPr>
        <w:t xml:space="preserve"> ma</w:t>
      </w:r>
      <w:r w:rsidR="00134381" w:rsidRPr="008D0165">
        <w:rPr>
          <w:sz w:val="24"/>
          <w:szCs w:val="24"/>
        </w:rPr>
        <w:t xml:space="preserve"> m.in. </w:t>
      </w:r>
      <w:r w:rsidRPr="008D0165">
        <w:rPr>
          <w:sz w:val="24"/>
          <w:szCs w:val="24"/>
        </w:rPr>
        <w:t>wpływ, że blisko 60%</w:t>
      </w:r>
      <w:r w:rsidR="000E0BD2">
        <w:rPr>
          <w:sz w:val="24"/>
          <w:szCs w:val="24"/>
        </w:rPr>
        <w:t> </w:t>
      </w:r>
      <w:r w:rsidRPr="008D0165">
        <w:rPr>
          <w:sz w:val="24"/>
          <w:szCs w:val="24"/>
        </w:rPr>
        <w:t>świadczeniobiorc</w:t>
      </w:r>
      <w:r w:rsidR="00134381" w:rsidRPr="008D0165">
        <w:rPr>
          <w:sz w:val="24"/>
          <w:szCs w:val="24"/>
        </w:rPr>
        <w:t>ów t</w:t>
      </w:r>
      <w:r w:rsidRPr="008D0165">
        <w:rPr>
          <w:sz w:val="24"/>
          <w:szCs w:val="24"/>
        </w:rPr>
        <w:t>o kobiety, których przeciętna wysokość emerytury jest</w:t>
      </w:r>
      <w:r w:rsidR="00946D88">
        <w:rPr>
          <w:sz w:val="24"/>
          <w:szCs w:val="24"/>
        </w:rPr>
        <w:t> </w:t>
      </w:r>
      <w:r w:rsidRPr="008D0165">
        <w:rPr>
          <w:sz w:val="24"/>
          <w:szCs w:val="24"/>
        </w:rPr>
        <w:t xml:space="preserve">mniejsza średnio o ok. 1 tys. zł od </w:t>
      </w:r>
      <w:r w:rsidR="00134381" w:rsidRPr="008D0165">
        <w:rPr>
          <w:sz w:val="24"/>
          <w:szCs w:val="24"/>
        </w:rPr>
        <w:t xml:space="preserve">średniej </w:t>
      </w:r>
      <w:r w:rsidRPr="008D0165">
        <w:rPr>
          <w:sz w:val="24"/>
          <w:szCs w:val="24"/>
        </w:rPr>
        <w:t>emerytury mężczyzn</w:t>
      </w:r>
      <w:r w:rsidR="0023347E" w:rsidRPr="008D0165">
        <w:rPr>
          <w:sz w:val="24"/>
          <w:szCs w:val="24"/>
        </w:rPr>
        <w:t>.</w:t>
      </w:r>
    </w:p>
    <w:p w14:paraId="3BEA360C" w14:textId="419788C9" w:rsidR="00FF4188" w:rsidRDefault="0023347E" w:rsidP="001409BE">
      <w:pPr>
        <w:pStyle w:val="Akapitzlist"/>
        <w:spacing w:before="120" w:after="120"/>
        <w:contextualSpacing w:val="0"/>
        <w:jc w:val="both"/>
        <w:rPr>
          <w:sz w:val="24"/>
          <w:szCs w:val="24"/>
        </w:rPr>
      </w:pPr>
      <w:r w:rsidRPr="008D0165">
        <w:rPr>
          <w:sz w:val="24"/>
          <w:szCs w:val="24"/>
        </w:rPr>
        <w:t xml:space="preserve">Przeciętna wysokość emerytury przyznanej i wypłaconej na podstawie ustawy wiekowej w </w:t>
      </w:r>
      <w:r w:rsidR="00FF4188" w:rsidRPr="008D0165">
        <w:rPr>
          <w:sz w:val="24"/>
          <w:szCs w:val="24"/>
        </w:rPr>
        <w:t>2019 r. wyniosła – 2</w:t>
      </w:r>
      <w:r w:rsidR="00C60223" w:rsidRPr="008D0165">
        <w:rPr>
          <w:sz w:val="24"/>
          <w:szCs w:val="24"/>
        </w:rPr>
        <w:t> </w:t>
      </w:r>
      <w:r w:rsidR="00FF4188" w:rsidRPr="008D0165">
        <w:rPr>
          <w:sz w:val="24"/>
          <w:szCs w:val="24"/>
        </w:rPr>
        <w:t>3</w:t>
      </w:r>
      <w:r w:rsidR="0009646E">
        <w:rPr>
          <w:sz w:val="24"/>
          <w:szCs w:val="24"/>
        </w:rPr>
        <w:t>38</w:t>
      </w:r>
      <w:r w:rsidR="00FF4188" w:rsidRPr="008D0165">
        <w:rPr>
          <w:sz w:val="24"/>
          <w:szCs w:val="24"/>
        </w:rPr>
        <w:t>,3</w:t>
      </w:r>
      <w:r w:rsidR="0009646E">
        <w:rPr>
          <w:sz w:val="24"/>
          <w:szCs w:val="24"/>
        </w:rPr>
        <w:t>8</w:t>
      </w:r>
      <w:r w:rsidR="00FF4188" w:rsidRPr="008D0165">
        <w:rPr>
          <w:sz w:val="24"/>
          <w:szCs w:val="24"/>
        </w:rPr>
        <w:t xml:space="preserve"> zł, dla kobiet –</w:t>
      </w:r>
      <w:r w:rsidRPr="008D0165">
        <w:rPr>
          <w:sz w:val="24"/>
          <w:szCs w:val="24"/>
        </w:rPr>
        <w:t xml:space="preserve"> </w:t>
      </w:r>
      <w:r w:rsidR="00FF4188" w:rsidRPr="008D0165">
        <w:rPr>
          <w:sz w:val="24"/>
          <w:szCs w:val="24"/>
        </w:rPr>
        <w:t>1</w:t>
      </w:r>
      <w:r w:rsidR="00C60223" w:rsidRPr="008D0165">
        <w:rPr>
          <w:sz w:val="24"/>
          <w:szCs w:val="24"/>
        </w:rPr>
        <w:t> </w:t>
      </w:r>
      <w:r w:rsidR="00FF4188" w:rsidRPr="008D0165">
        <w:rPr>
          <w:sz w:val="24"/>
          <w:szCs w:val="24"/>
        </w:rPr>
        <w:t>9</w:t>
      </w:r>
      <w:r w:rsidR="0009646E">
        <w:rPr>
          <w:sz w:val="24"/>
          <w:szCs w:val="24"/>
        </w:rPr>
        <w:t>13</w:t>
      </w:r>
      <w:r w:rsidR="00FF4188" w:rsidRPr="008D0165">
        <w:rPr>
          <w:sz w:val="24"/>
          <w:szCs w:val="24"/>
        </w:rPr>
        <w:t>,</w:t>
      </w:r>
      <w:r w:rsidR="0009646E">
        <w:rPr>
          <w:sz w:val="24"/>
          <w:szCs w:val="24"/>
        </w:rPr>
        <w:t>02</w:t>
      </w:r>
      <w:r w:rsidRPr="008D0165">
        <w:rPr>
          <w:sz w:val="24"/>
          <w:szCs w:val="24"/>
        </w:rPr>
        <w:t xml:space="preserve"> zł, a dla mężczyzn – </w:t>
      </w:r>
      <w:r w:rsidR="0009646E">
        <w:rPr>
          <w:sz w:val="24"/>
          <w:szCs w:val="24"/>
        </w:rPr>
        <w:t>3039,02</w:t>
      </w:r>
      <w:r w:rsidRPr="008D0165">
        <w:rPr>
          <w:sz w:val="24"/>
          <w:szCs w:val="24"/>
        </w:rPr>
        <w:t xml:space="preserve"> zł. Natomiast w 20</w:t>
      </w:r>
      <w:r w:rsidR="00FF4188" w:rsidRPr="008D0165">
        <w:rPr>
          <w:sz w:val="24"/>
          <w:szCs w:val="24"/>
        </w:rPr>
        <w:t>20</w:t>
      </w:r>
      <w:r w:rsidRPr="008D0165">
        <w:rPr>
          <w:sz w:val="24"/>
          <w:szCs w:val="24"/>
        </w:rPr>
        <w:t xml:space="preserve"> r.</w:t>
      </w:r>
      <w:r w:rsidR="00FF4188" w:rsidRPr="008D0165">
        <w:rPr>
          <w:sz w:val="24"/>
          <w:szCs w:val="24"/>
        </w:rPr>
        <w:t xml:space="preserve"> </w:t>
      </w:r>
      <w:r w:rsidRPr="008D0165">
        <w:rPr>
          <w:sz w:val="24"/>
          <w:szCs w:val="24"/>
        </w:rPr>
        <w:t xml:space="preserve">wyniosła </w:t>
      </w:r>
      <w:r w:rsidR="00FF4188" w:rsidRPr="008D0165">
        <w:rPr>
          <w:sz w:val="24"/>
          <w:szCs w:val="24"/>
        </w:rPr>
        <w:t>26</w:t>
      </w:r>
      <w:r w:rsidR="0009646E">
        <w:rPr>
          <w:sz w:val="24"/>
          <w:szCs w:val="24"/>
        </w:rPr>
        <w:t>15</w:t>
      </w:r>
      <w:r w:rsidR="00FF4188" w:rsidRPr="008D0165">
        <w:rPr>
          <w:sz w:val="24"/>
          <w:szCs w:val="24"/>
        </w:rPr>
        <w:t>,8</w:t>
      </w:r>
      <w:r w:rsidR="0009646E">
        <w:rPr>
          <w:sz w:val="24"/>
          <w:szCs w:val="24"/>
        </w:rPr>
        <w:t>7</w:t>
      </w:r>
      <w:r w:rsidRPr="008D0165">
        <w:rPr>
          <w:sz w:val="24"/>
          <w:szCs w:val="24"/>
        </w:rPr>
        <w:t xml:space="preserve"> zł, dla kobiet – </w:t>
      </w:r>
      <w:r w:rsidR="00FF4188" w:rsidRPr="008D0165">
        <w:rPr>
          <w:sz w:val="24"/>
          <w:szCs w:val="24"/>
        </w:rPr>
        <w:t>2</w:t>
      </w:r>
      <w:r w:rsidR="00C60223" w:rsidRPr="008D0165">
        <w:rPr>
          <w:sz w:val="24"/>
          <w:szCs w:val="24"/>
        </w:rPr>
        <w:t> </w:t>
      </w:r>
      <w:r w:rsidR="00FF4188" w:rsidRPr="008D0165">
        <w:rPr>
          <w:sz w:val="24"/>
          <w:szCs w:val="24"/>
        </w:rPr>
        <w:t>1</w:t>
      </w:r>
      <w:r w:rsidR="0009646E">
        <w:rPr>
          <w:sz w:val="24"/>
          <w:szCs w:val="24"/>
        </w:rPr>
        <w:t>56</w:t>
      </w:r>
      <w:r w:rsidR="00FF4188" w:rsidRPr="008D0165">
        <w:rPr>
          <w:sz w:val="24"/>
          <w:szCs w:val="24"/>
        </w:rPr>
        <w:t>,</w:t>
      </w:r>
      <w:r w:rsidR="0009646E">
        <w:rPr>
          <w:sz w:val="24"/>
          <w:szCs w:val="24"/>
        </w:rPr>
        <w:t>26</w:t>
      </w:r>
      <w:r w:rsidRPr="008D0165">
        <w:rPr>
          <w:sz w:val="24"/>
          <w:szCs w:val="24"/>
        </w:rPr>
        <w:t xml:space="preserve"> zł, a</w:t>
      </w:r>
      <w:r w:rsidR="00446007">
        <w:rPr>
          <w:sz w:val="24"/>
          <w:szCs w:val="24"/>
        </w:rPr>
        <w:t> </w:t>
      </w:r>
      <w:r w:rsidRPr="008D0165">
        <w:rPr>
          <w:sz w:val="24"/>
          <w:szCs w:val="24"/>
        </w:rPr>
        <w:t>dla</w:t>
      </w:r>
      <w:r w:rsidR="00446007">
        <w:rPr>
          <w:sz w:val="24"/>
          <w:szCs w:val="24"/>
        </w:rPr>
        <w:t> </w:t>
      </w:r>
      <w:r w:rsidRPr="008D0165">
        <w:rPr>
          <w:sz w:val="24"/>
          <w:szCs w:val="24"/>
        </w:rPr>
        <w:t xml:space="preserve">mężczyzn – </w:t>
      </w:r>
      <w:r w:rsidR="00FF4188" w:rsidRPr="008D0165">
        <w:rPr>
          <w:sz w:val="24"/>
          <w:szCs w:val="24"/>
        </w:rPr>
        <w:t>3</w:t>
      </w:r>
      <w:r w:rsidR="00C60223" w:rsidRPr="008D0165">
        <w:rPr>
          <w:sz w:val="24"/>
          <w:szCs w:val="24"/>
        </w:rPr>
        <w:t> </w:t>
      </w:r>
      <w:r w:rsidR="0009646E">
        <w:rPr>
          <w:sz w:val="24"/>
          <w:szCs w:val="24"/>
        </w:rPr>
        <w:t>305</w:t>
      </w:r>
      <w:r w:rsidR="00FF4188" w:rsidRPr="008D0165">
        <w:rPr>
          <w:sz w:val="24"/>
          <w:szCs w:val="24"/>
        </w:rPr>
        <w:t>,</w:t>
      </w:r>
      <w:r w:rsidR="0009646E">
        <w:rPr>
          <w:sz w:val="24"/>
          <w:szCs w:val="24"/>
        </w:rPr>
        <w:t>35</w:t>
      </w:r>
      <w:r w:rsidRPr="008D0165">
        <w:rPr>
          <w:sz w:val="24"/>
          <w:szCs w:val="24"/>
        </w:rPr>
        <w:t xml:space="preserve"> zł.</w:t>
      </w:r>
      <w:r w:rsidR="00FF4188" w:rsidRPr="008D0165">
        <w:rPr>
          <w:sz w:val="24"/>
          <w:szCs w:val="24"/>
        </w:rPr>
        <w:t xml:space="preserve"> W 2021 r. przeciętna emerytura wzrosła do kwoty 2</w:t>
      </w:r>
      <w:r w:rsidR="00C60223" w:rsidRPr="008D0165">
        <w:rPr>
          <w:sz w:val="24"/>
          <w:szCs w:val="24"/>
        </w:rPr>
        <w:t> </w:t>
      </w:r>
      <w:r w:rsidR="0009646E">
        <w:rPr>
          <w:sz w:val="24"/>
          <w:szCs w:val="24"/>
        </w:rPr>
        <w:t>813</w:t>
      </w:r>
      <w:r w:rsidR="00FF4188" w:rsidRPr="008D0165">
        <w:rPr>
          <w:sz w:val="24"/>
          <w:szCs w:val="24"/>
        </w:rPr>
        <w:t>,</w:t>
      </w:r>
      <w:r w:rsidR="0009646E">
        <w:rPr>
          <w:sz w:val="24"/>
          <w:szCs w:val="24"/>
        </w:rPr>
        <w:t>40</w:t>
      </w:r>
      <w:r w:rsidR="00FF4188" w:rsidRPr="008D0165">
        <w:rPr>
          <w:sz w:val="24"/>
          <w:szCs w:val="24"/>
        </w:rPr>
        <w:t xml:space="preserve"> zł, przy czym dla kobiet do 2</w:t>
      </w:r>
      <w:r w:rsidR="00C60223" w:rsidRPr="008D0165">
        <w:rPr>
          <w:sz w:val="24"/>
          <w:szCs w:val="24"/>
        </w:rPr>
        <w:t> </w:t>
      </w:r>
      <w:r w:rsidR="00FF4188" w:rsidRPr="008D0165">
        <w:rPr>
          <w:sz w:val="24"/>
          <w:szCs w:val="24"/>
        </w:rPr>
        <w:t>2</w:t>
      </w:r>
      <w:r w:rsidR="00CD2F56">
        <w:rPr>
          <w:sz w:val="24"/>
          <w:szCs w:val="24"/>
        </w:rPr>
        <w:t>80</w:t>
      </w:r>
      <w:r w:rsidR="00FF4188" w:rsidRPr="008D0165">
        <w:rPr>
          <w:sz w:val="24"/>
          <w:szCs w:val="24"/>
        </w:rPr>
        <w:t>,</w:t>
      </w:r>
      <w:r w:rsidR="00CD2F56">
        <w:rPr>
          <w:sz w:val="24"/>
          <w:szCs w:val="24"/>
        </w:rPr>
        <w:t>77</w:t>
      </w:r>
      <w:r w:rsidR="00FF4188" w:rsidRPr="008D0165">
        <w:rPr>
          <w:sz w:val="24"/>
          <w:szCs w:val="24"/>
        </w:rPr>
        <w:t xml:space="preserve"> zł, a mężczyzn 3</w:t>
      </w:r>
      <w:r w:rsidR="00C60223" w:rsidRPr="008D0165">
        <w:rPr>
          <w:sz w:val="24"/>
          <w:szCs w:val="24"/>
        </w:rPr>
        <w:t> </w:t>
      </w:r>
      <w:r w:rsidR="00CD2F56">
        <w:rPr>
          <w:sz w:val="24"/>
          <w:szCs w:val="24"/>
        </w:rPr>
        <w:t>52</w:t>
      </w:r>
      <w:r w:rsidR="00FF4188" w:rsidRPr="008D0165">
        <w:rPr>
          <w:sz w:val="24"/>
          <w:szCs w:val="24"/>
        </w:rPr>
        <w:t>0,5</w:t>
      </w:r>
      <w:r w:rsidR="00CD2F56">
        <w:rPr>
          <w:sz w:val="24"/>
          <w:szCs w:val="24"/>
        </w:rPr>
        <w:t>6</w:t>
      </w:r>
      <w:r w:rsidR="00FF4188" w:rsidRPr="008D0165">
        <w:rPr>
          <w:sz w:val="24"/>
          <w:szCs w:val="24"/>
        </w:rPr>
        <w:t xml:space="preserve"> zł. Widoczne są</w:t>
      </w:r>
      <w:r w:rsidR="00446007">
        <w:rPr>
          <w:sz w:val="24"/>
          <w:szCs w:val="24"/>
        </w:rPr>
        <w:t> </w:t>
      </w:r>
      <w:r w:rsidR="00FF4188" w:rsidRPr="008D0165">
        <w:rPr>
          <w:sz w:val="24"/>
          <w:szCs w:val="24"/>
        </w:rPr>
        <w:t>wyraźne dysproporcje w osiąganej wysokości świadczenia emerytalnego kobiet i</w:t>
      </w:r>
      <w:r w:rsidR="00446007">
        <w:rPr>
          <w:sz w:val="24"/>
          <w:szCs w:val="24"/>
        </w:rPr>
        <w:t> </w:t>
      </w:r>
      <w:r w:rsidR="00FF4188" w:rsidRPr="008D0165">
        <w:rPr>
          <w:sz w:val="24"/>
          <w:szCs w:val="24"/>
        </w:rPr>
        <w:t>mężczyzn</w:t>
      </w:r>
      <w:r w:rsidR="0015246D" w:rsidRPr="008D0165">
        <w:rPr>
          <w:sz w:val="24"/>
          <w:szCs w:val="24"/>
        </w:rPr>
        <w:t>, a</w:t>
      </w:r>
      <w:r w:rsidR="000E0BD2">
        <w:rPr>
          <w:sz w:val="24"/>
          <w:szCs w:val="24"/>
        </w:rPr>
        <w:t> </w:t>
      </w:r>
      <w:r w:rsidR="00FF4188" w:rsidRPr="008D0165">
        <w:rPr>
          <w:sz w:val="24"/>
          <w:szCs w:val="24"/>
        </w:rPr>
        <w:t xml:space="preserve">wobec utrzymania zróżnicowanego wieku emerytalnego oraz </w:t>
      </w:r>
      <w:r w:rsidR="00BC47EA">
        <w:rPr>
          <w:sz w:val="24"/>
          <w:szCs w:val="24"/>
        </w:rPr>
        <w:t xml:space="preserve">obecnego </w:t>
      </w:r>
      <w:r w:rsidR="00FF4188" w:rsidRPr="008D0165">
        <w:rPr>
          <w:sz w:val="24"/>
          <w:szCs w:val="24"/>
        </w:rPr>
        <w:t xml:space="preserve">trendu przechodzenia na emeryturę w roku osiągnięcia </w:t>
      </w:r>
      <w:r w:rsidR="00946D88">
        <w:rPr>
          <w:sz w:val="24"/>
          <w:szCs w:val="24"/>
        </w:rPr>
        <w:t>powszechnego wieku emerytalnego</w:t>
      </w:r>
      <w:r w:rsidR="00FF4188" w:rsidRPr="008D0165">
        <w:rPr>
          <w:sz w:val="24"/>
          <w:szCs w:val="24"/>
        </w:rPr>
        <w:t xml:space="preserve"> należy spodziewać się, że ten trend będzie się pogłębiał.</w:t>
      </w:r>
    </w:p>
    <w:p w14:paraId="27DCF377" w14:textId="33E2462F" w:rsidR="00410865" w:rsidRPr="00410865" w:rsidRDefault="00FD39B6" w:rsidP="00410865">
      <w:pPr>
        <w:pStyle w:val="Akapitzlist"/>
        <w:spacing w:after="240"/>
        <w:ind w:left="708"/>
        <w:jc w:val="both"/>
        <w:rPr>
          <w:rFonts w:ascii="Calibri" w:hAnsi="Calibri" w:cs="Calibri"/>
          <w:sz w:val="24"/>
          <w:szCs w:val="24"/>
        </w:rPr>
      </w:pPr>
      <w:r>
        <w:rPr>
          <w:rFonts w:ascii="Calibri" w:hAnsi="Calibri" w:cs="Calibri"/>
          <w:sz w:val="24"/>
          <w:szCs w:val="24"/>
        </w:rPr>
        <w:t>Dodatkowo</w:t>
      </w:r>
      <w:r w:rsidR="00AF46C3" w:rsidRPr="00410865">
        <w:rPr>
          <w:rFonts w:ascii="Calibri" w:hAnsi="Calibri" w:cs="Calibri"/>
          <w:sz w:val="24"/>
          <w:szCs w:val="24"/>
        </w:rPr>
        <w:t xml:space="preserve"> rośnie liczba emerytur niższych od najniższych emerytur, ze względu na</w:t>
      </w:r>
      <w:r w:rsidR="000E0BD2">
        <w:rPr>
          <w:rFonts w:ascii="Calibri" w:hAnsi="Calibri" w:cs="Calibri"/>
          <w:sz w:val="24"/>
          <w:szCs w:val="24"/>
        </w:rPr>
        <w:t> </w:t>
      </w:r>
      <w:r w:rsidR="00AF46C3" w:rsidRPr="00410865">
        <w:rPr>
          <w:rFonts w:ascii="Calibri" w:hAnsi="Calibri" w:cs="Calibri"/>
          <w:sz w:val="24"/>
          <w:szCs w:val="24"/>
        </w:rPr>
        <w:t xml:space="preserve">fakt, że w systemie emerytalnym obowiązującym od 1 stycznia 1999 r. staż ubezpieczeniowy nie jest warunkiem do prawa do emerytury. </w:t>
      </w:r>
      <w:r w:rsidR="00AF46C3" w:rsidRPr="00410865">
        <w:rPr>
          <w:rFonts w:ascii="Calibri" w:hAnsi="Calibri" w:cs="Calibri"/>
          <w:sz w:val="24"/>
          <w:szCs w:val="24"/>
        </w:rPr>
        <w:lastRenderedPageBreak/>
        <w:t>Nawet bardzo krótki okres ubezpieczenia (nawet 1 dzień) uprawnia po osiągnięciu wieku emerytalnego do</w:t>
      </w:r>
      <w:r w:rsidR="00446007">
        <w:rPr>
          <w:rFonts w:ascii="Calibri" w:hAnsi="Calibri" w:cs="Calibri"/>
          <w:sz w:val="24"/>
          <w:szCs w:val="24"/>
        </w:rPr>
        <w:t> </w:t>
      </w:r>
      <w:r w:rsidR="00AF46C3" w:rsidRPr="00410865">
        <w:rPr>
          <w:rFonts w:ascii="Calibri" w:hAnsi="Calibri" w:cs="Calibri"/>
          <w:sz w:val="24"/>
          <w:szCs w:val="24"/>
        </w:rPr>
        <w:t>emerytury, która jest bardzo niska i wynosi np. kilka groszy.</w:t>
      </w:r>
      <w:r w:rsidR="00410865" w:rsidRPr="00410865">
        <w:rPr>
          <w:rFonts w:ascii="Calibri" w:hAnsi="Calibri" w:cs="Calibri"/>
          <w:sz w:val="24"/>
          <w:szCs w:val="24"/>
        </w:rPr>
        <w:t xml:space="preserve"> Na tle negaty</w:t>
      </w:r>
      <w:r w:rsidR="00946D88">
        <w:rPr>
          <w:rFonts w:ascii="Calibri" w:hAnsi="Calibri" w:cs="Calibri"/>
          <w:sz w:val="24"/>
          <w:szCs w:val="24"/>
        </w:rPr>
        <w:t>wnych tendencji demograficznych</w:t>
      </w:r>
      <w:r w:rsidR="00410865" w:rsidRPr="00410865">
        <w:rPr>
          <w:rFonts w:ascii="Calibri" w:hAnsi="Calibri" w:cs="Calibri"/>
          <w:sz w:val="24"/>
          <w:szCs w:val="24"/>
        </w:rPr>
        <w:t xml:space="preserve"> finansowanie z systemu emerytalnego świadczeń w</w:t>
      </w:r>
      <w:r w:rsidR="000E0BD2">
        <w:rPr>
          <w:rFonts w:ascii="Calibri" w:hAnsi="Calibri" w:cs="Calibri"/>
          <w:sz w:val="24"/>
          <w:szCs w:val="24"/>
        </w:rPr>
        <w:t> </w:t>
      </w:r>
      <w:r w:rsidR="00410865" w:rsidRPr="00410865">
        <w:rPr>
          <w:rFonts w:ascii="Calibri" w:hAnsi="Calibri" w:cs="Calibri"/>
          <w:sz w:val="24"/>
          <w:szCs w:val="24"/>
        </w:rPr>
        <w:t>wysokości nie znajdującej pokrycia we wniesionym przez ubezpieczonego wkładzie, jak również ponoszenie kosztu obsługi świadczeń przewyższającego ich realną wartość, nie może być bowiem uznane za rozwiązanie pożądane. Diagnoza powyższych zagrożeń skłania do poszukiwania rozwiązań, które posłużyłyby zminimalizowaniu pogłębiających się negatywnych konsekwencji funkcjonowania obowiązujących regulacji.</w:t>
      </w:r>
    </w:p>
    <w:p w14:paraId="2328325E" w14:textId="4A365572" w:rsidR="0023347E" w:rsidRPr="00A77D1A" w:rsidRDefault="0023347E" w:rsidP="001409BE">
      <w:pPr>
        <w:pStyle w:val="Akapitzlist"/>
        <w:numPr>
          <w:ilvl w:val="0"/>
          <w:numId w:val="15"/>
        </w:numPr>
        <w:spacing w:before="120" w:after="120"/>
        <w:contextualSpacing w:val="0"/>
        <w:rPr>
          <w:sz w:val="24"/>
          <w:szCs w:val="24"/>
        </w:rPr>
      </w:pPr>
      <w:r w:rsidRPr="00A77D1A">
        <w:rPr>
          <w:sz w:val="24"/>
          <w:szCs w:val="24"/>
        </w:rPr>
        <w:t>Zabezpieczenie środków na wypłaty świadczeń</w:t>
      </w:r>
    </w:p>
    <w:p w14:paraId="582108FA" w14:textId="0AF2C1CC" w:rsidR="0023347E" w:rsidRPr="008D0165" w:rsidRDefault="0023347E" w:rsidP="001409BE">
      <w:pPr>
        <w:pStyle w:val="Akapitzlist"/>
        <w:spacing w:before="120" w:after="120"/>
        <w:contextualSpacing w:val="0"/>
        <w:jc w:val="both"/>
        <w:rPr>
          <w:sz w:val="24"/>
          <w:szCs w:val="24"/>
        </w:rPr>
      </w:pPr>
      <w:r w:rsidRPr="008D0165">
        <w:rPr>
          <w:sz w:val="24"/>
          <w:szCs w:val="24"/>
        </w:rPr>
        <w:t>Wypłacalność świadczeń z ubezpieczeń społecznych jest gwarantowana przez</w:t>
      </w:r>
      <w:r w:rsidR="00446007">
        <w:rPr>
          <w:sz w:val="24"/>
          <w:szCs w:val="24"/>
        </w:rPr>
        <w:t> </w:t>
      </w:r>
      <w:r w:rsidRPr="008D0165">
        <w:rPr>
          <w:sz w:val="24"/>
          <w:szCs w:val="24"/>
        </w:rPr>
        <w:t>państwo, czego przejawem jest między innymi udzielana corocznie dotacja uzupełniająca z budżetu państwa do FUS. Oznacza to, iż FUS ma zabezpieczone finansowanie wypłat wszystkich świadczeń – dotyczy to przyznanych już emerytur, świadczeń dla osób, które złożyły już wniosek o emeryturę, jak również świadczeń dla</w:t>
      </w:r>
      <w:r w:rsidR="00446007">
        <w:rPr>
          <w:sz w:val="24"/>
          <w:szCs w:val="24"/>
        </w:rPr>
        <w:t> </w:t>
      </w:r>
      <w:r w:rsidRPr="008D0165">
        <w:rPr>
          <w:sz w:val="24"/>
          <w:szCs w:val="24"/>
        </w:rPr>
        <w:t>osób, które wniosek o emeryturę zdecydują się złożyć w przyszłości.</w:t>
      </w:r>
    </w:p>
    <w:p w14:paraId="06624DF1" w14:textId="0DE5505D" w:rsidR="0023347E" w:rsidRDefault="0023347E" w:rsidP="001409BE">
      <w:pPr>
        <w:pStyle w:val="Akapitzlist"/>
        <w:spacing w:before="120" w:after="120"/>
        <w:contextualSpacing w:val="0"/>
        <w:jc w:val="both"/>
        <w:rPr>
          <w:sz w:val="24"/>
          <w:szCs w:val="24"/>
        </w:rPr>
      </w:pPr>
      <w:r w:rsidRPr="008D0165">
        <w:rPr>
          <w:sz w:val="24"/>
          <w:szCs w:val="24"/>
        </w:rPr>
        <w:t>Koszty związane z przywróceniem wieku emerytalnego nie spowodowały pogorszenia sytuacji finansowej FUS. Przywrócenie wieku emerytalnego</w:t>
      </w:r>
      <w:r w:rsidR="00A352A4" w:rsidRPr="008D0165">
        <w:rPr>
          <w:sz w:val="24"/>
          <w:szCs w:val="24"/>
        </w:rPr>
        <w:t>, a także spowolnienie gospodarcze związane z pandemią COVID-19</w:t>
      </w:r>
      <w:r w:rsidRPr="008D0165">
        <w:rPr>
          <w:sz w:val="24"/>
          <w:szCs w:val="24"/>
        </w:rPr>
        <w:t xml:space="preserve"> nie spowodował</w:t>
      </w:r>
      <w:r w:rsidR="00A352A4" w:rsidRPr="008D0165">
        <w:rPr>
          <w:sz w:val="24"/>
          <w:szCs w:val="24"/>
        </w:rPr>
        <w:t>y</w:t>
      </w:r>
      <w:r w:rsidRPr="008D0165">
        <w:rPr>
          <w:sz w:val="24"/>
          <w:szCs w:val="24"/>
        </w:rPr>
        <w:t xml:space="preserve"> załamania FUS (wskaźnik pokrycia wydatków wpływami ze składek</w:t>
      </w:r>
      <w:r w:rsidR="00FF4188" w:rsidRPr="008D0165">
        <w:rPr>
          <w:sz w:val="24"/>
          <w:szCs w:val="24"/>
        </w:rPr>
        <w:t xml:space="preserve"> przekroczył 80,0% w latach 2019</w:t>
      </w:r>
      <w:r w:rsidR="00446007">
        <w:rPr>
          <w:sz w:val="24"/>
          <w:szCs w:val="24"/>
        </w:rPr>
        <w:t> </w:t>
      </w:r>
      <w:r w:rsidR="00FF4188" w:rsidRPr="008D0165">
        <w:rPr>
          <w:sz w:val="24"/>
          <w:szCs w:val="24"/>
        </w:rPr>
        <w:t>i</w:t>
      </w:r>
      <w:r w:rsidR="00446007">
        <w:rPr>
          <w:sz w:val="24"/>
          <w:szCs w:val="24"/>
        </w:rPr>
        <w:t> </w:t>
      </w:r>
      <w:r w:rsidR="00FF4188" w:rsidRPr="008D0165">
        <w:rPr>
          <w:sz w:val="24"/>
          <w:szCs w:val="24"/>
        </w:rPr>
        <w:t>2021</w:t>
      </w:r>
      <w:r w:rsidRPr="008D0165">
        <w:rPr>
          <w:sz w:val="24"/>
          <w:szCs w:val="24"/>
        </w:rPr>
        <w:t>).</w:t>
      </w:r>
      <w:r w:rsidR="00E61330" w:rsidRPr="008D0165">
        <w:rPr>
          <w:sz w:val="24"/>
          <w:szCs w:val="24"/>
        </w:rPr>
        <w:t xml:space="preserve"> Zmniejsza się również zapotrzebowanie na dotacje budżetowe. W</w:t>
      </w:r>
      <w:r w:rsidR="00446007">
        <w:rPr>
          <w:sz w:val="24"/>
          <w:szCs w:val="24"/>
        </w:rPr>
        <w:t> </w:t>
      </w:r>
      <w:r w:rsidR="00E61330" w:rsidRPr="008D0165">
        <w:rPr>
          <w:sz w:val="24"/>
          <w:szCs w:val="24"/>
        </w:rPr>
        <w:t>okresie 2016</w:t>
      </w:r>
      <w:r w:rsidR="003D7141">
        <w:rPr>
          <w:sz w:val="24"/>
          <w:szCs w:val="24"/>
        </w:rPr>
        <w:t>–</w:t>
      </w:r>
      <w:r w:rsidR="00E61330" w:rsidRPr="008D0165">
        <w:rPr>
          <w:sz w:val="24"/>
          <w:szCs w:val="24"/>
        </w:rPr>
        <w:t>2018 wyniosły one łącznie 139,7 mld zł. W latach 2019</w:t>
      </w:r>
      <w:r w:rsidR="003D7141">
        <w:rPr>
          <w:sz w:val="24"/>
          <w:szCs w:val="24"/>
        </w:rPr>
        <w:t>–</w:t>
      </w:r>
      <w:r w:rsidR="00E61330" w:rsidRPr="008D0165">
        <w:rPr>
          <w:sz w:val="24"/>
          <w:szCs w:val="24"/>
        </w:rPr>
        <w:t>2021 wartość dotacji spadła do 107,5 mld zł, czyli o ok. 23,1%.</w:t>
      </w:r>
    </w:p>
    <w:p w14:paraId="616083F2" w14:textId="2EDAD515" w:rsidR="00AF46C3" w:rsidRPr="008D0165" w:rsidRDefault="00AF46C3" w:rsidP="00AF46C3">
      <w:pPr>
        <w:spacing w:before="120" w:after="120"/>
        <w:ind w:left="709"/>
        <w:jc w:val="both"/>
        <w:rPr>
          <w:sz w:val="24"/>
          <w:szCs w:val="24"/>
        </w:rPr>
      </w:pPr>
      <w:r>
        <w:rPr>
          <w:sz w:val="24"/>
          <w:szCs w:val="24"/>
        </w:rPr>
        <w:t xml:space="preserve">W 2019 r. przychody FUS wyniosły według przypisu </w:t>
      </w:r>
      <w:r w:rsidRPr="008D0165">
        <w:rPr>
          <w:sz w:val="24"/>
          <w:szCs w:val="24"/>
        </w:rPr>
        <w:t>246,2 mld zł i były o 7,7 mld zł</w:t>
      </w:r>
      <w:r>
        <w:rPr>
          <w:sz w:val="24"/>
          <w:szCs w:val="24"/>
        </w:rPr>
        <w:t xml:space="preserve"> (</w:t>
      </w:r>
      <w:r w:rsidRPr="008D0165">
        <w:rPr>
          <w:sz w:val="24"/>
          <w:szCs w:val="24"/>
        </w:rPr>
        <w:t>o</w:t>
      </w:r>
      <w:r w:rsidR="00446007">
        <w:rPr>
          <w:sz w:val="24"/>
          <w:szCs w:val="24"/>
        </w:rPr>
        <w:t> </w:t>
      </w:r>
      <w:r w:rsidRPr="008D0165">
        <w:rPr>
          <w:sz w:val="24"/>
          <w:szCs w:val="24"/>
        </w:rPr>
        <w:t>3,2%</w:t>
      </w:r>
      <w:r>
        <w:rPr>
          <w:sz w:val="24"/>
          <w:szCs w:val="24"/>
        </w:rPr>
        <w:t>)</w:t>
      </w:r>
      <w:r w:rsidRPr="008D0165">
        <w:rPr>
          <w:sz w:val="24"/>
          <w:szCs w:val="24"/>
        </w:rPr>
        <w:t xml:space="preserve"> wyższe od przychodów osiągniętych w </w:t>
      </w:r>
      <w:r>
        <w:rPr>
          <w:sz w:val="24"/>
          <w:szCs w:val="24"/>
        </w:rPr>
        <w:t>2018 r</w:t>
      </w:r>
      <w:r w:rsidRPr="008D0165">
        <w:rPr>
          <w:sz w:val="24"/>
          <w:szCs w:val="24"/>
        </w:rPr>
        <w:t xml:space="preserve">. </w:t>
      </w:r>
      <w:r>
        <w:rPr>
          <w:sz w:val="24"/>
          <w:szCs w:val="24"/>
        </w:rPr>
        <w:t>W 2020 r. wyniosły 290,8 mld zł i były o 44,6 mld zł (18,1%) wyższe od przychodów osiągniętych w 2019 r. Co prawda w 2021 r. przychody spadły do 274 mld w stosunku do 2020 r.</w:t>
      </w:r>
      <w:r w:rsidR="00946D88">
        <w:rPr>
          <w:sz w:val="24"/>
          <w:szCs w:val="24"/>
        </w:rPr>
        <w:t>,</w:t>
      </w:r>
      <w:r>
        <w:rPr>
          <w:sz w:val="24"/>
          <w:szCs w:val="24"/>
        </w:rPr>
        <w:t xml:space="preserve"> ale</w:t>
      </w:r>
      <w:r w:rsidRPr="008D0165">
        <w:rPr>
          <w:sz w:val="24"/>
          <w:szCs w:val="24"/>
        </w:rPr>
        <w:t xml:space="preserve"> było </w:t>
      </w:r>
      <w:r>
        <w:rPr>
          <w:sz w:val="24"/>
          <w:szCs w:val="24"/>
        </w:rPr>
        <w:t xml:space="preserve">to </w:t>
      </w:r>
      <w:r w:rsidRPr="008D0165">
        <w:rPr>
          <w:sz w:val="24"/>
          <w:szCs w:val="24"/>
        </w:rPr>
        <w:t>związane z</w:t>
      </w:r>
      <w:r w:rsidR="00446007">
        <w:rPr>
          <w:sz w:val="24"/>
          <w:szCs w:val="24"/>
        </w:rPr>
        <w:t> </w:t>
      </w:r>
      <w:r w:rsidRPr="008D0165">
        <w:rPr>
          <w:sz w:val="24"/>
          <w:szCs w:val="24"/>
        </w:rPr>
        <w:t>zasileniem funduszu w 2020 r. środkami z Funduszu Przeciwdziałania COVID-19 oraz</w:t>
      </w:r>
      <w:r w:rsidR="00446007">
        <w:rPr>
          <w:sz w:val="24"/>
          <w:szCs w:val="24"/>
        </w:rPr>
        <w:t> </w:t>
      </w:r>
      <w:r w:rsidRPr="008D0165">
        <w:rPr>
          <w:sz w:val="24"/>
          <w:szCs w:val="24"/>
        </w:rPr>
        <w:t>jednorazową wpłatą z budżetu państwa</w:t>
      </w:r>
      <w:r>
        <w:rPr>
          <w:sz w:val="24"/>
          <w:szCs w:val="24"/>
        </w:rPr>
        <w:t>. Mniejsza niż w 2020 r. skala wpływu pandemii na finanse FUS sprawiła, że w 2021 r. nie było konieczności uruchamiania nadzwyczajnych źródeł finansowania Funduszu.</w:t>
      </w:r>
    </w:p>
    <w:p w14:paraId="0454D857" w14:textId="58806709" w:rsidR="00691635" w:rsidRPr="00A77D1A" w:rsidRDefault="00A352A4" w:rsidP="001409BE">
      <w:pPr>
        <w:pStyle w:val="Akapitzlist"/>
        <w:numPr>
          <w:ilvl w:val="0"/>
          <w:numId w:val="15"/>
        </w:numPr>
        <w:spacing w:before="120" w:after="120"/>
        <w:contextualSpacing w:val="0"/>
        <w:rPr>
          <w:sz w:val="24"/>
          <w:szCs w:val="24"/>
        </w:rPr>
      </w:pPr>
      <w:r w:rsidRPr="00A77D1A">
        <w:rPr>
          <w:sz w:val="24"/>
          <w:szCs w:val="24"/>
        </w:rPr>
        <w:lastRenderedPageBreak/>
        <w:t>Zapewnienie ubezpieczonemu możliw</w:t>
      </w:r>
      <w:r w:rsidR="004046ED">
        <w:rPr>
          <w:sz w:val="24"/>
          <w:szCs w:val="24"/>
        </w:rPr>
        <w:t xml:space="preserve">ości pracy do osiągnięcia wieku </w:t>
      </w:r>
      <w:r w:rsidRPr="00A77D1A">
        <w:rPr>
          <w:sz w:val="24"/>
          <w:szCs w:val="24"/>
        </w:rPr>
        <w:t xml:space="preserve">emerytalnego. </w:t>
      </w:r>
      <w:r w:rsidR="00691635" w:rsidRPr="00A77D1A">
        <w:rPr>
          <w:sz w:val="24"/>
          <w:szCs w:val="24"/>
        </w:rPr>
        <w:t>Regulacje ochronne</w:t>
      </w:r>
    </w:p>
    <w:p w14:paraId="45FC4783" w14:textId="77777777" w:rsidR="00691635" w:rsidRPr="008D0165" w:rsidRDefault="00691635" w:rsidP="001409BE">
      <w:pPr>
        <w:pStyle w:val="Akapitzlist"/>
        <w:spacing w:before="120" w:after="120"/>
        <w:contextualSpacing w:val="0"/>
        <w:jc w:val="both"/>
        <w:rPr>
          <w:sz w:val="24"/>
          <w:szCs w:val="24"/>
        </w:rPr>
      </w:pPr>
      <w:r w:rsidRPr="008D0165">
        <w:rPr>
          <w:sz w:val="24"/>
          <w:szCs w:val="24"/>
        </w:rPr>
        <w:t>Regulacje ustawy określającej minimalny wiek emerytalny zapewniają jednakowy</w:t>
      </w:r>
      <w:r w:rsidR="00640D6A" w:rsidRPr="008D0165">
        <w:rPr>
          <w:sz w:val="24"/>
          <w:szCs w:val="24"/>
        </w:rPr>
        <w:t>,</w:t>
      </w:r>
      <w:r w:rsidRPr="008D0165">
        <w:rPr>
          <w:sz w:val="24"/>
          <w:szCs w:val="24"/>
        </w:rPr>
        <w:t xml:space="preserve"> minimum 4-letni okres ochronny dla wszystkich pracowników, co oznacza, że </w:t>
      </w:r>
      <w:r w:rsidR="007C0F13" w:rsidRPr="008D0165">
        <w:rPr>
          <w:sz w:val="24"/>
          <w:szCs w:val="24"/>
        </w:rPr>
        <w:t xml:space="preserve">nawet </w:t>
      </w:r>
      <w:r w:rsidRPr="008D0165">
        <w:rPr>
          <w:sz w:val="24"/>
          <w:szCs w:val="24"/>
        </w:rPr>
        <w:t xml:space="preserve">osoby, które </w:t>
      </w:r>
      <w:r w:rsidR="00640D6A" w:rsidRPr="008D0165">
        <w:rPr>
          <w:sz w:val="24"/>
          <w:szCs w:val="24"/>
        </w:rPr>
        <w:t xml:space="preserve">począwszy od października 2017 r. </w:t>
      </w:r>
      <w:r w:rsidRPr="008D0165">
        <w:rPr>
          <w:sz w:val="24"/>
          <w:szCs w:val="24"/>
        </w:rPr>
        <w:t>skończ</w:t>
      </w:r>
      <w:r w:rsidR="007C0F13" w:rsidRPr="008D0165">
        <w:rPr>
          <w:sz w:val="24"/>
          <w:szCs w:val="24"/>
        </w:rPr>
        <w:t>yły</w:t>
      </w:r>
      <w:r w:rsidRPr="008D0165">
        <w:rPr>
          <w:sz w:val="24"/>
          <w:szCs w:val="24"/>
        </w:rPr>
        <w:t xml:space="preserve"> wiek 60/65 lat, nadal </w:t>
      </w:r>
      <w:r w:rsidR="007C0F13" w:rsidRPr="008D0165">
        <w:rPr>
          <w:sz w:val="24"/>
          <w:szCs w:val="24"/>
        </w:rPr>
        <w:t>mogły</w:t>
      </w:r>
      <w:r w:rsidRPr="008D0165">
        <w:rPr>
          <w:sz w:val="24"/>
          <w:szCs w:val="24"/>
        </w:rPr>
        <w:t xml:space="preserve"> </w:t>
      </w:r>
      <w:r w:rsidR="00640D6A" w:rsidRPr="008D0165">
        <w:rPr>
          <w:sz w:val="24"/>
          <w:szCs w:val="24"/>
        </w:rPr>
        <w:t xml:space="preserve">korzystać </w:t>
      </w:r>
      <w:r w:rsidRPr="008D0165">
        <w:rPr>
          <w:sz w:val="24"/>
          <w:szCs w:val="24"/>
        </w:rPr>
        <w:t xml:space="preserve">z </w:t>
      </w:r>
      <w:r w:rsidR="007C0F13" w:rsidRPr="008D0165">
        <w:rPr>
          <w:sz w:val="24"/>
          <w:szCs w:val="24"/>
        </w:rPr>
        <w:t>4-letniego okresu ochronnego</w:t>
      </w:r>
      <w:r w:rsidRPr="008D0165">
        <w:rPr>
          <w:sz w:val="24"/>
          <w:szCs w:val="24"/>
        </w:rPr>
        <w:t xml:space="preserve">, co </w:t>
      </w:r>
      <w:r w:rsidR="00640D6A" w:rsidRPr="008D0165">
        <w:rPr>
          <w:sz w:val="24"/>
          <w:szCs w:val="24"/>
        </w:rPr>
        <w:t>stanowiło</w:t>
      </w:r>
      <w:r w:rsidRPr="008D0165">
        <w:rPr>
          <w:sz w:val="24"/>
          <w:szCs w:val="24"/>
        </w:rPr>
        <w:t xml:space="preserve"> zachęt</w:t>
      </w:r>
      <w:r w:rsidR="00640D6A" w:rsidRPr="008D0165">
        <w:rPr>
          <w:sz w:val="24"/>
          <w:szCs w:val="24"/>
        </w:rPr>
        <w:t>ę</w:t>
      </w:r>
      <w:r w:rsidRPr="008D0165">
        <w:rPr>
          <w:sz w:val="24"/>
          <w:szCs w:val="24"/>
        </w:rPr>
        <w:t xml:space="preserve"> do kontynuowania zatrudnienia.</w:t>
      </w:r>
    </w:p>
    <w:p w14:paraId="7A50587C" w14:textId="27C6C6CE" w:rsidR="0023347E" w:rsidRDefault="00691635" w:rsidP="001409BE">
      <w:pPr>
        <w:pStyle w:val="Akapitzlist"/>
        <w:spacing w:before="120" w:after="120"/>
        <w:contextualSpacing w:val="0"/>
        <w:jc w:val="both"/>
        <w:rPr>
          <w:sz w:val="24"/>
          <w:szCs w:val="24"/>
        </w:rPr>
      </w:pPr>
      <w:r w:rsidRPr="008D0165">
        <w:rPr>
          <w:sz w:val="24"/>
          <w:szCs w:val="24"/>
        </w:rPr>
        <w:t>Wprowadzone przepisy, z uwagi na powrót do wieku emerytalnego obowiązującego przed dniem 1 stycznia 2013 r. zapew</w:t>
      </w:r>
      <w:r w:rsidR="007C0F13" w:rsidRPr="008D0165">
        <w:rPr>
          <w:sz w:val="24"/>
          <w:szCs w:val="24"/>
        </w:rPr>
        <w:t>niły</w:t>
      </w:r>
      <w:r w:rsidRPr="008D0165">
        <w:rPr>
          <w:sz w:val="24"/>
          <w:szCs w:val="24"/>
        </w:rPr>
        <w:t xml:space="preserve"> pr</w:t>
      </w:r>
      <w:r w:rsidR="007C0F13" w:rsidRPr="008D0165">
        <w:rPr>
          <w:sz w:val="24"/>
          <w:szCs w:val="24"/>
        </w:rPr>
        <w:t>acownikom, którzy już korzystali</w:t>
      </w:r>
      <w:r w:rsidRPr="008D0165">
        <w:rPr>
          <w:sz w:val="24"/>
          <w:szCs w:val="24"/>
        </w:rPr>
        <w:t xml:space="preserve"> z okresu ochronnego (na dzień 1 października 2017 r.), zachowanie ic</w:t>
      </w:r>
      <w:r w:rsidR="007C0F13" w:rsidRPr="008D0165">
        <w:rPr>
          <w:sz w:val="24"/>
          <w:szCs w:val="24"/>
        </w:rPr>
        <w:t>h praw nabytych, gdyż korzystali</w:t>
      </w:r>
      <w:r w:rsidRPr="008D0165">
        <w:rPr>
          <w:sz w:val="24"/>
          <w:szCs w:val="24"/>
        </w:rPr>
        <w:t xml:space="preserve"> oni z ochrony stosunku pracy do osiągnięcia wieku emerytalnego, wynikającego z przepisów obowiązujących przed dniem 1 października 2017 r., z</w:t>
      </w:r>
      <w:r w:rsidR="00446007">
        <w:rPr>
          <w:sz w:val="24"/>
          <w:szCs w:val="24"/>
        </w:rPr>
        <w:t> </w:t>
      </w:r>
      <w:r w:rsidRPr="008D0165">
        <w:rPr>
          <w:sz w:val="24"/>
          <w:szCs w:val="24"/>
        </w:rPr>
        <w:t>drugiej zaś strony gwarant</w:t>
      </w:r>
      <w:r w:rsidR="007C0F13" w:rsidRPr="008D0165">
        <w:rPr>
          <w:sz w:val="24"/>
          <w:szCs w:val="24"/>
        </w:rPr>
        <w:t>owały</w:t>
      </w:r>
      <w:r w:rsidRPr="008D0165">
        <w:rPr>
          <w:sz w:val="24"/>
          <w:szCs w:val="24"/>
        </w:rPr>
        <w:t xml:space="preserve"> pracownikom, którzy osiągną wiek emerytalny wynoszący dla kobiet 60 lat i dla mężczyzn 65 lat przed upływem 4 lat licząc od dnia 1</w:t>
      </w:r>
      <w:r w:rsidR="00446007">
        <w:rPr>
          <w:sz w:val="24"/>
          <w:szCs w:val="24"/>
        </w:rPr>
        <w:t> </w:t>
      </w:r>
      <w:r w:rsidRPr="008D0165">
        <w:rPr>
          <w:sz w:val="24"/>
          <w:szCs w:val="24"/>
        </w:rPr>
        <w:t>października 2017 r.</w:t>
      </w:r>
      <w:r w:rsidR="00946D88">
        <w:rPr>
          <w:sz w:val="24"/>
          <w:szCs w:val="24"/>
        </w:rPr>
        <w:t>,</w:t>
      </w:r>
      <w:r w:rsidRPr="008D0165">
        <w:rPr>
          <w:sz w:val="24"/>
          <w:szCs w:val="24"/>
        </w:rPr>
        <w:t xml:space="preserve"> czteroletni </w:t>
      </w:r>
      <w:r w:rsidR="00640D6A" w:rsidRPr="008D0165">
        <w:rPr>
          <w:sz w:val="24"/>
          <w:szCs w:val="24"/>
        </w:rPr>
        <w:t>okres ochronny. W</w:t>
      </w:r>
      <w:r w:rsidRPr="008D0165">
        <w:rPr>
          <w:sz w:val="24"/>
          <w:szCs w:val="24"/>
        </w:rPr>
        <w:t>prowadzone regulacje synchroniz</w:t>
      </w:r>
      <w:r w:rsidR="00B3760D" w:rsidRPr="008D0165">
        <w:rPr>
          <w:sz w:val="24"/>
          <w:szCs w:val="24"/>
        </w:rPr>
        <w:t>owały</w:t>
      </w:r>
      <w:r w:rsidRPr="008D0165">
        <w:rPr>
          <w:sz w:val="24"/>
          <w:szCs w:val="24"/>
        </w:rPr>
        <w:t xml:space="preserve"> przepisy dotyczące </w:t>
      </w:r>
      <w:r w:rsidR="00640D6A" w:rsidRPr="008D0165">
        <w:rPr>
          <w:sz w:val="24"/>
          <w:szCs w:val="24"/>
        </w:rPr>
        <w:t>przywrócenia wieku emerytalnego</w:t>
      </w:r>
      <w:r w:rsidRPr="008D0165">
        <w:rPr>
          <w:sz w:val="24"/>
          <w:szCs w:val="24"/>
        </w:rPr>
        <w:t xml:space="preserve"> z regulacją ochronną zawartą w Kodeksie pracy.</w:t>
      </w:r>
    </w:p>
    <w:p w14:paraId="14B1C9E7" w14:textId="039B6CBA" w:rsidR="00591DAE" w:rsidRDefault="00591DAE" w:rsidP="001409BE">
      <w:pPr>
        <w:pStyle w:val="Akapitzlist"/>
        <w:spacing w:before="120" w:after="120"/>
        <w:contextualSpacing w:val="0"/>
        <w:jc w:val="both"/>
        <w:rPr>
          <w:sz w:val="24"/>
          <w:szCs w:val="24"/>
        </w:rPr>
      </w:pPr>
    </w:p>
    <w:p w14:paraId="7CA6CBD2" w14:textId="77777777" w:rsidR="00591DAE" w:rsidRPr="008D0165" w:rsidRDefault="00591DAE" w:rsidP="001409BE">
      <w:pPr>
        <w:pStyle w:val="Akapitzlist"/>
        <w:spacing w:before="120" w:after="120"/>
        <w:contextualSpacing w:val="0"/>
        <w:jc w:val="both"/>
        <w:rPr>
          <w:sz w:val="24"/>
          <w:szCs w:val="24"/>
        </w:rPr>
      </w:pPr>
    </w:p>
    <w:p w14:paraId="775F7C76" w14:textId="2D11BFA3" w:rsidR="00691635" w:rsidRPr="00A77D1A" w:rsidRDefault="00691635" w:rsidP="001409BE">
      <w:pPr>
        <w:pStyle w:val="Akapitzlist"/>
        <w:numPr>
          <w:ilvl w:val="0"/>
          <w:numId w:val="15"/>
        </w:numPr>
        <w:spacing w:before="120" w:after="120"/>
        <w:contextualSpacing w:val="0"/>
        <w:rPr>
          <w:sz w:val="24"/>
          <w:szCs w:val="24"/>
        </w:rPr>
      </w:pPr>
      <w:r w:rsidRPr="00A77D1A">
        <w:rPr>
          <w:sz w:val="24"/>
          <w:szCs w:val="24"/>
        </w:rPr>
        <w:t>Wspieranie utrzymania zdolności do pracy przez ZUS</w:t>
      </w:r>
    </w:p>
    <w:p w14:paraId="2536BEF8" w14:textId="21300938" w:rsidR="008B6ED2" w:rsidRPr="008D0165" w:rsidRDefault="008B6ED2" w:rsidP="001409BE">
      <w:pPr>
        <w:pStyle w:val="Akapitzlist"/>
        <w:spacing w:before="120" w:after="120"/>
        <w:contextualSpacing w:val="0"/>
        <w:jc w:val="both"/>
        <w:rPr>
          <w:sz w:val="24"/>
          <w:szCs w:val="24"/>
        </w:rPr>
      </w:pPr>
      <w:r w:rsidRPr="008D0165">
        <w:rPr>
          <w:sz w:val="24"/>
          <w:szCs w:val="24"/>
        </w:rPr>
        <w:t xml:space="preserve">Na podstawie art. 37 ustawy z dnia 30 października 2002 r. o ubezpieczeniu społecznym z tytułu wypadków przy pracy i chorób zawodowych </w:t>
      </w:r>
      <w:r w:rsidR="008D57AD">
        <w:rPr>
          <w:sz w:val="24"/>
          <w:szCs w:val="24"/>
        </w:rPr>
        <w:t>ZUS</w:t>
      </w:r>
      <w:r w:rsidRPr="008D0165">
        <w:rPr>
          <w:sz w:val="24"/>
          <w:szCs w:val="24"/>
        </w:rPr>
        <w:t xml:space="preserve"> prowadzi działania z zakresu prewencji wypadkowej. Prewencja wypadkowa to zapobieganie wypadkom przy pracy i chorobom zawodowym oraz przyczynianie się</w:t>
      </w:r>
      <w:r w:rsidR="00446007">
        <w:rPr>
          <w:sz w:val="24"/>
          <w:szCs w:val="24"/>
        </w:rPr>
        <w:t> </w:t>
      </w:r>
      <w:r w:rsidRPr="008D0165">
        <w:rPr>
          <w:sz w:val="24"/>
          <w:szCs w:val="24"/>
        </w:rPr>
        <w:t>do</w:t>
      </w:r>
      <w:r w:rsidR="00446007">
        <w:rPr>
          <w:sz w:val="24"/>
          <w:szCs w:val="24"/>
        </w:rPr>
        <w:t> </w:t>
      </w:r>
      <w:r w:rsidRPr="008D0165">
        <w:rPr>
          <w:sz w:val="24"/>
          <w:szCs w:val="24"/>
        </w:rPr>
        <w:t>utrzymywania zdolności do pracy przez cały okres aktywności zawodowej.</w:t>
      </w:r>
    </w:p>
    <w:p w14:paraId="4048EC90" w14:textId="2E2B4535" w:rsidR="001A7148" w:rsidRPr="008D0165" w:rsidRDefault="008B6ED2" w:rsidP="001409BE">
      <w:pPr>
        <w:pStyle w:val="Akapitzlist"/>
        <w:spacing w:before="120" w:after="120"/>
        <w:contextualSpacing w:val="0"/>
        <w:jc w:val="both"/>
        <w:rPr>
          <w:sz w:val="24"/>
          <w:szCs w:val="24"/>
        </w:rPr>
      </w:pPr>
      <w:r w:rsidRPr="008D0165">
        <w:rPr>
          <w:sz w:val="24"/>
          <w:szCs w:val="24"/>
        </w:rPr>
        <w:t xml:space="preserve">W ramach prewencji wypadkowej ZUS dofinansowuje działania płatników składek, a także upowszechnia wiedzę o prewencji wypadkowej. </w:t>
      </w:r>
      <w:r w:rsidR="008D57AD">
        <w:rPr>
          <w:sz w:val="24"/>
          <w:szCs w:val="24"/>
        </w:rPr>
        <w:t>ZUS</w:t>
      </w:r>
      <w:r w:rsidR="00944CDB" w:rsidRPr="008D0165">
        <w:rPr>
          <w:sz w:val="24"/>
          <w:szCs w:val="24"/>
        </w:rPr>
        <w:t xml:space="preserve"> dofinansowuje działania płatników składek od 2013 r. Wybór projektów objętych dofinansowaniem następuje w drodze konkursu ogłaszanego raz w roku przez Prezesa </w:t>
      </w:r>
      <w:r w:rsidR="008D57AD">
        <w:rPr>
          <w:sz w:val="24"/>
          <w:szCs w:val="24"/>
        </w:rPr>
        <w:t>ZUS.</w:t>
      </w:r>
      <w:r w:rsidRPr="008D0165">
        <w:rPr>
          <w:sz w:val="24"/>
          <w:szCs w:val="24"/>
        </w:rPr>
        <w:t xml:space="preserve"> </w:t>
      </w:r>
      <w:r w:rsidR="00691635" w:rsidRPr="008D0165">
        <w:rPr>
          <w:sz w:val="24"/>
          <w:szCs w:val="24"/>
        </w:rPr>
        <w:t>Od 20</w:t>
      </w:r>
      <w:r w:rsidR="006F33D9" w:rsidRPr="008D0165">
        <w:rPr>
          <w:sz w:val="24"/>
          <w:szCs w:val="24"/>
        </w:rPr>
        <w:t>19</w:t>
      </w:r>
      <w:r w:rsidR="00691635" w:rsidRPr="008D0165">
        <w:rPr>
          <w:sz w:val="24"/>
          <w:szCs w:val="24"/>
        </w:rPr>
        <w:t xml:space="preserve"> r. </w:t>
      </w:r>
      <w:r w:rsidR="001A7148" w:rsidRPr="008D0165">
        <w:rPr>
          <w:sz w:val="24"/>
          <w:szCs w:val="24"/>
        </w:rPr>
        <w:t xml:space="preserve">do 2021 r. </w:t>
      </w:r>
      <w:r w:rsidR="00691635" w:rsidRPr="008D0165">
        <w:rPr>
          <w:sz w:val="24"/>
          <w:szCs w:val="24"/>
        </w:rPr>
        <w:t xml:space="preserve">zakończono i rozliczono </w:t>
      </w:r>
      <w:r w:rsidR="001A7148" w:rsidRPr="008D0165">
        <w:rPr>
          <w:sz w:val="24"/>
          <w:szCs w:val="24"/>
        </w:rPr>
        <w:t>3183</w:t>
      </w:r>
      <w:r w:rsidR="004264C1" w:rsidRPr="008D0165">
        <w:rPr>
          <w:sz w:val="24"/>
          <w:szCs w:val="24"/>
        </w:rPr>
        <w:t> </w:t>
      </w:r>
      <w:r w:rsidR="001A7148" w:rsidRPr="008D0165">
        <w:rPr>
          <w:sz w:val="24"/>
          <w:szCs w:val="24"/>
        </w:rPr>
        <w:t>projekty</w:t>
      </w:r>
      <w:r w:rsidR="00691635" w:rsidRPr="008D0165">
        <w:rPr>
          <w:sz w:val="24"/>
          <w:szCs w:val="24"/>
        </w:rPr>
        <w:t xml:space="preserve">. </w:t>
      </w:r>
      <w:r w:rsidR="001A7148" w:rsidRPr="008D0165">
        <w:rPr>
          <w:sz w:val="24"/>
          <w:szCs w:val="24"/>
        </w:rPr>
        <w:t xml:space="preserve">Całkowita kwota wydatków na prewencję wypadkową w </w:t>
      </w:r>
      <w:r w:rsidR="004264C1" w:rsidRPr="008D0165">
        <w:rPr>
          <w:sz w:val="24"/>
          <w:szCs w:val="24"/>
        </w:rPr>
        <w:t xml:space="preserve">ZUS </w:t>
      </w:r>
      <w:r w:rsidR="001A7148" w:rsidRPr="008D0165">
        <w:rPr>
          <w:sz w:val="24"/>
          <w:szCs w:val="24"/>
        </w:rPr>
        <w:t>w</w:t>
      </w:r>
      <w:r w:rsidR="004264C1" w:rsidRPr="008D0165">
        <w:rPr>
          <w:sz w:val="24"/>
          <w:szCs w:val="24"/>
        </w:rPr>
        <w:t> </w:t>
      </w:r>
      <w:r w:rsidR="001A7148" w:rsidRPr="008D0165">
        <w:rPr>
          <w:sz w:val="24"/>
          <w:szCs w:val="24"/>
        </w:rPr>
        <w:t>poszczególnych latach wyniosła:</w:t>
      </w:r>
    </w:p>
    <w:p w14:paraId="48A81A31" w14:textId="6854143B" w:rsidR="001A7148" w:rsidRPr="008D0165" w:rsidRDefault="001A7148" w:rsidP="001409BE">
      <w:pPr>
        <w:pStyle w:val="Akapitzlist"/>
        <w:numPr>
          <w:ilvl w:val="0"/>
          <w:numId w:val="18"/>
        </w:numPr>
        <w:spacing w:after="0"/>
        <w:ind w:left="1434" w:hanging="357"/>
        <w:contextualSpacing w:val="0"/>
        <w:jc w:val="both"/>
        <w:rPr>
          <w:sz w:val="24"/>
          <w:szCs w:val="24"/>
        </w:rPr>
      </w:pPr>
      <w:r w:rsidRPr="008D0165">
        <w:rPr>
          <w:sz w:val="24"/>
          <w:szCs w:val="24"/>
        </w:rPr>
        <w:t>2019 r. – 87</w:t>
      </w:r>
      <w:r w:rsidR="00C60223">
        <w:rPr>
          <w:sz w:val="24"/>
          <w:szCs w:val="24"/>
        </w:rPr>
        <w:t> </w:t>
      </w:r>
      <w:r w:rsidRPr="008D0165">
        <w:rPr>
          <w:sz w:val="24"/>
          <w:szCs w:val="24"/>
        </w:rPr>
        <w:t>614</w:t>
      </w:r>
      <w:r w:rsidR="00C60223" w:rsidRPr="008D0165">
        <w:rPr>
          <w:sz w:val="24"/>
          <w:szCs w:val="24"/>
        </w:rPr>
        <w:t> </w:t>
      </w:r>
      <w:r w:rsidRPr="008D0165">
        <w:rPr>
          <w:sz w:val="24"/>
          <w:szCs w:val="24"/>
        </w:rPr>
        <w:t>526,79 zł,</w:t>
      </w:r>
    </w:p>
    <w:p w14:paraId="7401A762" w14:textId="177B7CC3" w:rsidR="001A7148" w:rsidRPr="008D0165" w:rsidRDefault="001A7148" w:rsidP="001409BE">
      <w:pPr>
        <w:pStyle w:val="Akapitzlist"/>
        <w:numPr>
          <w:ilvl w:val="0"/>
          <w:numId w:val="18"/>
        </w:numPr>
        <w:spacing w:after="0"/>
        <w:ind w:left="1434" w:hanging="357"/>
        <w:contextualSpacing w:val="0"/>
        <w:jc w:val="both"/>
        <w:rPr>
          <w:sz w:val="24"/>
          <w:szCs w:val="24"/>
        </w:rPr>
      </w:pPr>
      <w:r w:rsidRPr="008D0165">
        <w:rPr>
          <w:sz w:val="24"/>
          <w:szCs w:val="24"/>
        </w:rPr>
        <w:lastRenderedPageBreak/>
        <w:t>2020 r. – 71</w:t>
      </w:r>
      <w:r w:rsidR="00C60223" w:rsidRPr="008D0165">
        <w:rPr>
          <w:sz w:val="24"/>
          <w:szCs w:val="24"/>
        </w:rPr>
        <w:t> </w:t>
      </w:r>
      <w:r w:rsidRPr="008D0165">
        <w:rPr>
          <w:sz w:val="24"/>
          <w:szCs w:val="24"/>
        </w:rPr>
        <w:t>711</w:t>
      </w:r>
      <w:r w:rsidR="00C60223" w:rsidRPr="008D0165">
        <w:rPr>
          <w:sz w:val="24"/>
          <w:szCs w:val="24"/>
        </w:rPr>
        <w:t> </w:t>
      </w:r>
      <w:r w:rsidRPr="008D0165">
        <w:rPr>
          <w:sz w:val="24"/>
          <w:szCs w:val="24"/>
        </w:rPr>
        <w:t>671,45 zł,</w:t>
      </w:r>
    </w:p>
    <w:p w14:paraId="7E7F55C8" w14:textId="52D5F656" w:rsidR="001A7148" w:rsidRPr="008D0165" w:rsidRDefault="001A7148" w:rsidP="001409BE">
      <w:pPr>
        <w:pStyle w:val="Akapitzlist"/>
        <w:numPr>
          <w:ilvl w:val="0"/>
          <w:numId w:val="18"/>
        </w:numPr>
        <w:spacing w:after="0"/>
        <w:ind w:left="1434" w:hanging="357"/>
        <w:contextualSpacing w:val="0"/>
        <w:jc w:val="both"/>
        <w:rPr>
          <w:sz w:val="24"/>
          <w:szCs w:val="24"/>
        </w:rPr>
      </w:pPr>
      <w:r w:rsidRPr="008D0165">
        <w:rPr>
          <w:sz w:val="24"/>
          <w:szCs w:val="24"/>
        </w:rPr>
        <w:t>2021 r. – 78</w:t>
      </w:r>
      <w:r w:rsidR="00C60223">
        <w:rPr>
          <w:sz w:val="24"/>
          <w:szCs w:val="24"/>
        </w:rPr>
        <w:t> </w:t>
      </w:r>
      <w:r w:rsidRPr="008D0165">
        <w:rPr>
          <w:sz w:val="24"/>
          <w:szCs w:val="24"/>
        </w:rPr>
        <w:t>394</w:t>
      </w:r>
      <w:r w:rsidR="00C60223" w:rsidRPr="008D0165">
        <w:rPr>
          <w:sz w:val="24"/>
          <w:szCs w:val="24"/>
        </w:rPr>
        <w:t> </w:t>
      </w:r>
      <w:r w:rsidRPr="008D0165">
        <w:rPr>
          <w:sz w:val="24"/>
          <w:szCs w:val="24"/>
        </w:rPr>
        <w:t>762,88 zł.</w:t>
      </w:r>
    </w:p>
    <w:p w14:paraId="760ACB2B" w14:textId="16ECD97E" w:rsidR="00F7316F" w:rsidRPr="008D0165" w:rsidRDefault="00F7316F" w:rsidP="001409BE">
      <w:pPr>
        <w:pStyle w:val="Akapitzlist"/>
        <w:spacing w:before="120" w:after="120"/>
        <w:contextualSpacing w:val="0"/>
        <w:jc w:val="both"/>
        <w:rPr>
          <w:sz w:val="24"/>
          <w:szCs w:val="24"/>
        </w:rPr>
      </w:pPr>
      <w:r w:rsidRPr="008D0165">
        <w:rPr>
          <w:sz w:val="24"/>
          <w:szCs w:val="24"/>
        </w:rPr>
        <w:t xml:space="preserve">Działania dofinansowywane przez </w:t>
      </w:r>
      <w:r w:rsidR="008D57AD">
        <w:rPr>
          <w:sz w:val="24"/>
          <w:szCs w:val="24"/>
        </w:rPr>
        <w:t>ZUS</w:t>
      </w:r>
      <w:r w:rsidRPr="008D0165">
        <w:rPr>
          <w:sz w:val="24"/>
          <w:szCs w:val="24"/>
        </w:rPr>
        <w:t xml:space="preserve"> przyczyniają się do eliminacji lub ograniczenia ryzyka zawodowego i wpływają na zmniejszenie liczby wypadków przy pracy i chorób zawodowych. Zmniejszają tym samym ryzyko wystąpienia przedwczesnej niezdolności do pracy. Zgodnie z hasłem: prewencja lepsza od rehabilitacji; rehabilitacja lepsza od</w:t>
      </w:r>
      <w:r w:rsidR="00446007">
        <w:rPr>
          <w:sz w:val="24"/>
          <w:szCs w:val="24"/>
        </w:rPr>
        <w:t> </w:t>
      </w:r>
      <w:r w:rsidRPr="008D0165">
        <w:rPr>
          <w:sz w:val="24"/>
          <w:szCs w:val="24"/>
        </w:rPr>
        <w:t>przedwczesnego opuszczania rynku pracy.</w:t>
      </w:r>
    </w:p>
    <w:p w14:paraId="17213805" w14:textId="3230F62F" w:rsidR="001A7148" w:rsidRPr="00A77D1A" w:rsidRDefault="009A55E8" w:rsidP="001409BE">
      <w:pPr>
        <w:pStyle w:val="Akapitzlist"/>
        <w:numPr>
          <w:ilvl w:val="0"/>
          <w:numId w:val="15"/>
        </w:numPr>
        <w:spacing w:before="120" w:after="120"/>
        <w:contextualSpacing w:val="0"/>
        <w:rPr>
          <w:sz w:val="24"/>
          <w:szCs w:val="24"/>
        </w:rPr>
      </w:pPr>
      <w:r w:rsidRPr="00A77D1A">
        <w:rPr>
          <w:sz w:val="24"/>
          <w:szCs w:val="24"/>
        </w:rPr>
        <w:t>Zachęty do wydłużania aktywności ekonomicznej</w:t>
      </w:r>
    </w:p>
    <w:p w14:paraId="706ED3FB" w14:textId="267FEAC8" w:rsidR="00114B17" w:rsidRPr="008D0165" w:rsidRDefault="000938B6" w:rsidP="001409BE">
      <w:pPr>
        <w:pStyle w:val="Akapitzlist"/>
        <w:spacing w:before="120" w:after="120"/>
        <w:contextualSpacing w:val="0"/>
        <w:jc w:val="both"/>
        <w:rPr>
          <w:sz w:val="24"/>
          <w:szCs w:val="24"/>
        </w:rPr>
      </w:pPr>
      <w:r w:rsidRPr="008D0165">
        <w:rPr>
          <w:sz w:val="24"/>
          <w:szCs w:val="24"/>
        </w:rPr>
        <w:t xml:space="preserve">W 2021 r. w ramach prac nad zmianami w systemie podatkowo-składkowym zaproponowano rozwiązanie mające na celu wydłużenie aktywności ekonomicznej Polaków i zachęcenie ich do późniejszego przechodzenia na emeryturę. Propozycja ulgi PIT-0 dla Seniora została skierowana do osób, które osiągnęły wiek emerytalny, ale nie przeszły na emeryturę, lecz kontynuują pracę na etacie, zleceniu lub </w:t>
      </w:r>
      <w:r w:rsidR="00CD2F56">
        <w:rPr>
          <w:sz w:val="24"/>
          <w:szCs w:val="24"/>
        </w:rPr>
        <w:t>na pozarolniczej działalności gospodarczej</w:t>
      </w:r>
      <w:r w:rsidRPr="008D0165">
        <w:rPr>
          <w:sz w:val="24"/>
          <w:szCs w:val="24"/>
        </w:rPr>
        <w:t>. Takie osoby nie płaciłyby podatku od przychodów do</w:t>
      </w:r>
      <w:r w:rsidR="004046ED">
        <w:rPr>
          <w:sz w:val="24"/>
          <w:szCs w:val="24"/>
        </w:rPr>
        <w:t> </w:t>
      </w:r>
      <w:r w:rsidRPr="008D0165">
        <w:rPr>
          <w:sz w:val="24"/>
          <w:szCs w:val="24"/>
        </w:rPr>
        <w:t>wysokości 85</w:t>
      </w:r>
      <w:r w:rsidR="00C60223" w:rsidRPr="008D0165">
        <w:rPr>
          <w:sz w:val="24"/>
          <w:szCs w:val="24"/>
        </w:rPr>
        <w:t> </w:t>
      </w:r>
      <w:r w:rsidRPr="008D0165">
        <w:rPr>
          <w:sz w:val="24"/>
          <w:szCs w:val="24"/>
        </w:rPr>
        <w:t>528 zł (liczonych powyżej nowej projektowanej kwoty wolnej od</w:t>
      </w:r>
      <w:r w:rsidR="004046ED">
        <w:rPr>
          <w:sz w:val="24"/>
          <w:szCs w:val="24"/>
        </w:rPr>
        <w:t> </w:t>
      </w:r>
      <w:r w:rsidRPr="008D0165">
        <w:rPr>
          <w:sz w:val="24"/>
          <w:szCs w:val="24"/>
        </w:rPr>
        <w:t>podatku 30.000 zł, czyli do 115</w:t>
      </w:r>
      <w:r w:rsidR="00C60223" w:rsidRPr="008D0165">
        <w:rPr>
          <w:sz w:val="24"/>
          <w:szCs w:val="24"/>
        </w:rPr>
        <w:t> </w:t>
      </w:r>
      <w:r w:rsidRPr="008D0165">
        <w:rPr>
          <w:sz w:val="24"/>
          <w:szCs w:val="24"/>
        </w:rPr>
        <w:t>528 zł). Aby skorzystać z ulgi PIT-</w:t>
      </w:r>
      <w:r w:rsidR="00CD2F56">
        <w:rPr>
          <w:sz w:val="24"/>
          <w:szCs w:val="24"/>
        </w:rPr>
        <w:t>0</w:t>
      </w:r>
      <w:r w:rsidRPr="008D0165">
        <w:rPr>
          <w:sz w:val="24"/>
          <w:szCs w:val="24"/>
        </w:rPr>
        <w:t xml:space="preserve"> dla Seniora, trzeba złożyć pracodawcy stosowne oświadczenie. </w:t>
      </w:r>
      <w:r w:rsidR="00CB458E" w:rsidRPr="008D0165">
        <w:rPr>
          <w:sz w:val="24"/>
          <w:szCs w:val="24"/>
        </w:rPr>
        <w:t>Ulga weszła w życie od 1 stycznia 2022 r.</w:t>
      </w:r>
    </w:p>
    <w:p w14:paraId="36F39AA6" w14:textId="775CC50B" w:rsidR="00AA03E9" w:rsidRPr="001271B9" w:rsidRDefault="000938B6" w:rsidP="00AF46C3">
      <w:pPr>
        <w:pStyle w:val="Akapitzlist"/>
        <w:spacing w:before="120" w:after="120"/>
        <w:contextualSpacing w:val="0"/>
        <w:jc w:val="both"/>
        <w:rPr>
          <w:sz w:val="24"/>
          <w:szCs w:val="24"/>
        </w:rPr>
      </w:pPr>
      <w:r w:rsidRPr="008D0165">
        <w:rPr>
          <w:sz w:val="24"/>
          <w:szCs w:val="24"/>
        </w:rPr>
        <w:t xml:space="preserve">Należy pamiętać, że korzyścią z wydłużenia aktywności ekonomicznej </w:t>
      </w:r>
      <w:r w:rsidR="00320CCD">
        <w:rPr>
          <w:sz w:val="24"/>
          <w:szCs w:val="24"/>
        </w:rPr>
        <w:t>jest</w:t>
      </w:r>
      <w:r w:rsidR="00320CCD" w:rsidRPr="008D0165">
        <w:rPr>
          <w:sz w:val="24"/>
          <w:szCs w:val="24"/>
        </w:rPr>
        <w:t xml:space="preserve"> </w:t>
      </w:r>
      <w:r w:rsidRPr="008D0165">
        <w:rPr>
          <w:sz w:val="24"/>
          <w:szCs w:val="24"/>
        </w:rPr>
        <w:t xml:space="preserve">także wyższe świadczenie emerytalne. Z uwagi na </w:t>
      </w:r>
      <w:r w:rsidR="008D57AD">
        <w:rPr>
          <w:sz w:val="24"/>
          <w:szCs w:val="24"/>
        </w:rPr>
        <w:t xml:space="preserve">dłuższe </w:t>
      </w:r>
      <w:r w:rsidRPr="008D0165">
        <w:rPr>
          <w:sz w:val="24"/>
          <w:szCs w:val="24"/>
        </w:rPr>
        <w:t>opłac</w:t>
      </w:r>
      <w:r w:rsidR="008D57AD">
        <w:rPr>
          <w:sz w:val="24"/>
          <w:szCs w:val="24"/>
        </w:rPr>
        <w:t>a</w:t>
      </w:r>
      <w:r w:rsidRPr="008D0165">
        <w:rPr>
          <w:sz w:val="24"/>
          <w:szCs w:val="24"/>
        </w:rPr>
        <w:t xml:space="preserve">nie składek emerytalnych, dodatkowe waloryzacje roczne </w:t>
      </w:r>
      <w:r w:rsidR="00AA03E9">
        <w:rPr>
          <w:sz w:val="24"/>
          <w:szCs w:val="24"/>
        </w:rPr>
        <w:t xml:space="preserve">i kwartalne </w:t>
      </w:r>
      <w:r w:rsidRPr="008D0165">
        <w:rPr>
          <w:sz w:val="24"/>
          <w:szCs w:val="24"/>
        </w:rPr>
        <w:t>zgromadzonego kapitału emerytalnego (składek na koncie i</w:t>
      </w:r>
      <w:r w:rsidR="00114B17" w:rsidRPr="008D0165">
        <w:rPr>
          <w:sz w:val="24"/>
          <w:szCs w:val="24"/>
        </w:rPr>
        <w:t> </w:t>
      </w:r>
      <w:r w:rsidRPr="008D0165">
        <w:rPr>
          <w:sz w:val="24"/>
          <w:szCs w:val="24"/>
        </w:rPr>
        <w:t>subkoncie, kapitału początkowego), a także krótsze średnie dalsze trwanie życia przyjmowane do obliczeń – każdy rok pracy dłużej</w:t>
      </w:r>
      <w:r w:rsidR="00AA03E9">
        <w:rPr>
          <w:sz w:val="24"/>
          <w:szCs w:val="24"/>
        </w:rPr>
        <w:t xml:space="preserve"> po osiągnięciu wieku emerytalnego,</w:t>
      </w:r>
      <w:r w:rsidRPr="008D0165">
        <w:rPr>
          <w:sz w:val="24"/>
          <w:szCs w:val="24"/>
        </w:rPr>
        <w:t xml:space="preserve"> to ok. 10–15</w:t>
      </w:r>
      <w:r w:rsidR="00C96C91">
        <w:rPr>
          <w:sz w:val="24"/>
          <w:szCs w:val="24"/>
        </w:rPr>
        <w:t>%</w:t>
      </w:r>
      <w:r w:rsidRPr="008D0165">
        <w:rPr>
          <w:sz w:val="24"/>
          <w:szCs w:val="24"/>
        </w:rPr>
        <w:t>. wyższa emerytura w</w:t>
      </w:r>
      <w:r w:rsidR="00114B17" w:rsidRPr="008D0165">
        <w:rPr>
          <w:sz w:val="24"/>
          <w:szCs w:val="24"/>
        </w:rPr>
        <w:t> </w:t>
      </w:r>
      <w:r w:rsidRPr="008D0165">
        <w:rPr>
          <w:sz w:val="24"/>
          <w:szCs w:val="24"/>
        </w:rPr>
        <w:t>momencie jej przyznania.</w:t>
      </w:r>
      <w:r w:rsidR="00AA03E9">
        <w:rPr>
          <w:sz w:val="24"/>
          <w:szCs w:val="24"/>
        </w:rPr>
        <w:t xml:space="preserve"> O</w:t>
      </w:r>
      <w:r w:rsidR="00AA03E9" w:rsidRPr="001271B9">
        <w:rPr>
          <w:sz w:val="24"/>
          <w:szCs w:val="24"/>
        </w:rPr>
        <w:t xml:space="preserve">kres pandemii </w:t>
      </w:r>
      <w:r w:rsidR="00AA03E9">
        <w:rPr>
          <w:sz w:val="24"/>
          <w:szCs w:val="24"/>
        </w:rPr>
        <w:t xml:space="preserve">nieznacznie </w:t>
      </w:r>
      <w:r w:rsidR="00AA03E9" w:rsidRPr="001271B9">
        <w:rPr>
          <w:sz w:val="24"/>
          <w:szCs w:val="24"/>
        </w:rPr>
        <w:t xml:space="preserve">zaburzył tę sytuację, ale należy traktować to jako incydent – zasada ustalania wysokości świadczenia pozostaje niezmienna ze względu na formułę emerytalną, w której kontynuacja pracy powoduje wzrost indywidualnego kapitału emerytalnego i </w:t>
      </w:r>
      <w:r w:rsidR="00497785">
        <w:rPr>
          <w:sz w:val="24"/>
          <w:szCs w:val="24"/>
        </w:rPr>
        <w:t xml:space="preserve">wyższą emeryturę, ze względu na </w:t>
      </w:r>
      <w:r w:rsidR="00AA03E9" w:rsidRPr="001271B9">
        <w:rPr>
          <w:sz w:val="24"/>
          <w:szCs w:val="24"/>
        </w:rPr>
        <w:t xml:space="preserve">zmniejszenie długości dalszego przewidywanego trwania życia. </w:t>
      </w:r>
    </w:p>
    <w:p w14:paraId="7FEF817C" w14:textId="77777777" w:rsidR="00AA03E9" w:rsidRPr="00D52E96" w:rsidRDefault="00AA03E9" w:rsidP="00AA03E9">
      <w:pPr>
        <w:pStyle w:val="Akapitzlist"/>
        <w:jc w:val="both"/>
        <w:rPr>
          <w:sz w:val="24"/>
          <w:szCs w:val="24"/>
        </w:rPr>
      </w:pPr>
      <w:r w:rsidRPr="00DE24D8">
        <w:rPr>
          <w:sz w:val="24"/>
          <w:szCs w:val="24"/>
        </w:rPr>
        <w:t xml:space="preserve">W obecnym systemie po osiągnięciu wieku emerytalnego można jednocześnie pobierać emeryturę i kontynuować pracę bez ograniczeń. </w:t>
      </w:r>
    </w:p>
    <w:p w14:paraId="6ABCB391" w14:textId="4513A763" w:rsidR="00AA03E9" w:rsidRDefault="00AA03E9" w:rsidP="00AA03E9">
      <w:pPr>
        <w:pStyle w:val="Akapitzlist"/>
        <w:spacing w:before="120" w:after="120"/>
        <w:contextualSpacing w:val="0"/>
        <w:jc w:val="both"/>
        <w:rPr>
          <w:sz w:val="24"/>
          <w:szCs w:val="24"/>
        </w:rPr>
      </w:pPr>
      <w:r w:rsidRPr="00521374">
        <w:rPr>
          <w:rFonts w:cstheme="minorHAnsi"/>
          <w:bCs/>
          <w:sz w:val="24"/>
          <w:szCs w:val="24"/>
        </w:rPr>
        <w:t>Polacy</w:t>
      </w:r>
      <w:r w:rsidR="004046ED">
        <w:rPr>
          <w:rFonts w:cstheme="minorHAnsi"/>
          <w:bCs/>
          <w:sz w:val="24"/>
          <w:szCs w:val="24"/>
        </w:rPr>
        <w:t>,</w:t>
      </w:r>
      <w:r w:rsidRPr="00521374">
        <w:rPr>
          <w:rFonts w:cstheme="minorHAnsi"/>
          <w:bCs/>
          <w:sz w:val="24"/>
          <w:szCs w:val="24"/>
        </w:rPr>
        <w:t xml:space="preserve"> mimo osiągnięcia ustawowego wieku emerytalnego i przejścia na emeryturę</w:t>
      </w:r>
      <w:r w:rsidR="004046ED">
        <w:rPr>
          <w:rFonts w:cstheme="minorHAnsi"/>
          <w:bCs/>
          <w:sz w:val="24"/>
          <w:szCs w:val="24"/>
        </w:rPr>
        <w:t>,</w:t>
      </w:r>
      <w:r w:rsidRPr="00521374">
        <w:rPr>
          <w:rFonts w:cstheme="minorHAnsi"/>
          <w:bCs/>
          <w:sz w:val="24"/>
          <w:szCs w:val="24"/>
        </w:rPr>
        <w:t xml:space="preserve"> kontynuują aktywność zawodową w coraz większym zakresie</w:t>
      </w:r>
      <w:r w:rsidRPr="005A620E">
        <w:rPr>
          <w:rFonts w:cstheme="minorHAnsi"/>
          <w:bCs/>
          <w:sz w:val="24"/>
          <w:szCs w:val="24"/>
        </w:rPr>
        <w:t xml:space="preserve">. </w:t>
      </w:r>
      <w:r w:rsidR="00AF46C3" w:rsidRPr="008D0165">
        <w:rPr>
          <w:rFonts w:cstheme="minorHAnsi"/>
          <w:bCs/>
          <w:sz w:val="24"/>
          <w:szCs w:val="24"/>
        </w:rPr>
        <w:t xml:space="preserve">Liczba pracujących emerytów wzrosła z 545,4 tys. w grudniu 2012 r. do 812,9 </w:t>
      </w:r>
      <w:r w:rsidR="00AF46C3" w:rsidRPr="008D0165">
        <w:rPr>
          <w:rFonts w:cstheme="minorHAnsi"/>
          <w:bCs/>
          <w:sz w:val="24"/>
          <w:szCs w:val="24"/>
        </w:rPr>
        <w:lastRenderedPageBreak/>
        <w:t>tys. w grudniu 2021 r., czyli</w:t>
      </w:r>
      <w:r w:rsidR="00446007">
        <w:rPr>
          <w:rFonts w:cstheme="minorHAnsi"/>
          <w:bCs/>
          <w:sz w:val="24"/>
          <w:szCs w:val="24"/>
        </w:rPr>
        <w:t> </w:t>
      </w:r>
      <w:r w:rsidR="00AF46C3" w:rsidRPr="008D0165">
        <w:rPr>
          <w:rFonts w:cstheme="minorHAnsi"/>
          <w:bCs/>
          <w:sz w:val="24"/>
          <w:szCs w:val="24"/>
        </w:rPr>
        <w:t>o</w:t>
      </w:r>
      <w:r w:rsidR="00446007">
        <w:rPr>
          <w:rFonts w:cstheme="minorHAnsi"/>
          <w:bCs/>
          <w:sz w:val="24"/>
          <w:szCs w:val="24"/>
        </w:rPr>
        <w:t> </w:t>
      </w:r>
      <w:r w:rsidR="00AF46C3" w:rsidRPr="008D0165">
        <w:rPr>
          <w:rFonts w:cstheme="minorHAnsi"/>
          <w:bCs/>
          <w:sz w:val="24"/>
          <w:szCs w:val="24"/>
        </w:rPr>
        <w:t>49,0%.</w:t>
      </w:r>
      <w:r w:rsidR="00AF46C3">
        <w:rPr>
          <w:rFonts w:cstheme="minorHAnsi"/>
          <w:bCs/>
          <w:sz w:val="24"/>
          <w:szCs w:val="24"/>
        </w:rPr>
        <w:t xml:space="preserve"> </w:t>
      </w:r>
      <w:r w:rsidR="0065622A" w:rsidRPr="005A620E">
        <w:rPr>
          <w:rFonts w:cstheme="minorHAnsi"/>
          <w:bCs/>
          <w:sz w:val="24"/>
          <w:szCs w:val="24"/>
        </w:rPr>
        <w:t>Rośnie liczba zarówno emerytek (</w:t>
      </w:r>
      <w:r w:rsidR="0065622A" w:rsidRPr="00AF46C3">
        <w:rPr>
          <w:rFonts w:cstheme="minorHAnsi"/>
          <w:sz w:val="24"/>
          <w:szCs w:val="24"/>
        </w:rPr>
        <w:t>które, ze względu na wcześniejszą o</w:t>
      </w:r>
      <w:r w:rsidR="00446007">
        <w:rPr>
          <w:rFonts w:cstheme="minorHAnsi"/>
          <w:sz w:val="24"/>
          <w:szCs w:val="24"/>
        </w:rPr>
        <w:t> </w:t>
      </w:r>
      <w:r w:rsidR="0065622A" w:rsidRPr="00AF46C3">
        <w:rPr>
          <w:rFonts w:cstheme="minorHAnsi"/>
          <w:sz w:val="24"/>
          <w:szCs w:val="24"/>
        </w:rPr>
        <w:t>5</w:t>
      </w:r>
      <w:r w:rsidR="00446007">
        <w:rPr>
          <w:rFonts w:cstheme="minorHAnsi"/>
          <w:sz w:val="24"/>
          <w:szCs w:val="24"/>
        </w:rPr>
        <w:t> </w:t>
      </w:r>
      <w:r w:rsidR="0065622A" w:rsidRPr="00AF46C3">
        <w:rPr>
          <w:rFonts w:cstheme="minorHAnsi"/>
          <w:sz w:val="24"/>
          <w:szCs w:val="24"/>
        </w:rPr>
        <w:t>lat możliwość skorzystania z prawa do emerytury niż mężczyźni, mają większą motywację do uzupełnienia swoich dochodów), jak i emerytów.</w:t>
      </w:r>
      <w:r w:rsidR="0065622A" w:rsidRPr="005A620E">
        <w:rPr>
          <w:rFonts w:cstheme="minorHAnsi"/>
          <w:sz w:val="24"/>
          <w:szCs w:val="24"/>
        </w:rPr>
        <w:t xml:space="preserve"> </w:t>
      </w:r>
      <w:r w:rsidRPr="007E2567">
        <w:rPr>
          <w:sz w:val="24"/>
          <w:szCs w:val="24"/>
        </w:rPr>
        <w:t>W ciągu ostatnich siedmiu lat liczba pracujących emerytów wzrosła o p</w:t>
      </w:r>
      <w:r>
        <w:rPr>
          <w:sz w:val="24"/>
          <w:szCs w:val="24"/>
        </w:rPr>
        <w:t>o</w:t>
      </w:r>
      <w:r w:rsidRPr="007E2567">
        <w:rPr>
          <w:sz w:val="24"/>
          <w:szCs w:val="24"/>
        </w:rPr>
        <w:t>nad 40%</w:t>
      </w:r>
      <w:r>
        <w:rPr>
          <w:sz w:val="24"/>
          <w:szCs w:val="24"/>
        </w:rPr>
        <w:t xml:space="preserve">, a od 2017 r. o blisko 18%. </w:t>
      </w:r>
      <w:r w:rsidRPr="00AF46C3">
        <w:rPr>
          <w:sz w:val="24"/>
          <w:szCs w:val="24"/>
        </w:rPr>
        <w:t>W 2021 r. ponad 94% pracujących emerytów to osoby w wieku 60/65 lat i więcej. Średni wiek pracujących emerytów wyniósł 66,9 roku, dla mężczyzn było to 68,3 roku, dla kobiet – 65,8 roku.</w:t>
      </w:r>
    </w:p>
    <w:p w14:paraId="3B581F18" w14:textId="5FAABA25" w:rsidR="0065622A" w:rsidRDefault="00AA03E9" w:rsidP="00AF46C3">
      <w:pPr>
        <w:spacing w:after="120"/>
        <w:ind w:left="709"/>
        <w:jc w:val="both"/>
        <w:rPr>
          <w:rFonts w:cstheme="minorHAnsi"/>
          <w:bCs/>
          <w:sz w:val="24"/>
          <w:szCs w:val="24"/>
        </w:rPr>
      </w:pPr>
      <w:r>
        <w:rPr>
          <w:sz w:val="24"/>
          <w:szCs w:val="24"/>
        </w:rPr>
        <w:t>Przywrócenie wielu emerytalnego nie miało</w:t>
      </w:r>
      <w:r w:rsidR="00B629B2">
        <w:rPr>
          <w:sz w:val="24"/>
          <w:szCs w:val="24"/>
        </w:rPr>
        <w:t xml:space="preserve"> zatem</w:t>
      </w:r>
      <w:r w:rsidR="005A620E">
        <w:rPr>
          <w:sz w:val="24"/>
          <w:szCs w:val="24"/>
        </w:rPr>
        <w:t xml:space="preserve"> </w:t>
      </w:r>
      <w:r>
        <w:rPr>
          <w:sz w:val="24"/>
          <w:szCs w:val="24"/>
        </w:rPr>
        <w:t>negatywnego wpływu na wskaźniki zatrudnienia, które z roku na rok wzrastają, także wśród osób, które przekroczyły ustawowy wiek emerytalny (kryzys gospodarczy wywołany pandemią C</w:t>
      </w:r>
      <w:r w:rsidR="00D13AF4">
        <w:rPr>
          <w:sz w:val="24"/>
          <w:szCs w:val="24"/>
        </w:rPr>
        <w:t>OVID</w:t>
      </w:r>
      <w:r>
        <w:rPr>
          <w:sz w:val="24"/>
          <w:szCs w:val="24"/>
        </w:rPr>
        <w:t>-19 nie</w:t>
      </w:r>
      <w:r w:rsidR="00446007">
        <w:rPr>
          <w:sz w:val="24"/>
          <w:szCs w:val="24"/>
        </w:rPr>
        <w:t> </w:t>
      </w:r>
      <w:r>
        <w:rPr>
          <w:sz w:val="24"/>
          <w:szCs w:val="24"/>
        </w:rPr>
        <w:t xml:space="preserve">powstrzymał tego wzrostu). W przypadku kobiet </w:t>
      </w:r>
      <w:r w:rsidRPr="008D0165">
        <w:rPr>
          <w:rFonts w:cstheme="minorHAnsi"/>
          <w:bCs/>
          <w:sz w:val="24"/>
          <w:szCs w:val="24"/>
        </w:rPr>
        <w:t>w wieku 60</w:t>
      </w:r>
      <w:r w:rsidR="003D7141">
        <w:rPr>
          <w:rFonts w:cstheme="minorHAnsi"/>
          <w:bCs/>
          <w:sz w:val="24"/>
          <w:szCs w:val="24"/>
        </w:rPr>
        <w:t>–</w:t>
      </w:r>
      <w:r w:rsidRPr="008D0165">
        <w:rPr>
          <w:rFonts w:cstheme="minorHAnsi"/>
          <w:bCs/>
          <w:sz w:val="24"/>
          <w:szCs w:val="24"/>
        </w:rPr>
        <w:t>64 lat</w:t>
      </w:r>
      <w:r>
        <w:rPr>
          <w:sz w:val="24"/>
          <w:szCs w:val="24"/>
        </w:rPr>
        <w:t xml:space="preserve"> wzrost wskaźnika zatrudnienia</w:t>
      </w:r>
      <w:r>
        <w:rPr>
          <w:rFonts w:cstheme="minorHAnsi"/>
          <w:bCs/>
          <w:sz w:val="24"/>
          <w:szCs w:val="24"/>
        </w:rPr>
        <w:t xml:space="preserve"> </w:t>
      </w:r>
      <w:r w:rsidRPr="008D0165">
        <w:rPr>
          <w:rFonts w:cstheme="minorHAnsi"/>
          <w:bCs/>
          <w:sz w:val="24"/>
          <w:szCs w:val="24"/>
        </w:rPr>
        <w:t>wzrósł o 8,6 p.p. (IV kw. 2012 r</w:t>
      </w:r>
      <w:r w:rsidR="00724CFA">
        <w:rPr>
          <w:rFonts w:cstheme="minorHAnsi"/>
          <w:bCs/>
          <w:sz w:val="24"/>
          <w:szCs w:val="24"/>
        </w:rPr>
        <w:t>/</w:t>
      </w:r>
      <w:r w:rsidRPr="008D0165">
        <w:rPr>
          <w:rFonts w:cstheme="minorHAnsi"/>
          <w:bCs/>
          <w:sz w:val="24"/>
          <w:szCs w:val="24"/>
        </w:rPr>
        <w:t>. IV kw. 2021 r.)</w:t>
      </w:r>
      <w:r>
        <w:rPr>
          <w:rFonts w:cstheme="minorHAnsi"/>
          <w:bCs/>
          <w:sz w:val="24"/>
          <w:szCs w:val="24"/>
        </w:rPr>
        <w:t xml:space="preserve">, w przypadku mężczyzn, którzy przekroczyli ustawowy wiek emerytalny </w:t>
      </w:r>
      <w:r w:rsidR="00801F11">
        <w:rPr>
          <w:rFonts w:cstheme="minorHAnsi"/>
          <w:bCs/>
          <w:sz w:val="24"/>
          <w:szCs w:val="24"/>
        </w:rPr>
        <w:t>–</w:t>
      </w:r>
      <w:r>
        <w:rPr>
          <w:rFonts w:cstheme="minorHAnsi"/>
          <w:bCs/>
          <w:sz w:val="24"/>
          <w:szCs w:val="24"/>
        </w:rPr>
        <w:t xml:space="preserve"> odpowiednio o 1,9 p.p.</w:t>
      </w:r>
    </w:p>
    <w:p w14:paraId="7387BB79" w14:textId="3F0F3A8C" w:rsidR="0065622A" w:rsidRPr="0065622A" w:rsidRDefault="0065622A" w:rsidP="00AF46C3">
      <w:pPr>
        <w:spacing w:after="120"/>
        <w:ind w:left="709"/>
        <w:jc w:val="both"/>
        <w:rPr>
          <w:rFonts w:cstheme="minorHAnsi"/>
          <w:bCs/>
          <w:sz w:val="24"/>
          <w:szCs w:val="24"/>
        </w:rPr>
      </w:pPr>
      <w:r w:rsidRPr="00AF46C3">
        <w:rPr>
          <w:rFonts w:cstheme="minorHAnsi"/>
          <w:sz w:val="24"/>
          <w:szCs w:val="24"/>
        </w:rPr>
        <w:t>Dla emerytów kontynuujących a</w:t>
      </w:r>
      <w:r w:rsidR="004046ED">
        <w:rPr>
          <w:rFonts w:cstheme="minorHAnsi"/>
          <w:sz w:val="24"/>
          <w:szCs w:val="24"/>
        </w:rPr>
        <w:t>ktywność zawodową przywrócenie</w:t>
      </w:r>
      <w:r w:rsidRPr="00AF46C3">
        <w:rPr>
          <w:rFonts w:cstheme="minorHAnsi"/>
          <w:sz w:val="24"/>
          <w:szCs w:val="24"/>
        </w:rPr>
        <w:t xml:space="preserve"> obowiązującego do końca 2012 r. wieku emerytalnego – oznacza poprawę sytuacji materialnej gospodarstw domowych tych osób.</w:t>
      </w:r>
    </w:p>
    <w:p w14:paraId="02123E2D" w14:textId="13972223" w:rsidR="00DD6067" w:rsidRDefault="00AA03E9" w:rsidP="004E7091">
      <w:pPr>
        <w:spacing w:after="120"/>
        <w:ind w:left="709"/>
        <w:jc w:val="both"/>
        <w:rPr>
          <w:sz w:val="24"/>
          <w:szCs w:val="24"/>
        </w:rPr>
      </w:pPr>
      <w:r>
        <w:rPr>
          <w:sz w:val="24"/>
          <w:szCs w:val="24"/>
        </w:rPr>
        <w:t>Należy podkreślić, że poziom aktywności osób starszych zależy przede wszystkim od</w:t>
      </w:r>
      <w:r w:rsidR="00446007">
        <w:rPr>
          <w:sz w:val="24"/>
          <w:szCs w:val="24"/>
        </w:rPr>
        <w:t> </w:t>
      </w:r>
      <w:r>
        <w:rPr>
          <w:sz w:val="24"/>
          <w:szCs w:val="24"/>
        </w:rPr>
        <w:t xml:space="preserve">sytuacji na rynku pracy i możliwości znalezienia </w:t>
      </w:r>
      <w:r w:rsidR="00D33C0A">
        <w:rPr>
          <w:sz w:val="24"/>
          <w:szCs w:val="24"/>
        </w:rPr>
        <w:t xml:space="preserve">przez te osoby </w:t>
      </w:r>
      <w:r>
        <w:rPr>
          <w:sz w:val="24"/>
          <w:szCs w:val="24"/>
        </w:rPr>
        <w:t>odpowiedniej pracy. Istotnym przy tym wskaźnikiem</w:t>
      </w:r>
      <w:r w:rsidR="00F95340">
        <w:rPr>
          <w:sz w:val="24"/>
          <w:szCs w:val="24"/>
        </w:rPr>
        <w:t>, mającym zdecydowany wpływ na wydłużenie aktywności zawodowej,</w:t>
      </w:r>
      <w:r>
        <w:rPr>
          <w:sz w:val="24"/>
          <w:szCs w:val="24"/>
        </w:rPr>
        <w:t xml:space="preserve"> jest wskaźnik trwania w zdrowiu</w:t>
      </w:r>
      <w:r w:rsidR="00DD6067">
        <w:rPr>
          <w:sz w:val="24"/>
          <w:szCs w:val="24"/>
        </w:rPr>
        <w:t>. Ważne jest</w:t>
      </w:r>
      <w:r w:rsidR="00990E71">
        <w:rPr>
          <w:sz w:val="24"/>
          <w:szCs w:val="24"/>
        </w:rPr>
        <w:t xml:space="preserve"> zatem </w:t>
      </w:r>
      <w:r>
        <w:rPr>
          <w:sz w:val="24"/>
          <w:szCs w:val="24"/>
        </w:rPr>
        <w:t>zapewnienie jak najlepszej profilaktyki zdrowotne</w:t>
      </w:r>
      <w:r w:rsidR="00DD6067">
        <w:rPr>
          <w:sz w:val="24"/>
          <w:szCs w:val="24"/>
        </w:rPr>
        <w:t>j</w:t>
      </w:r>
      <w:r>
        <w:rPr>
          <w:sz w:val="24"/>
          <w:szCs w:val="24"/>
        </w:rPr>
        <w:t>.</w:t>
      </w:r>
      <w:r w:rsidR="00F95340">
        <w:rPr>
          <w:sz w:val="24"/>
          <w:szCs w:val="24"/>
        </w:rPr>
        <w:t xml:space="preserve"> </w:t>
      </w:r>
    </w:p>
    <w:p w14:paraId="1B200FE0" w14:textId="5CD36952" w:rsidR="004E7091" w:rsidRDefault="00F95340" w:rsidP="004E7091">
      <w:pPr>
        <w:spacing w:after="120"/>
        <w:ind w:left="709"/>
        <w:jc w:val="both"/>
        <w:rPr>
          <w:sz w:val="24"/>
          <w:szCs w:val="24"/>
        </w:rPr>
      </w:pPr>
      <w:r>
        <w:rPr>
          <w:sz w:val="24"/>
          <w:szCs w:val="24"/>
        </w:rPr>
        <w:t>W</w:t>
      </w:r>
      <w:r w:rsidRPr="00A26E9C">
        <w:rPr>
          <w:sz w:val="24"/>
          <w:szCs w:val="24"/>
        </w:rPr>
        <w:t xml:space="preserve"> 2020 r.</w:t>
      </w:r>
      <w:r>
        <w:rPr>
          <w:sz w:val="24"/>
          <w:szCs w:val="24"/>
        </w:rPr>
        <w:t xml:space="preserve"> zanotowano spadek</w:t>
      </w:r>
      <w:r w:rsidRPr="00A26E9C">
        <w:rPr>
          <w:sz w:val="24"/>
          <w:szCs w:val="24"/>
        </w:rPr>
        <w:t xml:space="preserve"> trwani</w:t>
      </w:r>
      <w:r>
        <w:rPr>
          <w:sz w:val="24"/>
          <w:szCs w:val="24"/>
        </w:rPr>
        <w:t>a</w:t>
      </w:r>
      <w:r w:rsidRPr="00A26E9C">
        <w:rPr>
          <w:sz w:val="24"/>
          <w:szCs w:val="24"/>
        </w:rPr>
        <w:t xml:space="preserve"> życia w zdrowiu w stosunku do roku poprzedniego</w:t>
      </w:r>
      <w:r>
        <w:rPr>
          <w:sz w:val="24"/>
          <w:szCs w:val="24"/>
        </w:rPr>
        <w:t>.</w:t>
      </w:r>
      <w:r w:rsidRPr="00A26E9C">
        <w:rPr>
          <w:sz w:val="24"/>
          <w:szCs w:val="24"/>
        </w:rPr>
        <w:t xml:space="preserve"> Redukcja ta w głównej mierze była związana ze skróceniem się</w:t>
      </w:r>
      <w:r w:rsidR="00446007">
        <w:rPr>
          <w:sz w:val="24"/>
          <w:szCs w:val="24"/>
        </w:rPr>
        <w:t> </w:t>
      </w:r>
      <w:r w:rsidRPr="00A26E9C">
        <w:rPr>
          <w:sz w:val="24"/>
          <w:szCs w:val="24"/>
        </w:rPr>
        <w:t>przeciętnego trwania życia</w:t>
      </w:r>
      <w:r>
        <w:rPr>
          <w:sz w:val="24"/>
          <w:szCs w:val="24"/>
        </w:rPr>
        <w:t xml:space="preserve">, w związku z </w:t>
      </w:r>
      <w:r w:rsidR="00DD6067">
        <w:rPr>
          <w:sz w:val="24"/>
          <w:szCs w:val="24"/>
        </w:rPr>
        <w:t xml:space="preserve">pandemią </w:t>
      </w:r>
      <w:r>
        <w:rPr>
          <w:sz w:val="24"/>
          <w:szCs w:val="24"/>
        </w:rPr>
        <w:t>C</w:t>
      </w:r>
      <w:r w:rsidR="00FD331C">
        <w:rPr>
          <w:sz w:val="24"/>
          <w:szCs w:val="24"/>
        </w:rPr>
        <w:t>OVID</w:t>
      </w:r>
      <w:r>
        <w:rPr>
          <w:sz w:val="24"/>
          <w:szCs w:val="24"/>
        </w:rPr>
        <w:t>-19</w:t>
      </w:r>
      <w:r w:rsidRPr="00A26E9C">
        <w:rPr>
          <w:sz w:val="24"/>
          <w:szCs w:val="24"/>
        </w:rPr>
        <w:t>. Wydłużenie trwania życia w zdrowiu jest jednym z</w:t>
      </w:r>
      <w:r>
        <w:rPr>
          <w:sz w:val="24"/>
          <w:szCs w:val="24"/>
        </w:rPr>
        <w:t xml:space="preserve"> </w:t>
      </w:r>
      <w:r w:rsidRPr="00A26E9C">
        <w:rPr>
          <w:sz w:val="24"/>
          <w:szCs w:val="24"/>
        </w:rPr>
        <w:t xml:space="preserve">celów polityki zdrowotnej </w:t>
      </w:r>
      <w:r>
        <w:rPr>
          <w:sz w:val="24"/>
          <w:szCs w:val="24"/>
        </w:rPr>
        <w:t>wielu krajów, również Polski</w:t>
      </w:r>
      <w:r w:rsidRPr="00A26E9C">
        <w:rPr>
          <w:sz w:val="24"/>
          <w:szCs w:val="24"/>
        </w:rPr>
        <w:t>.</w:t>
      </w:r>
      <w:r w:rsidR="004E7091">
        <w:rPr>
          <w:sz w:val="24"/>
          <w:szCs w:val="24"/>
        </w:rPr>
        <w:t xml:space="preserve"> </w:t>
      </w:r>
    </w:p>
    <w:p w14:paraId="0E648ED1" w14:textId="25E3B9E0" w:rsidR="00F95340" w:rsidRPr="00AF46C3" w:rsidRDefault="004E7091" w:rsidP="004E7091">
      <w:pPr>
        <w:spacing w:after="120"/>
        <w:ind w:left="709"/>
        <w:jc w:val="both"/>
        <w:rPr>
          <w:rFonts w:cstheme="minorHAnsi"/>
          <w:sz w:val="24"/>
          <w:szCs w:val="24"/>
        </w:rPr>
      </w:pPr>
      <w:r w:rsidRPr="00AF46C3">
        <w:rPr>
          <w:rFonts w:cstheme="minorHAnsi"/>
          <w:sz w:val="24"/>
          <w:szCs w:val="24"/>
        </w:rPr>
        <w:t>Należy nadal uważnie przyglądać się sytuacji na rynku pracy, zdrowotności naszego społeczeństwa oraz dalszemu życiu w zdrowiu.</w:t>
      </w:r>
    </w:p>
    <w:p w14:paraId="02EF6B65" w14:textId="3A976AAF" w:rsidR="00AA03E9" w:rsidRDefault="00AA03E9" w:rsidP="00AF46C3">
      <w:pPr>
        <w:pStyle w:val="Akapitzlist"/>
        <w:spacing w:after="120"/>
        <w:jc w:val="both"/>
        <w:rPr>
          <w:sz w:val="24"/>
          <w:szCs w:val="24"/>
        </w:rPr>
      </w:pPr>
      <w:r w:rsidRPr="001271B9">
        <w:rPr>
          <w:sz w:val="24"/>
          <w:szCs w:val="24"/>
        </w:rPr>
        <w:t>Ważne jest</w:t>
      </w:r>
      <w:r w:rsidR="00F95340">
        <w:rPr>
          <w:sz w:val="24"/>
          <w:szCs w:val="24"/>
        </w:rPr>
        <w:t xml:space="preserve"> </w:t>
      </w:r>
      <w:r w:rsidRPr="001271B9">
        <w:rPr>
          <w:sz w:val="24"/>
          <w:szCs w:val="24"/>
        </w:rPr>
        <w:t>wprowadzanie nowych zachęt do przedłużania aktywności zawodowej dla</w:t>
      </w:r>
      <w:r w:rsidR="00446007">
        <w:rPr>
          <w:sz w:val="24"/>
          <w:szCs w:val="24"/>
        </w:rPr>
        <w:t> </w:t>
      </w:r>
      <w:r w:rsidRPr="001271B9">
        <w:rPr>
          <w:sz w:val="24"/>
          <w:szCs w:val="24"/>
        </w:rPr>
        <w:t>tych</w:t>
      </w:r>
      <w:r w:rsidR="004046ED">
        <w:rPr>
          <w:sz w:val="24"/>
          <w:szCs w:val="24"/>
        </w:rPr>
        <w:t>,</w:t>
      </w:r>
      <w:r w:rsidRPr="001271B9">
        <w:rPr>
          <w:sz w:val="24"/>
          <w:szCs w:val="24"/>
        </w:rPr>
        <w:t xml:space="preserve"> którzy chcą i mogą ją kontynuować.</w:t>
      </w:r>
      <w:r>
        <w:rPr>
          <w:sz w:val="24"/>
          <w:szCs w:val="24"/>
        </w:rPr>
        <w:t xml:space="preserve"> </w:t>
      </w:r>
      <w:r w:rsidR="00D33C0A">
        <w:rPr>
          <w:sz w:val="24"/>
          <w:szCs w:val="24"/>
        </w:rPr>
        <w:t>Stąd też p</w:t>
      </w:r>
      <w:r w:rsidR="004F31A3">
        <w:rPr>
          <w:sz w:val="24"/>
          <w:szCs w:val="24"/>
        </w:rPr>
        <w:t>odejmowan</w:t>
      </w:r>
      <w:r w:rsidR="00D33C0A">
        <w:rPr>
          <w:sz w:val="24"/>
          <w:szCs w:val="24"/>
        </w:rPr>
        <w:t xml:space="preserve">ych </w:t>
      </w:r>
      <w:r w:rsidR="004F31A3">
        <w:rPr>
          <w:sz w:val="24"/>
          <w:szCs w:val="24"/>
        </w:rPr>
        <w:t>jest sze</w:t>
      </w:r>
      <w:r w:rsidR="00D33C0A">
        <w:rPr>
          <w:sz w:val="24"/>
          <w:szCs w:val="24"/>
        </w:rPr>
        <w:t>reg rozwiązań na rzecz zatrudniania osób starszych. Wypracowywane są też metody, które</w:t>
      </w:r>
      <w:r w:rsidR="004046ED">
        <w:rPr>
          <w:sz w:val="24"/>
          <w:szCs w:val="24"/>
        </w:rPr>
        <w:t> </w:t>
      </w:r>
      <w:r>
        <w:rPr>
          <w:sz w:val="24"/>
          <w:szCs w:val="24"/>
        </w:rPr>
        <w:t>wpłyn</w:t>
      </w:r>
      <w:r w:rsidR="00D33C0A">
        <w:rPr>
          <w:sz w:val="24"/>
          <w:szCs w:val="24"/>
        </w:rPr>
        <w:t>ą</w:t>
      </w:r>
      <w:r>
        <w:rPr>
          <w:sz w:val="24"/>
          <w:szCs w:val="24"/>
        </w:rPr>
        <w:t xml:space="preserve"> na aktywizację niewykorzystanych dotąd zasobów ludzkich.</w:t>
      </w:r>
    </w:p>
    <w:p w14:paraId="18EFF20E" w14:textId="2304044B" w:rsidR="001759B0" w:rsidRDefault="00D33C0A" w:rsidP="00AF46C3">
      <w:pPr>
        <w:pStyle w:val="Akapitzlist"/>
        <w:spacing w:after="120"/>
        <w:jc w:val="both"/>
        <w:rPr>
          <w:sz w:val="24"/>
          <w:szCs w:val="24"/>
        </w:rPr>
      </w:pPr>
      <w:r>
        <w:rPr>
          <w:sz w:val="24"/>
          <w:szCs w:val="24"/>
        </w:rPr>
        <w:lastRenderedPageBreak/>
        <w:t xml:space="preserve">Podkreślenia wymaga realizacja </w:t>
      </w:r>
      <w:r w:rsidR="009F0159">
        <w:rPr>
          <w:sz w:val="24"/>
          <w:szCs w:val="24"/>
        </w:rPr>
        <w:t xml:space="preserve">m. in. </w:t>
      </w:r>
      <w:r>
        <w:rPr>
          <w:sz w:val="24"/>
          <w:szCs w:val="24"/>
        </w:rPr>
        <w:t>programów edukacyjnych</w:t>
      </w:r>
      <w:r w:rsidR="009F0159">
        <w:rPr>
          <w:sz w:val="24"/>
          <w:szCs w:val="24"/>
        </w:rPr>
        <w:t>,</w:t>
      </w:r>
      <w:r>
        <w:rPr>
          <w:sz w:val="24"/>
          <w:szCs w:val="24"/>
        </w:rPr>
        <w:t xml:space="preserve"> kampanii informacyjnych</w:t>
      </w:r>
      <w:r w:rsidR="009F0159">
        <w:rPr>
          <w:sz w:val="24"/>
          <w:szCs w:val="24"/>
        </w:rPr>
        <w:t>, usług doradczych (doradcy emerytalni w placówkach ZUS, konsultanci COT ZUS)</w:t>
      </w:r>
      <w:r>
        <w:rPr>
          <w:sz w:val="24"/>
          <w:szCs w:val="24"/>
        </w:rPr>
        <w:t xml:space="preserve"> skierowanych do przyszłych emerytów</w:t>
      </w:r>
      <w:r w:rsidR="00BA5D88">
        <w:rPr>
          <w:sz w:val="24"/>
          <w:szCs w:val="24"/>
        </w:rPr>
        <w:t>,</w:t>
      </w:r>
      <w:r>
        <w:rPr>
          <w:sz w:val="24"/>
          <w:szCs w:val="24"/>
        </w:rPr>
        <w:t xml:space="preserve"> </w:t>
      </w:r>
      <w:r w:rsidR="0008478C">
        <w:rPr>
          <w:sz w:val="24"/>
          <w:szCs w:val="24"/>
        </w:rPr>
        <w:t>mających na celu wskazanie</w:t>
      </w:r>
      <w:r>
        <w:rPr>
          <w:sz w:val="24"/>
          <w:szCs w:val="24"/>
        </w:rPr>
        <w:t xml:space="preserve"> korzyści płynąc</w:t>
      </w:r>
      <w:r w:rsidR="0008478C">
        <w:rPr>
          <w:sz w:val="24"/>
          <w:szCs w:val="24"/>
        </w:rPr>
        <w:t>ych</w:t>
      </w:r>
      <w:r>
        <w:rPr>
          <w:sz w:val="24"/>
          <w:szCs w:val="24"/>
        </w:rPr>
        <w:t xml:space="preserve"> z opóźnienia decyzji o przejściu na emeryturę.</w:t>
      </w:r>
      <w:r w:rsidR="009F0159">
        <w:rPr>
          <w:sz w:val="24"/>
          <w:szCs w:val="24"/>
        </w:rPr>
        <w:t xml:space="preserve"> Wszystkie podejmowane w</w:t>
      </w:r>
      <w:r w:rsidR="00446007">
        <w:rPr>
          <w:sz w:val="24"/>
          <w:szCs w:val="24"/>
        </w:rPr>
        <w:t> </w:t>
      </w:r>
      <w:r w:rsidR="009F0159">
        <w:rPr>
          <w:sz w:val="24"/>
          <w:szCs w:val="24"/>
        </w:rPr>
        <w:t xml:space="preserve">tym zakresie działania są bardzo pozytywnie odbierane przez przyszłych świadczeniobiorców. </w:t>
      </w:r>
    </w:p>
    <w:p w14:paraId="669BBE7A" w14:textId="6F147E4D" w:rsidR="00CF1B60" w:rsidRPr="00AF46C3" w:rsidRDefault="00CF1B60" w:rsidP="00F95340">
      <w:pPr>
        <w:suppressAutoHyphens/>
        <w:autoSpaceDE w:val="0"/>
        <w:autoSpaceDN w:val="0"/>
        <w:adjustRightInd w:val="0"/>
        <w:spacing w:before="120" w:after="120"/>
        <w:ind w:left="709"/>
        <w:jc w:val="both"/>
      </w:pPr>
      <w:r w:rsidRPr="004803AF">
        <w:rPr>
          <w:rFonts w:cstheme="minorHAnsi"/>
          <w:sz w:val="24"/>
          <w:szCs w:val="24"/>
        </w:rPr>
        <w:t>Analizując skutki przywrócenia wieku emerytalnego w badanym okresie nie można pominąć faktu, że od 2020 r. mierzy</w:t>
      </w:r>
      <w:r w:rsidR="004E7091">
        <w:rPr>
          <w:rFonts w:cstheme="minorHAnsi"/>
          <w:sz w:val="24"/>
          <w:szCs w:val="24"/>
        </w:rPr>
        <w:t>my</w:t>
      </w:r>
      <w:r w:rsidRPr="004803AF">
        <w:rPr>
          <w:rFonts w:cstheme="minorHAnsi"/>
          <w:sz w:val="24"/>
          <w:szCs w:val="24"/>
        </w:rPr>
        <w:t xml:space="preserve"> się ze skutkami pandemii. Ś</w:t>
      </w:r>
      <w:r w:rsidR="004046ED">
        <w:rPr>
          <w:sz w:val="24"/>
          <w:szCs w:val="24"/>
        </w:rPr>
        <w:t>wiatowa pandemia COVID-19</w:t>
      </w:r>
      <w:r w:rsidRPr="00AF46C3">
        <w:rPr>
          <w:sz w:val="24"/>
          <w:szCs w:val="24"/>
        </w:rPr>
        <w:t xml:space="preserve"> wpłynęła na każdą dziedzinę naszego życia, zwłaszcza na sytuację społeczno-gospodarczą kraju.</w:t>
      </w:r>
      <w:r w:rsidR="004803AF" w:rsidRPr="00AF46C3">
        <w:rPr>
          <w:sz w:val="24"/>
          <w:szCs w:val="24"/>
        </w:rPr>
        <w:t xml:space="preserve"> Miała ona znaczący wpływ na finanse publiczne</w:t>
      </w:r>
      <w:r w:rsidR="004803AF">
        <w:rPr>
          <w:sz w:val="24"/>
          <w:szCs w:val="24"/>
        </w:rPr>
        <w:t>,</w:t>
      </w:r>
      <w:r w:rsidR="004803AF" w:rsidRPr="00AF46C3">
        <w:rPr>
          <w:sz w:val="24"/>
          <w:szCs w:val="24"/>
        </w:rPr>
        <w:t xml:space="preserve"> w tym finanse F</w:t>
      </w:r>
      <w:r w:rsidR="00BA5D88">
        <w:rPr>
          <w:sz w:val="24"/>
          <w:szCs w:val="24"/>
        </w:rPr>
        <w:t>US</w:t>
      </w:r>
      <w:r w:rsidR="004803AF">
        <w:rPr>
          <w:sz w:val="24"/>
          <w:szCs w:val="24"/>
        </w:rPr>
        <w:t xml:space="preserve">. Wpłynęła na </w:t>
      </w:r>
      <w:r w:rsidR="004803AF" w:rsidRPr="008D0165">
        <w:rPr>
          <w:sz w:val="24"/>
          <w:szCs w:val="24"/>
        </w:rPr>
        <w:t xml:space="preserve">spadek liczby populacji ogólnej w 2020 r. względem roku </w:t>
      </w:r>
      <w:r w:rsidR="004803AF">
        <w:rPr>
          <w:sz w:val="24"/>
          <w:szCs w:val="24"/>
        </w:rPr>
        <w:t>poprzedniego</w:t>
      </w:r>
      <w:r w:rsidR="00F95340">
        <w:rPr>
          <w:sz w:val="24"/>
          <w:szCs w:val="24"/>
        </w:rPr>
        <w:t>.</w:t>
      </w:r>
      <w:r w:rsidR="00F95340">
        <w:rPr>
          <w:rFonts w:cstheme="minorHAnsi"/>
          <w:sz w:val="24"/>
          <w:szCs w:val="24"/>
        </w:rPr>
        <w:t xml:space="preserve"> Z</w:t>
      </w:r>
      <w:r w:rsidRPr="00A26E9C">
        <w:rPr>
          <w:rFonts w:cstheme="minorHAnsi"/>
          <w:sz w:val="24"/>
          <w:szCs w:val="24"/>
        </w:rPr>
        <w:t>akłócone zostały korzystne tendencje w postaci rekordowo niskiego bezrobocia</w:t>
      </w:r>
      <w:r w:rsidR="004803AF">
        <w:rPr>
          <w:rFonts w:cstheme="minorHAnsi"/>
          <w:sz w:val="24"/>
          <w:szCs w:val="24"/>
        </w:rPr>
        <w:t xml:space="preserve">. </w:t>
      </w:r>
      <w:r w:rsidR="004803AF" w:rsidRPr="00A26E9C">
        <w:rPr>
          <w:rFonts w:ascii="Calibri" w:hAnsi="Calibri" w:cs="Calibri"/>
          <w:sz w:val="24"/>
          <w:szCs w:val="24"/>
        </w:rPr>
        <w:t>Zwiększyła się liczba bezrobotnych powyżej 50 r</w:t>
      </w:r>
      <w:r w:rsidR="00497785">
        <w:rPr>
          <w:rFonts w:ascii="Calibri" w:hAnsi="Calibri" w:cs="Calibri"/>
          <w:sz w:val="24"/>
          <w:szCs w:val="24"/>
        </w:rPr>
        <w:t>.</w:t>
      </w:r>
      <w:r w:rsidR="004803AF" w:rsidRPr="00A26E9C">
        <w:rPr>
          <w:rFonts w:ascii="Calibri" w:hAnsi="Calibri" w:cs="Calibri"/>
          <w:sz w:val="24"/>
          <w:szCs w:val="24"/>
        </w:rPr>
        <w:t>ż</w:t>
      </w:r>
      <w:r w:rsidR="00497785">
        <w:rPr>
          <w:rFonts w:ascii="Calibri" w:hAnsi="Calibri" w:cs="Calibri"/>
          <w:sz w:val="24"/>
          <w:szCs w:val="24"/>
        </w:rPr>
        <w:t>.</w:t>
      </w:r>
      <w:r w:rsidR="004E7091" w:rsidRPr="004E7091">
        <w:rPr>
          <w:rFonts w:ascii="Calibri" w:hAnsi="Calibri" w:cs="Calibri"/>
          <w:sz w:val="24"/>
          <w:szCs w:val="24"/>
        </w:rPr>
        <w:t xml:space="preserve"> </w:t>
      </w:r>
      <w:r w:rsidR="004E7091">
        <w:rPr>
          <w:rFonts w:ascii="Calibri" w:hAnsi="Calibri" w:cs="Calibri"/>
          <w:sz w:val="24"/>
          <w:szCs w:val="24"/>
        </w:rPr>
        <w:t>O</w:t>
      </w:r>
      <w:r w:rsidR="004E7091" w:rsidRPr="001B7BF3">
        <w:rPr>
          <w:rFonts w:ascii="Calibri" w:hAnsi="Calibri" w:cs="Calibri"/>
          <w:sz w:val="24"/>
          <w:szCs w:val="24"/>
        </w:rPr>
        <w:t>soby starsze silniej odczuły skutki pandemii,</w:t>
      </w:r>
      <w:r w:rsidR="004E7091" w:rsidRPr="00A26E9C">
        <w:rPr>
          <w:rFonts w:ascii="Calibri" w:eastAsia="Times New Roman" w:hAnsi="Calibri" w:cs="Calibri"/>
          <w:sz w:val="24"/>
          <w:szCs w:val="24"/>
          <w:lang w:eastAsia="pl-PL"/>
        </w:rPr>
        <w:t xml:space="preserve"> zwłaszcza, że cechują się niższą mobilnością zarówno zawodową, jak</w:t>
      </w:r>
      <w:r w:rsidR="004046ED">
        <w:rPr>
          <w:rFonts w:ascii="Calibri" w:eastAsia="Times New Roman" w:hAnsi="Calibri" w:cs="Calibri"/>
          <w:sz w:val="24"/>
          <w:szCs w:val="24"/>
          <w:lang w:eastAsia="pl-PL"/>
        </w:rPr>
        <w:t> </w:t>
      </w:r>
      <w:r w:rsidR="004E7091" w:rsidRPr="00A26E9C">
        <w:rPr>
          <w:rFonts w:ascii="Calibri" w:eastAsia="Times New Roman" w:hAnsi="Calibri" w:cs="Calibri"/>
          <w:sz w:val="24"/>
          <w:szCs w:val="24"/>
          <w:lang w:eastAsia="pl-PL"/>
        </w:rPr>
        <w:t>i</w:t>
      </w:r>
      <w:r w:rsidR="004046ED">
        <w:rPr>
          <w:rFonts w:ascii="Calibri" w:eastAsia="Times New Roman" w:hAnsi="Calibri" w:cs="Calibri"/>
          <w:sz w:val="24"/>
          <w:szCs w:val="24"/>
          <w:lang w:eastAsia="pl-PL"/>
        </w:rPr>
        <w:t> </w:t>
      </w:r>
      <w:r w:rsidR="004E7091" w:rsidRPr="00A26E9C">
        <w:rPr>
          <w:rFonts w:ascii="Calibri" w:eastAsia="Times New Roman" w:hAnsi="Calibri" w:cs="Calibri"/>
          <w:sz w:val="24"/>
          <w:szCs w:val="24"/>
          <w:lang w:eastAsia="pl-PL"/>
        </w:rPr>
        <w:t>geograficzną</w:t>
      </w:r>
      <w:r w:rsidR="004E7091">
        <w:rPr>
          <w:rFonts w:ascii="Calibri" w:eastAsia="Times New Roman" w:hAnsi="Calibri" w:cs="Calibri"/>
          <w:sz w:val="24"/>
          <w:szCs w:val="24"/>
          <w:lang w:eastAsia="pl-PL"/>
        </w:rPr>
        <w:t>. Trudniej też było tym osobom</w:t>
      </w:r>
      <w:r w:rsidR="004E7091" w:rsidRPr="00A26E9C">
        <w:rPr>
          <w:rFonts w:ascii="Calibri" w:eastAsia="Times New Roman" w:hAnsi="Calibri" w:cs="Calibri"/>
          <w:sz w:val="24"/>
          <w:szCs w:val="24"/>
          <w:lang w:eastAsia="pl-PL"/>
        </w:rPr>
        <w:t xml:space="preserve"> wrócić na rynek pracy po</w:t>
      </w:r>
      <w:r w:rsidR="00446007">
        <w:rPr>
          <w:rFonts w:ascii="Calibri" w:eastAsia="Times New Roman" w:hAnsi="Calibri" w:cs="Calibri"/>
          <w:sz w:val="24"/>
          <w:szCs w:val="24"/>
          <w:lang w:eastAsia="pl-PL"/>
        </w:rPr>
        <w:t> </w:t>
      </w:r>
      <w:r w:rsidR="004E7091" w:rsidRPr="00A26E9C">
        <w:rPr>
          <w:rFonts w:ascii="Calibri" w:eastAsia="Times New Roman" w:hAnsi="Calibri" w:cs="Calibri"/>
          <w:sz w:val="24"/>
          <w:szCs w:val="24"/>
          <w:lang w:eastAsia="pl-PL"/>
        </w:rPr>
        <w:t>utracie zatrudnienia.</w:t>
      </w:r>
    </w:p>
    <w:p w14:paraId="05D4116F" w14:textId="37BB2123" w:rsidR="001759B0" w:rsidRPr="00AF46C3" w:rsidRDefault="001759B0" w:rsidP="00AF46C3">
      <w:pPr>
        <w:pStyle w:val="Tekstpodstawowy2"/>
        <w:spacing w:line="300" w:lineRule="atLeast"/>
        <w:ind w:left="709"/>
        <w:jc w:val="both"/>
        <w:rPr>
          <w:rFonts w:ascii="Calibri" w:hAnsi="Calibri" w:cs="Calibri"/>
        </w:rPr>
      </w:pPr>
      <w:r w:rsidRPr="00AF46C3">
        <w:rPr>
          <w:rFonts w:ascii="Calibri" w:hAnsi="Calibri" w:cs="Calibri"/>
        </w:rPr>
        <w:t>Rada Ministrów dokonuje przeglądu funkcjonowania systemu emerytalnego co trzy lata, a następnie, w terminie do końca października, przedkłada go Sejmowi Rzeczypospolitej Polskiej. Obecna informacja jest drugim z kolei przeglądem (pierwszy</w:t>
      </w:r>
      <w:r w:rsidR="004046ED">
        <w:rPr>
          <w:rFonts w:ascii="Calibri" w:hAnsi="Calibri" w:cs="Calibri"/>
        </w:rPr>
        <w:t> </w:t>
      </w:r>
      <w:r w:rsidRPr="00AF46C3">
        <w:rPr>
          <w:rFonts w:ascii="Calibri" w:hAnsi="Calibri" w:cs="Calibri"/>
        </w:rPr>
        <w:t xml:space="preserve">został dokonany w 2019 r. po pierwszym roku obowiązywania ustawy wiekowej). Oznacza to, że następnego przeglądu Rada Ministrów dokona w 2025 r. </w:t>
      </w:r>
    </w:p>
    <w:p w14:paraId="3A2FB3CA" w14:textId="77777777" w:rsidR="00637ACE" w:rsidRDefault="00637ACE" w:rsidP="001409BE">
      <w:pPr>
        <w:pStyle w:val="Akapitzlist"/>
        <w:spacing w:before="120" w:after="120"/>
        <w:contextualSpacing w:val="0"/>
        <w:jc w:val="both"/>
        <w:rPr>
          <w:sz w:val="24"/>
          <w:szCs w:val="24"/>
        </w:rPr>
      </w:pPr>
    </w:p>
    <w:p w14:paraId="122207BB" w14:textId="77777777" w:rsidR="00124A11" w:rsidRDefault="00124A11" w:rsidP="00750F88">
      <w:pPr>
        <w:pStyle w:val="Akapitzlist"/>
        <w:spacing w:before="120" w:after="120"/>
        <w:ind w:left="0"/>
        <w:contextualSpacing w:val="0"/>
        <w:rPr>
          <w:sz w:val="20"/>
          <w:szCs w:val="20"/>
        </w:rPr>
      </w:pPr>
    </w:p>
    <w:p w14:paraId="19BEBC21" w14:textId="77777777" w:rsidR="00124A11" w:rsidRDefault="00124A11" w:rsidP="00750F88">
      <w:pPr>
        <w:pStyle w:val="Akapitzlist"/>
        <w:spacing w:before="120" w:after="120"/>
        <w:ind w:left="0"/>
        <w:contextualSpacing w:val="0"/>
        <w:rPr>
          <w:sz w:val="20"/>
          <w:szCs w:val="20"/>
        </w:rPr>
      </w:pPr>
    </w:p>
    <w:p w14:paraId="1DFEE9A3" w14:textId="77777777" w:rsidR="00124A11" w:rsidRDefault="00124A11" w:rsidP="00750F88">
      <w:pPr>
        <w:pStyle w:val="Akapitzlist"/>
        <w:spacing w:before="120" w:after="120"/>
        <w:ind w:left="0"/>
        <w:contextualSpacing w:val="0"/>
        <w:rPr>
          <w:sz w:val="20"/>
          <w:szCs w:val="20"/>
        </w:rPr>
      </w:pPr>
    </w:p>
    <w:p w14:paraId="14BB38DE" w14:textId="053867B9" w:rsidR="00124A11" w:rsidRDefault="00247E0F" w:rsidP="00247E0F">
      <w:pPr>
        <w:pStyle w:val="Akapitzlist"/>
        <w:tabs>
          <w:tab w:val="left" w:pos="3393"/>
        </w:tabs>
        <w:spacing w:before="120" w:after="120"/>
        <w:ind w:left="0"/>
        <w:contextualSpacing w:val="0"/>
        <w:rPr>
          <w:sz w:val="20"/>
          <w:szCs w:val="20"/>
        </w:rPr>
      </w:pPr>
      <w:r>
        <w:rPr>
          <w:sz w:val="20"/>
          <w:szCs w:val="20"/>
        </w:rPr>
        <w:tab/>
      </w:r>
    </w:p>
    <w:p w14:paraId="1513EB7D" w14:textId="77777777" w:rsidR="00124A11" w:rsidRDefault="00124A11" w:rsidP="00750F88">
      <w:pPr>
        <w:pStyle w:val="Akapitzlist"/>
        <w:spacing w:before="120" w:after="120"/>
        <w:ind w:left="0"/>
        <w:contextualSpacing w:val="0"/>
        <w:rPr>
          <w:sz w:val="20"/>
          <w:szCs w:val="20"/>
        </w:rPr>
      </w:pPr>
    </w:p>
    <w:p w14:paraId="38D92F11" w14:textId="77777777" w:rsidR="00124A11" w:rsidRDefault="00124A11" w:rsidP="00750F88">
      <w:pPr>
        <w:pStyle w:val="Akapitzlist"/>
        <w:spacing w:before="120" w:after="120"/>
        <w:ind w:left="0"/>
        <w:contextualSpacing w:val="0"/>
        <w:rPr>
          <w:sz w:val="20"/>
          <w:szCs w:val="20"/>
        </w:rPr>
      </w:pPr>
    </w:p>
    <w:p w14:paraId="6179BA6A" w14:textId="56E6A7FF" w:rsidR="00124A11" w:rsidRDefault="00124A11" w:rsidP="00750F88">
      <w:pPr>
        <w:pStyle w:val="Akapitzlist"/>
        <w:spacing w:before="120" w:after="120"/>
        <w:ind w:left="0"/>
        <w:contextualSpacing w:val="0"/>
        <w:rPr>
          <w:sz w:val="20"/>
          <w:szCs w:val="20"/>
        </w:rPr>
      </w:pPr>
    </w:p>
    <w:p w14:paraId="6A4E04D7" w14:textId="77777777" w:rsidR="00124A11" w:rsidRDefault="00124A11" w:rsidP="00750F88">
      <w:pPr>
        <w:pStyle w:val="Akapitzlist"/>
        <w:spacing w:before="120" w:after="120"/>
        <w:ind w:left="0"/>
        <w:contextualSpacing w:val="0"/>
        <w:rPr>
          <w:sz w:val="20"/>
          <w:szCs w:val="20"/>
        </w:rPr>
      </w:pPr>
    </w:p>
    <w:p w14:paraId="3A36C4F6" w14:textId="77777777" w:rsidR="00124A11" w:rsidRDefault="00124A11" w:rsidP="00750F88">
      <w:pPr>
        <w:pStyle w:val="Akapitzlist"/>
        <w:spacing w:before="120" w:after="120"/>
        <w:ind w:left="0"/>
        <w:contextualSpacing w:val="0"/>
        <w:rPr>
          <w:sz w:val="20"/>
          <w:szCs w:val="20"/>
        </w:rPr>
      </w:pPr>
    </w:p>
    <w:p w14:paraId="5311277F" w14:textId="4E1C996D" w:rsidR="00750F88" w:rsidRPr="00750F88" w:rsidRDefault="00750F88" w:rsidP="00247E0F">
      <w:pPr>
        <w:pStyle w:val="Akapitzlist"/>
        <w:spacing w:before="120" w:after="120"/>
        <w:ind w:left="0"/>
        <w:contextualSpacing w:val="0"/>
        <w:jc w:val="center"/>
        <w:rPr>
          <w:sz w:val="20"/>
          <w:szCs w:val="20"/>
        </w:rPr>
      </w:pPr>
      <w:r>
        <w:rPr>
          <w:sz w:val="20"/>
          <w:szCs w:val="20"/>
        </w:rPr>
        <w:t>Opracowano w Ministerstwie Rodziny i Polityki Społecznej przy współudziale Zakładu Ubezpieczeń Społecznych</w:t>
      </w:r>
      <w:r w:rsidR="00932210">
        <w:rPr>
          <w:sz w:val="20"/>
          <w:szCs w:val="20"/>
        </w:rPr>
        <w:t>.</w:t>
      </w:r>
    </w:p>
    <w:sectPr w:rsidR="00750F88" w:rsidRPr="00750F88" w:rsidSect="004D0F56">
      <w:headerReference w:type="default" r:id="rId13"/>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186D" w14:textId="77777777" w:rsidR="002934B1" w:rsidRDefault="002934B1" w:rsidP="00F64F3A">
      <w:pPr>
        <w:spacing w:after="0" w:line="240" w:lineRule="auto"/>
      </w:pPr>
      <w:r>
        <w:separator/>
      </w:r>
    </w:p>
  </w:endnote>
  <w:endnote w:type="continuationSeparator" w:id="0">
    <w:p w14:paraId="32E9A992" w14:textId="77777777" w:rsidR="002934B1" w:rsidRDefault="002934B1" w:rsidP="00F6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apanese Gothic">
    <w:charset w:val="80"/>
    <w:family w:val="auto"/>
    <w:pitch w:val="variable"/>
    <w:sig w:usb0="B0000AEF" w:usb1="6987FC7B" w:usb2="00000036" w:usb3="00000000" w:csb0="002A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F417" w14:textId="77777777" w:rsidR="00482C6A" w:rsidRDefault="00482C6A">
    <w:pPr>
      <w:pStyle w:val="Stopka"/>
    </w:pPr>
  </w:p>
  <w:p w14:paraId="7CEE0A8A" w14:textId="77777777" w:rsidR="00482C6A" w:rsidRDefault="00482C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604402"/>
      <w:docPartObj>
        <w:docPartGallery w:val="Page Numbers (Bottom of Page)"/>
        <w:docPartUnique/>
      </w:docPartObj>
    </w:sdtPr>
    <w:sdtEndPr>
      <w:rPr>
        <w:rFonts w:ascii="Times New Roman" w:hAnsi="Times New Roman" w:cs="Times New Roman"/>
        <w:sz w:val="24"/>
        <w:szCs w:val="24"/>
      </w:rPr>
    </w:sdtEndPr>
    <w:sdtContent>
      <w:p w14:paraId="37C88082" w14:textId="110EF9EA" w:rsidR="00482C6A" w:rsidRPr="004D0F56" w:rsidRDefault="00482C6A">
        <w:pPr>
          <w:pStyle w:val="Stopka"/>
          <w:jc w:val="center"/>
          <w:rPr>
            <w:rFonts w:ascii="Times New Roman" w:hAnsi="Times New Roman" w:cs="Times New Roman"/>
            <w:sz w:val="24"/>
            <w:szCs w:val="24"/>
          </w:rPr>
        </w:pPr>
        <w:r w:rsidRPr="004D0F56">
          <w:rPr>
            <w:rFonts w:ascii="Times New Roman" w:hAnsi="Times New Roman" w:cs="Times New Roman"/>
            <w:sz w:val="24"/>
            <w:szCs w:val="24"/>
          </w:rPr>
          <w:fldChar w:fldCharType="begin"/>
        </w:r>
        <w:r w:rsidRPr="004D0F56">
          <w:rPr>
            <w:rFonts w:ascii="Times New Roman" w:hAnsi="Times New Roman" w:cs="Times New Roman"/>
            <w:sz w:val="24"/>
            <w:szCs w:val="24"/>
          </w:rPr>
          <w:instrText>PAGE   \* MERGEFORMAT</w:instrText>
        </w:r>
        <w:r w:rsidRPr="004D0F56">
          <w:rPr>
            <w:rFonts w:ascii="Times New Roman" w:hAnsi="Times New Roman" w:cs="Times New Roman"/>
            <w:sz w:val="24"/>
            <w:szCs w:val="24"/>
          </w:rPr>
          <w:fldChar w:fldCharType="separate"/>
        </w:r>
        <w:r w:rsidR="005148B7">
          <w:rPr>
            <w:rFonts w:ascii="Times New Roman" w:hAnsi="Times New Roman" w:cs="Times New Roman"/>
            <w:noProof/>
            <w:sz w:val="24"/>
            <w:szCs w:val="24"/>
          </w:rPr>
          <w:t>5</w:t>
        </w:r>
        <w:r w:rsidRPr="004D0F56">
          <w:rPr>
            <w:rFonts w:ascii="Times New Roman" w:hAnsi="Times New Roman" w:cs="Times New Roman"/>
            <w:sz w:val="24"/>
            <w:szCs w:val="24"/>
          </w:rPr>
          <w:fldChar w:fldCharType="end"/>
        </w:r>
      </w:p>
    </w:sdtContent>
  </w:sdt>
  <w:p w14:paraId="21F6D5E4" w14:textId="77777777" w:rsidR="00482C6A" w:rsidRDefault="00482C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CB94" w14:textId="77777777" w:rsidR="002934B1" w:rsidRDefault="002934B1" w:rsidP="00F64F3A">
      <w:pPr>
        <w:spacing w:after="0" w:line="240" w:lineRule="auto"/>
      </w:pPr>
      <w:r>
        <w:separator/>
      </w:r>
    </w:p>
  </w:footnote>
  <w:footnote w:type="continuationSeparator" w:id="0">
    <w:p w14:paraId="11E2DEEA" w14:textId="77777777" w:rsidR="002934B1" w:rsidRDefault="002934B1" w:rsidP="00F64F3A">
      <w:pPr>
        <w:spacing w:after="0" w:line="240" w:lineRule="auto"/>
      </w:pPr>
      <w:r>
        <w:continuationSeparator/>
      </w:r>
    </w:p>
  </w:footnote>
  <w:footnote w:id="1">
    <w:p w14:paraId="63BF1F29" w14:textId="2EA24167" w:rsidR="00482C6A" w:rsidRPr="00E76005" w:rsidRDefault="00482C6A" w:rsidP="000C75B7">
      <w:pPr>
        <w:pStyle w:val="Tekstprzypisudolnego"/>
        <w:tabs>
          <w:tab w:val="left" w:pos="284"/>
        </w:tabs>
        <w:jc w:val="both"/>
        <w:rPr>
          <w:sz w:val="18"/>
          <w:szCs w:val="18"/>
        </w:rPr>
      </w:pPr>
      <w:r w:rsidRPr="00E76005">
        <w:rPr>
          <w:rStyle w:val="Odwoanieprzypisudolnego"/>
          <w:sz w:val="18"/>
          <w:szCs w:val="18"/>
        </w:rPr>
        <w:footnoteRef/>
      </w:r>
      <w:r>
        <w:rPr>
          <w:sz w:val="18"/>
          <w:szCs w:val="18"/>
          <w:vertAlign w:val="superscript"/>
        </w:rPr>
        <w:t>)</w:t>
      </w:r>
      <w:r>
        <w:rPr>
          <w:sz w:val="18"/>
          <w:szCs w:val="18"/>
        </w:rPr>
        <w:tab/>
      </w:r>
      <w:r w:rsidRPr="00E76005">
        <w:rPr>
          <w:sz w:val="18"/>
          <w:szCs w:val="18"/>
        </w:rPr>
        <w:t>Zwanej dalej „ustawą o emeryturach i rentach z FUS”.</w:t>
      </w:r>
    </w:p>
  </w:footnote>
  <w:footnote w:id="2">
    <w:p w14:paraId="0CE55A97" w14:textId="21B3E583" w:rsidR="00482C6A" w:rsidRDefault="00482C6A" w:rsidP="000C75B7">
      <w:pPr>
        <w:pStyle w:val="Tekstprzypisudolnego"/>
        <w:tabs>
          <w:tab w:val="left" w:pos="284"/>
        </w:tabs>
      </w:pPr>
      <w:r>
        <w:rPr>
          <w:rStyle w:val="Odwoanieprzypisudolnego"/>
        </w:rPr>
        <w:footnoteRef/>
      </w:r>
      <w:r>
        <w:rPr>
          <w:vertAlign w:val="superscript"/>
        </w:rPr>
        <w:t>)</w:t>
      </w:r>
      <w:r>
        <w:rPr>
          <w:vertAlign w:val="superscript"/>
        </w:rPr>
        <w:tab/>
      </w:r>
      <w:r>
        <w:t>Zwana dalej „ustawą wiekową”.</w:t>
      </w:r>
    </w:p>
  </w:footnote>
  <w:footnote w:id="3">
    <w:p w14:paraId="361B59A3" w14:textId="0D7884F2" w:rsidR="00482C6A" w:rsidRPr="00E76005" w:rsidRDefault="00482C6A" w:rsidP="004D0F56">
      <w:pPr>
        <w:pStyle w:val="Tekstprzypisudolnego"/>
        <w:tabs>
          <w:tab w:val="left" w:pos="284"/>
        </w:tabs>
        <w:ind w:left="284" w:hanging="284"/>
        <w:jc w:val="both"/>
        <w:rPr>
          <w:sz w:val="18"/>
          <w:szCs w:val="18"/>
        </w:rPr>
      </w:pPr>
      <w:r w:rsidRPr="00E76005">
        <w:rPr>
          <w:rStyle w:val="Odwoanieprzypisudolnego"/>
          <w:sz w:val="18"/>
          <w:szCs w:val="18"/>
        </w:rPr>
        <w:footnoteRef/>
      </w:r>
      <w:r>
        <w:rPr>
          <w:sz w:val="18"/>
          <w:szCs w:val="18"/>
          <w:vertAlign w:val="superscript"/>
        </w:rPr>
        <w:t>)</w:t>
      </w:r>
      <w:r>
        <w:rPr>
          <w:sz w:val="18"/>
          <w:szCs w:val="18"/>
          <w:vertAlign w:val="superscript"/>
        </w:rPr>
        <w:tab/>
      </w:r>
      <w:r w:rsidRPr="00E76005">
        <w:rPr>
          <w:sz w:val="18"/>
          <w:szCs w:val="18"/>
        </w:rPr>
        <w:t>Skutki wdrożenia ustawy z dnia 6 grudnia 2013 r. zostały przedstawione w Informacji Rady Ministrów dla Sejmu RP o skutkach obowiązywania ustawy z dnia 25 marca 2011 r. o zmianie niektórych ustaw związanych z funkcjonowaniem systemu ubezpieczeń społecznych (Dz.</w:t>
      </w:r>
      <w:r>
        <w:rPr>
          <w:sz w:val="18"/>
          <w:szCs w:val="18"/>
        </w:rPr>
        <w:t xml:space="preserve"> </w:t>
      </w:r>
      <w:r w:rsidRPr="00E76005">
        <w:rPr>
          <w:sz w:val="18"/>
          <w:szCs w:val="18"/>
        </w:rPr>
        <w:t>U. poz. 398, z późn. zm.) oraz ustawy z dnia 6 grudnia 2013 r. o zmianie niektórych ustaw w związku z określeniem zasad wypłaty emerytur ze środków zgromadzonych w otwartych funduszach emerytalnych wraz z propozycjami zmian.</w:t>
      </w:r>
    </w:p>
  </w:footnote>
  <w:footnote w:id="4">
    <w:p w14:paraId="11C4E89C" w14:textId="6390EDC9" w:rsidR="00482C6A" w:rsidRPr="00E76005" w:rsidRDefault="00482C6A" w:rsidP="000C75B7">
      <w:pPr>
        <w:pStyle w:val="Tekstprzypisudolnego"/>
        <w:tabs>
          <w:tab w:val="left" w:pos="284"/>
        </w:tabs>
        <w:jc w:val="both"/>
        <w:rPr>
          <w:sz w:val="18"/>
          <w:szCs w:val="18"/>
        </w:rPr>
      </w:pPr>
      <w:r w:rsidRPr="00E76005">
        <w:rPr>
          <w:rStyle w:val="Odwoanieprzypisudolnego"/>
          <w:sz w:val="18"/>
          <w:szCs w:val="18"/>
        </w:rPr>
        <w:footnoteRef/>
      </w:r>
      <w:r>
        <w:rPr>
          <w:sz w:val="18"/>
          <w:szCs w:val="18"/>
          <w:vertAlign w:val="superscript"/>
        </w:rPr>
        <w:t>)</w:t>
      </w:r>
      <w:r>
        <w:rPr>
          <w:sz w:val="18"/>
          <w:szCs w:val="18"/>
        </w:rPr>
        <w:tab/>
      </w:r>
      <w:r w:rsidRPr="00E76005">
        <w:rPr>
          <w:sz w:val="18"/>
          <w:szCs w:val="18"/>
        </w:rPr>
        <w:t>Na podstawie Sprawozdań z wykonania planu finansowego FUS za 2020 r. i za 2021 r. opracowanych przez ZUS.</w:t>
      </w:r>
    </w:p>
  </w:footnote>
  <w:footnote w:id="5">
    <w:p w14:paraId="4A1C54F4" w14:textId="49FF28DC" w:rsidR="00482C6A" w:rsidRPr="005916E3" w:rsidRDefault="00482C6A" w:rsidP="004D0F56">
      <w:pPr>
        <w:pStyle w:val="Tekstprzypisudolnego"/>
        <w:tabs>
          <w:tab w:val="left" w:pos="284"/>
        </w:tabs>
        <w:ind w:left="284" w:hanging="284"/>
        <w:jc w:val="both"/>
        <w:rPr>
          <w:rFonts w:cstheme="minorHAnsi"/>
          <w:sz w:val="16"/>
          <w:szCs w:val="16"/>
        </w:rPr>
      </w:pPr>
      <w:r w:rsidRPr="00C852D1">
        <w:rPr>
          <w:rStyle w:val="Odwoanieprzypisudolnego"/>
          <w:rFonts w:cstheme="minorHAnsi"/>
        </w:rPr>
        <w:footnoteRef/>
      </w:r>
      <w:r>
        <w:rPr>
          <w:rFonts w:cstheme="minorHAnsi"/>
          <w:vertAlign w:val="superscript"/>
        </w:rPr>
        <w:t>)</w:t>
      </w:r>
      <w:r>
        <w:rPr>
          <w:rFonts w:cstheme="minorHAnsi"/>
          <w:vertAlign w:val="superscript"/>
        </w:rPr>
        <w:tab/>
      </w:r>
      <w:r w:rsidRPr="005916E3">
        <w:rPr>
          <w:rFonts w:cstheme="minorHAnsi"/>
          <w:sz w:val="16"/>
          <w:szCs w:val="16"/>
        </w:rPr>
        <w:t>Źródło:</w:t>
      </w:r>
      <w:r>
        <w:rPr>
          <w:rFonts w:cstheme="minorHAnsi"/>
          <w:sz w:val="16"/>
          <w:szCs w:val="16"/>
        </w:rPr>
        <w:t> </w:t>
      </w:r>
      <w:r w:rsidRPr="00990E71">
        <w:rPr>
          <w:rFonts w:cstheme="minorHAnsi"/>
          <w:sz w:val="16"/>
          <w:szCs w:val="16"/>
        </w:rPr>
        <w:t>https://stat.gov.pl/obszary-tematyczne/rynek-pracy/bezrobocie-rejestrowane/wyrownania-sezonowe-bezrobotni-zarejestrowani-i-stopa-bezrobocia-w-latach-2011-2022,5,1.html.</w:t>
      </w:r>
      <w:r w:rsidRPr="005916E3">
        <w:rPr>
          <w:rFonts w:cstheme="minorHAnsi"/>
          <w:sz w:val="16"/>
          <w:szCs w:val="16"/>
        </w:rPr>
        <w:t xml:space="preserve"> </w:t>
      </w:r>
    </w:p>
  </w:footnote>
  <w:footnote w:id="6">
    <w:p w14:paraId="3BF3FBE4" w14:textId="493291C1" w:rsidR="00482C6A" w:rsidRPr="00286E76" w:rsidRDefault="00482C6A" w:rsidP="004D0F56">
      <w:pPr>
        <w:pStyle w:val="Tekstprzypisudolnego"/>
        <w:tabs>
          <w:tab w:val="left" w:pos="284"/>
        </w:tabs>
        <w:ind w:left="284" w:hanging="284"/>
        <w:jc w:val="both"/>
        <w:rPr>
          <w:rFonts w:cstheme="minorHAnsi"/>
          <w:sz w:val="16"/>
          <w:szCs w:val="16"/>
        </w:rPr>
      </w:pPr>
      <w:r w:rsidRPr="00286E76">
        <w:rPr>
          <w:rStyle w:val="Odwoanieprzypisudolnego"/>
          <w:rFonts w:cstheme="minorHAnsi"/>
          <w:sz w:val="16"/>
          <w:szCs w:val="16"/>
        </w:rPr>
        <w:footnoteRef/>
      </w:r>
      <w:r w:rsidRPr="00286E76">
        <w:rPr>
          <w:rFonts w:cstheme="minorHAnsi"/>
          <w:sz w:val="16"/>
          <w:szCs w:val="16"/>
          <w:vertAlign w:val="superscript"/>
        </w:rPr>
        <w:t>)</w:t>
      </w:r>
      <w:r>
        <w:rPr>
          <w:rFonts w:cstheme="minorHAnsi"/>
          <w:sz w:val="16"/>
          <w:szCs w:val="16"/>
        </w:rPr>
        <w:tab/>
      </w:r>
      <w:r w:rsidRPr="00286E76">
        <w:rPr>
          <w:rFonts w:cstheme="minorHAnsi"/>
          <w:sz w:val="16"/>
          <w:szCs w:val="16"/>
        </w:rPr>
        <w:t xml:space="preserve">Źródło </w:t>
      </w:r>
      <w:r w:rsidRPr="00286E76">
        <w:rPr>
          <w:rFonts w:cstheme="minorHAnsi"/>
          <w:bCs/>
          <w:sz w:val="16"/>
          <w:szCs w:val="16"/>
        </w:rPr>
        <w:t xml:space="preserve">Eurostat [lfsq_ergan]. </w:t>
      </w:r>
      <w:r w:rsidRPr="00286E76">
        <w:rPr>
          <w:rFonts w:cstheme="minorHAnsi"/>
          <w:sz w:val="16"/>
          <w:szCs w:val="16"/>
          <w:lang w:eastAsia="pl-PL"/>
        </w:rPr>
        <w:t xml:space="preserve">W związku z wdrożeniem w BAEL od I kw. 2021 r. zmian </w:t>
      </w:r>
      <w:r>
        <w:rPr>
          <w:rFonts w:cstheme="minorHAnsi"/>
          <w:sz w:val="16"/>
          <w:szCs w:val="16"/>
          <w:lang w:eastAsia="pl-PL"/>
        </w:rPr>
        <w:t>metodologicznych</w:t>
      </w:r>
      <w:r w:rsidRPr="00286E76">
        <w:rPr>
          <w:rFonts w:cstheme="minorHAnsi"/>
          <w:sz w:val="16"/>
          <w:szCs w:val="16"/>
          <w:lang w:eastAsia="pl-PL"/>
        </w:rPr>
        <w:t xml:space="preserve"> dane z badania od 2021 r. nie</w:t>
      </w:r>
      <w:r>
        <w:rPr>
          <w:rFonts w:cstheme="minorHAnsi"/>
          <w:sz w:val="16"/>
          <w:szCs w:val="16"/>
          <w:lang w:eastAsia="pl-PL"/>
        </w:rPr>
        <w:t> </w:t>
      </w:r>
      <w:r w:rsidRPr="00286E76">
        <w:rPr>
          <w:rFonts w:cstheme="minorHAnsi"/>
          <w:sz w:val="16"/>
          <w:szCs w:val="16"/>
          <w:lang w:eastAsia="pl-PL"/>
        </w:rPr>
        <w:t>powinny być porównywane z poprzednimi okresami. Więcej informacji na temat zmienionej metodologii oraz przeliczone dane m</w:t>
      </w:r>
      <w:r>
        <w:rPr>
          <w:rFonts w:cstheme="minorHAnsi"/>
          <w:sz w:val="16"/>
          <w:szCs w:val="16"/>
          <w:lang w:eastAsia="pl-PL"/>
        </w:rPr>
        <w:t>ożna znaleźć m.in. pod adresem:</w:t>
      </w:r>
      <w:r w:rsidRPr="00286E76">
        <w:rPr>
          <w:rFonts w:cstheme="minorHAnsi"/>
          <w:sz w:val="16"/>
          <w:szCs w:val="16"/>
          <w:lang w:eastAsia="pl-PL"/>
        </w:rPr>
        <w:t> </w:t>
      </w:r>
      <w:r w:rsidRPr="006E36F1">
        <w:rPr>
          <w:rFonts w:cstheme="minorHAnsi"/>
          <w:sz w:val="16"/>
          <w:szCs w:val="16"/>
          <w:lang w:eastAsia="pl-PL"/>
        </w:rPr>
        <w:t>https://stat.gov.pl/obszary-tematyczne/rynek-pracy/pracujacy-bezrobotni-bierni-zawodowo-wg</w:t>
      </w:r>
      <w:r>
        <w:rPr>
          <w:rFonts w:cstheme="minorHAnsi"/>
          <w:sz w:val="16"/>
          <w:szCs w:val="16"/>
          <w:lang w:eastAsia="pl-PL"/>
        </w:rPr>
        <w:t> </w:t>
      </w:r>
      <w:r w:rsidRPr="00990E71">
        <w:rPr>
          <w:rFonts w:cstheme="minorHAnsi"/>
          <w:sz w:val="16"/>
          <w:szCs w:val="16"/>
          <w:lang w:eastAsia="pl-PL"/>
        </w:rPr>
        <w:t>bael/informacja-na-temat-przeliczonych-dla-lat-2010-2020-wynikow-badania-aktywnosci-ekonomicznej-ludnosci-bael,37,1.html</w:t>
      </w:r>
      <w:r w:rsidRPr="00FC773A">
        <w:rPr>
          <w:rFonts w:cstheme="minorHAnsi"/>
          <w:color w:val="0563C1"/>
          <w:sz w:val="16"/>
          <w:szCs w:val="16"/>
          <w:lang w:eastAsia="pl-PL"/>
        </w:rPr>
        <w:t>.</w:t>
      </w:r>
    </w:p>
  </w:footnote>
  <w:footnote w:id="7">
    <w:p w14:paraId="6214338A" w14:textId="1CE2A121" w:rsidR="00482C6A" w:rsidRDefault="00482C6A" w:rsidP="004D0F56">
      <w:pPr>
        <w:pStyle w:val="Tekstprzypisudolnego"/>
        <w:tabs>
          <w:tab w:val="left" w:pos="284"/>
        </w:tabs>
        <w:ind w:left="284" w:hanging="284"/>
        <w:jc w:val="both"/>
      </w:pPr>
      <w:r w:rsidRPr="00286E76">
        <w:rPr>
          <w:rStyle w:val="Odwoanieprzypisudolnego"/>
          <w:sz w:val="16"/>
          <w:szCs w:val="16"/>
        </w:rPr>
        <w:footnoteRef/>
      </w:r>
      <w:r>
        <w:rPr>
          <w:sz w:val="16"/>
          <w:szCs w:val="16"/>
          <w:vertAlign w:val="superscript"/>
        </w:rPr>
        <w:t>)</w:t>
      </w:r>
      <w:r>
        <w:rPr>
          <w:sz w:val="16"/>
          <w:szCs w:val="16"/>
          <w:vertAlign w:val="superscript"/>
        </w:rPr>
        <w:tab/>
      </w:r>
      <w:r w:rsidRPr="00286E76">
        <w:rPr>
          <w:rFonts w:cstheme="minorHAnsi"/>
          <w:sz w:val="16"/>
          <w:szCs w:val="16"/>
          <w:lang w:eastAsia="pl-PL"/>
        </w:rPr>
        <w:t>W związku z wdrożeniem w BAEL od I kw.</w:t>
      </w:r>
      <w:r>
        <w:rPr>
          <w:rFonts w:cstheme="minorHAnsi"/>
          <w:sz w:val="16"/>
          <w:szCs w:val="16"/>
          <w:lang w:eastAsia="pl-PL"/>
        </w:rPr>
        <w:t xml:space="preserve"> 2021 r. zmian metodologicznych</w:t>
      </w:r>
      <w:r w:rsidRPr="00286E76">
        <w:rPr>
          <w:rFonts w:cstheme="minorHAnsi"/>
          <w:sz w:val="16"/>
          <w:szCs w:val="16"/>
          <w:lang w:eastAsia="pl-PL"/>
        </w:rPr>
        <w:t xml:space="preserve"> dane z badania od 2021 r. nie powinny być porównywane z</w:t>
      </w:r>
      <w:r>
        <w:rPr>
          <w:rFonts w:cstheme="minorHAnsi"/>
          <w:sz w:val="16"/>
          <w:szCs w:val="16"/>
          <w:lang w:eastAsia="pl-PL"/>
        </w:rPr>
        <w:t> </w:t>
      </w:r>
      <w:r w:rsidRPr="00286E76">
        <w:rPr>
          <w:rFonts w:cstheme="minorHAnsi"/>
          <w:sz w:val="16"/>
          <w:szCs w:val="16"/>
          <w:lang w:eastAsia="pl-PL"/>
        </w:rPr>
        <w:t>poprzednimi okresami. Więcej informacji na temat zmienionej metodologii oraz przeliczone dane m</w:t>
      </w:r>
      <w:r>
        <w:rPr>
          <w:rFonts w:cstheme="minorHAnsi"/>
          <w:sz w:val="16"/>
          <w:szCs w:val="16"/>
          <w:lang w:eastAsia="pl-PL"/>
        </w:rPr>
        <w:t>ożna znaleźć m.in. pod adresem:</w:t>
      </w:r>
      <w:r w:rsidRPr="00286E76">
        <w:rPr>
          <w:rFonts w:cstheme="minorHAnsi"/>
          <w:sz w:val="16"/>
          <w:szCs w:val="16"/>
          <w:lang w:eastAsia="pl-PL"/>
        </w:rPr>
        <w:t> </w:t>
      </w:r>
      <w:r w:rsidRPr="00990E71">
        <w:rPr>
          <w:rFonts w:cstheme="minorHAnsi"/>
          <w:sz w:val="16"/>
          <w:szCs w:val="16"/>
          <w:lang w:eastAsia="pl-PL"/>
        </w:rPr>
        <w:t>https://stat.gov.pl/obszary-tematyczne/rynek-pracy/pracujacy-bezrobotni-bierni-zawodowo-wg-bael/informacja-na-temat-przeliczonych-dla-lat-2010-2020-wynikow-badania-aktywnosci-ekonomicznej-ludnosci-bael,37,1.html</w:t>
      </w:r>
      <w:r w:rsidRPr="00591DAE">
        <w:rPr>
          <w:rFonts w:ascii="Arial" w:hAnsi="Arial" w:cs="Arial"/>
          <w:color w:val="0563C1"/>
          <w:lang w:eastAsia="pl-PL"/>
        </w:rPr>
        <w:t>.</w:t>
      </w:r>
    </w:p>
  </w:footnote>
  <w:footnote w:id="8">
    <w:p w14:paraId="1A133F35" w14:textId="0AF4A326" w:rsidR="00482C6A" w:rsidRPr="00E64CAA" w:rsidRDefault="00482C6A" w:rsidP="00EF16D4">
      <w:pPr>
        <w:pStyle w:val="Tekstprzypisudolnego"/>
        <w:tabs>
          <w:tab w:val="left" w:pos="294"/>
        </w:tabs>
        <w:jc w:val="both"/>
        <w:rPr>
          <w:sz w:val="18"/>
          <w:szCs w:val="18"/>
        </w:rPr>
      </w:pPr>
      <w:r>
        <w:rPr>
          <w:rStyle w:val="Odwoanieprzypisudolnego"/>
        </w:rPr>
        <w:footnoteRef/>
      </w:r>
      <w:r>
        <w:rPr>
          <w:vertAlign w:val="superscript"/>
        </w:rPr>
        <w:t>)</w:t>
      </w:r>
      <w:r>
        <w:rPr>
          <w:vertAlign w:val="superscript"/>
        </w:rPr>
        <w:tab/>
      </w:r>
      <w:r w:rsidRPr="00E64CAA">
        <w:rPr>
          <w:sz w:val="18"/>
          <w:szCs w:val="18"/>
        </w:rPr>
        <w:t>Obliczenia własne na podstawie danych jednostkowych BAEL za III kw. 2021</w:t>
      </w:r>
      <w:r>
        <w:rPr>
          <w:sz w:val="18"/>
          <w:szCs w:val="18"/>
        </w:rPr>
        <w:t xml:space="preserve"> r.</w:t>
      </w:r>
      <w:r w:rsidRPr="00E64CAA">
        <w:rPr>
          <w:sz w:val="18"/>
          <w:szCs w:val="18"/>
        </w:rPr>
        <w:t xml:space="preserve"> </w:t>
      </w:r>
    </w:p>
  </w:footnote>
  <w:footnote w:id="9">
    <w:p w14:paraId="6F6CA4E0" w14:textId="6623AD96" w:rsidR="00482C6A" w:rsidRPr="00A77D1A" w:rsidRDefault="00482C6A" w:rsidP="004D0F56">
      <w:pPr>
        <w:pStyle w:val="Tekstprzypisudolnego"/>
        <w:tabs>
          <w:tab w:val="left" w:pos="294"/>
        </w:tabs>
        <w:jc w:val="both"/>
        <w:rPr>
          <w:sz w:val="18"/>
          <w:szCs w:val="18"/>
        </w:rPr>
      </w:pPr>
      <w:r>
        <w:rPr>
          <w:rStyle w:val="Odwoanieprzypisudolnego"/>
        </w:rPr>
        <w:footnoteRef/>
      </w:r>
      <w:r>
        <w:rPr>
          <w:vertAlign w:val="superscript"/>
        </w:rPr>
        <w:t>)</w:t>
      </w:r>
      <w:r>
        <w:rPr>
          <w:vertAlign w:val="superscript"/>
        </w:rPr>
        <w:tab/>
      </w:r>
      <w:r w:rsidRPr="00A77D1A">
        <w:rPr>
          <w:sz w:val="18"/>
          <w:szCs w:val="18"/>
        </w:rPr>
        <w:t>Obliczenia własne na podstawie danych jednostkowych BAEL za III kw. 2021</w:t>
      </w:r>
      <w:r>
        <w:rPr>
          <w:sz w:val="18"/>
          <w:szCs w:val="18"/>
        </w:rPr>
        <w:t xml:space="preserve"> r.</w:t>
      </w:r>
    </w:p>
  </w:footnote>
  <w:footnote w:id="10">
    <w:p w14:paraId="35FE104C" w14:textId="01C749F5" w:rsidR="00482C6A" w:rsidRPr="00A77D1A" w:rsidRDefault="00482C6A" w:rsidP="004D0F56">
      <w:pPr>
        <w:pStyle w:val="Tekstprzypisudolnego"/>
        <w:tabs>
          <w:tab w:val="left" w:pos="284"/>
        </w:tabs>
        <w:ind w:left="284" w:hanging="284"/>
        <w:jc w:val="both"/>
        <w:rPr>
          <w:sz w:val="18"/>
          <w:szCs w:val="18"/>
        </w:rPr>
      </w:pPr>
      <w:r w:rsidRPr="00A77D1A">
        <w:rPr>
          <w:rStyle w:val="Odwoanieprzypisudolnego"/>
          <w:sz w:val="18"/>
          <w:szCs w:val="18"/>
        </w:rPr>
        <w:footnoteRef/>
      </w:r>
      <w:r>
        <w:rPr>
          <w:sz w:val="18"/>
          <w:szCs w:val="18"/>
          <w:vertAlign w:val="superscript"/>
        </w:rPr>
        <w:t>)</w:t>
      </w:r>
      <w:r>
        <w:rPr>
          <w:sz w:val="18"/>
          <w:szCs w:val="18"/>
          <w:vertAlign w:val="superscript"/>
        </w:rPr>
        <w:tab/>
      </w:r>
      <w:r w:rsidRPr="00A77D1A">
        <w:rPr>
          <w:sz w:val="18"/>
          <w:szCs w:val="18"/>
        </w:rPr>
        <w:t>Źródło: statystyki ZUS w zakresie liczby osób z ustalonym prawem do emerytury podlegających ubezpieczeniu zdrowotnemu z tytułu pracy zarobkowej</w:t>
      </w:r>
      <w:r>
        <w:rPr>
          <w:sz w:val="18"/>
          <w:szCs w:val="18"/>
        </w:rPr>
        <w:t>.</w:t>
      </w:r>
    </w:p>
  </w:footnote>
  <w:footnote w:id="11">
    <w:p w14:paraId="5585D93B" w14:textId="556CF626" w:rsidR="00482C6A" w:rsidRDefault="00482C6A" w:rsidP="00EF16D4">
      <w:pPr>
        <w:pStyle w:val="Tekstprzypisudolnego"/>
        <w:tabs>
          <w:tab w:val="left" w:pos="284"/>
        </w:tabs>
      </w:pPr>
      <w:r>
        <w:rPr>
          <w:rStyle w:val="Odwoanieprzypisudolnego"/>
        </w:rPr>
        <w:footnoteRef/>
      </w:r>
      <w:r>
        <w:rPr>
          <w:vertAlign w:val="superscript"/>
        </w:rPr>
        <w:t>)</w:t>
      </w:r>
      <w:r>
        <w:rPr>
          <w:vertAlign w:val="superscript"/>
        </w:rPr>
        <w:tab/>
      </w:r>
      <w:r w:rsidRPr="00E76005">
        <w:rPr>
          <w:sz w:val="18"/>
          <w:szCs w:val="18"/>
        </w:rPr>
        <w:t xml:space="preserve">Zwana dalej „ustawą </w:t>
      </w:r>
      <w:r>
        <w:rPr>
          <w:sz w:val="18"/>
          <w:szCs w:val="18"/>
        </w:rPr>
        <w:t>o promocji</w:t>
      </w:r>
      <w:r w:rsidRPr="00E76005">
        <w:rPr>
          <w:sz w:val="18"/>
          <w:szCs w:val="18"/>
        </w:rPr>
        <w:t>”</w:t>
      </w:r>
      <w:r>
        <w:rPr>
          <w:sz w:val="18"/>
          <w:szCs w:val="18"/>
        </w:rPr>
        <w:t>.</w:t>
      </w:r>
    </w:p>
  </w:footnote>
  <w:footnote w:id="12">
    <w:p w14:paraId="736FB8FF" w14:textId="502BE7D9" w:rsidR="00482C6A" w:rsidRPr="00DE1452" w:rsidRDefault="00482C6A" w:rsidP="00EF16D4">
      <w:pPr>
        <w:pStyle w:val="Tekstprzypisudolnego"/>
        <w:tabs>
          <w:tab w:val="left" w:pos="284"/>
        </w:tabs>
        <w:jc w:val="both"/>
        <w:rPr>
          <w:i/>
          <w:sz w:val="16"/>
          <w:szCs w:val="16"/>
        </w:rPr>
      </w:pPr>
      <w:r w:rsidRPr="00DE1452">
        <w:rPr>
          <w:rStyle w:val="Odwoanieprzypisudolnego"/>
          <w:sz w:val="16"/>
          <w:szCs w:val="16"/>
        </w:rPr>
        <w:footnoteRef/>
      </w:r>
      <w:r>
        <w:rPr>
          <w:sz w:val="16"/>
          <w:szCs w:val="16"/>
          <w:vertAlign w:val="superscript"/>
        </w:rPr>
        <w:t>)</w:t>
      </w:r>
      <w:r>
        <w:rPr>
          <w:sz w:val="16"/>
          <w:szCs w:val="16"/>
          <w:vertAlign w:val="superscript"/>
        </w:rPr>
        <w:tab/>
      </w:r>
      <w:r w:rsidRPr="00DE1452">
        <w:rPr>
          <w:sz w:val="16"/>
          <w:szCs w:val="16"/>
        </w:rPr>
        <w:t xml:space="preserve">GUS, </w:t>
      </w:r>
      <w:r w:rsidRPr="00DE1452">
        <w:rPr>
          <w:i/>
          <w:sz w:val="16"/>
          <w:szCs w:val="16"/>
        </w:rPr>
        <w:t>Baza Demografia https://demografia.stat.gov.pl/bazademografia/Tables.aspx.</w:t>
      </w:r>
    </w:p>
  </w:footnote>
  <w:footnote w:id="13">
    <w:p w14:paraId="201907F3" w14:textId="3F6A4AB8" w:rsidR="00482C6A" w:rsidRPr="00DE1452" w:rsidRDefault="00482C6A" w:rsidP="004D0F56">
      <w:pPr>
        <w:pStyle w:val="Tekstprzypisudolnego"/>
        <w:tabs>
          <w:tab w:val="left" w:pos="284"/>
        </w:tabs>
        <w:ind w:left="284" w:hanging="284"/>
        <w:jc w:val="both"/>
        <w:rPr>
          <w:sz w:val="16"/>
          <w:szCs w:val="16"/>
        </w:rPr>
      </w:pPr>
      <w:r w:rsidRPr="00DE1452">
        <w:rPr>
          <w:rStyle w:val="Odwoanieprzypisudolnego"/>
          <w:sz w:val="16"/>
          <w:szCs w:val="16"/>
        </w:rPr>
        <w:footnoteRef/>
      </w:r>
      <w:r>
        <w:rPr>
          <w:sz w:val="16"/>
          <w:szCs w:val="16"/>
          <w:vertAlign w:val="superscript"/>
        </w:rPr>
        <w:t>)</w:t>
      </w:r>
      <w:r>
        <w:rPr>
          <w:sz w:val="16"/>
          <w:szCs w:val="16"/>
          <w:vertAlign w:val="superscript"/>
        </w:rPr>
        <w:tab/>
      </w:r>
      <w:r w:rsidRPr="00DE1452">
        <w:rPr>
          <w:sz w:val="16"/>
          <w:szCs w:val="16"/>
        </w:rPr>
        <w:t xml:space="preserve">GUS, raport: </w:t>
      </w:r>
      <w:r w:rsidRPr="00DE1452">
        <w:rPr>
          <w:i/>
          <w:sz w:val="16"/>
          <w:szCs w:val="16"/>
        </w:rPr>
        <w:t>Sytuacja osób starszych w Polsce w 2020 roku;</w:t>
      </w:r>
      <w:r w:rsidRPr="00DE1452">
        <w:rPr>
          <w:sz w:val="16"/>
          <w:szCs w:val="16"/>
        </w:rPr>
        <w:t xml:space="preserve"> </w:t>
      </w:r>
      <w:r w:rsidRPr="006E4712">
        <w:rPr>
          <w:sz w:val="16"/>
          <w:szCs w:val="16"/>
        </w:rPr>
        <w:t>https://stat.gov.pl/obszary-tematyczne/osoby-starsze/osoby-starsze/sytuacja-osob-starszych-w-polsce-w-2020-roku,2,3.html</w:t>
      </w:r>
      <w:r w:rsidRPr="00DE1452">
        <w:rPr>
          <w:sz w:val="16"/>
          <w:szCs w:val="16"/>
        </w:rPr>
        <w:t>.</w:t>
      </w:r>
    </w:p>
  </w:footnote>
  <w:footnote w:id="14">
    <w:p w14:paraId="7B52ABBF" w14:textId="6BC15B58" w:rsidR="00482C6A" w:rsidRPr="00591DAE" w:rsidRDefault="00482C6A" w:rsidP="00EF16D4">
      <w:pPr>
        <w:pStyle w:val="Tekstprzypisudolnego"/>
        <w:tabs>
          <w:tab w:val="left" w:pos="284"/>
        </w:tabs>
        <w:jc w:val="both"/>
        <w:rPr>
          <w:sz w:val="16"/>
          <w:szCs w:val="16"/>
        </w:rPr>
      </w:pPr>
      <w:r w:rsidRPr="00560094">
        <w:rPr>
          <w:rStyle w:val="Odwoanieprzypisudolnego"/>
          <w:sz w:val="16"/>
          <w:szCs w:val="16"/>
        </w:rPr>
        <w:footnoteRef/>
      </w:r>
      <w:r>
        <w:rPr>
          <w:sz w:val="16"/>
          <w:szCs w:val="16"/>
          <w:vertAlign w:val="superscript"/>
        </w:rPr>
        <w:t>)</w:t>
      </w:r>
      <w:r>
        <w:rPr>
          <w:sz w:val="16"/>
          <w:szCs w:val="16"/>
          <w:vertAlign w:val="superscript"/>
        </w:rPr>
        <w:tab/>
      </w:r>
      <w:r w:rsidRPr="00990E71">
        <w:rPr>
          <w:sz w:val="16"/>
          <w:szCs w:val="16"/>
        </w:rPr>
        <w:t>https://ec.europa.eu/eurostat/databrowser/view/LFSA_ARGAN__custom_2161486/default/table?lang=en</w:t>
      </w:r>
    </w:p>
    <w:p w14:paraId="2D93C09D" w14:textId="73DA2B63" w:rsidR="00482C6A" w:rsidRPr="00591DAE" w:rsidRDefault="00482C6A" w:rsidP="00EF16D4">
      <w:pPr>
        <w:pStyle w:val="Tekstprzypisudolnego"/>
        <w:ind w:left="252" w:firstLine="14"/>
        <w:jc w:val="both"/>
        <w:rPr>
          <w:sz w:val="16"/>
          <w:szCs w:val="16"/>
        </w:rPr>
      </w:pPr>
      <w:r w:rsidRPr="00990E71">
        <w:rPr>
          <w:sz w:val="16"/>
          <w:szCs w:val="16"/>
        </w:rPr>
        <w:t>https://ec.europa.eu/eurostat/databrowser/view/LFSA_ERGAN__custom_2161478/default/table?lang=en</w:t>
      </w:r>
    </w:p>
    <w:p w14:paraId="070435CF" w14:textId="13BF6EE0" w:rsidR="00482C6A" w:rsidRPr="00560094" w:rsidRDefault="00482C6A" w:rsidP="00EF16D4">
      <w:pPr>
        <w:pStyle w:val="Tekstprzypisudolnego"/>
        <w:ind w:left="280"/>
        <w:jc w:val="both"/>
        <w:rPr>
          <w:sz w:val="16"/>
          <w:szCs w:val="16"/>
        </w:rPr>
      </w:pPr>
      <w:r w:rsidRPr="00990E71">
        <w:rPr>
          <w:sz w:val="16"/>
          <w:szCs w:val="16"/>
        </w:rPr>
        <w:t>https://ec.europa.eu/eurostat/databrowser/view/LFSA_URGAN__custom_2161513/default/table?lang=en</w:t>
      </w:r>
    </w:p>
  </w:footnote>
  <w:footnote w:id="15">
    <w:p w14:paraId="4791006B" w14:textId="320D4F3B" w:rsidR="00482C6A" w:rsidRPr="00560094" w:rsidRDefault="00482C6A" w:rsidP="00EF16D4">
      <w:pPr>
        <w:pStyle w:val="Tekstprzypisudolnego"/>
        <w:tabs>
          <w:tab w:val="left" w:pos="284"/>
        </w:tabs>
        <w:rPr>
          <w:sz w:val="16"/>
          <w:szCs w:val="16"/>
        </w:rPr>
      </w:pPr>
      <w:r w:rsidRPr="00560094">
        <w:rPr>
          <w:rStyle w:val="Odwoanieprzypisudolnego"/>
          <w:sz w:val="16"/>
          <w:szCs w:val="16"/>
        </w:rPr>
        <w:footnoteRef/>
      </w:r>
      <w:r>
        <w:rPr>
          <w:sz w:val="16"/>
          <w:szCs w:val="16"/>
          <w:vertAlign w:val="superscript"/>
        </w:rPr>
        <w:t>)</w:t>
      </w:r>
      <w:r>
        <w:rPr>
          <w:sz w:val="16"/>
          <w:szCs w:val="16"/>
        </w:rPr>
        <w:tab/>
      </w:r>
      <w:r w:rsidRPr="00560094">
        <w:rPr>
          <w:sz w:val="16"/>
          <w:szCs w:val="16"/>
        </w:rPr>
        <w:t>Na podstawie danych pochodzących ze sprawozdań o rynku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5DC5" w14:textId="1FD4C1C9" w:rsidR="00482C6A" w:rsidRPr="00E23432" w:rsidRDefault="00482C6A" w:rsidP="00E23432">
    <w:pPr>
      <w:pStyle w:val="Nagwek"/>
      <w:jc w:val="right"/>
      <w:rPr>
        <w:i/>
      </w:rPr>
    </w:pPr>
  </w:p>
  <w:p w14:paraId="406B555D" w14:textId="77777777" w:rsidR="00482C6A" w:rsidRDefault="00482C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CFC"/>
    <w:multiLevelType w:val="hybridMultilevel"/>
    <w:tmpl w:val="249255AC"/>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610B46"/>
    <w:multiLevelType w:val="hybridMultilevel"/>
    <w:tmpl w:val="06E24C32"/>
    <w:lvl w:ilvl="0" w:tplc="397EE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0729"/>
    <w:multiLevelType w:val="hybridMultilevel"/>
    <w:tmpl w:val="B40CCD60"/>
    <w:lvl w:ilvl="0" w:tplc="7A383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6C166D"/>
    <w:multiLevelType w:val="hybridMultilevel"/>
    <w:tmpl w:val="F56E17FC"/>
    <w:lvl w:ilvl="0" w:tplc="54E08700">
      <w:start w:val="1"/>
      <w:numFmt w:val="bullet"/>
      <w:lvlText w:val=""/>
      <w:lvlJc w:val="left"/>
      <w:pPr>
        <w:ind w:left="720" w:hanging="360"/>
      </w:pPr>
      <w:rPr>
        <w:rFonts w:ascii="Symbol" w:hAnsi="Symbol" w:hint="default"/>
      </w:rPr>
    </w:lvl>
    <w:lvl w:ilvl="1" w:tplc="957648E4">
      <w:start w:val="291"/>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376E9B"/>
    <w:multiLevelType w:val="hybridMultilevel"/>
    <w:tmpl w:val="EEEA3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A7C61"/>
    <w:multiLevelType w:val="hybridMultilevel"/>
    <w:tmpl w:val="BEE86764"/>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0B213B"/>
    <w:multiLevelType w:val="hybridMultilevel"/>
    <w:tmpl w:val="6C964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B33363"/>
    <w:multiLevelType w:val="hybridMultilevel"/>
    <w:tmpl w:val="55F612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467300"/>
    <w:multiLevelType w:val="hybridMultilevel"/>
    <w:tmpl w:val="CD78070A"/>
    <w:lvl w:ilvl="0" w:tplc="852C79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917C55"/>
    <w:multiLevelType w:val="hybridMultilevel"/>
    <w:tmpl w:val="25DA876C"/>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C003DF"/>
    <w:multiLevelType w:val="hybridMultilevel"/>
    <w:tmpl w:val="65E20900"/>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1A473E"/>
    <w:multiLevelType w:val="hybridMultilevel"/>
    <w:tmpl w:val="BCBC0AB0"/>
    <w:lvl w:ilvl="0" w:tplc="7A3831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2138A5"/>
    <w:multiLevelType w:val="hybridMultilevel"/>
    <w:tmpl w:val="73FC1C40"/>
    <w:lvl w:ilvl="0" w:tplc="68A04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D0485"/>
    <w:multiLevelType w:val="multilevel"/>
    <w:tmpl w:val="EA707DA0"/>
    <w:lvl w:ilvl="0">
      <w:start w:val="1"/>
      <w:numFmt w:val="bullet"/>
      <w:pStyle w:val="Listapunktowana"/>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6C40A0B"/>
    <w:multiLevelType w:val="hybridMultilevel"/>
    <w:tmpl w:val="0C544918"/>
    <w:lvl w:ilvl="0" w:tplc="7A383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525016"/>
    <w:multiLevelType w:val="hybridMultilevel"/>
    <w:tmpl w:val="502AECA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4D421BC6"/>
    <w:multiLevelType w:val="hybridMultilevel"/>
    <w:tmpl w:val="82742EFE"/>
    <w:lvl w:ilvl="0" w:tplc="BF0A9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0F66C5"/>
    <w:multiLevelType w:val="multilevel"/>
    <w:tmpl w:val="9FE0060C"/>
    <w:lvl w:ilvl="0">
      <w:start w:val="2"/>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EC6528D"/>
    <w:multiLevelType w:val="multilevel"/>
    <w:tmpl w:val="B66243E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C43ED2"/>
    <w:multiLevelType w:val="hybridMultilevel"/>
    <w:tmpl w:val="7D3E4014"/>
    <w:lvl w:ilvl="0" w:tplc="BF0A9B7A">
      <w:start w:val="1"/>
      <w:numFmt w:val="bullet"/>
      <w:lvlText w:val=""/>
      <w:lvlJc w:val="left"/>
      <w:pPr>
        <w:ind w:left="1241" w:hanging="360"/>
      </w:pPr>
      <w:rPr>
        <w:rFonts w:ascii="Symbol" w:hAnsi="Symbol" w:hint="default"/>
      </w:rPr>
    </w:lvl>
    <w:lvl w:ilvl="1" w:tplc="04150003" w:tentative="1">
      <w:start w:val="1"/>
      <w:numFmt w:val="bullet"/>
      <w:lvlText w:val="o"/>
      <w:lvlJc w:val="left"/>
      <w:pPr>
        <w:ind w:left="1961" w:hanging="360"/>
      </w:pPr>
      <w:rPr>
        <w:rFonts w:ascii="Courier New" w:hAnsi="Courier New" w:cs="Courier New" w:hint="default"/>
      </w:rPr>
    </w:lvl>
    <w:lvl w:ilvl="2" w:tplc="04150005" w:tentative="1">
      <w:start w:val="1"/>
      <w:numFmt w:val="bullet"/>
      <w:lvlText w:val=""/>
      <w:lvlJc w:val="left"/>
      <w:pPr>
        <w:ind w:left="2681" w:hanging="360"/>
      </w:pPr>
      <w:rPr>
        <w:rFonts w:ascii="Wingdings" w:hAnsi="Wingdings" w:hint="default"/>
      </w:rPr>
    </w:lvl>
    <w:lvl w:ilvl="3" w:tplc="04150001" w:tentative="1">
      <w:start w:val="1"/>
      <w:numFmt w:val="bullet"/>
      <w:lvlText w:val=""/>
      <w:lvlJc w:val="left"/>
      <w:pPr>
        <w:ind w:left="3401" w:hanging="360"/>
      </w:pPr>
      <w:rPr>
        <w:rFonts w:ascii="Symbol" w:hAnsi="Symbol" w:hint="default"/>
      </w:rPr>
    </w:lvl>
    <w:lvl w:ilvl="4" w:tplc="04150003" w:tentative="1">
      <w:start w:val="1"/>
      <w:numFmt w:val="bullet"/>
      <w:lvlText w:val="o"/>
      <w:lvlJc w:val="left"/>
      <w:pPr>
        <w:ind w:left="4121" w:hanging="360"/>
      </w:pPr>
      <w:rPr>
        <w:rFonts w:ascii="Courier New" w:hAnsi="Courier New" w:cs="Courier New" w:hint="default"/>
      </w:rPr>
    </w:lvl>
    <w:lvl w:ilvl="5" w:tplc="04150005" w:tentative="1">
      <w:start w:val="1"/>
      <w:numFmt w:val="bullet"/>
      <w:lvlText w:val=""/>
      <w:lvlJc w:val="left"/>
      <w:pPr>
        <w:ind w:left="4841" w:hanging="360"/>
      </w:pPr>
      <w:rPr>
        <w:rFonts w:ascii="Wingdings" w:hAnsi="Wingdings" w:hint="default"/>
      </w:rPr>
    </w:lvl>
    <w:lvl w:ilvl="6" w:tplc="04150001" w:tentative="1">
      <w:start w:val="1"/>
      <w:numFmt w:val="bullet"/>
      <w:lvlText w:val=""/>
      <w:lvlJc w:val="left"/>
      <w:pPr>
        <w:ind w:left="5561" w:hanging="360"/>
      </w:pPr>
      <w:rPr>
        <w:rFonts w:ascii="Symbol" w:hAnsi="Symbol" w:hint="default"/>
      </w:rPr>
    </w:lvl>
    <w:lvl w:ilvl="7" w:tplc="04150003" w:tentative="1">
      <w:start w:val="1"/>
      <w:numFmt w:val="bullet"/>
      <w:lvlText w:val="o"/>
      <w:lvlJc w:val="left"/>
      <w:pPr>
        <w:ind w:left="6281" w:hanging="360"/>
      </w:pPr>
      <w:rPr>
        <w:rFonts w:ascii="Courier New" w:hAnsi="Courier New" w:cs="Courier New" w:hint="default"/>
      </w:rPr>
    </w:lvl>
    <w:lvl w:ilvl="8" w:tplc="04150005" w:tentative="1">
      <w:start w:val="1"/>
      <w:numFmt w:val="bullet"/>
      <w:lvlText w:val=""/>
      <w:lvlJc w:val="left"/>
      <w:pPr>
        <w:ind w:left="7001" w:hanging="360"/>
      </w:pPr>
      <w:rPr>
        <w:rFonts w:ascii="Wingdings" w:hAnsi="Wingdings" w:hint="default"/>
      </w:rPr>
    </w:lvl>
  </w:abstractNum>
  <w:abstractNum w:abstractNumId="20" w15:restartNumberingAfterBreak="0">
    <w:nsid w:val="581E4F96"/>
    <w:multiLevelType w:val="hybridMultilevel"/>
    <w:tmpl w:val="F0F0D824"/>
    <w:lvl w:ilvl="0" w:tplc="BF0A9B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F87A3F"/>
    <w:multiLevelType w:val="hybridMultilevel"/>
    <w:tmpl w:val="070A42E6"/>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E42DEF"/>
    <w:multiLevelType w:val="hybridMultilevel"/>
    <w:tmpl w:val="B0E84CDE"/>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364194"/>
    <w:multiLevelType w:val="hybridMultilevel"/>
    <w:tmpl w:val="21D09D18"/>
    <w:lvl w:ilvl="0" w:tplc="54E087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B073AC0"/>
    <w:multiLevelType w:val="hybridMultilevel"/>
    <w:tmpl w:val="3D4A94C0"/>
    <w:lvl w:ilvl="0" w:tplc="54E087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D47B9B"/>
    <w:multiLevelType w:val="hybridMultilevel"/>
    <w:tmpl w:val="375A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DA5C9B"/>
    <w:multiLevelType w:val="hybridMultilevel"/>
    <w:tmpl w:val="AA3AE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0A5145"/>
    <w:multiLevelType w:val="hybridMultilevel"/>
    <w:tmpl w:val="08641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2B1736"/>
    <w:multiLevelType w:val="hybridMultilevel"/>
    <w:tmpl w:val="577C9E5C"/>
    <w:lvl w:ilvl="0" w:tplc="A1281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8"/>
  </w:num>
  <w:num w:numId="5">
    <w:abstractNumId w:val="12"/>
  </w:num>
  <w:num w:numId="6">
    <w:abstractNumId w:val="3"/>
  </w:num>
  <w:num w:numId="7">
    <w:abstractNumId w:val="10"/>
  </w:num>
  <w:num w:numId="8">
    <w:abstractNumId w:val="24"/>
  </w:num>
  <w:num w:numId="9">
    <w:abstractNumId w:val="0"/>
  </w:num>
  <w:num w:numId="10">
    <w:abstractNumId w:val="21"/>
  </w:num>
  <w:num w:numId="11">
    <w:abstractNumId w:val="5"/>
  </w:num>
  <w:num w:numId="12">
    <w:abstractNumId w:val="22"/>
  </w:num>
  <w:num w:numId="13">
    <w:abstractNumId w:val="9"/>
  </w:num>
  <w:num w:numId="14">
    <w:abstractNumId w:val="18"/>
  </w:num>
  <w:num w:numId="15">
    <w:abstractNumId w:val="27"/>
  </w:num>
  <w:num w:numId="16">
    <w:abstractNumId w:val="26"/>
  </w:num>
  <w:num w:numId="17">
    <w:abstractNumId w:val="17"/>
  </w:num>
  <w:num w:numId="18">
    <w:abstractNumId w:val="23"/>
  </w:num>
  <w:num w:numId="19">
    <w:abstractNumId w:val="8"/>
  </w:num>
  <w:num w:numId="20">
    <w:abstractNumId w:val="25"/>
  </w:num>
  <w:num w:numId="21">
    <w:abstractNumId w:val="13"/>
  </w:num>
  <w:num w:numId="22">
    <w:abstractNumId w:val="19"/>
  </w:num>
  <w:num w:numId="23">
    <w:abstractNumId w:val="20"/>
  </w:num>
  <w:num w:numId="24">
    <w:abstractNumId w:val="16"/>
  </w:num>
  <w:num w:numId="25">
    <w:abstractNumId w:val="6"/>
  </w:num>
  <w:num w:numId="26">
    <w:abstractNumId w:val="11"/>
  </w:num>
  <w:num w:numId="27">
    <w:abstractNumId w:val="2"/>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1"/>
    <w:rsid w:val="00004E2D"/>
    <w:rsid w:val="000155F7"/>
    <w:rsid w:val="0001754D"/>
    <w:rsid w:val="00017C42"/>
    <w:rsid w:val="00027876"/>
    <w:rsid w:val="000327C7"/>
    <w:rsid w:val="00032F5A"/>
    <w:rsid w:val="00047B53"/>
    <w:rsid w:val="00051368"/>
    <w:rsid w:val="00057F37"/>
    <w:rsid w:val="00062C29"/>
    <w:rsid w:val="00066039"/>
    <w:rsid w:val="00071737"/>
    <w:rsid w:val="00073678"/>
    <w:rsid w:val="00080A19"/>
    <w:rsid w:val="00083D65"/>
    <w:rsid w:val="0008478C"/>
    <w:rsid w:val="00084C23"/>
    <w:rsid w:val="00085257"/>
    <w:rsid w:val="000857E8"/>
    <w:rsid w:val="000938B6"/>
    <w:rsid w:val="00094C1D"/>
    <w:rsid w:val="0009646E"/>
    <w:rsid w:val="000A0742"/>
    <w:rsid w:val="000A2B18"/>
    <w:rsid w:val="000A6073"/>
    <w:rsid w:val="000A64C3"/>
    <w:rsid w:val="000B0C83"/>
    <w:rsid w:val="000B1EB6"/>
    <w:rsid w:val="000B1F29"/>
    <w:rsid w:val="000B2EC9"/>
    <w:rsid w:val="000B4892"/>
    <w:rsid w:val="000B53BD"/>
    <w:rsid w:val="000C21AE"/>
    <w:rsid w:val="000C2BE5"/>
    <w:rsid w:val="000C3256"/>
    <w:rsid w:val="000C75B7"/>
    <w:rsid w:val="000D4A9C"/>
    <w:rsid w:val="000D597F"/>
    <w:rsid w:val="000E0BD2"/>
    <w:rsid w:val="000E4965"/>
    <w:rsid w:val="000F3635"/>
    <w:rsid w:val="000F363C"/>
    <w:rsid w:val="0010121E"/>
    <w:rsid w:val="00102E8A"/>
    <w:rsid w:val="00105B9B"/>
    <w:rsid w:val="00106E85"/>
    <w:rsid w:val="00114B17"/>
    <w:rsid w:val="00114B30"/>
    <w:rsid w:val="00115329"/>
    <w:rsid w:val="00123C59"/>
    <w:rsid w:val="00124A11"/>
    <w:rsid w:val="00124EBB"/>
    <w:rsid w:val="00127D09"/>
    <w:rsid w:val="00132B37"/>
    <w:rsid w:val="00134381"/>
    <w:rsid w:val="00135DF2"/>
    <w:rsid w:val="00136A8E"/>
    <w:rsid w:val="001370A0"/>
    <w:rsid w:val="00137558"/>
    <w:rsid w:val="001409BE"/>
    <w:rsid w:val="00141F86"/>
    <w:rsid w:val="001421C7"/>
    <w:rsid w:val="0014355C"/>
    <w:rsid w:val="001435BE"/>
    <w:rsid w:val="00144863"/>
    <w:rsid w:val="0015246D"/>
    <w:rsid w:val="00156876"/>
    <w:rsid w:val="00164ED6"/>
    <w:rsid w:val="00167B99"/>
    <w:rsid w:val="0017489F"/>
    <w:rsid w:val="001759B0"/>
    <w:rsid w:val="00181F95"/>
    <w:rsid w:val="00186185"/>
    <w:rsid w:val="00190881"/>
    <w:rsid w:val="00195A87"/>
    <w:rsid w:val="001A7148"/>
    <w:rsid w:val="001B0FD0"/>
    <w:rsid w:val="001B3DA9"/>
    <w:rsid w:val="001B689B"/>
    <w:rsid w:val="001B7004"/>
    <w:rsid w:val="001B7BF3"/>
    <w:rsid w:val="001C3EF6"/>
    <w:rsid w:val="001C5B91"/>
    <w:rsid w:val="001D00F4"/>
    <w:rsid w:val="001D0D72"/>
    <w:rsid w:val="001D30F9"/>
    <w:rsid w:val="001E1812"/>
    <w:rsid w:val="001E2933"/>
    <w:rsid w:val="001E34F6"/>
    <w:rsid w:val="001E63D2"/>
    <w:rsid w:val="001F3E47"/>
    <w:rsid w:val="001F4E79"/>
    <w:rsid w:val="001F608A"/>
    <w:rsid w:val="001F6EF7"/>
    <w:rsid w:val="00215E33"/>
    <w:rsid w:val="002171AE"/>
    <w:rsid w:val="00220DA6"/>
    <w:rsid w:val="00221D15"/>
    <w:rsid w:val="002222CE"/>
    <w:rsid w:val="002248D3"/>
    <w:rsid w:val="00224CB5"/>
    <w:rsid w:val="002256D2"/>
    <w:rsid w:val="00230EA4"/>
    <w:rsid w:val="0023347E"/>
    <w:rsid w:val="00233CD8"/>
    <w:rsid w:val="002345D8"/>
    <w:rsid w:val="00234C9C"/>
    <w:rsid w:val="00237B52"/>
    <w:rsid w:val="0024215E"/>
    <w:rsid w:val="00243800"/>
    <w:rsid w:val="00245F98"/>
    <w:rsid w:val="0024658F"/>
    <w:rsid w:val="00247E0F"/>
    <w:rsid w:val="0025578F"/>
    <w:rsid w:val="0025594B"/>
    <w:rsid w:val="00257EB2"/>
    <w:rsid w:val="0027011B"/>
    <w:rsid w:val="002701FA"/>
    <w:rsid w:val="00271A59"/>
    <w:rsid w:val="00273120"/>
    <w:rsid w:val="002776EE"/>
    <w:rsid w:val="00277BB8"/>
    <w:rsid w:val="002804F7"/>
    <w:rsid w:val="0028105E"/>
    <w:rsid w:val="00286861"/>
    <w:rsid w:val="00286E76"/>
    <w:rsid w:val="00287F94"/>
    <w:rsid w:val="00291AAB"/>
    <w:rsid w:val="00291EE3"/>
    <w:rsid w:val="002934B1"/>
    <w:rsid w:val="00293CF0"/>
    <w:rsid w:val="00294D40"/>
    <w:rsid w:val="00297596"/>
    <w:rsid w:val="002A3DCE"/>
    <w:rsid w:val="002A74D8"/>
    <w:rsid w:val="002B11C7"/>
    <w:rsid w:val="002B18A7"/>
    <w:rsid w:val="002B2F92"/>
    <w:rsid w:val="002B30B6"/>
    <w:rsid w:val="002B5604"/>
    <w:rsid w:val="002B646E"/>
    <w:rsid w:val="002C0747"/>
    <w:rsid w:val="002C6054"/>
    <w:rsid w:val="002C68AC"/>
    <w:rsid w:val="002C7FD5"/>
    <w:rsid w:val="002D67CD"/>
    <w:rsid w:val="002D6A96"/>
    <w:rsid w:val="002D6B14"/>
    <w:rsid w:val="002D7496"/>
    <w:rsid w:val="002E683F"/>
    <w:rsid w:val="002E7AB0"/>
    <w:rsid w:val="002F0581"/>
    <w:rsid w:val="002F0E47"/>
    <w:rsid w:val="002F485C"/>
    <w:rsid w:val="002F4A5C"/>
    <w:rsid w:val="003058A1"/>
    <w:rsid w:val="003104BA"/>
    <w:rsid w:val="00311449"/>
    <w:rsid w:val="003114AE"/>
    <w:rsid w:val="00311FF4"/>
    <w:rsid w:val="00312778"/>
    <w:rsid w:val="0031336F"/>
    <w:rsid w:val="00313934"/>
    <w:rsid w:val="00315843"/>
    <w:rsid w:val="00320CCD"/>
    <w:rsid w:val="00324CC8"/>
    <w:rsid w:val="003270AB"/>
    <w:rsid w:val="00333880"/>
    <w:rsid w:val="003371ED"/>
    <w:rsid w:val="003427B9"/>
    <w:rsid w:val="00345CD6"/>
    <w:rsid w:val="00351DCC"/>
    <w:rsid w:val="003551D7"/>
    <w:rsid w:val="003669F3"/>
    <w:rsid w:val="0037034F"/>
    <w:rsid w:val="003710FB"/>
    <w:rsid w:val="00372245"/>
    <w:rsid w:val="00376C37"/>
    <w:rsid w:val="00377C6D"/>
    <w:rsid w:val="003818EE"/>
    <w:rsid w:val="00381D73"/>
    <w:rsid w:val="003931D8"/>
    <w:rsid w:val="0039721E"/>
    <w:rsid w:val="003A478D"/>
    <w:rsid w:val="003A4899"/>
    <w:rsid w:val="003B0047"/>
    <w:rsid w:val="003B012C"/>
    <w:rsid w:val="003B51A1"/>
    <w:rsid w:val="003C23E4"/>
    <w:rsid w:val="003D25E9"/>
    <w:rsid w:val="003D27CB"/>
    <w:rsid w:val="003D614C"/>
    <w:rsid w:val="003D7141"/>
    <w:rsid w:val="003D7E31"/>
    <w:rsid w:val="003E69D4"/>
    <w:rsid w:val="003F36DD"/>
    <w:rsid w:val="003F3D18"/>
    <w:rsid w:val="003F6F6A"/>
    <w:rsid w:val="003F7F9A"/>
    <w:rsid w:val="004046ED"/>
    <w:rsid w:val="00406708"/>
    <w:rsid w:val="00407222"/>
    <w:rsid w:val="0040798C"/>
    <w:rsid w:val="00410865"/>
    <w:rsid w:val="00414C84"/>
    <w:rsid w:val="00415DBC"/>
    <w:rsid w:val="0042637A"/>
    <w:rsid w:val="004264C1"/>
    <w:rsid w:val="00433DB7"/>
    <w:rsid w:val="004345EA"/>
    <w:rsid w:val="00440F9D"/>
    <w:rsid w:val="004416EE"/>
    <w:rsid w:val="00442F7D"/>
    <w:rsid w:val="004433A9"/>
    <w:rsid w:val="004456A8"/>
    <w:rsid w:val="00445C2D"/>
    <w:rsid w:val="00446007"/>
    <w:rsid w:val="00451400"/>
    <w:rsid w:val="00451A23"/>
    <w:rsid w:val="00455054"/>
    <w:rsid w:val="00456DEB"/>
    <w:rsid w:val="00457C51"/>
    <w:rsid w:val="00457EB8"/>
    <w:rsid w:val="00462776"/>
    <w:rsid w:val="004657BD"/>
    <w:rsid w:val="00472684"/>
    <w:rsid w:val="00473F25"/>
    <w:rsid w:val="00474D9C"/>
    <w:rsid w:val="004762A5"/>
    <w:rsid w:val="004768D6"/>
    <w:rsid w:val="00477372"/>
    <w:rsid w:val="004803AF"/>
    <w:rsid w:val="00481515"/>
    <w:rsid w:val="0048154A"/>
    <w:rsid w:val="00482C6A"/>
    <w:rsid w:val="00486E91"/>
    <w:rsid w:val="004902D9"/>
    <w:rsid w:val="0049107F"/>
    <w:rsid w:val="00494746"/>
    <w:rsid w:val="00495781"/>
    <w:rsid w:val="0049614C"/>
    <w:rsid w:val="0049621E"/>
    <w:rsid w:val="00497785"/>
    <w:rsid w:val="004A5C53"/>
    <w:rsid w:val="004A5ED2"/>
    <w:rsid w:val="004A7810"/>
    <w:rsid w:val="004B12EA"/>
    <w:rsid w:val="004B12EF"/>
    <w:rsid w:val="004B64F2"/>
    <w:rsid w:val="004C0E46"/>
    <w:rsid w:val="004C19F9"/>
    <w:rsid w:val="004C642F"/>
    <w:rsid w:val="004D0F56"/>
    <w:rsid w:val="004D7DDE"/>
    <w:rsid w:val="004E0727"/>
    <w:rsid w:val="004E24F7"/>
    <w:rsid w:val="004E3CA3"/>
    <w:rsid w:val="004E3E60"/>
    <w:rsid w:val="004E508A"/>
    <w:rsid w:val="004E51A2"/>
    <w:rsid w:val="004E5854"/>
    <w:rsid w:val="004E7091"/>
    <w:rsid w:val="004E78D8"/>
    <w:rsid w:val="004F0877"/>
    <w:rsid w:val="004F0B34"/>
    <w:rsid w:val="004F276A"/>
    <w:rsid w:val="004F31A3"/>
    <w:rsid w:val="005148B7"/>
    <w:rsid w:val="00515B40"/>
    <w:rsid w:val="00516810"/>
    <w:rsid w:val="00520669"/>
    <w:rsid w:val="00521ABA"/>
    <w:rsid w:val="0052318B"/>
    <w:rsid w:val="00523E4E"/>
    <w:rsid w:val="00526F3F"/>
    <w:rsid w:val="00527A46"/>
    <w:rsid w:val="005304E1"/>
    <w:rsid w:val="00530CB1"/>
    <w:rsid w:val="005331B9"/>
    <w:rsid w:val="00536184"/>
    <w:rsid w:val="00543908"/>
    <w:rsid w:val="00546225"/>
    <w:rsid w:val="00547EF4"/>
    <w:rsid w:val="005523D0"/>
    <w:rsid w:val="00553F88"/>
    <w:rsid w:val="00554397"/>
    <w:rsid w:val="00560094"/>
    <w:rsid w:val="005605BE"/>
    <w:rsid w:val="0056538C"/>
    <w:rsid w:val="00567964"/>
    <w:rsid w:val="0057059E"/>
    <w:rsid w:val="00572CA4"/>
    <w:rsid w:val="00572D16"/>
    <w:rsid w:val="00573313"/>
    <w:rsid w:val="00574961"/>
    <w:rsid w:val="00575E9B"/>
    <w:rsid w:val="0057735C"/>
    <w:rsid w:val="005776A9"/>
    <w:rsid w:val="00582043"/>
    <w:rsid w:val="00583D25"/>
    <w:rsid w:val="00584C32"/>
    <w:rsid w:val="005916E3"/>
    <w:rsid w:val="00591932"/>
    <w:rsid w:val="00591DAE"/>
    <w:rsid w:val="0059386E"/>
    <w:rsid w:val="005953BD"/>
    <w:rsid w:val="005968F1"/>
    <w:rsid w:val="005A3200"/>
    <w:rsid w:val="005A5E73"/>
    <w:rsid w:val="005A620E"/>
    <w:rsid w:val="005A637E"/>
    <w:rsid w:val="005C1E1B"/>
    <w:rsid w:val="005C6A0B"/>
    <w:rsid w:val="005C6FF5"/>
    <w:rsid w:val="005C7121"/>
    <w:rsid w:val="005D33D9"/>
    <w:rsid w:val="005D46BA"/>
    <w:rsid w:val="005D46F2"/>
    <w:rsid w:val="005D5AD7"/>
    <w:rsid w:val="005D6CC6"/>
    <w:rsid w:val="005E1DB4"/>
    <w:rsid w:val="005E3C29"/>
    <w:rsid w:val="005E4CA6"/>
    <w:rsid w:val="005E55D4"/>
    <w:rsid w:val="005E7CC7"/>
    <w:rsid w:val="005F0B18"/>
    <w:rsid w:val="005F3482"/>
    <w:rsid w:val="0060182E"/>
    <w:rsid w:val="006061B1"/>
    <w:rsid w:val="0060647E"/>
    <w:rsid w:val="00606FFD"/>
    <w:rsid w:val="00607AF9"/>
    <w:rsid w:val="006108E9"/>
    <w:rsid w:val="0061092B"/>
    <w:rsid w:val="00610EFD"/>
    <w:rsid w:val="00616A59"/>
    <w:rsid w:val="006216AD"/>
    <w:rsid w:val="006224CF"/>
    <w:rsid w:val="006232F1"/>
    <w:rsid w:val="00626368"/>
    <w:rsid w:val="006266B7"/>
    <w:rsid w:val="00626E78"/>
    <w:rsid w:val="00630CCC"/>
    <w:rsid w:val="00632C20"/>
    <w:rsid w:val="00635424"/>
    <w:rsid w:val="00636D37"/>
    <w:rsid w:val="00637ACE"/>
    <w:rsid w:val="00640D6A"/>
    <w:rsid w:val="00644073"/>
    <w:rsid w:val="0064473B"/>
    <w:rsid w:val="00645E6F"/>
    <w:rsid w:val="006476E2"/>
    <w:rsid w:val="00647F46"/>
    <w:rsid w:val="006524E5"/>
    <w:rsid w:val="0065622A"/>
    <w:rsid w:val="00660E97"/>
    <w:rsid w:val="00663A5E"/>
    <w:rsid w:val="00664768"/>
    <w:rsid w:val="006649B9"/>
    <w:rsid w:val="0066532E"/>
    <w:rsid w:val="0066700D"/>
    <w:rsid w:val="00670E3A"/>
    <w:rsid w:val="00673BFE"/>
    <w:rsid w:val="00674093"/>
    <w:rsid w:val="00674B78"/>
    <w:rsid w:val="006757C4"/>
    <w:rsid w:val="00676F8C"/>
    <w:rsid w:val="0067769F"/>
    <w:rsid w:val="00682F58"/>
    <w:rsid w:val="00684DC1"/>
    <w:rsid w:val="00687695"/>
    <w:rsid w:val="00687DA0"/>
    <w:rsid w:val="0069095E"/>
    <w:rsid w:val="00691635"/>
    <w:rsid w:val="0069252E"/>
    <w:rsid w:val="006A0660"/>
    <w:rsid w:val="006A2466"/>
    <w:rsid w:val="006A3086"/>
    <w:rsid w:val="006A716D"/>
    <w:rsid w:val="006B2261"/>
    <w:rsid w:val="006B3D73"/>
    <w:rsid w:val="006C06F4"/>
    <w:rsid w:val="006C3A55"/>
    <w:rsid w:val="006C414B"/>
    <w:rsid w:val="006C4C34"/>
    <w:rsid w:val="006C596C"/>
    <w:rsid w:val="006C5B59"/>
    <w:rsid w:val="006C69F3"/>
    <w:rsid w:val="006C70CC"/>
    <w:rsid w:val="006C734D"/>
    <w:rsid w:val="006D094D"/>
    <w:rsid w:val="006E0972"/>
    <w:rsid w:val="006E1E2D"/>
    <w:rsid w:val="006E36F1"/>
    <w:rsid w:val="006E4597"/>
    <w:rsid w:val="006E4712"/>
    <w:rsid w:val="006F00C1"/>
    <w:rsid w:val="006F02DC"/>
    <w:rsid w:val="006F2285"/>
    <w:rsid w:val="006F33D9"/>
    <w:rsid w:val="006F365E"/>
    <w:rsid w:val="006F4481"/>
    <w:rsid w:val="006F5607"/>
    <w:rsid w:val="00702FEA"/>
    <w:rsid w:val="00705235"/>
    <w:rsid w:val="00711220"/>
    <w:rsid w:val="00712E92"/>
    <w:rsid w:val="00713A58"/>
    <w:rsid w:val="00713CD7"/>
    <w:rsid w:val="00717776"/>
    <w:rsid w:val="00720CED"/>
    <w:rsid w:val="00721045"/>
    <w:rsid w:val="00723FBD"/>
    <w:rsid w:val="00724CFA"/>
    <w:rsid w:val="00725AE7"/>
    <w:rsid w:val="0072763D"/>
    <w:rsid w:val="00730BDA"/>
    <w:rsid w:val="00731951"/>
    <w:rsid w:val="00733060"/>
    <w:rsid w:val="00733497"/>
    <w:rsid w:val="00734225"/>
    <w:rsid w:val="007358D5"/>
    <w:rsid w:val="0074282D"/>
    <w:rsid w:val="00743765"/>
    <w:rsid w:val="00750F88"/>
    <w:rsid w:val="007517D6"/>
    <w:rsid w:val="00752E9D"/>
    <w:rsid w:val="0075329D"/>
    <w:rsid w:val="007541C4"/>
    <w:rsid w:val="007566EA"/>
    <w:rsid w:val="00757B74"/>
    <w:rsid w:val="007600B3"/>
    <w:rsid w:val="007604D0"/>
    <w:rsid w:val="0076056F"/>
    <w:rsid w:val="00765CFF"/>
    <w:rsid w:val="007679AF"/>
    <w:rsid w:val="00772FB2"/>
    <w:rsid w:val="00774CC6"/>
    <w:rsid w:val="007757AA"/>
    <w:rsid w:val="00777192"/>
    <w:rsid w:val="007812BE"/>
    <w:rsid w:val="0078151D"/>
    <w:rsid w:val="0078398A"/>
    <w:rsid w:val="007868CB"/>
    <w:rsid w:val="00786C81"/>
    <w:rsid w:val="0079013C"/>
    <w:rsid w:val="0079140D"/>
    <w:rsid w:val="007969CB"/>
    <w:rsid w:val="007A1355"/>
    <w:rsid w:val="007A55EB"/>
    <w:rsid w:val="007B1000"/>
    <w:rsid w:val="007B6E25"/>
    <w:rsid w:val="007B6FE0"/>
    <w:rsid w:val="007C0F13"/>
    <w:rsid w:val="007C5946"/>
    <w:rsid w:val="007C6BAD"/>
    <w:rsid w:val="007D338A"/>
    <w:rsid w:val="007D3718"/>
    <w:rsid w:val="007D39EE"/>
    <w:rsid w:val="007D46E2"/>
    <w:rsid w:val="007D770B"/>
    <w:rsid w:val="007E75AC"/>
    <w:rsid w:val="007F1F89"/>
    <w:rsid w:val="007F3B70"/>
    <w:rsid w:val="007F5BF6"/>
    <w:rsid w:val="007F779F"/>
    <w:rsid w:val="008000FE"/>
    <w:rsid w:val="00801F11"/>
    <w:rsid w:val="00804E57"/>
    <w:rsid w:val="00805834"/>
    <w:rsid w:val="008067FE"/>
    <w:rsid w:val="008123D6"/>
    <w:rsid w:val="0081284C"/>
    <w:rsid w:val="00816527"/>
    <w:rsid w:val="00817245"/>
    <w:rsid w:val="00817A11"/>
    <w:rsid w:val="00820B48"/>
    <w:rsid w:val="00824893"/>
    <w:rsid w:val="00826F55"/>
    <w:rsid w:val="0083183A"/>
    <w:rsid w:val="0083203C"/>
    <w:rsid w:val="00833FA6"/>
    <w:rsid w:val="00834037"/>
    <w:rsid w:val="00834247"/>
    <w:rsid w:val="008353D8"/>
    <w:rsid w:val="00837591"/>
    <w:rsid w:val="00840846"/>
    <w:rsid w:val="00840DB2"/>
    <w:rsid w:val="0084113E"/>
    <w:rsid w:val="00843FB4"/>
    <w:rsid w:val="00851123"/>
    <w:rsid w:val="00851880"/>
    <w:rsid w:val="00854748"/>
    <w:rsid w:val="00860C4F"/>
    <w:rsid w:val="0086212C"/>
    <w:rsid w:val="008705AF"/>
    <w:rsid w:val="00874F30"/>
    <w:rsid w:val="008767C4"/>
    <w:rsid w:val="008822BE"/>
    <w:rsid w:val="0088455E"/>
    <w:rsid w:val="00886248"/>
    <w:rsid w:val="00890943"/>
    <w:rsid w:val="008921E4"/>
    <w:rsid w:val="008928FC"/>
    <w:rsid w:val="0089769B"/>
    <w:rsid w:val="008A1113"/>
    <w:rsid w:val="008A1467"/>
    <w:rsid w:val="008A5AE8"/>
    <w:rsid w:val="008A7C7D"/>
    <w:rsid w:val="008B203A"/>
    <w:rsid w:val="008B2CCD"/>
    <w:rsid w:val="008B393C"/>
    <w:rsid w:val="008B4BC3"/>
    <w:rsid w:val="008B6A10"/>
    <w:rsid w:val="008B6ED2"/>
    <w:rsid w:val="008C0CDB"/>
    <w:rsid w:val="008C5B65"/>
    <w:rsid w:val="008D0165"/>
    <w:rsid w:val="008D57AD"/>
    <w:rsid w:val="008E464E"/>
    <w:rsid w:val="008E4998"/>
    <w:rsid w:val="008E5572"/>
    <w:rsid w:val="008E5A5D"/>
    <w:rsid w:val="008F4158"/>
    <w:rsid w:val="008F4500"/>
    <w:rsid w:val="008F7DF2"/>
    <w:rsid w:val="0090051C"/>
    <w:rsid w:val="009015DC"/>
    <w:rsid w:val="0091408D"/>
    <w:rsid w:val="00915CB1"/>
    <w:rsid w:val="00917799"/>
    <w:rsid w:val="00920B3C"/>
    <w:rsid w:val="00926559"/>
    <w:rsid w:val="00932210"/>
    <w:rsid w:val="009334C6"/>
    <w:rsid w:val="00933B3B"/>
    <w:rsid w:val="00943F78"/>
    <w:rsid w:val="009449A7"/>
    <w:rsid w:val="00944CDB"/>
    <w:rsid w:val="00946D88"/>
    <w:rsid w:val="00947118"/>
    <w:rsid w:val="00950379"/>
    <w:rsid w:val="009571C9"/>
    <w:rsid w:val="009607C3"/>
    <w:rsid w:val="0096285A"/>
    <w:rsid w:val="00963D6F"/>
    <w:rsid w:val="00964FCE"/>
    <w:rsid w:val="00965D1A"/>
    <w:rsid w:val="00965F5B"/>
    <w:rsid w:val="009755C7"/>
    <w:rsid w:val="00980B8E"/>
    <w:rsid w:val="00990E71"/>
    <w:rsid w:val="009952A8"/>
    <w:rsid w:val="009957FF"/>
    <w:rsid w:val="009A011F"/>
    <w:rsid w:val="009A1F09"/>
    <w:rsid w:val="009A55E8"/>
    <w:rsid w:val="009A71DA"/>
    <w:rsid w:val="009B51D4"/>
    <w:rsid w:val="009B64BD"/>
    <w:rsid w:val="009C75D5"/>
    <w:rsid w:val="009D169F"/>
    <w:rsid w:val="009D2FE9"/>
    <w:rsid w:val="009E5CD5"/>
    <w:rsid w:val="009E7CC7"/>
    <w:rsid w:val="009F0159"/>
    <w:rsid w:val="009F1054"/>
    <w:rsid w:val="009F34D8"/>
    <w:rsid w:val="009F5746"/>
    <w:rsid w:val="009F7A58"/>
    <w:rsid w:val="00A03F2F"/>
    <w:rsid w:val="00A07DD2"/>
    <w:rsid w:val="00A11199"/>
    <w:rsid w:val="00A20C09"/>
    <w:rsid w:val="00A22DAE"/>
    <w:rsid w:val="00A266F5"/>
    <w:rsid w:val="00A26E9C"/>
    <w:rsid w:val="00A27823"/>
    <w:rsid w:val="00A30A2D"/>
    <w:rsid w:val="00A32689"/>
    <w:rsid w:val="00A32781"/>
    <w:rsid w:val="00A3476E"/>
    <w:rsid w:val="00A34A98"/>
    <w:rsid w:val="00A352A4"/>
    <w:rsid w:val="00A35829"/>
    <w:rsid w:val="00A36938"/>
    <w:rsid w:val="00A376B1"/>
    <w:rsid w:val="00A435C2"/>
    <w:rsid w:val="00A447D3"/>
    <w:rsid w:val="00A44E04"/>
    <w:rsid w:val="00A46A1C"/>
    <w:rsid w:val="00A47051"/>
    <w:rsid w:val="00A51366"/>
    <w:rsid w:val="00A51AD1"/>
    <w:rsid w:val="00A51B62"/>
    <w:rsid w:val="00A522BD"/>
    <w:rsid w:val="00A53E26"/>
    <w:rsid w:val="00A53EB7"/>
    <w:rsid w:val="00A55000"/>
    <w:rsid w:val="00A5531C"/>
    <w:rsid w:val="00A57BEE"/>
    <w:rsid w:val="00A60565"/>
    <w:rsid w:val="00A63F3C"/>
    <w:rsid w:val="00A63F68"/>
    <w:rsid w:val="00A673C8"/>
    <w:rsid w:val="00A74DA3"/>
    <w:rsid w:val="00A751B7"/>
    <w:rsid w:val="00A758E5"/>
    <w:rsid w:val="00A77D1A"/>
    <w:rsid w:val="00A8736E"/>
    <w:rsid w:val="00A906B5"/>
    <w:rsid w:val="00A91636"/>
    <w:rsid w:val="00A91C6B"/>
    <w:rsid w:val="00A93892"/>
    <w:rsid w:val="00A96B94"/>
    <w:rsid w:val="00A9751D"/>
    <w:rsid w:val="00AA03E9"/>
    <w:rsid w:val="00AA4F5A"/>
    <w:rsid w:val="00AB4CF4"/>
    <w:rsid w:val="00AB5640"/>
    <w:rsid w:val="00AC7F29"/>
    <w:rsid w:val="00AD1868"/>
    <w:rsid w:val="00AD5018"/>
    <w:rsid w:val="00AD7C89"/>
    <w:rsid w:val="00AE0756"/>
    <w:rsid w:val="00AE1675"/>
    <w:rsid w:val="00AE2220"/>
    <w:rsid w:val="00AE276A"/>
    <w:rsid w:val="00AE28E5"/>
    <w:rsid w:val="00AE383B"/>
    <w:rsid w:val="00AE3C4B"/>
    <w:rsid w:val="00AE4507"/>
    <w:rsid w:val="00AE5C9D"/>
    <w:rsid w:val="00AF187B"/>
    <w:rsid w:val="00AF46C3"/>
    <w:rsid w:val="00AF57A8"/>
    <w:rsid w:val="00B019F1"/>
    <w:rsid w:val="00B07B77"/>
    <w:rsid w:val="00B10BB7"/>
    <w:rsid w:val="00B208FA"/>
    <w:rsid w:val="00B20CD4"/>
    <w:rsid w:val="00B31687"/>
    <w:rsid w:val="00B33698"/>
    <w:rsid w:val="00B34F8D"/>
    <w:rsid w:val="00B3760D"/>
    <w:rsid w:val="00B40222"/>
    <w:rsid w:val="00B42715"/>
    <w:rsid w:val="00B43C1E"/>
    <w:rsid w:val="00B449FE"/>
    <w:rsid w:val="00B454A3"/>
    <w:rsid w:val="00B461B9"/>
    <w:rsid w:val="00B46848"/>
    <w:rsid w:val="00B46FF4"/>
    <w:rsid w:val="00B47CCD"/>
    <w:rsid w:val="00B50693"/>
    <w:rsid w:val="00B5071C"/>
    <w:rsid w:val="00B50E7A"/>
    <w:rsid w:val="00B52F09"/>
    <w:rsid w:val="00B53E68"/>
    <w:rsid w:val="00B629B2"/>
    <w:rsid w:val="00B63F8D"/>
    <w:rsid w:val="00B64328"/>
    <w:rsid w:val="00B6594E"/>
    <w:rsid w:val="00B67680"/>
    <w:rsid w:val="00B749E4"/>
    <w:rsid w:val="00B80138"/>
    <w:rsid w:val="00B85AF5"/>
    <w:rsid w:val="00B900CF"/>
    <w:rsid w:val="00B92426"/>
    <w:rsid w:val="00B973AF"/>
    <w:rsid w:val="00BA4640"/>
    <w:rsid w:val="00BA5D88"/>
    <w:rsid w:val="00BB4532"/>
    <w:rsid w:val="00BB6DA7"/>
    <w:rsid w:val="00BC0FEA"/>
    <w:rsid w:val="00BC235C"/>
    <w:rsid w:val="00BC2D9D"/>
    <w:rsid w:val="00BC47EA"/>
    <w:rsid w:val="00BC58A7"/>
    <w:rsid w:val="00BD0752"/>
    <w:rsid w:val="00BD16B2"/>
    <w:rsid w:val="00BD30AF"/>
    <w:rsid w:val="00BD38A4"/>
    <w:rsid w:val="00BD4269"/>
    <w:rsid w:val="00BD6F4C"/>
    <w:rsid w:val="00BD771B"/>
    <w:rsid w:val="00BE156F"/>
    <w:rsid w:val="00BE200D"/>
    <w:rsid w:val="00BE788C"/>
    <w:rsid w:val="00BF0491"/>
    <w:rsid w:val="00BF090D"/>
    <w:rsid w:val="00BF1AE4"/>
    <w:rsid w:val="00BF6E9D"/>
    <w:rsid w:val="00C0441D"/>
    <w:rsid w:val="00C05BB2"/>
    <w:rsid w:val="00C21081"/>
    <w:rsid w:val="00C21E0C"/>
    <w:rsid w:val="00C25EB9"/>
    <w:rsid w:val="00C30246"/>
    <w:rsid w:val="00C30875"/>
    <w:rsid w:val="00C31344"/>
    <w:rsid w:val="00C4065E"/>
    <w:rsid w:val="00C421C1"/>
    <w:rsid w:val="00C44690"/>
    <w:rsid w:val="00C44EC5"/>
    <w:rsid w:val="00C45325"/>
    <w:rsid w:val="00C4566B"/>
    <w:rsid w:val="00C477E7"/>
    <w:rsid w:val="00C47C0F"/>
    <w:rsid w:val="00C509CB"/>
    <w:rsid w:val="00C51DEF"/>
    <w:rsid w:val="00C52944"/>
    <w:rsid w:val="00C55563"/>
    <w:rsid w:val="00C60223"/>
    <w:rsid w:val="00C61E03"/>
    <w:rsid w:val="00C62D56"/>
    <w:rsid w:val="00C63D8D"/>
    <w:rsid w:val="00C75621"/>
    <w:rsid w:val="00C76569"/>
    <w:rsid w:val="00C81CC7"/>
    <w:rsid w:val="00C82ABA"/>
    <w:rsid w:val="00C852D1"/>
    <w:rsid w:val="00C87888"/>
    <w:rsid w:val="00C87D14"/>
    <w:rsid w:val="00C96C91"/>
    <w:rsid w:val="00C97DE5"/>
    <w:rsid w:val="00CA0A53"/>
    <w:rsid w:val="00CA3AAE"/>
    <w:rsid w:val="00CA48AE"/>
    <w:rsid w:val="00CA48F3"/>
    <w:rsid w:val="00CA517A"/>
    <w:rsid w:val="00CB0865"/>
    <w:rsid w:val="00CB0AD2"/>
    <w:rsid w:val="00CB26BA"/>
    <w:rsid w:val="00CB458E"/>
    <w:rsid w:val="00CB4E37"/>
    <w:rsid w:val="00CB6E0C"/>
    <w:rsid w:val="00CC1956"/>
    <w:rsid w:val="00CC66DD"/>
    <w:rsid w:val="00CD22F5"/>
    <w:rsid w:val="00CD25D0"/>
    <w:rsid w:val="00CD2F56"/>
    <w:rsid w:val="00CD3EAE"/>
    <w:rsid w:val="00CD4528"/>
    <w:rsid w:val="00CD5C50"/>
    <w:rsid w:val="00CD63C2"/>
    <w:rsid w:val="00CD7268"/>
    <w:rsid w:val="00CE202F"/>
    <w:rsid w:val="00CE53FD"/>
    <w:rsid w:val="00CE5CEB"/>
    <w:rsid w:val="00CF1B60"/>
    <w:rsid w:val="00CF255E"/>
    <w:rsid w:val="00CF2D03"/>
    <w:rsid w:val="00CF3E03"/>
    <w:rsid w:val="00CF59AC"/>
    <w:rsid w:val="00D078D7"/>
    <w:rsid w:val="00D07F79"/>
    <w:rsid w:val="00D1258E"/>
    <w:rsid w:val="00D132CC"/>
    <w:rsid w:val="00D13AF4"/>
    <w:rsid w:val="00D13C34"/>
    <w:rsid w:val="00D149BC"/>
    <w:rsid w:val="00D21F26"/>
    <w:rsid w:val="00D23977"/>
    <w:rsid w:val="00D26293"/>
    <w:rsid w:val="00D27293"/>
    <w:rsid w:val="00D2743A"/>
    <w:rsid w:val="00D304A5"/>
    <w:rsid w:val="00D33C0A"/>
    <w:rsid w:val="00D35708"/>
    <w:rsid w:val="00D40602"/>
    <w:rsid w:val="00D40931"/>
    <w:rsid w:val="00D40AD3"/>
    <w:rsid w:val="00D41F04"/>
    <w:rsid w:val="00D438DB"/>
    <w:rsid w:val="00D43CA5"/>
    <w:rsid w:val="00D44959"/>
    <w:rsid w:val="00D47524"/>
    <w:rsid w:val="00D511CC"/>
    <w:rsid w:val="00D60A5A"/>
    <w:rsid w:val="00D651AF"/>
    <w:rsid w:val="00D7141F"/>
    <w:rsid w:val="00D73686"/>
    <w:rsid w:val="00D7561F"/>
    <w:rsid w:val="00D84576"/>
    <w:rsid w:val="00D84E29"/>
    <w:rsid w:val="00D923B7"/>
    <w:rsid w:val="00D92691"/>
    <w:rsid w:val="00D94C87"/>
    <w:rsid w:val="00D9586D"/>
    <w:rsid w:val="00D96122"/>
    <w:rsid w:val="00D96515"/>
    <w:rsid w:val="00DA0B1E"/>
    <w:rsid w:val="00DA0DEC"/>
    <w:rsid w:val="00DA76CA"/>
    <w:rsid w:val="00DA7F4B"/>
    <w:rsid w:val="00DB0FA1"/>
    <w:rsid w:val="00DB2D71"/>
    <w:rsid w:val="00DB3EC1"/>
    <w:rsid w:val="00DB45B5"/>
    <w:rsid w:val="00DB5CCE"/>
    <w:rsid w:val="00DB5CD9"/>
    <w:rsid w:val="00DB638C"/>
    <w:rsid w:val="00DB6B7C"/>
    <w:rsid w:val="00DD6067"/>
    <w:rsid w:val="00DE018A"/>
    <w:rsid w:val="00DE1452"/>
    <w:rsid w:val="00DE22E8"/>
    <w:rsid w:val="00DF3EEC"/>
    <w:rsid w:val="00DF7BF2"/>
    <w:rsid w:val="00E02D66"/>
    <w:rsid w:val="00E104F9"/>
    <w:rsid w:val="00E14503"/>
    <w:rsid w:val="00E23428"/>
    <w:rsid w:val="00E23432"/>
    <w:rsid w:val="00E335DB"/>
    <w:rsid w:val="00E34AD0"/>
    <w:rsid w:val="00E35149"/>
    <w:rsid w:val="00E41217"/>
    <w:rsid w:val="00E440EB"/>
    <w:rsid w:val="00E46850"/>
    <w:rsid w:val="00E506EF"/>
    <w:rsid w:val="00E53127"/>
    <w:rsid w:val="00E5319A"/>
    <w:rsid w:val="00E5554B"/>
    <w:rsid w:val="00E560AA"/>
    <w:rsid w:val="00E61330"/>
    <w:rsid w:val="00E61777"/>
    <w:rsid w:val="00E6234B"/>
    <w:rsid w:val="00E64CAA"/>
    <w:rsid w:val="00E655B4"/>
    <w:rsid w:val="00E665A9"/>
    <w:rsid w:val="00E716B0"/>
    <w:rsid w:val="00E7383A"/>
    <w:rsid w:val="00E76005"/>
    <w:rsid w:val="00E76798"/>
    <w:rsid w:val="00E81E74"/>
    <w:rsid w:val="00E82630"/>
    <w:rsid w:val="00E828B5"/>
    <w:rsid w:val="00E861F0"/>
    <w:rsid w:val="00E87B37"/>
    <w:rsid w:val="00E9179B"/>
    <w:rsid w:val="00E938C6"/>
    <w:rsid w:val="00E93D4E"/>
    <w:rsid w:val="00E9421D"/>
    <w:rsid w:val="00EA2070"/>
    <w:rsid w:val="00EA5E27"/>
    <w:rsid w:val="00EA6106"/>
    <w:rsid w:val="00EB3F99"/>
    <w:rsid w:val="00EB5B1D"/>
    <w:rsid w:val="00ED6D42"/>
    <w:rsid w:val="00ED6F3A"/>
    <w:rsid w:val="00ED74B5"/>
    <w:rsid w:val="00ED7AC4"/>
    <w:rsid w:val="00EE3874"/>
    <w:rsid w:val="00EE6F33"/>
    <w:rsid w:val="00EE7C5F"/>
    <w:rsid w:val="00EF068F"/>
    <w:rsid w:val="00EF07FF"/>
    <w:rsid w:val="00EF16D4"/>
    <w:rsid w:val="00EF2B79"/>
    <w:rsid w:val="00EF36B4"/>
    <w:rsid w:val="00F01ACF"/>
    <w:rsid w:val="00F03A7F"/>
    <w:rsid w:val="00F044A4"/>
    <w:rsid w:val="00F102F8"/>
    <w:rsid w:val="00F111AB"/>
    <w:rsid w:val="00F16990"/>
    <w:rsid w:val="00F20ADD"/>
    <w:rsid w:val="00F22E7B"/>
    <w:rsid w:val="00F24375"/>
    <w:rsid w:val="00F24B48"/>
    <w:rsid w:val="00F30436"/>
    <w:rsid w:val="00F31F58"/>
    <w:rsid w:val="00F32B16"/>
    <w:rsid w:val="00F364E3"/>
    <w:rsid w:val="00F41F15"/>
    <w:rsid w:val="00F423EB"/>
    <w:rsid w:val="00F42D0B"/>
    <w:rsid w:val="00F45269"/>
    <w:rsid w:val="00F50DED"/>
    <w:rsid w:val="00F5344D"/>
    <w:rsid w:val="00F5375B"/>
    <w:rsid w:val="00F53BB1"/>
    <w:rsid w:val="00F5414E"/>
    <w:rsid w:val="00F55C73"/>
    <w:rsid w:val="00F61590"/>
    <w:rsid w:val="00F633F7"/>
    <w:rsid w:val="00F64F3A"/>
    <w:rsid w:val="00F657D2"/>
    <w:rsid w:val="00F7316F"/>
    <w:rsid w:val="00F753A3"/>
    <w:rsid w:val="00F824D0"/>
    <w:rsid w:val="00F84D74"/>
    <w:rsid w:val="00F8671B"/>
    <w:rsid w:val="00F90181"/>
    <w:rsid w:val="00F9092E"/>
    <w:rsid w:val="00F95340"/>
    <w:rsid w:val="00F96D8F"/>
    <w:rsid w:val="00F97FF8"/>
    <w:rsid w:val="00FA550C"/>
    <w:rsid w:val="00FA570F"/>
    <w:rsid w:val="00FA7B44"/>
    <w:rsid w:val="00FB017B"/>
    <w:rsid w:val="00FB1B1A"/>
    <w:rsid w:val="00FC39E3"/>
    <w:rsid w:val="00FC68C3"/>
    <w:rsid w:val="00FC773A"/>
    <w:rsid w:val="00FC7A1D"/>
    <w:rsid w:val="00FD2D08"/>
    <w:rsid w:val="00FD331C"/>
    <w:rsid w:val="00FD39B6"/>
    <w:rsid w:val="00FD419E"/>
    <w:rsid w:val="00FD47F9"/>
    <w:rsid w:val="00FE392B"/>
    <w:rsid w:val="00FE45C4"/>
    <w:rsid w:val="00FE565C"/>
    <w:rsid w:val="00FE72EC"/>
    <w:rsid w:val="00FF102B"/>
    <w:rsid w:val="00FF4188"/>
    <w:rsid w:val="00FF44FD"/>
    <w:rsid w:val="00FF6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E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Dot pt,F5 List Paragraph,List Paragraph1,Recommendation,List Paragraph11,Kolorowa lista — akcent 11,Numerowanie,Listaszerű bekezdés1,List Paragraph à moi,Akapit z listą11,No Spacing1,Indicator Text,List Paragraph,Numbered Para 1"/>
    <w:basedOn w:val="Normalny"/>
    <w:link w:val="AkapitzlistZnak"/>
    <w:uiPriority w:val="34"/>
    <w:qFormat/>
    <w:rsid w:val="00224CB5"/>
    <w:pPr>
      <w:ind w:left="720"/>
      <w:contextualSpacing/>
    </w:pPr>
  </w:style>
  <w:style w:type="paragraph" w:styleId="Tekstprzypisudolnego">
    <w:name w:val="footnote text"/>
    <w:aliases w:val="Podrozdział,Fußnote,Footnote,Podrozdzia3,Przypis,fn,Footnote Text Char1,Footnote Text Char Char,-E Fuﬂnotentext,Fuﬂnotentext Ursprung,Fußnotentext Ursprung,-E Fußnotentext,Footnote text,Pl,FOOTNOTES,stile 1,Footnote1,footnote text"/>
    <w:basedOn w:val="Normalny"/>
    <w:link w:val="TekstprzypisudolnegoZnak"/>
    <w:uiPriority w:val="99"/>
    <w:unhideWhenUsed/>
    <w:qFormat/>
    <w:rsid w:val="00F64F3A"/>
    <w:pPr>
      <w:spacing w:after="0" w:line="240" w:lineRule="auto"/>
    </w:pPr>
    <w:rPr>
      <w:sz w:val="20"/>
      <w:szCs w:val="20"/>
    </w:rPr>
  </w:style>
  <w:style w:type="character" w:customStyle="1" w:styleId="TekstprzypisudolnegoZnak">
    <w:name w:val="Tekst przypisu dolnego Znak"/>
    <w:aliases w:val="Podrozdział Znak,Fußnote Znak,Footnote Znak,Podrozdzia3 Znak,Przypis Znak,fn Znak,Footnote Text Char1 Znak,Footnote Text Char Char Znak,-E Fuﬂnotentext Znak,Fuﬂnotentext Ursprung Znak,Fußnotentext Ursprung Znak,Pl Znak"/>
    <w:basedOn w:val="Domylnaczcionkaakapitu"/>
    <w:link w:val="Tekstprzypisudolnego"/>
    <w:uiPriority w:val="99"/>
    <w:qFormat/>
    <w:rsid w:val="00F64F3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E...,nota de roda"/>
    <w:basedOn w:val="Domylnaczcionkaakapitu"/>
    <w:link w:val="BVIfnrChar"/>
    <w:unhideWhenUsed/>
    <w:qFormat/>
    <w:rsid w:val="00F64F3A"/>
    <w:rPr>
      <w:vertAlign w:val="superscript"/>
    </w:rPr>
  </w:style>
  <w:style w:type="character" w:styleId="Odwoaniedokomentarza">
    <w:name w:val="annotation reference"/>
    <w:basedOn w:val="Domylnaczcionkaakapitu"/>
    <w:uiPriority w:val="99"/>
    <w:semiHidden/>
    <w:unhideWhenUsed/>
    <w:rsid w:val="00D94C87"/>
    <w:rPr>
      <w:sz w:val="16"/>
      <w:szCs w:val="16"/>
    </w:rPr>
  </w:style>
  <w:style w:type="paragraph" w:styleId="Tekstkomentarza">
    <w:name w:val="annotation text"/>
    <w:basedOn w:val="Normalny"/>
    <w:link w:val="TekstkomentarzaZnak"/>
    <w:uiPriority w:val="99"/>
    <w:semiHidden/>
    <w:unhideWhenUsed/>
    <w:rsid w:val="00D94C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4C87"/>
    <w:rPr>
      <w:sz w:val="20"/>
      <w:szCs w:val="20"/>
    </w:rPr>
  </w:style>
  <w:style w:type="paragraph" w:styleId="Tematkomentarza">
    <w:name w:val="annotation subject"/>
    <w:basedOn w:val="Tekstkomentarza"/>
    <w:next w:val="Tekstkomentarza"/>
    <w:link w:val="TematkomentarzaZnak"/>
    <w:uiPriority w:val="99"/>
    <w:semiHidden/>
    <w:unhideWhenUsed/>
    <w:rsid w:val="00D94C87"/>
    <w:rPr>
      <w:b/>
      <w:bCs/>
    </w:rPr>
  </w:style>
  <w:style w:type="character" w:customStyle="1" w:styleId="TematkomentarzaZnak">
    <w:name w:val="Temat komentarza Znak"/>
    <w:basedOn w:val="TekstkomentarzaZnak"/>
    <w:link w:val="Tematkomentarza"/>
    <w:uiPriority w:val="99"/>
    <w:semiHidden/>
    <w:rsid w:val="00D94C87"/>
    <w:rPr>
      <w:b/>
      <w:bCs/>
      <w:sz w:val="20"/>
      <w:szCs w:val="20"/>
    </w:rPr>
  </w:style>
  <w:style w:type="paragraph" w:styleId="Tekstdymka">
    <w:name w:val="Balloon Text"/>
    <w:basedOn w:val="Normalny"/>
    <w:link w:val="TekstdymkaZnak"/>
    <w:uiPriority w:val="99"/>
    <w:semiHidden/>
    <w:unhideWhenUsed/>
    <w:rsid w:val="00D94C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C87"/>
    <w:rPr>
      <w:rFonts w:ascii="Tahoma" w:hAnsi="Tahoma" w:cs="Tahoma"/>
      <w:sz w:val="16"/>
      <w:szCs w:val="16"/>
    </w:rPr>
  </w:style>
  <w:style w:type="paragraph" w:styleId="Nagwek">
    <w:name w:val="header"/>
    <w:basedOn w:val="Normalny"/>
    <w:link w:val="NagwekZnak"/>
    <w:uiPriority w:val="99"/>
    <w:unhideWhenUsed/>
    <w:rsid w:val="001D00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0F4"/>
  </w:style>
  <w:style w:type="paragraph" w:styleId="Stopka">
    <w:name w:val="footer"/>
    <w:basedOn w:val="Normalny"/>
    <w:link w:val="StopkaZnak"/>
    <w:uiPriority w:val="99"/>
    <w:unhideWhenUsed/>
    <w:rsid w:val="001D00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0F4"/>
  </w:style>
  <w:style w:type="paragraph" w:customStyle="1" w:styleId="Default">
    <w:name w:val="Default"/>
    <w:rsid w:val="00AD7C8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49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C852D1"/>
  </w:style>
  <w:style w:type="paragraph" w:customStyle="1" w:styleId="BVIfnrChar">
    <w:name w:val="BVI fnr Char"/>
    <w:aliases w:val="BVI fnr Car Car Char,BVI fnr Car Char,BVI fnr Car Car Car Car Char,BVI fnr Car Car Car Car Char Char Char,F"/>
    <w:basedOn w:val="Normalny"/>
    <w:link w:val="Odwoanieprzypisudolnego"/>
    <w:rsid w:val="00626E78"/>
    <w:pPr>
      <w:spacing w:after="160" w:line="240" w:lineRule="exact"/>
    </w:pPr>
    <w:rPr>
      <w:vertAlign w:val="superscript"/>
    </w:rPr>
  </w:style>
  <w:style w:type="character" w:customStyle="1" w:styleId="AkapitzlistZnak">
    <w:name w:val="Akapit z listą Znak"/>
    <w:aliases w:val="Paragraf Znak,Dot pt Znak,F5 List Paragraph Znak,List Paragraph1 Znak,Recommendation Znak,List Paragraph11 Znak,Kolorowa lista — akcent 11 Znak,Numerowanie Znak,Listaszerű bekezdés1 Znak,List Paragraph à moi Znak,No Spacing1 Znak"/>
    <w:link w:val="Akapitzlist"/>
    <w:uiPriority w:val="34"/>
    <w:qFormat/>
    <w:locked/>
    <w:rsid w:val="00626E78"/>
  </w:style>
  <w:style w:type="paragraph" w:styleId="Listapunktowana">
    <w:name w:val="List Bullet"/>
    <w:basedOn w:val="Normalny"/>
    <w:uiPriority w:val="8"/>
    <w:qFormat/>
    <w:rsid w:val="00626E78"/>
    <w:pPr>
      <w:numPr>
        <w:numId w:val="21"/>
      </w:numPr>
      <w:spacing w:after="240" w:line="264" w:lineRule="auto"/>
      <w:contextualSpacing/>
    </w:pPr>
    <w:rPr>
      <w:rFonts w:eastAsiaTheme="minorEastAsia" w:cs="Times New Roman"/>
      <w:color w:val="000000" w:themeColor="text1"/>
    </w:rPr>
  </w:style>
  <w:style w:type="character" w:styleId="Hipercze">
    <w:name w:val="Hyperlink"/>
    <w:basedOn w:val="Domylnaczcionkaakapitu"/>
    <w:uiPriority w:val="99"/>
    <w:unhideWhenUsed/>
    <w:rsid w:val="00626E78"/>
    <w:rPr>
      <w:color w:val="0000FF" w:themeColor="hyperlink"/>
      <w:u w:val="single"/>
    </w:rPr>
  </w:style>
  <w:style w:type="paragraph" w:styleId="Tekstpodstawowy2">
    <w:name w:val="Body Text 2"/>
    <w:basedOn w:val="Normalny"/>
    <w:link w:val="Tekstpodstawowy2Znak"/>
    <w:rsid w:val="00626E7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26E78"/>
    <w:rPr>
      <w:rFonts w:ascii="Times New Roman" w:eastAsia="Times New Roman" w:hAnsi="Times New Roman" w:cs="Times New Roman"/>
      <w:sz w:val="24"/>
      <w:szCs w:val="24"/>
      <w:lang w:eastAsia="pl-PL"/>
    </w:rPr>
  </w:style>
  <w:style w:type="paragraph" w:styleId="Poprawka">
    <w:name w:val="Revision"/>
    <w:hidden/>
    <w:uiPriority w:val="99"/>
    <w:semiHidden/>
    <w:rsid w:val="00DB3EC1"/>
    <w:pPr>
      <w:spacing w:after="0" w:line="240" w:lineRule="auto"/>
    </w:pPr>
  </w:style>
  <w:style w:type="character" w:customStyle="1" w:styleId="UnresolvedMention">
    <w:name w:val="Unresolved Mention"/>
    <w:basedOn w:val="Domylnaczcionkaakapitu"/>
    <w:uiPriority w:val="99"/>
    <w:semiHidden/>
    <w:unhideWhenUsed/>
    <w:rsid w:val="00FC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4084">
      <w:bodyDiv w:val="1"/>
      <w:marLeft w:val="0"/>
      <w:marRight w:val="0"/>
      <w:marTop w:val="0"/>
      <w:marBottom w:val="0"/>
      <w:divBdr>
        <w:top w:val="none" w:sz="0" w:space="0" w:color="auto"/>
        <w:left w:val="none" w:sz="0" w:space="0" w:color="auto"/>
        <w:bottom w:val="none" w:sz="0" w:space="0" w:color="auto"/>
        <w:right w:val="none" w:sz="0" w:space="0" w:color="auto"/>
      </w:divBdr>
    </w:div>
    <w:div w:id="219563510">
      <w:bodyDiv w:val="1"/>
      <w:marLeft w:val="0"/>
      <w:marRight w:val="0"/>
      <w:marTop w:val="0"/>
      <w:marBottom w:val="0"/>
      <w:divBdr>
        <w:top w:val="none" w:sz="0" w:space="0" w:color="auto"/>
        <w:left w:val="none" w:sz="0" w:space="0" w:color="auto"/>
        <w:bottom w:val="none" w:sz="0" w:space="0" w:color="auto"/>
        <w:right w:val="none" w:sz="0" w:space="0" w:color="auto"/>
      </w:divBdr>
    </w:div>
    <w:div w:id="811213475">
      <w:bodyDiv w:val="1"/>
      <w:marLeft w:val="0"/>
      <w:marRight w:val="0"/>
      <w:marTop w:val="0"/>
      <w:marBottom w:val="0"/>
      <w:divBdr>
        <w:top w:val="none" w:sz="0" w:space="0" w:color="auto"/>
        <w:left w:val="none" w:sz="0" w:space="0" w:color="auto"/>
        <w:bottom w:val="none" w:sz="0" w:space="0" w:color="auto"/>
        <w:right w:val="none" w:sz="0" w:space="0" w:color="auto"/>
      </w:divBdr>
    </w:div>
    <w:div w:id="853036185">
      <w:bodyDiv w:val="1"/>
      <w:marLeft w:val="0"/>
      <w:marRight w:val="0"/>
      <w:marTop w:val="0"/>
      <w:marBottom w:val="0"/>
      <w:divBdr>
        <w:top w:val="none" w:sz="0" w:space="0" w:color="auto"/>
        <w:left w:val="none" w:sz="0" w:space="0" w:color="auto"/>
        <w:bottom w:val="none" w:sz="0" w:space="0" w:color="auto"/>
        <w:right w:val="none" w:sz="0" w:space="0" w:color="auto"/>
      </w:divBdr>
    </w:div>
    <w:div w:id="904946624">
      <w:bodyDiv w:val="1"/>
      <w:marLeft w:val="0"/>
      <w:marRight w:val="0"/>
      <w:marTop w:val="0"/>
      <w:marBottom w:val="0"/>
      <w:divBdr>
        <w:top w:val="none" w:sz="0" w:space="0" w:color="auto"/>
        <w:left w:val="none" w:sz="0" w:space="0" w:color="auto"/>
        <w:bottom w:val="none" w:sz="0" w:space="0" w:color="auto"/>
        <w:right w:val="none" w:sz="0" w:space="0" w:color="auto"/>
      </w:divBdr>
    </w:div>
    <w:div w:id="950084948">
      <w:bodyDiv w:val="1"/>
      <w:marLeft w:val="0"/>
      <w:marRight w:val="0"/>
      <w:marTop w:val="0"/>
      <w:marBottom w:val="0"/>
      <w:divBdr>
        <w:top w:val="none" w:sz="0" w:space="0" w:color="auto"/>
        <w:left w:val="none" w:sz="0" w:space="0" w:color="auto"/>
        <w:bottom w:val="none" w:sz="0" w:space="0" w:color="auto"/>
        <w:right w:val="none" w:sz="0" w:space="0" w:color="auto"/>
      </w:divBdr>
    </w:div>
    <w:div w:id="1018316691">
      <w:bodyDiv w:val="1"/>
      <w:marLeft w:val="0"/>
      <w:marRight w:val="0"/>
      <w:marTop w:val="0"/>
      <w:marBottom w:val="0"/>
      <w:divBdr>
        <w:top w:val="none" w:sz="0" w:space="0" w:color="auto"/>
        <w:left w:val="none" w:sz="0" w:space="0" w:color="auto"/>
        <w:bottom w:val="none" w:sz="0" w:space="0" w:color="auto"/>
        <w:right w:val="none" w:sz="0" w:space="0" w:color="auto"/>
      </w:divBdr>
    </w:div>
    <w:div w:id="1030913274">
      <w:bodyDiv w:val="1"/>
      <w:marLeft w:val="0"/>
      <w:marRight w:val="0"/>
      <w:marTop w:val="0"/>
      <w:marBottom w:val="0"/>
      <w:divBdr>
        <w:top w:val="none" w:sz="0" w:space="0" w:color="auto"/>
        <w:left w:val="none" w:sz="0" w:space="0" w:color="auto"/>
        <w:bottom w:val="none" w:sz="0" w:space="0" w:color="auto"/>
        <w:right w:val="none" w:sz="0" w:space="0" w:color="auto"/>
      </w:divBdr>
    </w:div>
    <w:div w:id="1047880108">
      <w:bodyDiv w:val="1"/>
      <w:marLeft w:val="0"/>
      <w:marRight w:val="0"/>
      <w:marTop w:val="0"/>
      <w:marBottom w:val="0"/>
      <w:divBdr>
        <w:top w:val="none" w:sz="0" w:space="0" w:color="auto"/>
        <w:left w:val="none" w:sz="0" w:space="0" w:color="auto"/>
        <w:bottom w:val="none" w:sz="0" w:space="0" w:color="auto"/>
        <w:right w:val="none" w:sz="0" w:space="0" w:color="auto"/>
      </w:divBdr>
    </w:div>
    <w:div w:id="1154494983">
      <w:bodyDiv w:val="1"/>
      <w:marLeft w:val="0"/>
      <w:marRight w:val="0"/>
      <w:marTop w:val="0"/>
      <w:marBottom w:val="0"/>
      <w:divBdr>
        <w:top w:val="none" w:sz="0" w:space="0" w:color="auto"/>
        <w:left w:val="none" w:sz="0" w:space="0" w:color="auto"/>
        <w:bottom w:val="none" w:sz="0" w:space="0" w:color="auto"/>
        <w:right w:val="none" w:sz="0" w:space="0" w:color="auto"/>
      </w:divBdr>
    </w:div>
    <w:div w:id="1179782097">
      <w:bodyDiv w:val="1"/>
      <w:marLeft w:val="0"/>
      <w:marRight w:val="0"/>
      <w:marTop w:val="0"/>
      <w:marBottom w:val="0"/>
      <w:divBdr>
        <w:top w:val="none" w:sz="0" w:space="0" w:color="auto"/>
        <w:left w:val="none" w:sz="0" w:space="0" w:color="auto"/>
        <w:bottom w:val="none" w:sz="0" w:space="0" w:color="auto"/>
        <w:right w:val="none" w:sz="0" w:space="0" w:color="auto"/>
      </w:divBdr>
    </w:div>
    <w:div w:id="1186822279">
      <w:bodyDiv w:val="1"/>
      <w:marLeft w:val="0"/>
      <w:marRight w:val="0"/>
      <w:marTop w:val="0"/>
      <w:marBottom w:val="0"/>
      <w:divBdr>
        <w:top w:val="none" w:sz="0" w:space="0" w:color="auto"/>
        <w:left w:val="none" w:sz="0" w:space="0" w:color="auto"/>
        <w:bottom w:val="none" w:sz="0" w:space="0" w:color="auto"/>
        <w:right w:val="none" w:sz="0" w:space="0" w:color="auto"/>
      </w:divBdr>
    </w:div>
    <w:div w:id="1387338900">
      <w:bodyDiv w:val="1"/>
      <w:marLeft w:val="0"/>
      <w:marRight w:val="0"/>
      <w:marTop w:val="0"/>
      <w:marBottom w:val="0"/>
      <w:divBdr>
        <w:top w:val="none" w:sz="0" w:space="0" w:color="auto"/>
        <w:left w:val="none" w:sz="0" w:space="0" w:color="auto"/>
        <w:bottom w:val="none" w:sz="0" w:space="0" w:color="auto"/>
        <w:right w:val="none" w:sz="0" w:space="0" w:color="auto"/>
      </w:divBdr>
    </w:div>
    <w:div w:id="1472092833">
      <w:bodyDiv w:val="1"/>
      <w:marLeft w:val="0"/>
      <w:marRight w:val="0"/>
      <w:marTop w:val="0"/>
      <w:marBottom w:val="0"/>
      <w:divBdr>
        <w:top w:val="none" w:sz="0" w:space="0" w:color="auto"/>
        <w:left w:val="none" w:sz="0" w:space="0" w:color="auto"/>
        <w:bottom w:val="none" w:sz="0" w:space="0" w:color="auto"/>
        <w:right w:val="none" w:sz="0" w:space="0" w:color="auto"/>
      </w:divBdr>
    </w:div>
    <w:div w:id="16479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xlsx"/></Relationships>
</file>

<file path=word/charts/_rels/chart2.xml.rels><?xml version="1.0" encoding="UTF-8" standalone="yes"?>
<Relationships xmlns="http://schemas.openxmlformats.org/package/2006/relationships"><Relationship Id="rId1" Type="http://schemas.openxmlformats.org/officeDocument/2006/relationships/oleObject" Target="file:///\\Sharebra\DAE$\DAE_dysk%20sieciowy\03_WARPWM\TEZY%20WK&#321;ADY\Przegl&#261;d%20sys.%20emerytalnego%20DUS\wska&#378;nik%20zatrudnienia.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4.xml.rels><?xml version="1.0" encoding="UTF-8" standalone="yes"?>
<Relationships xmlns="http://schemas.openxmlformats.org/package/2006/relationships"><Relationship Id="rId1" Type="http://schemas.openxmlformats.org/officeDocument/2006/relationships/oleObject" Target="file:///\\Sharebra\DAE$\DAE_dysk%20sieciowy\03_WARPWM\TEZY%20WK&#321;ADY\Przegl&#261;d%20sys.%20emerytalnego%20DUS\wska&#378;nik%20zatrudnieni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harebra\DAE$\DAE_dysk%20sieciowy\03_WARPWM\TEZY%20WK&#321;ADY\Przegl&#261;d%20sys.%20emerytalnego%20DUS\wska&#378;nik%20zatrudnie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40232269353443E-2"/>
          <c:y val="0.10055272502701869"/>
          <c:w val="0.92046541527836567"/>
          <c:h val="0.7526312686849973"/>
        </c:manualLayout>
      </c:layout>
      <c:lineChart>
        <c:grouping val="standard"/>
        <c:varyColors val="0"/>
        <c:ser>
          <c:idx val="4"/>
          <c:order val="0"/>
          <c:tx>
            <c:strRef>
              <c:f>Arkusz1!$F$1</c:f>
              <c:strCache>
                <c:ptCount val="1"/>
                <c:pt idx="0">
                  <c:v>FUS</c:v>
                </c:pt>
              </c:strCache>
            </c:strRef>
          </c:tx>
          <c:spPr>
            <a:ln>
              <a:solidFill>
                <a:srgbClr val="0070C0"/>
              </a:solidFill>
            </a:ln>
          </c:spPr>
          <c:marker>
            <c:symbol val="circle"/>
            <c:size val="5"/>
            <c:spPr>
              <a:solidFill>
                <a:srgbClr val="0070C0"/>
              </a:solidFill>
              <a:ln>
                <a:solidFill>
                  <a:srgbClr val="0070C0"/>
                </a:solidFill>
              </a:ln>
            </c:spPr>
          </c:marker>
          <c:dPt>
            <c:idx val="0"/>
            <c:bubble3D val="0"/>
            <c:extLst>
              <c:ext xmlns:c16="http://schemas.microsoft.com/office/drawing/2014/chart" uri="{C3380CC4-5D6E-409C-BE32-E72D297353CC}">
                <c16:uniqueId val="{00000000-7708-4404-960C-FB09CF0E8BF6}"/>
              </c:ext>
            </c:extLst>
          </c:dPt>
          <c:dLbls>
            <c:dLbl>
              <c:idx val="0"/>
              <c:layout>
                <c:manualLayout>
                  <c:x val="-3.8082437275985676E-2"/>
                  <c:y val="4.9910873440285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8-4404-960C-FB09CF0E8BF6}"/>
                </c:ext>
              </c:extLst>
            </c:dLbl>
            <c:dLbl>
              <c:idx val="1"/>
              <c:layout>
                <c:manualLayout>
                  <c:x val="-6.2724014336917586E-2"/>
                  <c:y val="-5.8953574060427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AC-4107-9FF2-576B83D08748}"/>
                </c:ext>
              </c:extLst>
            </c:dLbl>
            <c:dLbl>
              <c:idx val="2"/>
              <c:layout>
                <c:manualLayout>
                  <c:x val="-4.2562724014336958E-2"/>
                  <c:y val="-5.7040998217468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AC-4107-9FF2-576B83D08748}"/>
                </c:ext>
              </c:extLst>
            </c:dLbl>
            <c:dLbl>
              <c:idx val="3"/>
              <c:layout>
                <c:manualLayout>
                  <c:x val="-4.7043010752688172E-2"/>
                  <c:y val="4.2780748663101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AC-4107-9FF2-576B83D08748}"/>
                </c:ext>
              </c:extLst>
            </c:dLbl>
            <c:dLbl>
              <c:idx val="4"/>
              <c:layout>
                <c:manualLayout>
                  <c:x val="-5.152329749103951E-2"/>
                  <c:y val="-4.9910873440285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AC-4107-9FF2-576B83D08748}"/>
                </c:ext>
              </c:extLst>
            </c:dLbl>
            <c:dLbl>
              <c:idx val="5"/>
              <c:layout>
                <c:manualLayout>
                  <c:x val="-4.4802867383512544E-2"/>
                  <c:y val="5.704099821746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AC-4107-9FF2-576B83D08748}"/>
                </c:ext>
              </c:extLst>
            </c:dLbl>
            <c:dLbl>
              <c:idx val="6"/>
              <c:layout>
                <c:manualLayout>
                  <c:x val="-3.5842293906809951E-2"/>
                  <c:y val="4.2780748663101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AC-4107-9FF2-576B83D08748}"/>
                </c:ext>
              </c:extLst>
            </c:dLbl>
            <c:dLbl>
              <c:idx val="7"/>
              <c:layout>
                <c:manualLayout>
                  <c:x val="-4.9283154121863799E-2"/>
                  <c:y val="-5.704099821746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AC-4107-9FF2-576B83D08748}"/>
                </c:ext>
              </c:extLst>
            </c:dLbl>
            <c:dLbl>
              <c:idx val="8"/>
              <c:layout>
                <c:manualLayout>
                  <c:x val="-4.2562724014336917E-2"/>
                  <c:y val="6.4171122994652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AC-4107-9FF2-576B83D08748}"/>
                </c:ext>
              </c:extLst>
            </c:dLbl>
            <c:dLbl>
              <c:idx val="9"/>
              <c:layout>
                <c:manualLayout>
                  <c:x val="-3.3602150537634407E-2"/>
                  <c:y val="-5.704099821746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AC-4107-9FF2-576B83D08748}"/>
                </c:ext>
              </c:extLst>
            </c:dLbl>
            <c:dLbl>
              <c:idx val="10"/>
              <c:layout>
                <c:manualLayout>
                  <c:x val="-4.0322580645161456E-2"/>
                  <c:y val="4.2780748663101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AC-4107-9FF2-576B83D08748}"/>
                </c:ext>
              </c:extLst>
            </c:dLbl>
            <c:dLbl>
              <c:idx val="11"/>
              <c:layout>
                <c:manualLayout>
                  <c:x val="-1.3440860215053764E-2"/>
                  <c:y val="-4.9910873440285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AC-4107-9FF2-576B83D08748}"/>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Arkusz1!$A$12:$A$23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Arkusz1!$F$12:$F$23</c:f>
              <c:numCache>
                <c:formatCode>0\.0%</c:formatCode>
                <c:ptCount val="12"/>
                <c:pt idx="0">
                  <c:v>0.55700000000000005</c:v>
                </c:pt>
                <c:pt idx="1">
                  <c:v>0.61599999999999999</c:v>
                </c:pt>
                <c:pt idx="2">
                  <c:v>0.69399999999999995</c:v>
                </c:pt>
                <c:pt idx="3">
                  <c:v>0.67</c:v>
                </c:pt>
                <c:pt idx="4">
                  <c:v>0.68500000000000005</c:v>
                </c:pt>
                <c:pt idx="5">
                  <c:v>0.71899999999999997</c:v>
                </c:pt>
                <c:pt idx="6">
                  <c:v>0.74199999999999999</c:v>
                </c:pt>
                <c:pt idx="7">
                  <c:v>0.78500000000000003</c:v>
                </c:pt>
                <c:pt idx="8">
                  <c:v>0.78620000000000001</c:v>
                </c:pt>
                <c:pt idx="9">
                  <c:v>0.81</c:v>
                </c:pt>
                <c:pt idx="10">
                  <c:v>0.74696739272587975</c:v>
                </c:pt>
                <c:pt idx="11">
                  <c:v>0.81710752294054501</c:v>
                </c:pt>
              </c:numCache>
            </c:numRef>
          </c:val>
          <c:smooth val="0"/>
          <c:extLst>
            <c:ext xmlns:c16="http://schemas.microsoft.com/office/drawing/2014/chart" uri="{C3380CC4-5D6E-409C-BE32-E72D297353CC}">
              <c16:uniqueId val="{0000000E-7708-4404-960C-FB09CF0E8BF6}"/>
            </c:ext>
          </c:extLst>
        </c:ser>
        <c:dLbls>
          <c:showLegendKey val="0"/>
          <c:showVal val="1"/>
          <c:showCatName val="0"/>
          <c:showSerName val="0"/>
          <c:showPercent val="0"/>
          <c:showBubbleSize val="0"/>
        </c:dLbls>
        <c:marker val="1"/>
        <c:smooth val="0"/>
        <c:axId val="262632576"/>
        <c:axId val="262647808"/>
      </c:lineChart>
      <c:catAx>
        <c:axId val="262632576"/>
        <c:scaling>
          <c:orientation val="minMax"/>
        </c:scaling>
        <c:delete val="0"/>
        <c:axPos val="b"/>
        <c:numFmt formatCode="General" sourceLinked="1"/>
        <c:majorTickMark val="out"/>
        <c:minorTickMark val="none"/>
        <c:tickLblPos val="nextTo"/>
        <c:txPr>
          <a:bodyPr/>
          <a:lstStyle/>
          <a:p>
            <a:pPr>
              <a:defRPr sz="1000"/>
            </a:pPr>
            <a:endParaRPr lang="pl-PL"/>
          </a:p>
        </c:txPr>
        <c:crossAx val="262647808"/>
        <c:crosses val="autoZero"/>
        <c:auto val="1"/>
        <c:lblAlgn val="ctr"/>
        <c:lblOffset val="100"/>
        <c:noMultiLvlLbl val="0"/>
      </c:catAx>
      <c:valAx>
        <c:axId val="262647808"/>
        <c:scaling>
          <c:orientation val="minMax"/>
          <c:max val="0.9"/>
          <c:min val="0.45"/>
        </c:scaling>
        <c:delete val="0"/>
        <c:axPos val="l"/>
        <c:majorGridlines>
          <c:spPr>
            <a:ln>
              <a:solidFill>
                <a:schemeClr val="bg1">
                  <a:lumMod val="75000"/>
                </a:schemeClr>
              </a:solidFill>
              <a:prstDash val="dash"/>
            </a:ln>
          </c:spPr>
        </c:majorGridlines>
        <c:numFmt formatCode="0%" sourceLinked="0"/>
        <c:majorTickMark val="out"/>
        <c:minorTickMark val="none"/>
        <c:tickLblPos val="nextTo"/>
        <c:spPr>
          <a:ln>
            <a:solidFill>
              <a:schemeClr val="bg1">
                <a:lumMod val="50000"/>
              </a:schemeClr>
            </a:solidFill>
          </a:ln>
        </c:spPr>
        <c:txPr>
          <a:bodyPr/>
          <a:lstStyle/>
          <a:p>
            <a:pPr>
              <a:defRPr sz="1000"/>
            </a:pPr>
            <a:endParaRPr lang="pl-PL"/>
          </a:p>
        </c:txPr>
        <c:crossAx val="26263257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employment!$D$12</c:f>
              <c:strCache>
                <c:ptCount val="1"/>
                <c:pt idx="0">
                  <c:v>od 55 do 64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260D-4515-9C31-E2B0834F63EA}"/>
                </c:ext>
              </c:extLst>
            </c:dLbl>
            <c:dLbl>
              <c:idx val="2"/>
              <c:delete val="1"/>
              <c:extLst>
                <c:ext xmlns:c15="http://schemas.microsoft.com/office/drawing/2012/chart" uri="{CE6537A1-D6FC-4f65-9D91-7224C49458BB}"/>
                <c:ext xmlns:c16="http://schemas.microsoft.com/office/drawing/2014/chart" uri="{C3380CC4-5D6E-409C-BE32-E72D297353CC}">
                  <c16:uniqueId val="{00000001-260D-4515-9C31-E2B0834F63EA}"/>
                </c:ext>
              </c:extLst>
            </c:dLbl>
            <c:dLbl>
              <c:idx val="3"/>
              <c:delete val="1"/>
              <c:extLst>
                <c:ext xmlns:c15="http://schemas.microsoft.com/office/drawing/2012/chart" uri="{CE6537A1-D6FC-4f65-9D91-7224C49458BB}"/>
                <c:ext xmlns:c16="http://schemas.microsoft.com/office/drawing/2014/chart" uri="{C3380CC4-5D6E-409C-BE32-E72D297353CC}">
                  <c16:uniqueId val="{00000002-260D-4515-9C31-E2B0834F63EA}"/>
                </c:ext>
              </c:extLst>
            </c:dLbl>
            <c:dLbl>
              <c:idx val="5"/>
              <c:delete val="1"/>
              <c:extLst>
                <c:ext xmlns:c15="http://schemas.microsoft.com/office/drawing/2012/chart" uri="{CE6537A1-D6FC-4f65-9D91-7224C49458BB}"/>
                <c:ext xmlns:c16="http://schemas.microsoft.com/office/drawing/2014/chart" uri="{C3380CC4-5D6E-409C-BE32-E72D297353CC}">
                  <c16:uniqueId val="{00000003-260D-4515-9C31-E2B0834F63EA}"/>
                </c:ext>
              </c:extLst>
            </c:dLbl>
            <c:dLbl>
              <c:idx val="6"/>
              <c:delete val="1"/>
              <c:extLst>
                <c:ext xmlns:c15="http://schemas.microsoft.com/office/drawing/2012/chart" uri="{CE6537A1-D6FC-4f65-9D91-7224C49458BB}"/>
                <c:ext xmlns:c16="http://schemas.microsoft.com/office/drawing/2014/chart" uri="{C3380CC4-5D6E-409C-BE32-E72D297353CC}">
                  <c16:uniqueId val="{00000004-260D-4515-9C31-E2B0834F63EA}"/>
                </c:ext>
              </c:extLst>
            </c:dLbl>
            <c:dLbl>
              <c:idx val="7"/>
              <c:delete val="1"/>
              <c:extLst>
                <c:ext xmlns:c15="http://schemas.microsoft.com/office/drawing/2012/chart" uri="{CE6537A1-D6FC-4f65-9D91-7224C49458BB}"/>
                <c:ext xmlns:c16="http://schemas.microsoft.com/office/drawing/2014/chart" uri="{C3380CC4-5D6E-409C-BE32-E72D297353CC}">
                  <c16:uniqueId val="{00000005-260D-4515-9C31-E2B0834F63EA}"/>
                </c:ext>
              </c:extLst>
            </c:dLbl>
            <c:dLbl>
              <c:idx val="9"/>
              <c:delete val="1"/>
              <c:extLst>
                <c:ext xmlns:c15="http://schemas.microsoft.com/office/drawing/2012/chart" uri="{CE6537A1-D6FC-4f65-9D91-7224C49458BB}"/>
                <c:ext xmlns:c16="http://schemas.microsoft.com/office/drawing/2014/chart" uri="{C3380CC4-5D6E-409C-BE32-E72D297353CC}">
                  <c16:uniqueId val="{00000006-260D-4515-9C31-E2B0834F63EA}"/>
                </c:ext>
              </c:extLst>
            </c:dLbl>
            <c:dLbl>
              <c:idx val="10"/>
              <c:delete val="1"/>
              <c:extLst>
                <c:ext xmlns:c15="http://schemas.microsoft.com/office/drawing/2012/chart" uri="{CE6537A1-D6FC-4f65-9D91-7224C49458BB}"/>
                <c:ext xmlns:c16="http://schemas.microsoft.com/office/drawing/2014/chart" uri="{C3380CC4-5D6E-409C-BE32-E72D297353CC}">
                  <c16:uniqueId val="{00000007-260D-4515-9C31-E2B0834F63EA}"/>
                </c:ext>
              </c:extLst>
            </c:dLbl>
            <c:dLbl>
              <c:idx val="11"/>
              <c:delete val="1"/>
              <c:extLst>
                <c:ext xmlns:c15="http://schemas.microsoft.com/office/drawing/2012/chart" uri="{CE6537A1-D6FC-4f65-9D91-7224C49458BB}"/>
                <c:ext xmlns:c16="http://schemas.microsoft.com/office/drawing/2014/chart" uri="{C3380CC4-5D6E-409C-BE32-E72D297353CC}">
                  <c16:uniqueId val="{00000008-260D-4515-9C31-E2B0834F63EA}"/>
                </c:ext>
              </c:extLst>
            </c:dLbl>
            <c:dLbl>
              <c:idx val="13"/>
              <c:delete val="1"/>
              <c:extLst>
                <c:ext xmlns:c15="http://schemas.microsoft.com/office/drawing/2012/chart" uri="{CE6537A1-D6FC-4f65-9D91-7224C49458BB}"/>
                <c:ext xmlns:c16="http://schemas.microsoft.com/office/drawing/2014/chart" uri="{C3380CC4-5D6E-409C-BE32-E72D297353CC}">
                  <c16:uniqueId val="{00000009-260D-4515-9C31-E2B0834F63EA}"/>
                </c:ext>
              </c:extLst>
            </c:dLbl>
            <c:dLbl>
              <c:idx val="14"/>
              <c:delete val="1"/>
              <c:extLst>
                <c:ext xmlns:c15="http://schemas.microsoft.com/office/drawing/2012/chart" uri="{CE6537A1-D6FC-4f65-9D91-7224C49458BB}"/>
                <c:ext xmlns:c16="http://schemas.microsoft.com/office/drawing/2014/chart" uri="{C3380CC4-5D6E-409C-BE32-E72D297353CC}">
                  <c16:uniqueId val="{0000000A-260D-4515-9C31-E2B0834F63EA}"/>
                </c:ext>
              </c:extLst>
            </c:dLbl>
            <c:dLbl>
              <c:idx val="15"/>
              <c:delete val="1"/>
              <c:extLst>
                <c:ext xmlns:c15="http://schemas.microsoft.com/office/drawing/2012/chart" uri="{CE6537A1-D6FC-4f65-9D91-7224C49458BB}"/>
                <c:ext xmlns:c16="http://schemas.microsoft.com/office/drawing/2014/chart" uri="{C3380CC4-5D6E-409C-BE32-E72D297353CC}">
                  <c16:uniqueId val="{0000000B-260D-4515-9C31-E2B0834F63EA}"/>
                </c:ext>
              </c:extLst>
            </c:dLbl>
            <c:dLbl>
              <c:idx val="17"/>
              <c:delete val="1"/>
              <c:extLst>
                <c:ext xmlns:c15="http://schemas.microsoft.com/office/drawing/2012/chart" uri="{CE6537A1-D6FC-4f65-9D91-7224C49458BB}"/>
                <c:ext xmlns:c16="http://schemas.microsoft.com/office/drawing/2014/chart" uri="{C3380CC4-5D6E-409C-BE32-E72D297353CC}">
                  <c16:uniqueId val="{0000000C-260D-4515-9C31-E2B0834F63EA}"/>
                </c:ext>
              </c:extLst>
            </c:dLbl>
            <c:dLbl>
              <c:idx val="18"/>
              <c:delete val="1"/>
              <c:extLst>
                <c:ext xmlns:c15="http://schemas.microsoft.com/office/drawing/2012/chart" uri="{CE6537A1-D6FC-4f65-9D91-7224C49458BB}"/>
                <c:ext xmlns:c16="http://schemas.microsoft.com/office/drawing/2014/chart" uri="{C3380CC4-5D6E-409C-BE32-E72D297353CC}">
                  <c16:uniqueId val="{0000000D-260D-4515-9C31-E2B0834F63EA}"/>
                </c:ext>
              </c:extLst>
            </c:dLbl>
            <c:dLbl>
              <c:idx val="19"/>
              <c:delete val="1"/>
              <c:extLst>
                <c:ext xmlns:c15="http://schemas.microsoft.com/office/drawing/2012/chart" uri="{CE6537A1-D6FC-4f65-9D91-7224C49458BB}"/>
                <c:ext xmlns:c16="http://schemas.microsoft.com/office/drawing/2014/chart" uri="{C3380CC4-5D6E-409C-BE32-E72D297353CC}">
                  <c16:uniqueId val="{0000000E-260D-4515-9C31-E2B0834F63EA}"/>
                </c:ext>
              </c:extLst>
            </c:dLbl>
            <c:dLbl>
              <c:idx val="21"/>
              <c:delete val="1"/>
              <c:extLst>
                <c:ext xmlns:c15="http://schemas.microsoft.com/office/drawing/2012/chart" uri="{CE6537A1-D6FC-4f65-9D91-7224C49458BB}"/>
                <c:ext xmlns:c16="http://schemas.microsoft.com/office/drawing/2014/chart" uri="{C3380CC4-5D6E-409C-BE32-E72D297353CC}">
                  <c16:uniqueId val="{0000000F-260D-4515-9C31-E2B0834F63EA}"/>
                </c:ext>
              </c:extLst>
            </c:dLbl>
            <c:dLbl>
              <c:idx val="22"/>
              <c:delete val="1"/>
              <c:extLst>
                <c:ext xmlns:c15="http://schemas.microsoft.com/office/drawing/2012/chart" uri="{CE6537A1-D6FC-4f65-9D91-7224C49458BB}"/>
                <c:ext xmlns:c16="http://schemas.microsoft.com/office/drawing/2014/chart" uri="{C3380CC4-5D6E-409C-BE32-E72D297353CC}">
                  <c16:uniqueId val="{00000010-260D-4515-9C31-E2B0834F63EA}"/>
                </c:ext>
              </c:extLst>
            </c:dLbl>
            <c:dLbl>
              <c:idx val="23"/>
              <c:delete val="1"/>
              <c:extLst>
                <c:ext xmlns:c15="http://schemas.microsoft.com/office/drawing/2012/chart" uri="{CE6537A1-D6FC-4f65-9D91-7224C49458BB}"/>
                <c:ext xmlns:c16="http://schemas.microsoft.com/office/drawing/2014/chart" uri="{C3380CC4-5D6E-409C-BE32-E72D297353CC}">
                  <c16:uniqueId val="{00000011-260D-4515-9C31-E2B0834F63EA}"/>
                </c:ext>
              </c:extLst>
            </c:dLbl>
            <c:dLbl>
              <c:idx val="25"/>
              <c:delete val="1"/>
              <c:extLst>
                <c:ext xmlns:c15="http://schemas.microsoft.com/office/drawing/2012/chart" uri="{CE6537A1-D6FC-4f65-9D91-7224C49458BB}"/>
                <c:ext xmlns:c16="http://schemas.microsoft.com/office/drawing/2014/chart" uri="{C3380CC4-5D6E-409C-BE32-E72D297353CC}">
                  <c16:uniqueId val="{00000012-260D-4515-9C31-E2B0834F63EA}"/>
                </c:ext>
              </c:extLst>
            </c:dLbl>
            <c:dLbl>
              <c:idx val="26"/>
              <c:delete val="1"/>
              <c:extLst>
                <c:ext xmlns:c15="http://schemas.microsoft.com/office/drawing/2012/chart" uri="{CE6537A1-D6FC-4f65-9D91-7224C49458BB}"/>
                <c:ext xmlns:c16="http://schemas.microsoft.com/office/drawing/2014/chart" uri="{C3380CC4-5D6E-409C-BE32-E72D297353CC}">
                  <c16:uniqueId val="{00000013-260D-4515-9C31-E2B0834F63EA}"/>
                </c:ext>
              </c:extLst>
            </c:dLbl>
            <c:dLbl>
              <c:idx val="27"/>
              <c:delete val="1"/>
              <c:extLst>
                <c:ext xmlns:c15="http://schemas.microsoft.com/office/drawing/2012/chart" uri="{CE6537A1-D6FC-4f65-9D91-7224C49458BB}"/>
                <c:ext xmlns:c16="http://schemas.microsoft.com/office/drawing/2014/chart" uri="{C3380CC4-5D6E-409C-BE32-E72D297353CC}">
                  <c16:uniqueId val="{00000014-260D-4515-9C31-E2B0834F63EA}"/>
                </c:ext>
              </c:extLst>
            </c:dLbl>
            <c:dLbl>
              <c:idx val="29"/>
              <c:delete val="1"/>
              <c:extLst>
                <c:ext xmlns:c15="http://schemas.microsoft.com/office/drawing/2012/chart" uri="{CE6537A1-D6FC-4f65-9D91-7224C49458BB}"/>
                <c:ext xmlns:c16="http://schemas.microsoft.com/office/drawing/2014/chart" uri="{C3380CC4-5D6E-409C-BE32-E72D297353CC}">
                  <c16:uniqueId val="{00000015-260D-4515-9C31-E2B0834F63EA}"/>
                </c:ext>
              </c:extLst>
            </c:dLbl>
            <c:dLbl>
              <c:idx val="30"/>
              <c:delete val="1"/>
              <c:extLst>
                <c:ext xmlns:c15="http://schemas.microsoft.com/office/drawing/2012/chart" uri="{CE6537A1-D6FC-4f65-9D91-7224C49458BB}"/>
                <c:ext xmlns:c16="http://schemas.microsoft.com/office/drawing/2014/chart" uri="{C3380CC4-5D6E-409C-BE32-E72D297353CC}">
                  <c16:uniqueId val="{00000016-260D-4515-9C31-E2B0834F63EA}"/>
                </c:ext>
              </c:extLst>
            </c:dLbl>
            <c:dLbl>
              <c:idx val="31"/>
              <c:delete val="1"/>
              <c:extLst>
                <c:ext xmlns:c15="http://schemas.microsoft.com/office/drawing/2012/chart" uri="{CE6537A1-D6FC-4f65-9D91-7224C49458BB}"/>
                <c:ext xmlns:c16="http://schemas.microsoft.com/office/drawing/2014/chart" uri="{C3380CC4-5D6E-409C-BE32-E72D297353CC}">
                  <c16:uniqueId val="{00000017-260D-4515-9C31-E2B0834F63EA}"/>
                </c:ext>
              </c:extLst>
            </c:dLbl>
            <c:dLbl>
              <c:idx val="33"/>
              <c:delete val="1"/>
              <c:extLst>
                <c:ext xmlns:c15="http://schemas.microsoft.com/office/drawing/2012/chart" uri="{CE6537A1-D6FC-4f65-9D91-7224C49458BB}"/>
                <c:ext xmlns:c16="http://schemas.microsoft.com/office/drawing/2014/chart" uri="{C3380CC4-5D6E-409C-BE32-E72D297353CC}">
                  <c16:uniqueId val="{00000018-260D-4515-9C31-E2B0834F63EA}"/>
                </c:ext>
              </c:extLst>
            </c:dLbl>
            <c:dLbl>
              <c:idx val="34"/>
              <c:delete val="1"/>
              <c:extLst>
                <c:ext xmlns:c15="http://schemas.microsoft.com/office/drawing/2012/chart" uri="{CE6537A1-D6FC-4f65-9D91-7224C49458BB}"/>
                <c:ext xmlns:c16="http://schemas.microsoft.com/office/drawing/2014/chart" uri="{C3380CC4-5D6E-409C-BE32-E72D297353CC}">
                  <c16:uniqueId val="{00000019-260D-4515-9C31-E2B0834F63EA}"/>
                </c:ext>
              </c:extLst>
            </c:dLbl>
            <c:dLbl>
              <c:idx val="35"/>
              <c:delete val="1"/>
              <c:extLst>
                <c:ext xmlns:c15="http://schemas.microsoft.com/office/drawing/2012/chart" uri="{CE6537A1-D6FC-4f65-9D91-7224C49458BB}"/>
                <c:ext xmlns:c16="http://schemas.microsoft.com/office/drawing/2014/chart" uri="{C3380CC4-5D6E-409C-BE32-E72D297353CC}">
                  <c16:uniqueId val="{0000001A-260D-4515-9C31-E2B0834F6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employment!$A$13:$A$49</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employment!$D$13:$D$49</c:f>
              <c:numCache>
                <c:formatCode>#\ ##0.0</c:formatCode>
                <c:ptCount val="37"/>
                <c:pt idx="0">
                  <c:v>39.799999999999997</c:v>
                </c:pt>
                <c:pt idx="1">
                  <c:v>39</c:v>
                </c:pt>
                <c:pt idx="2">
                  <c:v>39.9</c:v>
                </c:pt>
                <c:pt idx="3">
                  <c:v>41.3</c:v>
                </c:pt>
                <c:pt idx="4">
                  <c:v>42</c:v>
                </c:pt>
                <c:pt idx="5">
                  <c:v>41.1</c:v>
                </c:pt>
                <c:pt idx="6">
                  <c:v>41.7</c:v>
                </c:pt>
                <c:pt idx="7">
                  <c:v>43.3</c:v>
                </c:pt>
                <c:pt idx="8">
                  <c:v>43.7</c:v>
                </c:pt>
                <c:pt idx="9">
                  <c:v>42.9</c:v>
                </c:pt>
                <c:pt idx="10">
                  <c:v>43</c:v>
                </c:pt>
                <c:pt idx="11">
                  <c:v>45.3</c:v>
                </c:pt>
                <c:pt idx="12">
                  <c:v>46.1</c:v>
                </c:pt>
                <c:pt idx="13">
                  <c:v>45</c:v>
                </c:pt>
                <c:pt idx="14">
                  <c:v>45.3</c:v>
                </c:pt>
                <c:pt idx="15">
                  <c:v>46.6</c:v>
                </c:pt>
                <c:pt idx="16">
                  <c:v>47.7</c:v>
                </c:pt>
                <c:pt idx="17">
                  <c:v>47</c:v>
                </c:pt>
                <c:pt idx="18">
                  <c:v>48.2</c:v>
                </c:pt>
                <c:pt idx="19">
                  <c:v>49.4</c:v>
                </c:pt>
                <c:pt idx="20">
                  <c:v>48.5</c:v>
                </c:pt>
                <c:pt idx="21">
                  <c:v>47.6</c:v>
                </c:pt>
                <c:pt idx="22">
                  <c:v>49.4</c:v>
                </c:pt>
                <c:pt idx="23">
                  <c:v>49.8</c:v>
                </c:pt>
                <c:pt idx="24">
                  <c:v>49</c:v>
                </c:pt>
                <c:pt idx="25">
                  <c:v>48.6</c:v>
                </c:pt>
                <c:pt idx="26">
                  <c:v>49.2</c:v>
                </c:pt>
                <c:pt idx="27">
                  <c:v>50.5</c:v>
                </c:pt>
                <c:pt idx="28">
                  <c:v>49.9</c:v>
                </c:pt>
                <c:pt idx="29">
                  <c:v>49.7</c:v>
                </c:pt>
                <c:pt idx="30">
                  <c:v>50.6</c:v>
                </c:pt>
                <c:pt idx="31">
                  <c:v>53</c:v>
                </c:pt>
                <c:pt idx="32">
                  <c:v>53.9</c:v>
                </c:pt>
                <c:pt idx="33">
                  <c:v>53.2</c:v>
                </c:pt>
                <c:pt idx="34">
                  <c:v>53.8</c:v>
                </c:pt>
                <c:pt idx="35">
                  <c:v>55.8</c:v>
                </c:pt>
                <c:pt idx="36">
                  <c:v>55.8</c:v>
                </c:pt>
              </c:numCache>
            </c:numRef>
          </c:val>
          <c:smooth val="0"/>
          <c:extLst>
            <c:ext xmlns:c16="http://schemas.microsoft.com/office/drawing/2014/chart" uri="{C3380CC4-5D6E-409C-BE32-E72D297353CC}">
              <c16:uniqueId val="{0000001B-260D-4515-9C31-E2B0834F63EA}"/>
            </c:ext>
          </c:extLst>
        </c:ser>
        <c:ser>
          <c:idx val="0"/>
          <c:order val="0"/>
          <c:tx>
            <c:strRef>
              <c:f>employment!$B$12</c:f>
              <c:strCache>
                <c:ptCount val="1"/>
                <c:pt idx="0">
                  <c:v>od 20 do 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C-260D-4515-9C31-E2B0834F63EA}"/>
                </c:ext>
              </c:extLst>
            </c:dLbl>
            <c:dLbl>
              <c:idx val="2"/>
              <c:delete val="1"/>
              <c:extLst>
                <c:ext xmlns:c15="http://schemas.microsoft.com/office/drawing/2012/chart" uri="{CE6537A1-D6FC-4f65-9D91-7224C49458BB}"/>
                <c:ext xmlns:c16="http://schemas.microsoft.com/office/drawing/2014/chart" uri="{C3380CC4-5D6E-409C-BE32-E72D297353CC}">
                  <c16:uniqueId val="{0000001D-260D-4515-9C31-E2B0834F63EA}"/>
                </c:ext>
              </c:extLst>
            </c:dLbl>
            <c:dLbl>
              <c:idx val="3"/>
              <c:delete val="1"/>
              <c:extLst>
                <c:ext xmlns:c15="http://schemas.microsoft.com/office/drawing/2012/chart" uri="{CE6537A1-D6FC-4f65-9D91-7224C49458BB}"/>
                <c:ext xmlns:c16="http://schemas.microsoft.com/office/drawing/2014/chart" uri="{C3380CC4-5D6E-409C-BE32-E72D297353CC}">
                  <c16:uniqueId val="{0000001E-260D-4515-9C31-E2B0834F63EA}"/>
                </c:ext>
              </c:extLst>
            </c:dLbl>
            <c:dLbl>
              <c:idx val="5"/>
              <c:delete val="1"/>
              <c:extLst>
                <c:ext xmlns:c15="http://schemas.microsoft.com/office/drawing/2012/chart" uri="{CE6537A1-D6FC-4f65-9D91-7224C49458BB}"/>
                <c:ext xmlns:c16="http://schemas.microsoft.com/office/drawing/2014/chart" uri="{C3380CC4-5D6E-409C-BE32-E72D297353CC}">
                  <c16:uniqueId val="{0000001F-260D-4515-9C31-E2B0834F63EA}"/>
                </c:ext>
              </c:extLst>
            </c:dLbl>
            <c:dLbl>
              <c:idx val="6"/>
              <c:delete val="1"/>
              <c:extLst>
                <c:ext xmlns:c15="http://schemas.microsoft.com/office/drawing/2012/chart" uri="{CE6537A1-D6FC-4f65-9D91-7224C49458BB}"/>
                <c:ext xmlns:c16="http://schemas.microsoft.com/office/drawing/2014/chart" uri="{C3380CC4-5D6E-409C-BE32-E72D297353CC}">
                  <c16:uniqueId val="{00000020-260D-4515-9C31-E2B0834F63EA}"/>
                </c:ext>
              </c:extLst>
            </c:dLbl>
            <c:dLbl>
              <c:idx val="7"/>
              <c:delete val="1"/>
              <c:extLst>
                <c:ext xmlns:c15="http://schemas.microsoft.com/office/drawing/2012/chart" uri="{CE6537A1-D6FC-4f65-9D91-7224C49458BB}"/>
                <c:ext xmlns:c16="http://schemas.microsoft.com/office/drawing/2014/chart" uri="{C3380CC4-5D6E-409C-BE32-E72D297353CC}">
                  <c16:uniqueId val="{00000021-260D-4515-9C31-E2B0834F63EA}"/>
                </c:ext>
              </c:extLst>
            </c:dLbl>
            <c:dLbl>
              <c:idx val="9"/>
              <c:delete val="1"/>
              <c:extLst>
                <c:ext xmlns:c15="http://schemas.microsoft.com/office/drawing/2012/chart" uri="{CE6537A1-D6FC-4f65-9D91-7224C49458BB}"/>
                <c:ext xmlns:c16="http://schemas.microsoft.com/office/drawing/2014/chart" uri="{C3380CC4-5D6E-409C-BE32-E72D297353CC}">
                  <c16:uniqueId val="{00000022-260D-4515-9C31-E2B0834F63EA}"/>
                </c:ext>
              </c:extLst>
            </c:dLbl>
            <c:dLbl>
              <c:idx val="10"/>
              <c:delete val="1"/>
              <c:extLst>
                <c:ext xmlns:c15="http://schemas.microsoft.com/office/drawing/2012/chart" uri="{CE6537A1-D6FC-4f65-9D91-7224C49458BB}"/>
                <c:ext xmlns:c16="http://schemas.microsoft.com/office/drawing/2014/chart" uri="{C3380CC4-5D6E-409C-BE32-E72D297353CC}">
                  <c16:uniqueId val="{00000023-260D-4515-9C31-E2B0834F63EA}"/>
                </c:ext>
              </c:extLst>
            </c:dLbl>
            <c:dLbl>
              <c:idx val="11"/>
              <c:delete val="1"/>
              <c:extLst>
                <c:ext xmlns:c15="http://schemas.microsoft.com/office/drawing/2012/chart" uri="{CE6537A1-D6FC-4f65-9D91-7224C49458BB}"/>
                <c:ext xmlns:c16="http://schemas.microsoft.com/office/drawing/2014/chart" uri="{C3380CC4-5D6E-409C-BE32-E72D297353CC}">
                  <c16:uniqueId val="{00000024-260D-4515-9C31-E2B0834F63EA}"/>
                </c:ext>
              </c:extLst>
            </c:dLbl>
            <c:dLbl>
              <c:idx val="13"/>
              <c:delete val="1"/>
              <c:extLst>
                <c:ext xmlns:c15="http://schemas.microsoft.com/office/drawing/2012/chart" uri="{CE6537A1-D6FC-4f65-9D91-7224C49458BB}"/>
                <c:ext xmlns:c16="http://schemas.microsoft.com/office/drawing/2014/chart" uri="{C3380CC4-5D6E-409C-BE32-E72D297353CC}">
                  <c16:uniqueId val="{00000025-260D-4515-9C31-E2B0834F63EA}"/>
                </c:ext>
              </c:extLst>
            </c:dLbl>
            <c:dLbl>
              <c:idx val="14"/>
              <c:delete val="1"/>
              <c:extLst>
                <c:ext xmlns:c15="http://schemas.microsoft.com/office/drawing/2012/chart" uri="{CE6537A1-D6FC-4f65-9D91-7224C49458BB}"/>
                <c:ext xmlns:c16="http://schemas.microsoft.com/office/drawing/2014/chart" uri="{C3380CC4-5D6E-409C-BE32-E72D297353CC}">
                  <c16:uniqueId val="{00000026-260D-4515-9C31-E2B0834F63EA}"/>
                </c:ext>
              </c:extLst>
            </c:dLbl>
            <c:dLbl>
              <c:idx val="15"/>
              <c:delete val="1"/>
              <c:extLst>
                <c:ext xmlns:c15="http://schemas.microsoft.com/office/drawing/2012/chart" uri="{CE6537A1-D6FC-4f65-9D91-7224C49458BB}"/>
                <c:ext xmlns:c16="http://schemas.microsoft.com/office/drawing/2014/chart" uri="{C3380CC4-5D6E-409C-BE32-E72D297353CC}">
                  <c16:uniqueId val="{00000027-260D-4515-9C31-E2B0834F63EA}"/>
                </c:ext>
              </c:extLst>
            </c:dLbl>
            <c:dLbl>
              <c:idx val="17"/>
              <c:delete val="1"/>
              <c:extLst>
                <c:ext xmlns:c15="http://schemas.microsoft.com/office/drawing/2012/chart" uri="{CE6537A1-D6FC-4f65-9D91-7224C49458BB}"/>
                <c:ext xmlns:c16="http://schemas.microsoft.com/office/drawing/2014/chart" uri="{C3380CC4-5D6E-409C-BE32-E72D297353CC}">
                  <c16:uniqueId val="{00000028-260D-4515-9C31-E2B0834F63EA}"/>
                </c:ext>
              </c:extLst>
            </c:dLbl>
            <c:dLbl>
              <c:idx val="18"/>
              <c:delete val="1"/>
              <c:extLst>
                <c:ext xmlns:c15="http://schemas.microsoft.com/office/drawing/2012/chart" uri="{CE6537A1-D6FC-4f65-9D91-7224C49458BB}"/>
                <c:ext xmlns:c16="http://schemas.microsoft.com/office/drawing/2014/chart" uri="{C3380CC4-5D6E-409C-BE32-E72D297353CC}">
                  <c16:uniqueId val="{00000029-260D-4515-9C31-E2B0834F63EA}"/>
                </c:ext>
              </c:extLst>
            </c:dLbl>
            <c:dLbl>
              <c:idx val="19"/>
              <c:delete val="1"/>
              <c:extLst>
                <c:ext xmlns:c15="http://schemas.microsoft.com/office/drawing/2012/chart" uri="{CE6537A1-D6FC-4f65-9D91-7224C49458BB}"/>
                <c:ext xmlns:c16="http://schemas.microsoft.com/office/drawing/2014/chart" uri="{C3380CC4-5D6E-409C-BE32-E72D297353CC}">
                  <c16:uniqueId val="{0000002A-260D-4515-9C31-E2B0834F63EA}"/>
                </c:ext>
              </c:extLst>
            </c:dLbl>
            <c:dLbl>
              <c:idx val="21"/>
              <c:delete val="1"/>
              <c:extLst>
                <c:ext xmlns:c15="http://schemas.microsoft.com/office/drawing/2012/chart" uri="{CE6537A1-D6FC-4f65-9D91-7224C49458BB}"/>
                <c:ext xmlns:c16="http://schemas.microsoft.com/office/drawing/2014/chart" uri="{C3380CC4-5D6E-409C-BE32-E72D297353CC}">
                  <c16:uniqueId val="{0000002B-260D-4515-9C31-E2B0834F63EA}"/>
                </c:ext>
              </c:extLst>
            </c:dLbl>
            <c:dLbl>
              <c:idx val="22"/>
              <c:delete val="1"/>
              <c:extLst>
                <c:ext xmlns:c15="http://schemas.microsoft.com/office/drawing/2012/chart" uri="{CE6537A1-D6FC-4f65-9D91-7224C49458BB}"/>
                <c:ext xmlns:c16="http://schemas.microsoft.com/office/drawing/2014/chart" uri="{C3380CC4-5D6E-409C-BE32-E72D297353CC}">
                  <c16:uniqueId val="{0000002C-260D-4515-9C31-E2B0834F63EA}"/>
                </c:ext>
              </c:extLst>
            </c:dLbl>
            <c:dLbl>
              <c:idx val="23"/>
              <c:delete val="1"/>
              <c:extLst>
                <c:ext xmlns:c15="http://schemas.microsoft.com/office/drawing/2012/chart" uri="{CE6537A1-D6FC-4f65-9D91-7224C49458BB}"/>
                <c:ext xmlns:c16="http://schemas.microsoft.com/office/drawing/2014/chart" uri="{C3380CC4-5D6E-409C-BE32-E72D297353CC}">
                  <c16:uniqueId val="{0000002D-260D-4515-9C31-E2B0834F63EA}"/>
                </c:ext>
              </c:extLst>
            </c:dLbl>
            <c:dLbl>
              <c:idx val="25"/>
              <c:delete val="1"/>
              <c:extLst>
                <c:ext xmlns:c15="http://schemas.microsoft.com/office/drawing/2012/chart" uri="{CE6537A1-D6FC-4f65-9D91-7224C49458BB}"/>
                <c:ext xmlns:c16="http://schemas.microsoft.com/office/drawing/2014/chart" uri="{C3380CC4-5D6E-409C-BE32-E72D297353CC}">
                  <c16:uniqueId val="{0000002E-260D-4515-9C31-E2B0834F63EA}"/>
                </c:ext>
              </c:extLst>
            </c:dLbl>
            <c:dLbl>
              <c:idx val="26"/>
              <c:delete val="1"/>
              <c:extLst>
                <c:ext xmlns:c15="http://schemas.microsoft.com/office/drawing/2012/chart" uri="{CE6537A1-D6FC-4f65-9D91-7224C49458BB}"/>
                <c:ext xmlns:c16="http://schemas.microsoft.com/office/drawing/2014/chart" uri="{C3380CC4-5D6E-409C-BE32-E72D297353CC}">
                  <c16:uniqueId val="{0000002F-260D-4515-9C31-E2B0834F63EA}"/>
                </c:ext>
              </c:extLst>
            </c:dLbl>
            <c:dLbl>
              <c:idx val="27"/>
              <c:delete val="1"/>
              <c:extLst>
                <c:ext xmlns:c15="http://schemas.microsoft.com/office/drawing/2012/chart" uri="{CE6537A1-D6FC-4f65-9D91-7224C49458BB}"/>
                <c:ext xmlns:c16="http://schemas.microsoft.com/office/drawing/2014/chart" uri="{C3380CC4-5D6E-409C-BE32-E72D297353CC}">
                  <c16:uniqueId val="{00000030-260D-4515-9C31-E2B0834F63EA}"/>
                </c:ext>
              </c:extLst>
            </c:dLbl>
            <c:dLbl>
              <c:idx val="29"/>
              <c:delete val="1"/>
              <c:extLst>
                <c:ext xmlns:c15="http://schemas.microsoft.com/office/drawing/2012/chart" uri="{CE6537A1-D6FC-4f65-9D91-7224C49458BB}"/>
                <c:ext xmlns:c16="http://schemas.microsoft.com/office/drawing/2014/chart" uri="{C3380CC4-5D6E-409C-BE32-E72D297353CC}">
                  <c16:uniqueId val="{00000031-260D-4515-9C31-E2B0834F63EA}"/>
                </c:ext>
              </c:extLst>
            </c:dLbl>
            <c:dLbl>
              <c:idx val="30"/>
              <c:delete val="1"/>
              <c:extLst>
                <c:ext xmlns:c15="http://schemas.microsoft.com/office/drawing/2012/chart" uri="{CE6537A1-D6FC-4f65-9D91-7224C49458BB}"/>
                <c:ext xmlns:c16="http://schemas.microsoft.com/office/drawing/2014/chart" uri="{C3380CC4-5D6E-409C-BE32-E72D297353CC}">
                  <c16:uniqueId val="{00000032-260D-4515-9C31-E2B0834F63EA}"/>
                </c:ext>
              </c:extLst>
            </c:dLbl>
            <c:dLbl>
              <c:idx val="31"/>
              <c:delete val="1"/>
              <c:extLst>
                <c:ext xmlns:c15="http://schemas.microsoft.com/office/drawing/2012/chart" uri="{CE6537A1-D6FC-4f65-9D91-7224C49458BB}"/>
                <c:ext xmlns:c16="http://schemas.microsoft.com/office/drawing/2014/chart" uri="{C3380CC4-5D6E-409C-BE32-E72D297353CC}">
                  <c16:uniqueId val="{00000033-260D-4515-9C31-E2B0834F63EA}"/>
                </c:ext>
              </c:extLst>
            </c:dLbl>
            <c:dLbl>
              <c:idx val="33"/>
              <c:delete val="1"/>
              <c:extLst>
                <c:ext xmlns:c15="http://schemas.microsoft.com/office/drawing/2012/chart" uri="{CE6537A1-D6FC-4f65-9D91-7224C49458BB}"/>
                <c:ext xmlns:c16="http://schemas.microsoft.com/office/drawing/2014/chart" uri="{C3380CC4-5D6E-409C-BE32-E72D297353CC}">
                  <c16:uniqueId val="{00000034-260D-4515-9C31-E2B0834F63EA}"/>
                </c:ext>
              </c:extLst>
            </c:dLbl>
            <c:dLbl>
              <c:idx val="34"/>
              <c:delete val="1"/>
              <c:extLst>
                <c:ext xmlns:c15="http://schemas.microsoft.com/office/drawing/2012/chart" uri="{CE6537A1-D6FC-4f65-9D91-7224C49458BB}"/>
                <c:ext xmlns:c16="http://schemas.microsoft.com/office/drawing/2014/chart" uri="{C3380CC4-5D6E-409C-BE32-E72D297353CC}">
                  <c16:uniqueId val="{00000035-260D-4515-9C31-E2B0834F63EA}"/>
                </c:ext>
              </c:extLst>
            </c:dLbl>
            <c:dLbl>
              <c:idx val="35"/>
              <c:delete val="1"/>
              <c:extLst>
                <c:ext xmlns:c15="http://schemas.microsoft.com/office/drawing/2012/chart" uri="{CE6537A1-D6FC-4f65-9D91-7224C49458BB}"/>
                <c:ext xmlns:c16="http://schemas.microsoft.com/office/drawing/2014/chart" uri="{C3380CC4-5D6E-409C-BE32-E72D297353CC}">
                  <c16:uniqueId val="{00000036-260D-4515-9C31-E2B0834F6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employment!$A$13:$A$49</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employment!$B$13:$B$49</c:f>
              <c:numCache>
                <c:formatCode>#\ ##0.0</c:formatCode>
                <c:ptCount val="37"/>
                <c:pt idx="0">
                  <c:v>65</c:v>
                </c:pt>
                <c:pt idx="1">
                  <c:v>63.6</c:v>
                </c:pt>
                <c:pt idx="2">
                  <c:v>64.599999999999994</c:v>
                </c:pt>
                <c:pt idx="3">
                  <c:v>65.599999999999994</c:v>
                </c:pt>
                <c:pt idx="4">
                  <c:v>65.599999999999994</c:v>
                </c:pt>
                <c:pt idx="5">
                  <c:v>65.099999999999994</c:v>
                </c:pt>
                <c:pt idx="6">
                  <c:v>66.099999999999994</c:v>
                </c:pt>
                <c:pt idx="7">
                  <c:v>67.3</c:v>
                </c:pt>
                <c:pt idx="8">
                  <c:v>67.400000000000006</c:v>
                </c:pt>
                <c:pt idx="9">
                  <c:v>66.7</c:v>
                </c:pt>
                <c:pt idx="10">
                  <c:v>67.400000000000006</c:v>
                </c:pt>
                <c:pt idx="11">
                  <c:v>68.400000000000006</c:v>
                </c:pt>
                <c:pt idx="12">
                  <c:v>68.599999999999994</c:v>
                </c:pt>
                <c:pt idx="13">
                  <c:v>68.400000000000006</c:v>
                </c:pt>
                <c:pt idx="14">
                  <c:v>69.099999999999994</c:v>
                </c:pt>
                <c:pt idx="15">
                  <c:v>69.7</c:v>
                </c:pt>
                <c:pt idx="16">
                  <c:v>69.900000000000006</c:v>
                </c:pt>
                <c:pt idx="17">
                  <c:v>70.099999999999994</c:v>
                </c:pt>
                <c:pt idx="18">
                  <c:v>71.099999999999994</c:v>
                </c:pt>
                <c:pt idx="19">
                  <c:v>71.3</c:v>
                </c:pt>
                <c:pt idx="20">
                  <c:v>71.099999999999994</c:v>
                </c:pt>
                <c:pt idx="21">
                  <c:v>71.3</c:v>
                </c:pt>
                <c:pt idx="22">
                  <c:v>72.400000000000006</c:v>
                </c:pt>
                <c:pt idx="23">
                  <c:v>72.8</c:v>
                </c:pt>
                <c:pt idx="24">
                  <c:v>72.099999999999994</c:v>
                </c:pt>
                <c:pt idx="25">
                  <c:v>72</c:v>
                </c:pt>
                <c:pt idx="26">
                  <c:v>73.099999999999994</c:v>
                </c:pt>
                <c:pt idx="27">
                  <c:v>73.599999999999994</c:v>
                </c:pt>
                <c:pt idx="28">
                  <c:v>73.400000000000006</c:v>
                </c:pt>
                <c:pt idx="29">
                  <c:v>73.2</c:v>
                </c:pt>
                <c:pt idx="30">
                  <c:v>72.7</c:v>
                </c:pt>
                <c:pt idx="31">
                  <c:v>74</c:v>
                </c:pt>
                <c:pt idx="32">
                  <c:v>74.400000000000006</c:v>
                </c:pt>
                <c:pt idx="33">
                  <c:v>74.2</c:v>
                </c:pt>
                <c:pt idx="34">
                  <c:v>75.099999999999994</c:v>
                </c:pt>
                <c:pt idx="35">
                  <c:v>76.099999999999994</c:v>
                </c:pt>
                <c:pt idx="36">
                  <c:v>76.2</c:v>
                </c:pt>
              </c:numCache>
            </c:numRef>
          </c:val>
          <c:smooth val="0"/>
          <c:extLst>
            <c:ext xmlns:c16="http://schemas.microsoft.com/office/drawing/2014/chart" uri="{C3380CC4-5D6E-409C-BE32-E72D297353CC}">
              <c16:uniqueId val="{00000037-260D-4515-9C31-E2B0834F63EA}"/>
            </c:ext>
          </c:extLst>
        </c:ser>
        <c:dLbls>
          <c:dLblPos val="t"/>
          <c:showLegendKey val="0"/>
          <c:showVal val="1"/>
          <c:showCatName val="0"/>
          <c:showSerName val="0"/>
          <c:showPercent val="0"/>
          <c:showBubbleSize val="0"/>
        </c:dLbls>
        <c:marker val="1"/>
        <c:smooth val="0"/>
        <c:axId val="263014656"/>
        <c:axId val="263015808"/>
        <c:extLst>
          <c:ext xmlns:c15="http://schemas.microsoft.com/office/drawing/2012/chart" uri="{02D57815-91ED-43cb-92C2-25804820EDAC}">
            <c15:filteredLineSeries>
              <c15:ser>
                <c:idx val="1"/>
                <c:order val="1"/>
                <c:tx>
                  <c:strRef>
                    <c:extLst>
                      <c:ext uri="{02D57815-91ED-43cb-92C2-25804820EDAC}">
                        <c15:formulaRef>
                          <c15:sqref>employment!$C$12</c15:sqref>
                        </c15:formulaRef>
                      </c:ext>
                    </c:extLst>
                    <c:strCache>
                      <c:ptCount val="1"/>
                      <c:pt idx="0">
                        <c:v>od 55 do 59</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employment!$A$13:$A$49</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c:ext uri="{02D57815-91ED-43cb-92C2-25804820EDAC}">
                        <c15:formulaRef>
                          <c15:sqref>employment!$C$13:$C$49</c15:sqref>
                        </c15:formulaRef>
                      </c:ext>
                    </c:extLst>
                    <c:numCache>
                      <c:formatCode>#\ ##0.0</c:formatCode>
                      <c:ptCount val="37"/>
                      <c:pt idx="0">
                        <c:v>53.6</c:v>
                      </c:pt>
                      <c:pt idx="1">
                        <c:v>53.8</c:v>
                      </c:pt>
                      <c:pt idx="2">
                        <c:v>54.6</c:v>
                      </c:pt>
                      <c:pt idx="3">
                        <c:v>56.3</c:v>
                      </c:pt>
                      <c:pt idx="4">
                        <c:v>56.5</c:v>
                      </c:pt>
                      <c:pt idx="5">
                        <c:v>55.8</c:v>
                      </c:pt>
                      <c:pt idx="6">
                        <c:v>56.8</c:v>
                      </c:pt>
                      <c:pt idx="7">
                        <c:v>58.1</c:v>
                      </c:pt>
                      <c:pt idx="8">
                        <c:v>58.1</c:v>
                      </c:pt>
                      <c:pt idx="9">
                        <c:v>57.6</c:v>
                      </c:pt>
                      <c:pt idx="10">
                        <c:v>58.1</c:v>
                      </c:pt>
                      <c:pt idx="11">
                        <c:v>60.6</c:v>
                      </c:pt>
                      <c:pt idx="12">
                        <c:v>61.5</c:v>
                      </c:pt>
                      <c:pt idx="13">
                        <c:v>60.5</c:v>
                      </c:pt>
                      <c:pt idx="14">
                        <c:v>60.9</c:v>
                      </c:pt>
                      <c:pt idx="15">
                        <c:v>62.3</c:v>
                      </c:pt>
                      <c:pt idx="16">
                        <c:v>63.2</c:v>
                      </c:pt>
                      <c:pt idx="17">
                        <c:v>62.1</c:v>
                      </c:pt>
                      <c:pt idx="18">
                        <c:v>64.099999999999994</c:v>
                      </c:pt>
                      <c:pt idx="19">
                        <c:v>65.099999999999994</c:v>
                      </c:pt>
                      <c:pt idx="20">
                        <c:v>64.599999999999994</c:v>
                      </c:pt>
                      <c:pt idx="21">
                        <c:v>64.099999999999994</c:v>
                      </c:pt>
                      <c:pt idx="22">
                        <c:v>65.7</c:v>
                      </c:pt>
                      <c:pt idx="23">
                        <c:v>67.2</c:v>
                      </c:pt>
                      <c:pt idx="24">
                        <c:v>66.3</c:v>
                      </c:pt>
                      <c:pt idx="25">
                        <c:v>65.5</c:v>
                      </c:pt>
                      <c:pt idx="26">
                        <c:v>67</c:v>
                      </c:pt>
                      <c:pt idx="27">
                        <c:v>68.5</c:v>
                      </c:pt>
                      <c:pt idx="28">
                        <c:v>67.400000000000006</c:v>
                      </c:pt>
                      <c:pt idx="29">
                        <c:v>66.8</c:v>
                      </c:pt>
                      <c:pt idx="30">
                        <c:v>67.5</c:v>
                      </c:pt>
                      <c:pt idx="31">
                        <c:v>70.7</c:v>
                      </c:pt>
                      <c:pt idx="32">
                        <c:v>71.599999999999994</c:v>
                      </c:pt>
                      <c:pt idx="33">
                        <c:v>70.400000000000006</c:v>
                      </c:pt>
                      <c:pt idx="34">
                        <c:v>70.599999999999994</c:v>
                      </c:pt>
                      <c:pt idx="35">
                        <c:v>73.7</c:v>
                      </c:pt>
                      <c:pt idx="36">
                        <c:v>73</c:v>
                      </c:pt>
                    </c:numCache>
                  </c:numRef>
                </c:val>
                <c:smooth val="0"/>
                <c:extLst>
                  <c:ext xmlns:c16="http://schemas.microsoft.com/office/drawing/2014/chart" uri="{C3380CC4-5D6E-409C-BE32-E72D297353CC}">
                    <c16:uniqueId val="{00000054-260D-4515-9C31-E2B0834F63EA}"/>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employment!$E$12</c15:sqref>
                        </c15:formulaRef>
                      </c:ext>
                    </c:extLst>
                    <c:strCache>
                      <c:ptCount val="1"/>
                      <c:pt idx="0">
                        <c:v>od 60 do 64 (prawa oś)</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employment!$A$13:$A$49</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xmlns:c15="http://schemas.microsoft.com/office/drawing/2012/chart">
                      <c:ext xmlns:c15="http://schemas.microsoft.com/office/drawing/2012/chart" uri="{02D57815-91ED-43cb-92C2-25804820EDAC}">
                        <c15:formulaRef>
                          <c15:sqref>employment!$E$13:$E$49</c15:sqref>
                        </c15:formulaRef>
                      </c:ext>
                    </c:extLst>
                    <c:numCache>
                      <c:formatCode>#\ ##0.0</c:formatCode>
                      <c:ptCount val="37"/>
                      <c:pt idx="0">
                        <c:v>24</c:v>
                      </c:pt>
                      <c:pt idx="1">
                        <c:v>22.2</c:v>
                      </c:pt>
                      <c:pt idx="2">
                        <c:v>23.5</c:v>
                      </c:pt>
                      <c:pt idx="3">
                        <c:v>24.6</c:v>
                      </c:pt>
                      <c:pt idx="4">
                        <c:v>25.9</c:v>
                      </c:pt>
                      <c:pt idx="5">
                        <c:v>24.8</c:v>
                      </c:pt>
                      <c:pt idx="6">
                        <c:v>25</c:v>
                      </c:pt>
                      <c:pt idx="7">
                        <c:v>27.1</c:v>
                      </c:pt>
                      <c:pt idx="8">
                        <c:v>28.2</c:v>
                      </c:pt>
                      <c:pt idx="9">
                        <c:v>27.1</c:v>
                      </c:pt>
                      <c:pt idx="10">
                        <c:v>26.8</c:v>
                      </c:pt>
                      <c:pt idx="11">
                        <c:v>29</c:v>
                      </c:pt>
                      <c:pt idx="12">
                        <c:v>29.6</c:v>
                      </c:pt>
                      <c:pt idx="13">
                        <c:v>29.2</c:v>
                      </c:pt>
                      <c:pt idx="14">
                        <c:v>29.4</c:v>
                      </c:pt>
                      <c:pt idx="15">
                        <c:v>31</c:v>
                      </c:pt>
                      <c:pt idx="16">
                        <c:v>32.299999999999997</c:v>
                      </c:pt>
                      <c:pt idx="17">
                        <c:v>32.299999999999997</c:v>
                      </c:pt>
                      <c:pt idx="18">
                        <c:v>32.799999999999997</c:v>
                      </c:pt>
                      <c:pt idx="19">
                        <c:v>34.6</c:v>
                      </c:pt>
                      <c:pt idx="20">
                        <c:v>33.5</c:v>
                      </c:pt>
                      <c:pt idx="21">
                        <c:v>32.5</c:v>
                      </c:pt>
                      <c:pt idx="22">
                        <c:v>34.6</c:v>
                      </c:pt>
                      <c:pt idx="23">
                        <c:v>34.1</c:v>
                      </c:pt>
                      <c:pt idx="24">
                        <c:v>33.6</c:v>
                      </c:pt>
                      <c:pt idx="25">
                        <c:v>33.700000000000003</c:v>
                      </c:pt>
                      <c:pt idx="26">
                        <c:v>33.700000000000003</c:v>
                      </c:pt>
                      <c:pt idx="27">
                        <c:v>35</c:v>
                      </c:pt>
                      <c:pt idx="28">
                        <c:v>34.9</c:v>
                      </c:pt>
                      <c:pt idx="29">
                        <c:v>35.1</c:v>
                      </c:pt>
                      <c:pt idx="30">
                        <c:v>36.200000000000003</c:v>
                      </c:pt>
                      <c:pt idx="31">
                        <c:v>38</c:v>
                      </c:pt>
                      <c:pt idx="32">
                        <c:v>38.9</c:v>
                      </c:pt>
                      <c:pt idx="33">
                        <c:v>38.5</c:v>
                      </c:pt>
                      <c:pt idx="34">
                        <c:v>39.6</c:v>
                      </c:pt>
                      <c:pt idx="35">
                        <c:v>40.6</c:v>
                      </c:pt>
                      <c:pt idx="36">
                        <c:v>41.1</c:v>
                      </c:pt>
                    </c:numCache>
                  </c:numRef>
                </c:val>
                <c:smooth val="0"/>
                <c:extLst xmlns:c15="http://schemas.microsoft.com/office/drawing/2012/chart">
                  <c:ext xmlns:c16="http://schemas.microsoft.com/office/drawing/2014/chart" uri="{C3380CC4-5D6E-409C-BE32-E72D297353CC}">
                    <c16:uniqueId val="{00000055-260D-4515-9C31-E2B0834F63EA}"/>
                  </c:ext>
                </c:extLst>
              </c15:ser>
            </c15:filteredLineSeries>
          </c:ext>
        </c:extLst>
      </c:lineChart>
      <c:lineChart>
        <c:grouping val="standard"/>
        <c:varyColors val="0"/>
        <c:ser>
          <c:idx val="4"/>
          <c:order val="4"/>
          <c:tx>
            <c:strRef>
              <c:f>employment!$F$12</c:f>
              <c:strCache>
                <c:ptCount val="1"/>
                <c:pt idx="0">
                  <c:v>powyżej 65 (prawa oś)</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38-260D-4515-9C31-E2B0834F63EA}"/>
                </c:ext>
              </c:extLst>
            </c:dLbl>
            <c:dLbl>
              <c:idx val="2"/>
              <c:delete val="1"/>
              <c:extLst>
                <c:ext xmlns:c15="http://schemas.microsoft.com/office/drawing/2012/chart" uri="{CE6537A1-D6FC-4f65-9D91-7224C49458BB}"/>
                <c:ext xmlns:c16="http://schemas.microsoft.com/office/drawing/2014/chart" uri="{C3380CC4-5D6E-409C-BE32-E72D297353CC}">
                  <c16:uniqueId val="{00000039-260D-4515-9C31-E2B0834F63EA}"/>
                </c:ext>
              </c:extLst>
            </c:dLbl>
            <c:dLbl>
              <c:idx val="3"/>
              <c:delete val="1"/>
              <c:extLst>
                <c:ext xmlns:c15="http://schemas.microsoft.com/office/drawing/2012/chart" uri="{CE6537A1-D6FC-4f65-9D91-7224C49458BB}"/>
                <c:ext xmlns:c16="http://schemas.microsoft.com/office/drawing/2014/chart" uri="{C3380CC4-5D6E-409C-BE32-E72D297353CC}">
                  <c16:uniqueId val="{0000003A-260D-4515-9C31-E2B0834F63EA}"/>
                </c:ext>
              </c:extLst>
            </c:dLbl>
            <c:dLbl>
              <c:idx val="5"/>
              <c:delete val="1"/>
              <c:extLst>
                <c:ext xmlns:c15="http://schemas.microsoft.com/office/drawing/2012/chart" uri="{CE6537A1-D6FC-4f65-9D91-7224C49458BB}"/>
                <c:ext xmlns:c16="http://schemas.microsoft.com/office/drawing/2014/chart" uri="{C3380CC4-5D6E-409C-BE32-E72D297353CC}">
                  <c16:uniqueId val="{0000003B-260D-4515-9C31-E2B0834F63EA}"/>
                </c:ext>
              </c:extLst>
            </c:dLbl>
            <c:dLbl>
              <c:idx val="6"/>
              <c:delete val="1"/>
              <c:extLst>
                <c:ext xmlns:c15="http://schemas.microsoft.com/office/drawing/2012/chart" uri="{CE6537A1-D6FC-4f65-9D91-7224C49458BB}"/>
                <c:ext xmlns:c16="http://schemas.microsoft.com/office/drawing/2014/chart" uri="{C3380CC4-5D6E-409C-BE32-E72D297353CC}">
                  <c16:uniqueId val="{0000003C-260D-4515-9C31-E2B0834F63EA}"/>
                </c:ext>
              </c:extLst>
            </c:dLbl>
            <c:dLbl>
              <c:idx val="7"/>
              <c:delete val="1"/>
              <c:extLst>
                <c:ext xmlns:c15="http://schemas.microsoft.com/office/drawing/2012/chart" uri="{CE6537A1-D6FC-4f65-9D91-7224C49458BB}"/>
                <c:ext xmlns:c16="http://schemas.microsoft.com/office/drawing/2014/chart" uri="{C3380CC4-5D6E-409C-BE32-E72D297353CC}">
                  <c16:uniqueId val="{0000003D-260D-4515-9C31-E2B0834F63EA}"/>
                </c:ext>
              </c:extLst>
            </c:dLbl>
            <c:dLbl>
              <c:idx val="9"/>
              <c:delete val="1"/>
              <c:extLst>
                <c:ext xmlns:c15="http://schemas.microsoft.com/office/drawing/2012/chart" uri="{CE6537A1-D6FC-4f65-9D91-7224C49458BB}"/>
                <c:ext xmlns:c16="http://schemas.microsoft.com/office/drawing/2014/chart" uri="{C3380CC4-5D6E-409C-BE32-E72D297353CC}">
                  <c16:uniqueId val="{0000003E-260D-4515-9C31-E2B0834F63EA}"/>
                </c:ext>
              </c:extLst>
            </c:dLbl>
            <c:dLbl>
              <c:idx val="10"/>
              <c:delete val="1"/>
              <c:extLst>
                <c:ext xmlns:c15="http://schemas.microsoft.com/office/drawing/2012/chart" uri="{CE6537A1-D6FC-4f65-9D91-7224C49458BB}"/>
                <c:ext xmlns:c16="http://schemas.microsoft.com/office/drawing/2014/chart" uri="{C3380CC4-5D6E-409C-BE32-E72D297353CC}">
                  <c16:uniqueId val="{0000003F-260D-4515-9C31-E2B0834F63EA}"/>
                </c:ext>
              </c:extLst>
            </c:dLbl>
            <c:dLbl>
              <c:idx val="11"/>
              <c:delete val="1"/>
              <c:extLst>
                <c:ext xmlns:c15="http://schemas.microsoft.com/office/drawing/2012/chart" uri="{CE6537A1-D6FC-4f65-9D91-7224C49458BB}"/>
                <c:ext xmlns:c16="http://schemas.microsoft.com/office/drawing/2014/chart" uri="{C3380CC4-5D6E-409C-BE32-E72D297353CC}">
                  <c16:uniqueId val="{00000040-260D-4515-9C31-E2B0834F63EA}"/>
                </c:ext>
              </c:extLst>
            </c:dLbl>
            <c:dLbl>
              <c:idx val="13"/>
              <c:delete val="1"/>
              <c:extLst>
                <c:ext xmlns:c15="http://schemas.microsoft.com/office/drawing/2012/chart" uri="{CE6537A1-D6FC-4f65-9D91-7224C49458BB}"/>
                <c:ext xmlns:c16="http://schemas.microsoft.com/office/drawing/2014/chart" uri="{C3380CC4-5D6E-409C-BE32-E72D297353CC}">
                  <c16:uniqueId val="{00000041-260D-4515-9C31-E2B0834F63EA}"/>
                </c:ext>
              </c:extLst>
            </c:dLbl>
            <c:dLbl>
              <c:idx val="14"/>
              <c:delete val="1"/>
              <c:extLst>
                <c:ext xmlns:c15="http://schemas.microsoft.com/office/drawing/2012/chart" uri="{CE6537A1-D6FC-4f65-9D91-7224C49458BB}"/>
                <c:ext xmlns:c16="http://schemas.microsoft.com/office/drawing/2014/chart" uri="{C3380CC4-5D6E-409C-BE32-E72D297353CC}">
                  <c16:uniqueId val="{00000042-260D-4515-9C31-E2B0834F63EA}"/>
                </c:ext>
              </c:extLst>
            </c:dLbl>
            <c:dLbl>
              <c:idx val="15"/>
              <c:delete val="1"/>
              <c:extLst>
                <c:ext xmlns:c15="http://schemas.microsoft.com/office/drawing/2012/chart" uri="{CE6537A1-D6FC-4f65-9D91-7224C49458BB}"/>
                <c:ext xmlns:c16="http://schemas.microsoft.com/office/drawing/2014/chart" uri="{C3380CC4-5D6E-409C-BE32-E72D297353CC}">
                  <c16:uniqueId val="{00000043-260D-4515-9C31-E2B0834F63EA}"/>
                </c:ext>
              </c:extLst>
            </c:dLbl>
            <c:dLbl>
              <c:idx val="17"/>
              <c:delete val="1"/>
              <c:extLst>
                <c:ext xmlns:c15="http://schemas.microsoft.com/office/drawing/2012/chart" uri="{CE6537A1-D6FC-4f65-9D91-7224C49458BB}"/>
                <c:ext xmlns:c16="http://schemas.microsoft.com/office/drawing/2014/chart" uri="{C3380CC4-5D6E-409C-BE32-E72D297353CC}">
                  <c16:uniqueId val="{00000044-260D-4515-9C31-E2B0834F63EA}"/>
                </c:ext>
              </c:extLst>
            </c:dLbl>
            <c:dLbl>
              <c:idx val="18"/>
              <c:delete val="1"/>
              <c:extLst>
                <c:ext xmlns:c15="http://schemas.microsoft.com/office/drawing/2012/chart" uri="{CE6537A1-D6FC-4f65-9D91-7224C49458BB}"/>
                <c:ext xmlns:c16="http://schemas.microsoft.com/office/drawing/2014/chart" uri="{C3380CC4-5D6E-409C-BE32-E72D297353CC}">
                  <c16:uniqueId val="{00000045-260D-4515-9C31-E2B0834F63EA}"/>
                </c:ext>
              </c:extLst>
            </c:dLbl>
            <c:dLbl>
              <c:idx val="19"/>
              <c:delete val="1"/>
              <c:extLst>
                <c:ext xmlns:c15="http://schemas.microsoft.com/office/drawing/2012/chart" uri="{CE6537A1-D6FC-4f65-9D91-7224C49458BB}"/>
                <c:ext xmlns:c16="http://schemas.microsoft.com/office/drawing/2014/chart" uri="{C3380CC4-5D6E-409C-BE32-E72D297353CC}">
                  <c16:uniqueId val="{00000046-260D-4515-9C31-E2B0834F63EA}"/>
                </c:ext>
              </c:extLst>
            </c:dLbl>
            <c:dLbl>
              <c:idx val="21"/>
              <c:delete val="1"/>
              <c:extLst>
                <c:ext xmlns:c15="http://schemas.microsoft.com/office/drawing/2012/chart" uri="{CE6537A1-D6FC-4f65-9D91-7224C49458BB}"/>
                <c:ext xmlns:c16="http://schemas.microsoft.com/office/drawing/2014/chart" uri="{C3380CC4-5D6E-409C-BE32-E72D297353CC}">
                  <c16:uniqueId val="{00000047-260D-4515-9C31-E2B0834F63EA}"/>
                </c:ext>
              </c:extLst>
            </c:dLbl>
            <c:dLbl>
              <c:idx val="22"/>
              <c:delete val="1"/>
              <c:extLst>
                <c:ext xmlns:c15="http://schemas.microsoft.com/office/drawing/2012/chart" uri="{CE6537A1-D6FC-4f65-9D91-7224C49458BB}"/>
                <c:ext xmlns:c16="http://schemas.microsoft.com/office/drawing/2014/chart" uri="{C3380CC4-5D6E-409C-BE32-E72D297353CC}">
                  <c16:uniqueId val="{00000048-260D-4515-9C31-E2B0834F63EA}"/>
                </c:ext>
              </c:extLst>
            </c:dLbl>
            <c:dLbl>
              <c:idx val="23"/>
              <c:delete val="1"/>
              <c:extLst>
                <c:ext xmlns:c15="http://schemas.microsoft.com/office/drawing/2012/chart" uri="{CE6537A1-D6FC-4f65-9D91-7224C49458BB}"/>
                <c:ext xmlns:c16="http://schemas.microsoft.com/office/drawing/2014/chart" uri="{C3380CC4-5D6E-409C-BE32-E72D297353CC}">
                  <c16:uniqueId val="{00000049-260D-4515-9C31-E2B0834F63EA}"/>
                </c:ext>
              </c:extLst>
            </c:dLbl>
            <c:dLbl>
              <c:idx val="25"/>
              <c:delete val="1"/>
              <c:extLst>
                <c:ext xmlns:c15="http://schemas.microsoft.com/office/drawing/2012/chart" uri="{CE6537A1-D6FC-4f65-9D91-7224C49458BB}"/>
                <c:ext xmlns:c16="http://schemas.microsoft.com/office/drawing/2014/chart" uri="{C3380CC4-5D6E-409C-BE32-E72D297353CC}">
                  <c16:uniqueId val="{0000004A-260D-4515-9C31-E2B0834F63EA}"/>
                </c:ext>
              </c:extLst>
            </c:dLbl>
            <c:dLbl>
              <c:idx val="26"/>
              <c:delete val="1"/>
              <c:extLst>
                <c:ext xmlns:c15="http://schemas.microsoft.com/office/drawing/2012/chart" uri="{CE6537A1-D6FC-4f65-9D91-7224C49458BB}"/>
                <c:ext xmlns:c16="http://schemas.microsoft.com/office/drawing/2014/chart" uri="{C3380CC4-5D6E-409C-BE32-E72D297353CC}">
                  <c16:uniqueId val="{0000004B-260D-4515-9C31-E2B0834F63EA}"/>
                </c:ext>
              </c:extLst>
            </c:dLbl>
            <c:dLbl>
              <c:idx val="27"/>
              <c:delete val="1"/>
              <c:extLst>
                <c:ext xmlns:c15="http://schemas.microsoft.com/office/drawing/2012/chart" uri="{CE6537A1-D6FC-4f65-9D91-7224C49458BB}"/>
                <c:ext xmlns:c16="http://schemas.microsoft.com/office/drawing/2014/chart" uri="{C3380CC4-5D6E-409C-BE32-E72D297353CC}">
                  <c16:uniqueId val="{0000004C-260D-4515-9C31-E2B0834F63EA}"/>
                </c:ext>
              </c:extLst>
            </c:dLbl>
            <c:dLbl>
              <c:idx val="29"/>
              <c:delete val="1"/>
              <c:extLst>
                <c:ext xmlns:c15="http://schemas.microsoft.com/office/drawing/2012/chart" uri="{CE6537A1-D6FC-4f65-9D91-7224C49458BB}"/>
                <c:ext xmlns:c16="http://schemas.microsoft.com/office/drawing/2014/chart" uri="{C3380CC4-5D6E-409C-BE32-E72D297353CC}">
                  <c16:uniqueId val="{0000004D-260D-4515-9C31-E2B0834F63EA}"/>
                </c:ext>
              </c:extLst>
            </c:dLbl>
            <c:dLbl>
              <c:idx val="30"/>
              <c:delete val="1"/>
              <c:extLst>
                <c:ext xmlns:c15="http://schemas.microsoft.com/office/drawing/2012/chart" uri="{CE6537A1-D6FC-4f65-9D91-7224C49458BB}"/>
                <c:ext xmlns:c16="http://schemas.microsoft.com/office/drawing/2014/chart" uri="{C3380CC4-5D6E-409C-BE32-E72D297353CC}">
                  <c16:uniqueId val="{0000004E-260D-4515-9C31-E2B0834F63EA}"/>
                </c:ext>
              </c:extLst>
            </c:dLbl>
            <c:dLbl>
              <c:idx val="31"/>
              <c:delete val="1"/>
              <c:extLst>
                <c:ext xmlns:c15="http://schemas.microsoft.com/office/drawing/2012/chart" uri="{CE6537A1-D6FC-4f65-9D91-7224C49458BB}"/>
                <c:ext xmlns:c16="http://schemas.microsoft.com/office/drawing/2014/chart" uri="{C3380CC4-5D6E-409C-BE32-E72D297353CC}">
                  <c16:uniqueId val="{0000004F-260D-4515-9C31-E2B0834F63EA}"/>
                </c:ext>
              </c:extLst>
            </c:dLbl>
            <c:dLbl>
              <c:idx val="33"/>
              <c:delete val="1"/>
              <c:extLst>
                <c:ext xmlns:c15="http://schemas.microsoft.com/office/drawing/2012/chart" uri="{CE6537A1-D6FC-4f65-9D91-7224C49458BB}"/>
                <c:ext xmlns:c16="http://schemas.microsoft.com/office/drawing/2014/chart" uri="{C3380CC4-5D6E-409C-BE32-E72D297353CC}">
                  <c16:uniqueId val="{00000050-260D-4515-9C31-E2B0834F63EA}"/>
                </c:ext>
              </c:extLst>
            </c:dLbl>
            <c:dLbl>
              <c:idx val="34"/>
              <c:delete val="1"/>
              <c:extLst>
                <c:ext xmlns:c15="http://schemas.microsoft.com/office/drawing/2012/chart" uri="{CE6537A1-D6FC-4f65-9D91-7224C49458BB}"/>
                <c:ext xmlns:c16="http://schemas.microsoft.com/office/drawing/2014/chart" uri="{C3380CC4-5D6E-409C-BE32-E72D297353CC}">
                  <c16:uniqueId val="{00000051-260D-4515-9C31-E2B0834F63EA}"/>
                </c:ext>
              </c:extLst>
            </c:dLbl>
            <c:dLbl>
              <c:idx val="35"/>
              <c:delete val="1"/>
              <c:extLst>
                <c:ext xmlns:c15="http://schemas.microsoft.com/office/drawing/2012/chart" uri="{CE6537A1-D6FC-4f65-9D91-7224C49458BB}"/>
                <c:ext xmlns:c16="http://schemas.microsoft.com/office/drawing/2014/chart" uri="{C3380CC4-5D6E-409C-BE32-E72D297353CC}">
                  <c16:uniqueId val="{00000052-260D-4515-9C31-E2B0834F6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employment!$A$13:$A$49</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employment!$F$13:$F$49</c:f>
              <c:numCache>
                <c:formatCode>#\ ##0.0</c:formatCode>
                <c:ptCount val="37"/>
                <c:pt idx="0">
                  <c:v>4.7</c:v>
                </c:pt>
                <c:pt idx="1">
                  <c:v>4.7</c:v>
                </c:pt>
                <c:pt idx="2">
                  <c:v>4.8</c:v>
                </c:pt>
                <c:pt idx="3">
                  <c:v>4.5</c:v>
                </c:pt>
                <c:pt idx="4">
                  <c:v>4.4000000000000004</c:v>
                </c:pt>
                <c:pt idx="5">
                  <c:v>4.5999999999999996</c:v>
                </c:pt>
                <c:pt idx="6">
                  <c:v>5</c:v>
                </c:pt>
                <c:pt idx="7">
                  <c:v>5</c:v>
                </c:pt>
                <c:pt idx="8">
                  <c:v>4.4000000000000004</c:v>
                </c:pt>
                <c:pt idx="9">
                  <c:v>4.7</c:v>
                </c:pt>
                <c:pt idx="10">
                  <c:v>4.5999999999999996</c:v>
                </c:pt>
                <c:pt idx="11">
                  <c:v>4.5999999999999996</c:v>
                </c:pt>
                <c:pt idx="12">
                  <c:v>4.8</c:v>
                </c:pt>
                <c:pt idx="13">
                  <c:v>4.7</c:v>
                </c:pt>
                <c:pt idx="14">
                  <c:v>4.7</c:v>
                </c:pt>
                <c:pt idx="15">
                  <c:v>5</c:v>
                </c:pt>
                <c:pt idx="16">
                  <c:v>5.0999999999999996</c:v>
                </c:pt>
                <c:pt idx="17">
                  <c:v>5.3</c:v>
                </c:pt>
                <c:pt idx="18">
                  <c:v>5.4</c:v>
                </c:pt>
                <c:pt idx="19">
                  <c:v>5.8</c:v>
                </c:pt>
                <c:pt idx="20">
                  <c:v>5.4</c:v>
                </c:pt>
                <c:pt idx="21">
                  <c:v>5.2</c:v>
                </c:pt>
                <c:pt idx="22">
                  <c:v>5.3</c:v>
                </c:pt>
                <c:pt idx="23">
                  <c:v>5.6</c:v>
                </c:pt>
                <c:pt idx="24">
                  <c:v>5.5</c:v>
                </c:pt>
                <c:pt idx="25">
                  <c:v>5.3</c:v>
                </c:pt>
                <c:pt idx="26">
                  <c:v>5.4</c:v>
                </c:pt>
                <c:pt idx="27">
                  <c:v>5.9</c:v>
                </c:pt>
                <c:pt idx="28">
                  <c:v>5.4</c:v>
                </c:pt>
                <c:pt idx="29">
                  <c:v>5.4</c:v>
                </c:pt>
                <c:pt idx="30">
                  <c:v>5.6</c:v>
                </c:pt>
                <c:pt idx="31">
                  <c:v>5.9</c:v>
                </c:pt>
                <c:pt idx="32">
                  <c:v>5.8</c:v>
                </c:pt>
                <c:pt idx="33">
                  <c:v>5.6</c:v>
                </c:pt>
                <c:pt idx="34">
                  <c:v>5.9</c:v>
                </c:pt>
                <c:pt idx="35">
                  <c:v>6.2</c:v>
                </c:pt>
                <c:pt idx="36">
                  <c:v>6.2</c:v>
                </c:pt>
              </c:numCache>
            </c:numRef>
          </c:val>
          <c:smooth val="0"/>
          <c:extLst>
            <c:ext xmlns:c16="http://schemas.microsoft.com/office/drawing/2014/chart" uri="{C3380CC4-5D6E-409C-BE32-E72D297353CC}">
              <c16:uniqueId val="{00000053-260D-4515-9C31-E2B0834F63EA}"/>
            </c:ext>
          </c:extLst>
        </c:ser>
        <c:dLbls>
          <c:showLegendKey val="0"/>
          <c:showVal val="0"/>
          <c:showCatName val="0"/>
          <c:showSerName val="0"/>
          <c:showPercent val="0"/>
          <c:showBubbleSize val="0"/>
        </c:dLbls>
        <c:marker val="1"/>
        <c:smooth val="0"/>
        <c:axId val="263240320"/>
        <c:axId val="263238784"/>
      </c:lineChart>
      <c:catAx>
        <c:axId val="26301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015808"/>
        <c:crosses val="autoZero"/>
        <c:auto val="1"/>
        <c:lblAlgn val="ctr"/>
        <c:lblOffset val="100"/>
        <c:noMultiLvlLbl val="0"/>
      </c:catAx>
      <c:valAx>
        <c:axId val="263015808"/>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014656"/>
        <c:crosses val="autoZero"/>
        <c:crossBetween val="between"/>
      </c:valAx>
      <c:valAx>
        <c:axId val="263238784"/>
        <c:scaling>
          <c:orientation val="minMax"/>
          <c:max val="10"/>
          <c:min val="4"/>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240320"/>
        <c:crosses val="max"/>
        <c:crossBetween val="between"/>
      </c:valAx>
      <c:catAx>
        <c:axId val="263240320"/>
        <c:scaling>
          <c:orientation val="minMax"/>
        </c:scaling>
        <c:delete val="1"/>
        <c:axPos val="b"/>
        <c:numFmt formatCode="General" sourceLinked="1"/>
        <c:majorTickMark val="out"/>
        <c:minorTickMark val="none"/>
        <c:tickLblPos val="nextTo"/>
        <c:crossAx val="263238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employment!$D$60</c:f>
              <c:strCache>
                <c:ptCount val="1"/>
                <c:pt idx="0">
                  <c:v>od 55 do 64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F0C6-4F7C-8A45-6A4014CD1EEB}"/>
                </c:ext>
              </c:extLst>
            </c:dLbl>
            <c:dLbl>
              <c:idx val="2"/>
              <c:delete val="1"/>
              <c:extLst>
                <c:ext xmlns:c15="http://schemas.microsoft.com/office/drawing/2012/chart" uri="{CE6537A1-D6FC-4f65-9D91-7224C49458BB}"/>
                <c:ext xmlns:c16="http://schemas.microsoft.com/office/drawing/2014/chart" uri="{C3380CC4-5D6E-409C-BE32-E72D297353CC}">
                  <c16:uniqueId val="{00000001-F0C6-4F7C-8A45-6A4014CD1EEB}"/>
                </c:ext>
              </c:extLst>
            </c:dLbl>
            <c:dLbl>
              <c:idx val="3"/>
              <c:delete val="1"/>
              <c:extLst>
                <c:ext xmlns:c15="http://schemas.microsoft.com/office/drawing/2012/chart" uri="{CE6537A1-D6FC-4f65-9D91-7224C49458BB}"/>
                <c:ext xmlns:c16="http://schemas.microsoft.com/office/drawing/2014/chart" uri="{C3380CC4-5D6E-409C-BE32-E72D297353CC}">
                  <c16:uniqueId val="{00000002-F0C6-4F7C-8A45-6A4014CD1EEB}"/>
                </c:ext>
              </c:extLst>
            </c:dLbl>
            <c:dLbl>
              <c:idx val="5"/>
              <c:delete val="1"/>
              <c:extLst>
                <c:ext xmlns:c15="http://schemas.microsoft.com/office/drawing/2012/chart" uri="{CE6537A1-D6FC-4f65-9D91-7224C49458BB}"/>
                <c:ext xmlns:c16="http://schemas.microsoft.com/office/drawing/2014/chart" uri="{C3380CC4-5D6E-409C-BE32-E72D297353CC}">
                  <c16:uniqueId val="{00000003-F0C6-4F7C-8A45-6A4014CD1EEB}"/>
                </c:ext>
              </c:extLst>
            </c:dLbl>
            <c:dLbl>
              <c:idx val="6"/>
              <c:delete val="1"/>
              <c:extLst>
                <c:ext xmlns:c15="http://schemas.microsoft.com/office/drawing/2012/chart" uri="{CE6537A1-D6FC-4f65-9D91-7224C49458BB}"/>
                <c:ext xmlns:c16="http://schemas.microsoft.com/office/drawing/2014/chart" uri="{C3380CC4-5D6E-409C-BE32-E72D297353CC}">
                  <c16:uniqueId val="{00000004-F0C6-4F7C-8A45-6A4014CD1EEB}"/>
                </c:ext>
              </c:extLst>
            </c:dLbl>
            <c:dLbl>
              <c:idx val="7"/>
              <c:delete val="1"/>
              <c:extLst>
                <c:ext xmlns:c15="http://schemas.microsoft.com/office/drawing/2012/chart" uri="{CE6537A1-D6FC-4f65-9D91-7224C49458BB}"/>
                <c:ext xmlns:c16="http://schemas.microsoft.com/office/drawing/2014/chart" uri="{C3380CC4-5D6E-409C-BE32-E72D297353CC}">
                  <c16:uniqueId val="{00000005-F0C6-4F7C-8A45-6A4014CD1EEB}"/>
                </c:ext>
              </c:extLst>
            </c:dLbl>
            <c:dLbl>
              <c:idx val="9"/>
              <c:delete val="1"/>
              <c:extLst>
                <c:ext xmlns:c15="http://schemas.microsoft.com/office/drawing/2012/chart" uri="{CE6537A1-D6FC-4f65-9D91-7224C49458BB}"/>
                <c:ext xmlns:c16="http://schemas.microsoft.com/office/drawing/2014/chart" uri="{C3380CC4-5D6E-409C-BE32-E72D297353CC}">
                  <c16:uniqueId val="{00000006-F0C6-4F7C-8A45-6A4014CD1EEB}"/>
                </c:ext>
              </c:extLst>
            </c:dLbl>
            <c:dLbl>
              <c:idx val="10"/>
              <c:delete val="1"/>
              <c:extLst>
                <c:ext xmlns:c15="http://schemas.microsoft.com/office/drawing/2012/chart" uri="{CE6537A1-D6FC-4f65-9D91-7224C49458BB}"/>
                <c:ext xmlns:c16="http://schemas.microsoft.com/office/drawing/2014/chart" uri="{C3380CC4-5D6E-409C-BE32-E72D297353CC}">
                  <c16:uniqueId val="{00000007-F0C6-4F7C-8A45-6A4014CD1EEB}"/>
                </c:ext>
              </c:extLst>
            </c:dLbl>
            <c:dLbl>
              <c:idx val="11"/>
              <c:delete val="1"/>
              <c:extLst>
                <c:ext xmlns:c15="http://schemas.microsoft.com/office/drawing/2012/chart" uri="{CE6537A1-D6FC-4f65-9D91-7224C49458BB}"/>
                <c:ext xmlns:c16="http://schemas.microsoft.com/office/drawing/2014/chart" uri="{C3380CC4-5D6E-409C-BE32-E72D297353CC}">
                  <c16:uniqueId val="{00000008-F0C6-4F7C-8A45-6A4014CD1EEB}"/>
                </c:ext>
              </c:extLst>
            </c:dLbl>
            <c:dLbl>
              <c:idx val="13"/>
              <c:delete val="1"/>
              <c:extLst>
                <c:ext xmlns:c15="http://schemas.microsoft.com/office/drawing/2012/chart" uri="{CE6537A1-D6FC-4f65-9D91-7224C49458BB}"/>
                <c:ext xmlns:c16="http://schemas.microsoft.com/office/drawing/2014/chart" uri="{C3380CC4-5D6E-409C-BE32-E72D297353CC}">
                  <c16:uniqueId val="{00000009-F0C6-4F7C-8A45-6A4014CD1EEB}"/>
                </c:ext>
              </c:extLst>
            </c:dLbl>
            <c:dLbl>
              <c:idx val="14"/>
              <c:delete val="1"/>
              <c:extLst>
                <c:ext xmlns:c15="http://schemas.microsoft.com/office/drawing/2012/chart" uri="{CE6537A1-D6FC-4f65-9D91-7224C49458BB}"/>
                <c:ext xmlns:c16="http://schemas.microsoft.com/office/drawing/2014/chart" uri="{C3380CC4-5D6E-409C-BE32-E72D297353CC}">
                  <c16:uniqueId val="{0000000A-F0C6-4F7C-8A45-6A4014CD1EEB}"/>
                </c:ext>
              </c:extLst>
            </c:dLbl>
            <c:dLbl>
              <c:idx val="15"/>
              <c:delete val="1"/>
              <c:extLst>
                <c:ext xmlns:c15="http://schemas.microsoft.com/office/drawing/2012/chart" uri="{CE6537A1-D6FC-4f65-9D91-7224C49458BB}"/>
                <c:ext xmlns:c16="http://schemas.microsoft.com/office/drawing/2014/chart" uri="{C3380CC4-5D6E-409C-BE32-E72D297353CC}">
                  <c16:uniqueId val="{0000000B-F0C6-4F7C-8A45-6A4014CD1EEB}"/>
                </c:ext>
              </c:extLst>
            </c:dLbl>
            <c:dLbl>
              <c:idx val="17"/>
              <c:delete val="1"/>
              <c:extLst>
                <c:ext xmlns:c15="http://schemas.microsoft.com/office/drawing/2012/chart" uri="{CE6537A1-D6FC-4f65-9D91-7224C49458BB}"/>
                <c:ext xmlns:c16="http://schemas.microsoft.com/office/drawing/2014/chart" uri="{C3380CC4-5D6E-409C-BE32-E72D297353CC}">
                  <c16:uniqueId val="{0000000C-F0C6-4F7C-8A45-6A4014CD1EEB}"/>
                </c:ext>
              </c:extLst>
            </c:dLbl>
            <c:dLbl>
              <c:idx val="18"/>
              <c:delete val="1"/>
              <c:extLst>
                <c:ext xmlns:c15="http://schemas.microsoft.com/office/drawing/2012/chart" uri="{CE6537A1-D6FC-4f65-9D91-7224C49458BB}"/>
                <c:ext xmlns:c16="http://schemas.microsoft.com/office/drawing/2014/chart" uri="{C3380CC4-5D6E-409C-BE32-E72D297353CC}">
                  <c16:uniqueId val="{0000000D-F0C6-4F7C-8A45-6A4014CD1EEB}"/>
                </c:ext>
              </c:extLst>
            </c:dLbl>
            <c:dLbl>
              <c:idx val="19"/>
              <c:delete val="1"/>
              <c:extLst>
                <c:ext xmlns:c15="http://schemas.microsoft.com/office/drawing/2012/chart" uri="{CE6537A1-D6FC-4f65-9D91-7224C49458BB}"/>
                <c:ext xmlns:c16="http://schemas.microsoft.com/office/drawing/2014/chart" uri="{C3380CC4-5D6E-409C-BE32-E72D297353CC}">
                  <c16:uniqueId val="{0000000E-F0C6-4F7C-8A45-6A4014CD1EEB}"/>
                </c:ext>
              </c:extLst>
            </c:dLbl>
            <c:dLbl>
              <c:idx val="21"/>
              <c:delete val="1"/>
              <c:extLst>
                <c:ext xmlns:c15="http://schemas.microsoft.com/office/drawing/2012/chart" uri="{CE6537A1-D6FC-4f65-9D91-7224C49458BB}"/>
                <c:ext xmlns:c16="http://schemas.microsoft.com/office/drawing/2014/chart" uri="{C3380CC4-5D6E-409C-BE32-E72D297353CC}">
                  <c16:uniqueId val="{0000000F-F0C6-4F7C-8A45-6A4014CD1EEB}"/>
                </c:ext>
              </c:extLst>
            </c:dLbl>
            <c:dLbl>
              <c:idx val="22"/>
              <c:delete val="1"/>
              <c:extLst>
                <c:ext xmlns:c15="http://schemas.microsoft.com/office/drawing/2012/chart" uri="{CE6537A1-D6FC-4f65-9D91-7224C49458BB}"/>
                <c:ext xmlns:c16="http://schemas.microsoft.com/office/drawing/2014/chart" uri="{C3380CC4-5D6E-409C-BE32-E72D297353CC}">
                  <c16:uniqueId val="{00000010-F0C6-4F7C-8A45-6A4014CD1EEB}"/>
                </c:ext>
              </c:extLst>
            </c:dLbl>
            <c:dLbl>
              <c:idx val="23"/>
              <c:delete val="1"/>
              <c:extLst>
                <c:ext xmlns:c15="http://schemas.microsoft.com/office/drawing/2012/chart" uri="{CE6537A1-D6FC-4f65-9D91-7224C49458BB}"/>
                <c:ext xmlns:c16="http://schemas.microsoft.com/office/drawing/2014/chart" uri="{C3380CC4-5D6E-409C-BE32-E72D297353CC}">
                  <c16:uniqueId val="{00000011-F0C6-4F7C-8A45-6A4014CD1EEB}"/>
                </c:ext>
              </c:extLst>
            </c:dLbl>
            <c:dLbl>
              <c:idx val="25"/>
              <c:delete val="1"/>
              <c:extLst>
                <c:ext xmlns:c15="http://schemas.microsoft.com/office/drawing/2012/chart" uri="{CE6537A1-D6FC-4f65-9D91-7224C49458BB}"/>
                <c:ext xmlns:c16="http://schemas.microsoft.com/office/drawing/2014/chart" uri="{C3380CC4-5D6E-409C-BE32-E72D297353CC}">
                  <c16:uniqueId val="{00000012-F0C6-4F7C-8A45-6A4014CD1EEB}"/>
                </c:ext>
              </c:extLst>
            </c:dLbl>
            <c:dLbl>
              <c:idx val="26"/>
              <c:delete val="1"/>
              <c:extLst>
                <c:ext xmlns:c15="http://schemas.microsoft.com/office/drawing/2012/chart" uri="{CE6537A1-D6FC-4f65-9D91-7224C49458BB}"/>
                <c:ext xmlns:c16="http://schemas.microsoft.com/office/drawing/2014/chart" uri="{C3380CC4-5D6E-409C-BE32-E72D297353CC}">
                  <c16:uniqueId val="{00000013-F0C6-4F7C-8A45-6A4014CD1EEB}"/>
                </c:ext>
              </c:extLst>
            </c:dLbl>
            <c:dLbl>
              <c:idx val="27"/>
              <c:delete val="1"/>
              <c:extLst>
                <c:ext xmlns:c15="http://schemas.microsoft.com/office/drawing/2012/chart" uri="{CE6537A1-D6FC-4f65-9D91-7224C49458BB}"/>
                <c:ext xmlns:c16="http://schemas.microsoft.com/office/drawing/2014/chart" uri="{C3380CC4-5D6E-409C-BE32-E72D297353CC}">
                  <c16:uniqueId val="{00000014-F0C6-4F7C-8A45-6A4014CD1EEB}"/>
                </c:ext>
              </c:extLst>
            </c:dLbl>
            <c:dLbl>
              <c:idx val="29"/>
              <c:delete val="1"/>
              <c:extLst>
                <c:ext xmlns:c15="http://schemas.microsoft.com/office/drawing/2012/chart" uri="{CE6537A1-D6FC-4f65-9D91-7224C49458BB}"/>
                <c:ext xmlns:c16="http://schemas.microsoft.com/office/drawing/2014/chart" uri="{C3380CC4-5D6E-409C-BE32-E72D297353CC}">
                  <c16:uniqueId val="{00000015-F0C6-4F7C-8A45-6A4014CD1EEB}"/>
                </c:ext>
              </c:extLst>
            </c:dLbl>
            <c:dLbl>
              <c:idx val="30"/>
              <c:delete val="1"/>
              <c:extLst>
                <c:ext xmlns:c15="http://schemas.microsoft.com/office/drawing/2012/chart" uri="{CE6537A1-D6FC-4f65-9D91-7224C49458BB}"/>
                <c:ext xmlns:c16="http://schemas.microsoft.com/office/drawing/2014/chart" uri="{C3380CC4-5D6E-409C-BE32-E72D297353CC}">
                  <c16:uniqueId val="{00000016-F0C6-4F7C-8A45-6A4014CD1EEB}"/>
                </c:ext>
              </c:extLst>
            </c:dLbl>
            <c:dLbl>
              <c:idx val="31"/>
              <c:delete val="1"/>
              <c:extLst>
                <c:ext xmlns:c15="http://schemas.microsoft.com/office/drawing/2012/chart" uri="{CE6537A1-D6FC-4f65-9D91-7224C49458BB}"/>
                <c:ext xmlns:c16="http://schemas.microsoft.com/office/drawing/2014/chart" uri="{C3380CC4-5D6E-409C-BE32-E72D297353CC}">
                  <c16:uniqueId val="{00000017-F0C6-4F7C-8A45-6A4014CD1EEB}"/>
                </c:ext>
              </c:extLst>
            </c:dLbl>
            <c:dLbl>
              <c:idx val="33"/>
              <c:delete val="1"/>
              <c:extLst>
                <c:ext xmlns:c15="http://schemas.microsoft.com/office/drawing/2012/chart" uri="{CE6537A1-D6FC-4f65-9D91-7224C49458BB}"/>
                <c:ext xmlns:c16="http://schemas.microsoft.com/office/drawing/2014/chart" uri="{C3380CC4-5D6E-409C-BE32-E72D297353CC}">
                  <c16:uniqueId val="{00000018-F0C6-4F7C-8A45-6A4014CD1EEB}"/>
                </c:ext>
              </c:extLst>
            </c:dLbl>
            <c:dLbl>
              <c:idx val="34"/>
              <c:delete val="1"/>
              <c:extLst>
                <c:ext xmlns:c15="http://schemas.microsoft.com/office/drawing/2012/chart" uri="{CE6537A1-D6FC-4f65-9D91-7224C49458BB}"/>
                <c:ext xmlns:c16="http://schemas.microsoft.com/office/drawing/2014/chart" uri="{C3380CC4-5D6E-409C-BE32-E72D297353CC}">
                  <c16:uniqueId val="{00000019-F0C6-4F7C-8A45-6A4014CD1EEB}"/>
                </c:ext>
              </c:extLst>
            </c:dLbl>
            <c:dLbl>
              <c:idx val="35"/>
              <c:delete val="1"/>
              <c:extLst>
                <c:ext xmlns:c15="http://schemas.microsoft.com/office/drawing/2012/chart" uri="{CE6537A1-D6FC-4f65-9D91-7224C49458BB}"/>
                <c:ext xmlns:c16="http://schemas.microsoft.com/office/drawing/2014/chart" uri="{C3380CC4-5D6E-409C-BE32-E72D297353CC}">
                  <c16:uniqueId val="{0000001A-F0C6-4F7C-8A45-6A4014CD1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employment!$A$61:$A$97</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employment!$D$61:$D$97</c:f>
              <c:numCache>
                <c:formatCode>#\ ##0.0</c:formatCode>
                <c:ptCount val="37"/>
                <c:pt idx="0">
                  <c:v>50.2</c:v>
                </c:pt>
                <c:pt idx="1">
                  <c:v>49.4</c:v>
                </c:pt>
                <c:pt idx="2">
                  <c:v>50.6</c:v>
                </c:pt>
                <c:pt idx="3">
                  <c:v>52.4</c:v>
                </c:pt>
                <c:pt idx="4">
                  <c:v>52.8</c:v>
                </c:pt>
                <c:pt idx="5">
                  <c:v>51</c:v>
                </c:pt>
                <c:pt idx="6">
                  <c:v>52.3</c:v>
                </c:pt>
                <c:pt idx="7">
                  <c:v>54.5</c:v>
                </c:pt>
                <c:pt idx="8">
                  <c:v>54.7</c:v>
                </c:pt>
                <c:pt idx="9">
                  <c:v>52.8</c:v>
                </c:pt>
                <c:pt idx="10">
                  <c:v>52.7</c:v>
                </c:pt>
                <c:pt idx="11">
                  <c:v>55.2</c:v>
                </c:pt>
                <c:pt idx="12">
                  <c:v>55.9</c:v>
                </c:pt>
                <c:pt idx="13">
                  <c:v>54.8</c:v>
                </c:pt>
                <c:pt idx="14">
                  <c:v>54.4</c:v>
                </c:pt>
                <c:pt idx="15">
                  <c:v>55.9</c:v>
                </c:pt>
                <c:pt idx="16">
                  <c:v>57.6</c:v>
                </c:pt>
                <c:pt idx="17">
                  <c:v>57</c:v>
                </c:pt>
                <c:pt idx="18">
                  <c:v>57.4</c:v>
                </c:pt>
                <c:pt idx="19">
                  <c:v>59.1</c:v>
                </c:pt>
                <c:pt idx="20">
                  <c:v>59.7</c:v>
                </c:pt>
                <c:pt idx="21">
                  <c:v>57.9</c:v>
                </c:pt>
                <c:pt idx="22">
                  <c:v>59.7</c:v>
                </c:pt>
                <c:pt idx="23">
                  <c:v>61.2</c:v>
                </c:pt>
                <c:pt idx="24">
                  <c:v>60.5</c:v>
                </c:pt>
                <c:pt idx="25">
                  <c:v>58.9</c:v>
                </c:pt>
                <c:pt idx="26">
                  <c:v>60.4</c:v>
                </c:pt>
                <c:pt idx="27">
                  <c:v>62.6</c:v>
                </c:pt>
                <c:pt idx="28">
                  <c:v>62.2</c:v>
                </c:pt>
                <c:pt idx="29">
                  <c:v>61.7</c:v>
                </c:pt>
                <c:pt idx="30">
                  <c:v>62.6</c:v>
                </c:pt>
                <c:pt idx="31">
                  <c:v>64.7</c:v>
                </c:pt>
                <c:pt idx="32">
                  <c:v>65.8</c:v>
                </c:pt>
                <c:pt idx="33">
                  <c:v>65.5</c:v>
                </c:pt>
                <c:pt idx="34">
                  <c:v>66.3</c:v>
                </c:pt>
                <c:pt idx="35">
                  <c:v>68.599999999999994</c:v>
                </c:pt>
                <c:pt idx="36">
                  <c:v>69.099999999999994</c:v>
                </c:pt>
              </c:numCache>
            </c:numRef>
          </c:val>
          <c:smooth val="0"/>
          <c:extLst>
            <c:ext xmlns:c16="http://schemas.microsoft.com/office/drawing/2014/chart" uri="{C3380CC4-5D6E-409C-BE32-E72D297353CC}">
              <c16:uniqueId val="{0000001B-F0C6-4F7C-8A45-6A4014CD1EEB}"/>
            </c:ext>
          </c:extLst>
        </c:ser>
        <c:ser>
          <c:idx val="0"/>
          <c:order val="0"/>
          <c:tx>
            <c:strRef>
              <c:f>employment!$B$60</c:f>
              <c:strCache>
                <c:ptCount val="1"/>
                <c:pt idx="0">
                  <c:v>od 20 do 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C-F0C6-4F7C-8A45-6A4014CD1EEB}"/>
                </c:ext>
              </c:extLst>
            </c:dLbl>
            <c:dLbl>
              <c:idx val="2"/>
              <c:delete val="1"/>
              <c:extLst>
                <c:ext xmlns:c15="http://schemas.microsoft.com/office/drawing/2012/chart" uri="{CE6537A1-D6FC-4f65-9D91-7224C49458BB}"/>
                <c:ext xmlns:c16="http://schemas.microsoft.com/office/drawing/2014/chart" uri="{C3380CC4-5D6E-409C-BE32-E72D297353CC}">
                  <c16:uniqueId val="{0000001D-F0C6-4F7C-8A45-6A4014CD1EEB}"/>
                </c:ext>
              </c:extLst>
            </c:dLbl>
            <c:dLbl>
              <c:idx val="3"/>
              <c:delete val="1"/>
              <c:extLst>
                <c:ext xmlns:c15="http://schemas.microsoft.com/office/drawing/2012/chart" uri="{CE6537A1-D6FC-4f65-9D91-7224C49458BB}"/>
                <c:ext xmlns:c16="http://schemas.microsoft.com/office/drawing/2014/chart" uri="{C3380CC4-5D6E-409C-BE32-E72D297353CC}">
                  <c16:uniqueId val="{0000001E-F0C6-4F7C-8A45-6A4014CD1EEB}"/>
                </c:ext>
              </c:extLst>
            </c:dLbl>
            <c:dLbl>
              <c:idx val="5"/>
              <c:delete val="1"/>
              <c:extLst>
                <c:ext xmlns:c15="http://schemas.microsoft.com/office/drawing/2012/chart" uri="{CE6537A1-D6FC-4f65-9D91-7224C49458BB}"/>
                <c:ext xmlns:c16="http://schemas.microsoft.com/office/drawing/2014/chart" uri="{C3380CC4-5D6E-409C-BE32-E72D297353CC}">
                  <c16:uniqueId val="{0000001F-F0C6-4F7C-8A45-6A4014CD1EEB}"/>
                </c:ext>
              </c:extLst>
            </c:dLbl>
            <c:dLbl>
              <c:idx val="6"/>
              <c:delete val="1"/>
              <c:extLst>
                <c:ext xmlns:c15="http://schemas.microsoft.com/office/drawing/2012/chart" uri="{CE6537A1-D6FC-4f65-9D91-7224C49458BB}"/>
                <c:ext xmlns:c16="http://schemas.microsoft.com/office/drawing/2014/chart" uri="{C3380CC4-5D6E-409C-BE32-E72D297353CC}">
                  <c16:uniqueId val="{00000020-F0C6-4F7C-8A45-6A4014CD1EEB}"/>
                </c:ext>
              </c:extLst>
            </c:dLbl>
            <c:dLbl>
              <c:idx val="7"/>
              <c:delete val="1"/>
              <c:extLst>
                <c:ext xmlns:c15="http://schemas.microsoft.com/office/drawing/2012/chart" uri="{CE6537A1-D6FC-4f65-9D91-7224C49458BB}"/>
                <c:ext xmlns:c16="http://schemas.microsoft.com/office/drawing/2014/chart" uri="{C3380CC4-5D6E-409C-BE32-E72D297353CC}">
                  <c16:uniqueId val="{00000021-F0C6-4F7C-8A45-6A4014CD1EEB}"/>
                </c:ext>
              </c:extLst>
            </c:dLbl>
            <c:dLbl>
              <c:idx val="9"/>
              <c:delete val="1"/>
              <c:extLst>
                <c:ext xmlns:c15="http://schemas.microsoft.com/office/drawing/2012/chart" uri="{CE6537A1-D6FC-4f65-9D91-7224C49458BB}"/>
                <c:ext xmlns:c16="http://schemas.microsoft.com/office/drawing/2014/chart" uri="{C3380CC4-5D6E-409C-BE32-E72D297353CC}">
                  <c16:uniqueId val="{00000022-F0C6-4F7C-8A45-6A4014CD1EEB}"/>
                </c:ext>
              </c:extLst>
            </c:dLbl>
            <c:dLbl>
              <c:idx val="10"/>
              <c:delete val="1"/>
              <c:extLst>
                <c:ext xmlns:c15="http://schemas.microsoft.com/office/drawing/2012/chart" uri="{CE6537A1-D6FC-4f65-9D91-7224C49458BB}"/>
                <c:ext xmlns:c16="http://schemas.microsoft.com/office/drawing/2014/chart" uri="{C3380CC4-5D6E-409C-BE32-E72D297353CC}">
                  <c16:uniqueId val="{00000023-F0C6-4F7C-8A45-6A4014CD1EEB}"/>
                </c:ext>
              </c:extLst>
            </c:dLbl>
            <c:dLbl>
              <c:idx val="11"/>
              <c:delete val="1"/>
              <c:extLst>
                <c:ext xmlns:c15="http://schemas.microsoft.com/office/drawing/2012/chart" uri="{CE6537A1-D6FC-4f65-9D91-7224C49458BB}"/>
                <c:ext xmlns:c16="http://schemas.microsoft.com/office/drawing/2014/chart" uri="{C3380CC4-5D6E-409C-BE32-E72D297353CC}">
                  <c16:uniqueId val="{00000024-F0C6-4F7C-8A45-6A4014CD1EEB}"/>
                </c:ext>
              </c:extLst>
            </c:dLbl>
            <c:dLbl>
              <c:idx val="13"/>
              <c:delete val="1"/>
              <c:extLst>
                <c:ext xmlns:c15="http://schemas.microsoft.com/office/drawing/2012/chart" uri="{CE6537A1-D6FC-4f65-9D91-7224C49458BB}"/>
                <c:ext xmlns:c16="http://schemas.microsoft.com/office/drawing/2014/chart" uri="{C3380CC4-5D6E-409C-BE32-E72D297353CC}">
                  <c16:uniqueId val="{00000025-F0C6-4F7C-8A45-6A4014CD1EEB}"/>
                </c:ext>
              </c:extLst>
            </c:dLbl>
            <c:dLbl>
              <c:idx val="14"/>
              <c:delete val="1"/>
              <c:extLst>
                <c:ext xmlns:c15="http://schemas.microsoft.com/office/drawing/2012/chart" uri="{CE6537A1-D6FC-4f65-9D91-7224C49458BB}"/>
                <c:ext xmlns:c16="http://schemas.microsoft.com/office/drawing/2014/chart" uri="{C3380CC4-5D6E-409C-BE32-E72D297353CC}">
                  <c16:uniqueId val="{00000026-F0C6-4F7C-8A45-6A4014CD1EEB}"/>
                </c:ext>
              </c:extLst>
            </c:dLbl>
            <c:dLbl>
              <c:idx val="15"/>
              <c:delete val="1"/>
              <c:extLst>
                <c:ext xmlns:c15="http://schemas.microsoft.com/office/drawing/2012/chart" uri="{CE6537A1-D6FC-4f65-9D91-7224C49458BB}"/>
                <c:ext xmlns:c16="http://schemas.microsoft.com/office/drawing/2014/chart" uri="{C3380CC4-5D6E-409C-BE32-E72D297353CC}">
                  <c16:uniqueId val="{00000027-F0C6-4F7C-8A45-6A4014CD1EEB}"/>
                </c:ext>
              </c:extLst>
            </c:dLbl>
            <c:dLbl>
              <c:idx val="17"/>
              <c:delete val="1"/>
              <c:extLst>
                <c:ext xmlns:c15="http://schemas.microsoft.com/office/drawing/2012/chart" uri="{CE6537A1-D6FC-4f65-9D91-7224C49458BB}"/>
                <c:ext xmlns:c16="http://schemas.microsoft.com/office/drawing/2014/chart" uri="{C3380CC4-5D6E-409C-BE32-E72D297353CC}">
                  <c16:uniqueId val="{00000028-F0C6-4F7C-8A45-6A4014CD1EEB}"/>
                </c:ext>
              </c:extLst>
            </c:dLbl>
            <c:dLbl>
              <c:idx val="18"/>
              <c:delete val="1"/>
              <c:extLst>
                <c:ext xmlns:c15="http://schemas.microsoft.com/office/drawing/2012/chart" uri="{CE6537A1-D6FC-4f65-9D91-7224C49458BB}"/>
                <c:ext xmlns:c16="http://schemas.microsoft.com/office/drawing/2014/chart" uri="{C3380CC4-5D6E-409C-BE32-E72D297353CC}">
                  <c16:uniqueId val="{00000029-F0C6-4F7C-8A45-6A4014CD1EEB}"/>
                </c:ext>
              </c:extLst>
            </c:dLbl>
            <c:dLbl>
              <c:idx val="19"/>
              <c:delete val="1"/>
              <c:extLst>
                <c:ext xmlns:c15="http://schemas.microsoft.com/office/drawing/2012/chart" uri="{CE6537A1-D6FC-4f65-9D91-7224C49458BB}"/>
                <c:ext xmlns:c16="http://schemas.microsoft.com/office/drawing/2014/chart" uri="{C3380CC4-5D6E-409C-BE32-E72D297353CC}">
                  <c16:uniqueId val="{0000002A-F0C6-4F7C-8A45-6A4014CD1EEB}"/>
                </c:ext>
              </c:extLst>
            </c:dLbl>
            <c:dLbl>
              <c:idx val="21"/>
              <c:delete val="1"/>
              <c:extLst>
                <c:ext xmlns:c15="http://schemas.microsoft.com/office/drawing/2012/chart" uri="{CE6537A1-D6FC-4f65-9D91-7224C49458BB}"/>
                <c:ext xmlns:c16="http://schemas.microsoft.com/office/drawing/2014/chart" uri="{C3380CC4-5D6E-409C-BE32-E72D297353CC}">
                  <c16:uniqueId val="{0000002B-F0C6-4F7C-8A45-6A4014CD1EEB}"/>
                </c:ext>
              </c:extLst>
            </c:dLbl>
            <c:dLbl>
              <c:idx val="22"/>
              <c:delete val="1"/>
              <c:extLst>
                <c:ext xmlns:c15="http://schemas.microsoft.com/office/drawing/2012/chart" uri="{CE6537A1-D6FC-4f65-9D91-7224C49458BB}"/>
                <c:ext xmlns:c16="http://schemas.microsoft.com/office/drawing/2014/chart" uri="{C3380CC4-5D6E-409C-BE32-E72D297353CC}">
                  <c16:uniqueId val="{0000002C-F0C6-4F7C-8A45-6A4014CD1EEB}"/>
                </c:ext>
              </c:extLst>
            </c:dLbl>
            <c:dLbl>
              <c:idx val="23"/>
              <c:delete val="1"/>
              <c:extLst>
                <c:ext xmlns:c15="http://schemas.microsoft.com/office/drawing/2012/chart" uri="{CE6537A1-D6FC-4f65-9D91-7224C49458BB}"/>
                <c:ext xmlns:c16="http://schemas.microsoft.com/office/drawing/2014/chart" uri="{C3380CC4-5D6E-409C-BE32-E72D297353CC}">
                  <c16:uniqueId val="{0000002D-F0C6-4F7C-8A45-6A4014CD1EEB}"/>
                </c:ext>
              </c:extLst>
            </c:dLbl>
            <c:dLbl>
              <c:idx val="25"/>
              <c:delete val="1"/>
              <c:extLst>
                <c:ext xmlns:c15="http://schemas.microsoft.com/office/drawing/2012/chart" uri="{CE6537A1-D6FC-4f65-9D91-7224C49458BB}"/>
                <c:ext xmlns:c16="http://schemas.microsoft.com/office/drawing/2014/chart" uri="{C3380CC4-5D6E-409C-BE32-E72D297353CC}">
                  <c16:uniqueId val="{0000002E-F0C6-4F7C-8A45-6A4014CD1EEB}"/>
                </c:ext>
              </c:extLst>
            </c:dLbl>
            <c:dLbl>
              <c:idx val="26"/>
              <c:delete val="1"/>
              <c:extLst>
                <c:ext xmlns:c15="http://schemas.microsoft.com/office/drawing/2012/chart" uri="{CE6537A1-D6FC-4f65-9D91-7224C49458BB}"/>
                <c:ext xmlns:c16="http://schemas.microsoft.com/office/drawing/2014/chart" uri="{C3380CC4-5D6E-409C-BE32-E72D297353CC}">
                  <c16:uniqueId val="{0000002F-F0C6-4F7C-8A45-6A4014CD1EEB}"/>
                </c:ext>
              </c:extLst>
            </c:dLbl>
            <c:dLbl>
              <c:idx val="27"/>
              <c:delete val="1"/>
              <c:extLst>
                <c:ext xmlns:c15="http://schemas.microsoft.com/office/drawing/2012/chart" uri="{CE6537A1-D6FC-4f65-9D91-7224C49458BB}"/>
                <c:ext xmlns:c16="http://schemas.microsoft.com/office/drawing/2014/chart" uri="{C3380CC4-5D6E-409C-BE32-E72D297353CC}">
                  <c16:uniqueId val="{00000030-F0C6-4F7C-8A45-6A4014CD1EEB}"/>
                </c:ext>
              </c:extLst>
            </c:dLbl>
            <c:dLbl>
              <c:idx val="29"/>
              <c:delete val="1"/>
              <c:extLst>
                <c:ext xmlns:c15="http://schemas.microsoft.com/office/drawing/2012/chart" uri="{CE6537A1-D6FC-4f65-9D91-7224C49458BB}"/>
                <c:ext xmlns:c16="http://schemas.microsoft.com/office/drawing/2014/chart" uri="{C3380CC4-5D6E-409C-BE32-E72D297353CC}">
                  <c16:uniqueId val="{00000031-F0C6-4F7C-8A45-6A4014CD1EEB}"/>
                </c:ext>
              </c:extLst>
            </c:dLbl>
            <c:dLbl>
              <c:idx val="30"/>
              <c:delete val="1"/>
              <c:extLst>
                <c:ext xmlns:c15="http://schemas.microsoft.com/office/drawing/2012/chart" uri="{CE6537A1-D6FC-4f65-9D91-7224C49458BB}"/>
                <c:ext xmlns:c16="http://schemas.microsoft.com/office/drawing/2014/chart" uri="{C3380CC4-5D6E-409C-BE32-E72D297353CC}">
                  <c16:uniqueId val="{00000032-F0C6-4F7C-8A45-6A4014CD1EEB}"/>
                </c:ext>
              </c:extLst>
            </c:dLbl>
            <c:dLbl>
              <c:idx val="31"/>
              <c:delete val="1"/>
              <c:extLst>
                <c:ext xmlns:c15="http://schemas.microsoft.com/office/drawing/2012/chart" uri="{CE6537A1-D6FC-4f65-9D91-7224C49458BB}"/>
                <c:ext xmlns:c16="http://schemas.microsoft.com/office/drawing/2014/chart" uri="{C3380CC4-5D6E-409C-BE32-E72D297353CC}">
                  <c16:uniqueId val="{00000033-F0C6-4F7C-8A45-6A4014CD1EEB}"/>
                </c:ext>
              </c:extLst>
            </c:dLbl>
            <c:dLbl>
              <c:idx val="33"/>
              <c:delete val="1"/>
              <c:extLst>
                <c:ext xmlns:c15="http://schemas.microsoft.com/office/drawing/2012/chart" uri="{CE6537A1-D6FC-4f65-9D91-7224C49458BB}"/>
                <c:ext xmlns:c16="http://schemas.microsoft.com/office/drawing/2014/chart" uri="{C3380CC4-5D6E-409C-BE32-E72D297353CC}">
                  <c16:uniqueId val="{00000034-F0C6-4F7C-8A45-6A4014CD1EEB}"/>
                </c:ext>
              </c:extLst>
            </c:dLbl>
            <c:dLbl>
              <c:idx val="34"/>
              <c:delete val="1"/>
              <c:extLst>
                <c:ext xmlns:c15="http://schemas.microsoft.com/office/drawing/2012/chart" uri="{CE6537A1-D6FC-4f65-9D91-7224C49458BB}"/>
                <c:ext xmlns:c16="http://schemas.microsoft.com/office/drawing/2014/chart" uri="{C3380CC4-5D6E-409C-BE32-E72D297353CC}">
                  <c16:uniqueId val="{00000035-F0C6-4F7C-8A45-6A4014CD1EEB}"/>
                </c:ext>
              </c:extLst>
            </c:dLbl>
            <c:dLbl>
              <c:idx val="35"/>
              <c:delete val="1"/>
              <c:extLst>
                <c:ext xmlns:c15="http://schemas.microsoft.com/office/drawing/2012/chart" uri="{CE6537A1-D6FC-4f65-9D91-7224C49458BB}"/>
                <c:ext xmlns:c16="http://schemas.microsoft.com/office/drawing/2014/chart" uri="{C3380CC4-5D6E-409C-BE32-E72D297353CC}">
                  <c16:uniqueId val="{00000036-F0C6-4F7C-8A45-6A4014CD1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employment!$A$61:$A$97</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employment!$B$61:$B$97</c:f>
              <c:numCache>
                <c:formatCode>#\ ##0.0</c:formatCode>
                <c:ptCount val="37"/>
                <c:pt idx="0">
                  <c:v>72.3</c:v>
                </c:pt>
                <c:pt idx="1">
                  <c:v>70.8</c:v>
                </c:pt>
                <c:pt idx="2">
                  <c:v>72.099999999999994</c:v>
                </c:pt>
                <c:pt idx="3">
                  <c:v>73</c:v>
                </c:pt>
                <c:pt idx="4">
                  <c:v>72.7</c:v>
                </c:pt>
                <c:pt idx="5">
                  <c:v>71.8</c:v>
                </c:pt>
                <c:pt idx="6">
                  <c:v>73.3</c:v>
                </c:pt>
                <c:pt idx="7">
                  <c:v>74.900000000000006</c:v>
                </c:pt>
                <c:pt idx="8">
                  <c:v>74.599999999999994</c:v>
                </c:pt>
                <c:pt idx="9">
                  <c:v>73.400000000000006</c:v>
                </c:pt>
                <c:pt idx="10">
                  <c:v>74.099999999999994</c:v>
                </c:pt>
                <c:pt idx="11">
                  <c:v>75.599999999999994</c:v>
                </c:pt>
                <c:pt idx="12">
                  <c:v>75.599999999999994</c:v>
                </c:pt>
                <c:pt idx="13">
                  <c:v>75.3</c:v>
                </c:pt>
                <c:pt idx="14">
                  <c:v>76</c:v>
                </c:pt>
                <c:pt idx="15">
                  <c:v>77</c:v>
                </c:pt>
                <c:pt idx="16">
                  <c:v>77.3</c:v>
                </c:pt>
                <c:pt idx="17">
                  <c:v>77.2</c:v>
                </c:pt>
                <c:pt idx="18">
                  <c:v>77.900000000000006</c:v>
                </c:pt>
                <c:pt idx="19">
                  <c:v>78.900000000000006</c:v>
                </c:pt>
                <c:pt idx="20">
                  <c:v>78.8</c:v>
                </c:pt>
                <c:pt idx="21">
                  <c:v>78.5</c:v>
                </c:pt>
                <c:pt idx="22">
                  <c:v>79.400000000000006</c:v>
                </c:pt>
                <c:pt idx="23">
                  <c:v>80</c:v>
                </c:pt>
                <c:pt idx="24">
                  <c:v>79.8</c:v>
                </c:pt>
                <c:pt idx="25">
                  <c:v>79.599999999999994</c:v>
                </c:pt>
                <c:pt idx="26">
                  <c:v>80.5</c:v>
                </c:pt>
                <c:pt idx="27">
                  <c:v>81.3</c:v>
                </c:pt>
                <c:pt idx="28">
                  <c:v>81.599999999999994</c:v>
                </c:pt>
                <c:pt idx="29">
                  <c:v>81.099999999999994</c:v>
                </c:pt>
                <c:pt idx="30">
                  <c:v>80.7</c:v>
                </c:pt>
                <c:pt idx="31">
                  <c:v>81.8</c:v>
                </c:pt>
                <c:pt idx="32">
                  <c:v>82</c:v>
                </c:pt>
                <c:pt idx="33">
                  <c:v>81.5</c:v>
                </c:pt>
                <c:pt idx="34">
                  <c:v>82</c:v>
                </c:pt>
                <c:pt idx="35">
                  <c:v>83.1</c:v>
                </c:pt>
                <c:pt idx="36">
                  <c:v>83.1</c:v>
                </c:pt>
              </c:numCache>
            </c:numRef>
          </c:val>
          <c:smooth val="0"/>
          <c:extLst>
            <c:ext xmlns:c16="http://schemas.microsoft.com/office/drawing/2014/chart" uri="{C3380CC4-5D6E-409C-BE32-E72D297353CC}">
              <c16:uniqueId val="{00000037-F0C6-4F7C-8A45-6A4014CD1EEB}"/>
            </c:ext>
          </c:extLst>
        </c:ser>
        <c:dLbls>
          <c:dLblPos val="t"/>
          <c:showLegendKey val="0"/>
          <c:showVal val="1"/>
          <c:showCatName val="0"/>
          <c:showSerName val="0"/>
          <c:showPercent val="0"/>
          <c:showBubbleSize val="0"/>
        </c:dLbls>
        <c:marker val="1"/>
        <c:smooth val="0"/>
        <c:axId val="263146880"/>
        <c:axId val="263283840"/>
        <c:extLst>
          <c:ext xmlns:c15="http://schemas.microsoft.com/office/drawing/2012/chart" uri="{02D57815-91ED-43cb-92C2-25804820EDAC}">
            <c15:filteredLineSeries>
              <c15:ser>
                <c:idx val="1"/>
                <c:order val="1"/>
                <c:tx>
                  <c:strRef>
                    <c:extLst>
                      <c:ext uri="{02D57815-91ED-43cb-92C2-25804820EDAC}">
                        <c15:formulaRef>
                          <c15:sqref>employment!$C$60</c15:sqref>
                        </c15:formulaRef>
                      </c:ext>
                    </c:extLst>
                    <c:strCache>
                      <c:ptCount val="1"/>
                      <c:pt idx="0">
                        <c:v>od 55 do 59</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employment!$A$61:$A$97</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c:ext uri="{02D57815-91ED-43cb-92C2-25804820EDAC}">
                        <c15:formulaRef>
                          <c15:sqref>employment!$C$61:$C$97</c15:sqref>
                        </c15:formulaRef>
                      </c:ext>
                    </c:extLst>
                    <c:numCache>
                      <c:formatCode>#\ ##0.0</c:formatCode>
                      <c:ptCount val="37"/>
                      <c:pt idx="0">
                        <c:v>63.5</c:v>
                      </c:pt>
                      <c:pt idx="1">
                        <c:v>62.9</c:v>
                      </c:pt>
                      <c:pt idx="2">
                        <c:v>63.4</c:v>
                      </c:pt>
                      <c:pt idx="3">
                        <c:v>65.900000000000006</c:v>
                      </c:pt>
                      <c:pt idx="4">
                        <c:v>65.3</c:v>
                      </c:pt>
                      <c:pt idx="5">
                        <c:v>63.1</c:v>
                      </c:pt>
                      <c:pt idx="6">
                        <c:v>65.3</c:v>
                      </c:pt>
                      <c:pt idx="7">
                        <c:v>67.599999999999994</c:v>
                      </c:pt>
                      <c:pt idx="8">
                        <c:v>66.900000000000006</c:v>
                      </c:pt>
                      <c:pt idx="9">
                        <c:v>65</c:v>
                      </c:pt>
                      <c:pt idx="10">
                        <c:v>65.900000000000006</c:v>
                      </c:pt>
                      <c:pt idx="11">
                        <c:v>68.7</c:v>
                      </c:pt>
                      <c:pt idx="12">
                        <c:v>69</c:v>
                      </c:pt>
                      <c:pt idx="13">
                        <c:v>66.7</c:v>
                      </c:pt>
                      <c:pt idx="14">
                        <c:v>66.599999999999994</c:v>
                      </c:pt>
                      <c:pt idx="15">
                        <c:v>68.8</c:v>
                      </c:pt>
                      <c:pt idx="16">
                        <c:v>70</c:v>
                      </c:pt>
                      <c:pt idx="17">
                        <c:v>68.099999999999994</c:v>
                      </c:pt>
                      <c:pt idx="18">
                        <c:v>70.099999999999994</c:v>
                      </c:pt>
                      <c:pt idx="19">
                        <c:v>71.3</c:v>
                      </c:pt>
                      <c:pt idx="20">
                        <c:v>71.7</c:v>
                      </c:pt>
                      <c:pt idx="21">
                        <c:v>70.2</c:v>
                      </c:pt>
                      <c:pt idx="22">
                        <c:v>72</c:v>
                      </c:pt>
                      <c:pt idx="23">
                        <c:v>73</c:v>
                      </c:pt>
                      <c:pt idx="24">
                        <c:v>72.5</c:v>
                      </c:pt>
                      <c:pt idx="25">
                        <c:v>70.7</c:v>
                      </c:pt>
                      <c:pt idx="26">
                        <c:v>72.3</c:v>
                      </c:pt>
                      <c:pt idx="27">
                        <c:v>74</c:v>
                      </c:pt>
                      <c:pt idx="28">
                        <c:v>72.8</c:v>
                      </c:pt>
                      <c:pt idx="29">
                        <c:v>72.400000000000006</c:v>
                      </c:pt>
                      <c:pt idx="30">
                        <c:v>73</c:v>
                      </c:pt>
                      <c:pt idx="31">
                        <c:v>75.3</c:v>
                      </c:pt>
                      <c:pt idx="32">
                        <c:v>76.5</c:v>
                      </c:pt>
                      <c:pt idx="33">
                        <c:v>75.099999999999994</c:v>
                      </c:pt>
                      <c:pt idx="34">
                        <c:v>75.7</c:v>
                      </c:pt>
                      <c:pt idx="35">
                        <c:v>78.7</c:v>
                      </c:pt>
                      <c:pt idx="36">
                        <c:v>78.2</c:v>
                      </c:pt>
                    </c:numCache>
                  </c:numRef>
                </c:val>
                <c:smooth val="0"/>
                <c:extLst>
                  <c:ext xmlns:c16="http://schemas.microsoft.com/office/drawing/2014/chart" uri="{C3380CC4-5D6E-409C-BE32-E72D297353CC}">
                    <c16:uniqueId val="{00000054-F0C6-4F7C-8A45-6A4014CD1EE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employment!$E$60</c15:sqref>
                        </c15:formulaRef>
                      </c:ext>
                    </c:extLst>
                    <c:strCache>
                      <c:ptCount val="1"/>
                      <c:pt idx="0">
                        <c:v>od 60 do 64 (prawa oś)</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employment!$A$61:$A$97</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xmlns:c15="http://schemas.microsoft.com/office/drawing/2012/chart">
                      <c:ext xmlns:c15="http://schemas.microsoft.com/office/drawing/2012/chart" uri="{02D57815-91ED-43cb-92C2-25804820EDAC}">
                        <c15:formulaRef>
                          <c15:sqref>employment!$E$61:$E$97</c15:sqref>
                        </c15:formulaRef>
                      </c:ext>
                    </c:extLst>
                    <c:numCache>
                      <c:formatCode>#\ ##0.0</c:formatCode>
                      <c:ptCount val="37"/>
                      <c:pt idx="0">
                        <c:v>34.6</c:v>
                      </c:pt>
                      <c:pt idx="1">
                        <c:v>33.6</c:v>
                      </c:pt>
                      <c:pt idx="2">
                        <c:v>35.700000000000003</c:v>
                      </c:pt>
                      <c:pt idx="3">
                        <c:v>36.700000000000003</c:v>
                      </c:pt>
                      <c:pt idx="4">
                        <c:v>38.4</c:v>
                      </c:pt>
                      <c:pt idx="5">
                        <c:v>37.200000000000003</c:v>
                      </c:pt>
                      <c:pt idx="6">
                        <c:v>37.5</c:v>
                      </c:pt>
                      <c:pt idx="7">
                        <c:v>39.6</c:v>
                      </c:pt>
                      <c:pt idx="8">
                        <c:v>40.9</c:v>
                      </c:pt>
                      <c:pt idx="9">
                        <c:v>39.200000000000003</c:v>
                      </c:pt>
                      <c:pt idx="10">
                        <c:v>38</c:v>
                      </c:pt>
                      <c:pt idx="11">
                        <c:v>40.299999999999997</c:v>
                      </c:pt>
                      <c:pt idx="12">
                        <c:v>41.4</c:v>
                      </c:pt>
                      <c:pt idx="13">
                        <c:v>42.4</c:v>
                      </c:pt>
                      <c:pt idx="14">
                        <c:v>41.5</c:v>
                      </c:pt>
                      <c:pt idx="15">
                        <c:v>42.6</c:v>
                      </c:pt>
                      <c:pt idx="16">
                        <c:v>44.8</c:v>
                      </c:pt>
                      <c:pt idx="17">
                        <c:v>45.8</c:v>
                      </c:pt>
                      <c:pt idx="18">
                        <c:v>44.7</c:v>
                      </c:pt>
                      <c:pt idx="19">
                        <c:v>47.3</c:v>
                      </c:pt>
                      <c:pt idx="20">
                        <c:v>48.2</c:v>
                      </c:pt>
                      <c:pt idx="21">
                        <c:v>46.1</c:v>
                      </c:pt>
                      <c:pt idx="22">
                        <c:v>48.1</c:v>
                      </c:pt>
                      <c:pt idx="23">
                        <c:v>50.2</c:v>
                      </c:pt>
                      <c:pt idx="24">
                        <c:v>49.6</c:v>
                      </c:pt>
                      <c:pt idx="25">
                        <c:v>48.2</c:v>
                      </c:pt>
                      <c:pt idx="26">
                        <c:v>49.6</c:v>
                      </c:pt>
                      <c:pt idx="27">
                        <c:v>52.4</c:v>
                      </c:pt>
                      <c:pt idx="28">
                        <c:v>52.8</c:v>
                      </c:pt>
                      <c:pt idx="29">
                        <c:v>52.2</c:v>
                      </c:pt>
                      <c:pt idx="30">
                        <c:v>53.3</c:v>
                      </c:pt>
                      <c:pt idx="31">
                        <c:v>55.4</c:v>
                      </c:pt>
                      <c:pt idx="32">
                        <c:v>56.4</c:v>
                      </c:pt>
                      <c:pt idx="33">
                        <c:v>57.1</c:v>
                      </c:pt>
                      <c:pt idx="34">
                        <c:v>58</c:v>
                      </c:pt>
                      <c:pt idx="35">
                        <c:v>59.6</c:v>
                      </c:pt>
                      <c:pt idx="36">
                        <c:v>60.9</c:v>
                      </c:pt>
                    </c:numCache>
                  </c:numRef>
                </c:val>
                <c:smooth val="0"/>
                <c:extLst xmlns:c15="http://schemas.microsoft.com/office/drawing/2012/chart">
                  <c:ext xmlns:c16="http://schemas.microsoft.com/office/drawing/2014/chart" uri="{C3380CC4-5D6E-409C-BE32-E72D297353CC}">
                    <c16:uniqueId val="{00000055-F0C6-4F7C-8A45-6A4014CD1EEB}"/>
                  </c:ext>
                </c:extLst>
              </c15:ser>
            </c15:filteredLineSeries>
          </c:ext>
        </c:extLst>
      </c:lineChart>
      <c:lineChart>
        <c:grouping val="standard"/>
        <c:varyColors val="0"/>
        <c:ser>
          <c:idx val="4"/>
          <c:order val="4"/>
          <c:tx>
            <c:strRef>
              <c:f>employment!$F$60</c:f>
              <c:strCache>
                <c:ptCount val="1"/>
                <c:pt idx="0">
                  <c:v>powyżej 65 (prawa oś)</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38-F0C6-4F7C-8A45-6A4014CD1EEB}"/>
                </c:ext>
              </c:extLst>
            </c:dLbl>
            <c:dLbl>
              <c:idx val="2"/>
              <c:delete val="1"/>
              <c:extLst>
                <c:ext xmlns:c15="http://schemas.microsoft.com/office/drawing/2012/chart" uri="{CE6537A1-D6FC-4f65-9D91-7224C49458BB}"/>
                <c:ext xmlns:c16="http://schemas.microsoft.com/office/drawing/2014/chart" uri="{C3380CC4-5D6E-409C-BE32-E72D297353CC}">
                  <c16:uniqueId val="{00000039-F0C6-4F7C-8A45-6A4014CD1EEB}"/>
                </c:ext>
              </c:extLst>
            </c:dLbl>
            <c:dLbl>
              <c:idx val="3"/>
              <c:delete val="1"/>
              <c:extLst>
                <c:ext xmlns:c15="http://schemas.microsoft.com/office/drawing/2012/chart" uri="{CE6537A1-D6FC-4f65-9D91-7224C49458BB}"/>
                <c:ext xmlns:c16="http://schemas.microsoft.com/office/drawing/2014/chart" uri="{C3380CC4-5D6E-409C-BE32-E72D297353CC}">
                  <c16:uniqueId val="{0000003A-F0C6-4F7C-8A45-6A4014CD1EEB}"/>
                </c:ext>
              </c:extLst>
            </c:dLbl>
            <c:dLbl>
              <c:idx val="5"/>
              <c:delete val="1"/>
              <c:extLst>
                <c:ext xmlns:c15="http://schemas.microsoft.com/office/drawing/2012/chart" uri="{CE6537A1-D6FC-4f65-9D91-7224C49458BB}"/>
                <c:ext xmlns:c16="http://schemas.microsoft.com/office/drawing/2014/chart" uri="{C3380CC4-5D6E-409C-BE32-E72D297353CC}">
                  <c16:uniqueId val="{0000003B-F0C6-4F7C-8A45-6A4014CD1EEB}"/>
                </c:ext>
              </c:extLst>
            </c:dLbl>
            <c:dLbl>
              <c:idx val="6"/>
              <c:delete val="1"/>
              <c:extLst>
                <c:ext xmlns:c15="http://schemas.microsoft.com/office/drawing/2012/chart" uri="{CE6537A1-D6FC-4f65-9D91-7224C49458BB}"/>
                <c:ext xmlns:c16="http://schemas.microsoft.com/office/drawing/2014/chart" uri="{C3380CC4-5D6E-409C-BE32-E72D297353CC}">
                  <c16:uniqueId val="{0000003C-F0C6-4F7C-8A45-6A4014CD1EEB}"/>
                </c:ext>
              </c:extLst>
            </c:dLbl>
            <c:dLbl>
              <c:idx val="7"/>
              <c:delete val="1"/>
              <c:extLst>
                <c:ext xmlns:c15="http://schemas.microsoft.com/office/drawing/2012/chart" uri="{CE6537A1-D6FC-4f65-9D91-7224C49458BB}"/>
                <c:ext xmlns:c16="http://schemas.microsoft.com/office/drawing/2014/chart" uri="{C3380CC4-5D6E-409C-BE32-E72D297353CC}">
                  <c16:uniqueId val="{0000003D-F0C6-4F7C-8A45-6A4014CD1EEB}"/>
                </c:ext>
              </c:extLst>
            </c:dLbl>
            <c:dLbl>
              <c:idx val="9"/>
              <c:delete val="1"/>
              <c:extLst>
                <c:ext xmlns:c15="http://schemas.microsoft.com/office/drawing/2012/chart" uri="{CE6537A1-D6FC-4f65-9D91-7224C49458BB}"/>
                <c:ext xmlns:c16="http://schemas.microsoft.com/office/drawing/2014/chart" uri="{C3380CC4-5D6E-409C-BE32-E72D297353CC}">
                  <c16:uniqueId val="{0000003E-F0C6-4F7C-8A45-6A4014CD1EEB}"/>
                </c:ext>
              </c:extLst>
            </c:dLbl>
            <c:dLbl>
              <c:idx val="10"/>
              <c:delete val="1"/>
              <c:extLst>
                <c:ext xmlns:c15="http://schemas.microsoft.com/office/drawing/2012/chart" uri="{CE6537A1-D6FC-4f65-9D91-7224C49458BB}"/>
                <c:ext xmlns:c16="http://schemas.microsoft.com/office/drawing/2014/chart" uri="{C3380CC4-5D6E-409C-BE32-E72D297353CC}">
                  <c16:uniqueId val="{0000003F-F0C6-4F7C-8A45-6A4014CD1EEB}"/>
                </c:ext>
              </c:extLst>
            </c:dLbl>
            <c:dLbl>
              <c:idx val="11"/>
              <c:delete val="1"/>
              <c:extLst>
                <c:ext xmlns:c15="http://schemas.microsoft.com/office/drawing/2012/chart" uri="{CE6537A1-D6FC-4f65-9D91-7224C49458BB}"/>
                <c:ext xmlns:c16="http://schemas.microsoft.com/office/drawing/2014/chart" uri="{C3380CC4-5D6E-409C-BE32-E72D297353CC}">
                  <c16:uniqueId val="{00000040-F0C6-4F7C-8A45-6A4014CD1EEB}"/>
                </c:ext>
              </c:extLst>
            </c:dLbl>
            <c:dLbl>
              <c:idx val="13"/>
              <c:delete val="1"/>
              <c:extLst>
                <c:ext xmlns:c15="http://schemas.microsoft.com/office/drawing/2012/chart" uri="{CE6537A1-D6FC-4f65-9D91-7224C49458BB}"/>
                <c:ext xmlns:c16="http://schemas.microsoft.com/office/drawing/2014/chart" uri="{C3380CC4-5D6E-409C-BE32-E72D297353CC}">
                  <c16:uniqueId val="{00000041-F0C6-4F7C-8A45-6A4014CD1EEB}"/>
                </c:ext>
              </c:extLst>
            </c:dLbl>
            <c:dLbl>
              <c:idx val="14"/>
              <c:delete val="1"/>
              <c:extLst>
                <c:ext xmlns:c15="http://schemas.microsoft.com/office/drawing/2012/chart" uri="{CE6537A1-D6FC-4f65-9D91-7224C49458BB}"/>
                <c:ext xmlns:c16="http://schemas.microsoft.com/office/drawing/2014/chart" uri="{C3380CC4-5D6E-409C-BE32-E72D297353CC}">
                  <c16:uniqueId val="{00000042-F0C6-4F7C-8A45-6A4014CD1EEB}"/>
                </c:ext>
              </c:extLst>
            </c:dLbl>
            <c:dLbl>
              <c:idx val="15"/>
              <c:delete val="1"/>
              <c:extLst>
                <c:ext xmlns:c15="http://schemas.microsoft.com/office/drawing/2012/chart" uri="{CE6537A1-D6FC-4f65-9D91-7224C49458BB}"/>
                <c:ext xmlns:c16="http://schemas.microsoft.com/office/drawing/2014/chart" uri="{C3380CC4-5D6E-409C-BE32-E72D297353CC}">
                  <c16:uniqueId val="{00000043-F0C6-4F7C-8A45-6A4014CD1EEB}"/>
                </c:ext>
              </c:extLst>
            </c:dLbl>
            <c:dLbl>
              <c:idx val="17"/>
              <c:delete val="1"/>
              <c:extLst>
                <c:ext xmlns:c15="http://schemas.microsoft.com/office/drawing/2012/chart" uri="{CE6537A1-D6FC-4f65-9D91-7224C49458BB}"/>
                <c:ext xmlns:c16="http://schemas.microsoft.com/office/drawing/2014/chart" uri="{C3380CC4-5D6E-409C-BE32-E72D297353CC}">
                  <c16:uniqueId val="{00000044-F0C6-4F7C-8A45-6A4014CD1EEB}"/>
                </c:ext>
              </c:extLst>
            </c:dLbl>
            <c:dLbl>
              <c:idx val="18"/>
              <c:delete val="1"/>
              <c:extLst>
                <c:ext xmlns:c15="http://schemas.microsoft.com/office/drawing/2012/chart" uri="{CE6537A1-D6FC-4f65-9D91-7224C49458BB}"/>
                <c:ext xmlns:c16="http://schemas.microsoft.com/office/drawing/2014/chart" uri="{C3380CC4-5D6E-409C-BE32-E72D297353CC}">
                  <c16:uniqueId val="{00000045-F0C6-4F7C-8A45-6A4014CD1EEB}"/>
                </c:ext>
              </c:extLst>
            </c:dLbl>
            <c:dLbl>
              <c:idx val="19"/>
              <c:delete val="1"/>
              <c:extLst>
                <c:ext xmlns:c15="http://schemas.microsoft.com/office/drawing/2012/chart" uri="{CE6537A1-D6FC-4f65-9D91-7224C49458BB}"/>
                <c:ext xmlns:c16="http://schemas.microsoft.com/office/drawing/2014/chart" uri="{C3380CC4-5D6E-409C-BE32-E72D297353CC}">
                  <c16:uniqueId val="{00000046-F0C6-4F7C-8A45-6A4014CD1EEB}"/>
                </c:ext>
              </c:extLst>
            </c:dLbl>
            <c:dLbl>
              <c:idx val="21"/>
              <c:delete val="1"/>
              <c:extLst>
                <c:ext xmlns:c15="http://schemas.microsoft.com/office/drawing/2012/chart" uri="{CE6537A1-D6FC-4f65-9D91-7224C49458BB}"/>
                <c:ext xmlns:c16="http://schemas.microsoft.com/office/drawing/2014/chart" uri="{C3380CC4-5D6E-409C-BE32-E72D297353CC}">
                  <c16:uniqueId val="{00000047-F0C6-4F7C-8A45-6A4014CD1EEB}"/>
                </c:ext>
              </c:extLst>
            </c:dLbl>
            <c:dLbl>
              <c:idx val="22"/>
              <c:delete val="1"/>
              <c:extLst>
                <c:ext xmlns:c15="http://schemas.microsoft.com/office/drawing/2012/chart" uri="{CE6537A1-D6FC-4f65-9D91-7224C49458BB}"/>
                <c:ext xmlns:c16="http://schemas.microsoft.com/office/drawing/2014/chart" uri="{C3380CC4-5D6E-409C-BE32-E72D297353CC}">
                  <c16:uniqueId val="{00000048-F0C6-4F7C-8A45-6A4014CD1EEB}"/>
                </c:ext>
              </c:extLst>
            </c:dLbl>
            <c:dLbl>
              <c:idx val="23"/>
              <c:delete val="1"/>
              <c:extLst>
                <c:ext xmlns:c15="http://schemas.microsoft.com/office/drawing/2012/chart" uri="{CE6537A1-D6FC-4f65-9D91-7224C49458BB}"/>
                <c:ext xmlns:c16="http://schemas.microsoft.com/office/drawing/2014/chart" uri="{C3380CC4-5D6E-409C-BE32-E72D297353CC}">
                  <c16:uniqueId val="{00000049-F0C6-4F7C-8A45-6A4014CD1EEB}"/>
                </c:ext>
              </c:extLst>
            </c:dLbl>
            <c:dLbl>
              <c:idx val="25"/>
              <c:delete val="1"/>
              <c:extLst>
                <c:ext xmlns:c15="http://schemas.microsoft.com/office/drawing/2012/chart" uri="{CE6537A1-D6FC-4f65-9D91-7224C49458BB}"/>
                <c:ext xmlns:c16="http://schemas.microsoft.com/office/drawing/2014/chart" uri="{C3380CC4-5D6E-409C-BE32-E72D297353CC}">
                  <c16:uniqueId val="{0000004A-F0C6-4F7C-8A45-6A4014CD1EEB}"/>
                </c:ext>
              </c:extLst>
            </c:dLbl>
            <c:dLbl>
              <c:idx val="26"/>
              <c:delete val="1"/>
              <c:extLst>
                <c:ext xmlns:c15="http://schemas.microsoft.com/office/drawing/2012/chart" uri="{CE6537A1-D6FC-4f65-9D91-7224C49458BB}"/>
                <c:ext xmlns:c16="http://schemas.microsoft.com/office/drawing/2014/chart" uri="{C3380CC4-5D6E-409C-BE32-E72D297353CC}">
                  <c16:uniqueId val="{0000004B-F0C6-4F7C-8A45-6A4014CD1EEB}"/>
                </c:ext>
              </c:extLst>
            </c:dLbl>
            <c:dLbl>
              <c:idx val="27"/>
              <c:delete val="1"/>
              <c:extLst>
                <c:ext xmlns:c15="http://schemas.microsoft.com/office/drawing/2012/chart" uri="{CE6537A1-D6FC-4f65-9D91-7224C49458BB}"/>
                <c:ext xmlns:c16="http://schemas.microsoft.com/office/drawing/2014/chart" uri="{C3380CC4-5D6E-409C-BE32-E72D297353CC}">
                  <c16:uniqueId val="{0000004C-F0C6-4F7C-8A45-6A4014CD1EEB}"/>
                </c:ext>
              </c:extLst>
            </c:dLbl>
            <c:dLbl>
              <c:idx val="29"/>
              <c:delete val="1"/>
              <c:extLst>
                <c:ext xmlns:c15="http://schemas.microsoft.com/office/drawing/2012/chart" uri="{CE6537A1-D6FC-4f65-9D91-7224C49458BB}"/>
                <c:ext xmlns:c16="http://schemas.microsoft.com/office/drawing/2014/chart" uri="{C3380CC4-5D6E-409C-BE32-E72D297353CC}">
                  <c16:uniqueId val="{0000004D-F0C6-4F7C-8A45-6A4014CD1EEB}"/>
                </c:ext>
              </c:extLst>
            </c:dLbl>
            <c:dLbl>
              <c:idx val="30"/>
              <c:delete val="1"/>
              <c:extLst>
                <c:ext xmlns:c15="http://schemas.microsoft.com/office/drawing/2012/chart" uri="{CE6537A1-D6FC-4f65-9D91-7224C49458BB}"/>
                <c:ext xmlns:c16="http://schemas.microsoft.com/office/drawing/2014/chart" uri="{C3380CC4-5D6E-409C-BE32-E72D297353CC}">
                  <c16:uniqueId val="{0000004E-F0C6-4F7C-8A45-6A4014CD1EEB}"/>
                </c:ext>
              </c:extLst>
            </c:dLbl>
            <c:dLbl>
              <c:idx val="31"/>
              <c:delete val="1"/>
              <c:extLst>
                <c:ext xmlns:c15="http://schemas.microsoft.com/office/drawing/2012/chart" uri="{CE6537A1-D6FC-4f65-9D91-7224C49458BB}"/>
                <c:ext xmlns:c16="http://schemas.microsoft.com/office/drawing/2014/chart" uri="{C3380CC4-5D6E-409C-BE32-E72D297353CC}">
                  <c16:uniqueId val="{0000004F-F0C6-4F7C-8A45-6A4014CD1EEB}"/>
                </c:ext>
              </c:extLst>
            </c:dLbl>
            <c:dLbl>
              <c:idx val="33"/>
              <c:delete val="1"/>
              <c:extLst>
                <c:ext xmlns:c15="http://schemas.microsoft.com/office/drawing/2012/chart" uri="{CE6537A1-D6FC-4f65-9D91-7224C49458BB}"/>
                <c:ext xmlns:c16="http://schemas.microsoft.com/office/drawing/2014/chart" uri="{C3380CC4-5D6E-409C-BE32-E72D297353CC}">
                  <c16:uniqueId val="{00000050-F0C6-4F7C-8A45-6A4014CD1EEB}"/>
                </c:ext>
              </c:extLst>
            </c:dLbl>
            <c:dLbl>
              <c:idx val="34"/>
              <c:delete val="1"/>
              <c:extLst>
                <c:ext xmlns:c15="http://schemas.microsoft.com/office/drawing/2012/chart" uri="{CE6537A1-D6FC-4f65-9D91-7224C49458BB}"/>
                <c:ext xmlns:c16="http://schemas.microsoft.com/office/drawing/2014/chart" uri="{C3380CC4-5D6E-409C-BE32-E72D297353CC}">
                  <c16:uniqueId val="{00000051-F0C6-4F7C-8A45-6A4014CD1EEB}"/>
                </c:ext>
              </c:extLst>
            </c:dLbl>
            <c:dLbl>
              <c:idx val="35"/>
              <c:delete val="1"/>
              <c:extLst>
                <c:ext xmlns:c15="http://schemas.microsoft.com/office/drawing/2012/chart" uri="{CE6537A1-D6FC-4f65-9D91-7224C49458BB}"/>
                <c:ext xmlns:c16="http://schemas.microsoft.com/office/drawing/2014/chart" uri="{C3380CC4-5D6E-409C-BE32-E72D297353CC}">
                  <c16:uniqueId val="{00000052-F0C6-4F7C-8A45-6A4014CD1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employment!$A$61:$A$97</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employment!$F$61:$F$97</c:f>
              <c:numCache>
                <c:formatCode>#\ ##0.0</c:formatCode>
                <c:ptCount val="37"/>
                <c:pt idx="0">
                  <c:v>7.6</c:v>
                </c:pt>
                <c:pt idx="1">
                  <c:v>7.6</c:v>
                </c:pt>
                <c:pt idx="2">
                  <c:v>7.5</c:v>
                </c:pt>
                <c:pt idx="3">
                  <c:v>7.2</c:v>
                </c:pt>
                <c:pt idx="4">
                  <c:v>7.1</c:v>
                </c:pt>
                <c:pt idx="5">
                  <c:v>7.1</c:v>
                </c:pt>
                <c:pt idx="6">
                  <c:v>8.1999999999999993</c:v>
                </c:pt>
                <c:pt idx="7">
                  <c:v>8.3000000000000007</c:v>
                </c:pt>
                <c:pt idx="8">
                  <c:v>7.3</c:v>
                </c:pt>
                <c:pt idx="9">
                  <c:v>7.6</c:v>
                </c:pt>
                <c:pt idx="10">
                  <c:v>7.5</c:v>
                </c:pt>
                <c:pt idx="11">
                  <c:v>8</c:v>
                </c:pt>
                <c:pt idx="12">
                  <c:v>8</c:v>
                </c:pt>
                <c:pt idx="13">
                  <c:v>7.7</c:v>
                </c:pt>
                <c:pt idx="14">
                  <c:v>7.7</c:v>
                </c:pt>
                <c:pt idx="15">
                  <c:v>8.5</c:v>
                </c:pt>
                <c:pt idx="16">
                  <c:v>9</c:v>
                </c:pt>
                <c:pt idx="17">
                  <c:v>8.8000000000000007</c:v>
                </c:pt>
                <c:pt idx="18">
                  <c:v>8.9</c:v>
                </c:pt>
                <c:pt idx="19">
                  <c:v>9.6999999999999993</c:v>
                </c:pt>
                <c:pt idx="20">
                  <c:v>8.6999999999999993</c:v>
                </c:pt>
                <c:pt idx="21">
                  <c:v>8.4</c:v>
                </c:pt>
                <c:pt idx="22">
                  <c:v>8.6</c:v>
                </c:pt>
                <c:pt idx="23">
                  <c:v>9.1</c:v>
                </c:pt>
                <c:pt idx="24">
                  <c:v>8.9</c:v>
                </c:pt>
                <c:pt idx="25">
                  <c:v>8.5</c:v>
                </c:pt>
                <c:pt idx="26">
                  <c:v>8.4</c:v>
                </c:pt>
                <c:pt idx="27">
                  <c:v>9.1999999999999993</c:v>
                </c:pt>
                <c:pt idx="28">
                  <c:v>8.4</c:v>
                </c:pt>
                <c:pt idx="29">
                  <c:v>8.3000000000000007</c:v>
                </c:pt>
                <c:pt idx="30">
                  <c:v>9</c:v>
                </c:pt>
                <c:pt idx="31">
                  <c:v>9</c:v>
                </c:pt>
                <c:pt idx="32">
                  <c:v>8.9</c:v>
                </c:pt>
                <c:pt idx="33">
                  <c:v>8.1</c:v>
                </c:pt>
                <c:pt idx="34">
                  <c:v>8.6</c:v>
                </c:pt>
                <c:pt idx="35">
                  <c:v>9.1</c:v>
                </c:pt>
                <c:pt idx="36">
                  <c:v>9.5</c:v>
                </c:pt>
              </c:numCache>
            </c:numRef>
          </c:val>
          <c:smooth val="0"/>
          <c:extLst>
            <c:ext xmlns:c16="http://schemas.microsoft.com/office/drawing/2014/chart" uri="{C3380CC4-5D6E-409C-BE32-E72D297353CC}">
              <c16:uniqueId val="{00000053-F0C6-4F7C-8A45-6A4014CD1EEB}"/>
            </c:ext>
          </c:extLst>
        </c:ser>
        <c:dLbls>
          <c:showLegendKey val="0"/>
          <c:showVal val="0"/>
          <c:showCatName val="0"/>
          <c:showSerName val="0"/>
          <c:showPercent val="0"/>
          <c:showBubbleSize val="0"/>
        </c:dLbls>
        <c:marker val="1"/>
        <c:smooth val="0"/>
        <c:axId val="263311744"/>
        <c:axId val="263285376"/>
      </c:lineChart>
      <c:catAx>
        <c:axId val="26314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283840"/>
        <c:crosses val="autoZero"/>
        <c:auto val="1"/>
        <c:lblAlgn val="ctr"/>
        <c:lblOffset val="100"/>
        <c:noMultiLvlLbl val="0"/>
      </c:catAx>
      <c:valAx>
        <c:axId val="263283840"/>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146880"/>
        <c:crosses val="autoZero"/>
        <c:crossBetween val="between"/>
      </c:valAx>
      <c:valAx>
        <c:axId val="263285376"/>
        <c:scaling>
          <c:orientation val="minMax"/>
          <c:max val="12"/>
          <c:min val="7"/>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311744"/>
        <c:crosses val="max"/>
        <c:crossBetween val="between"/>
      </c:valAx>
      <c:catAx>
        <c:axId val="263311744"/>
        <c:scaling>
          <c:orientation val="minMax"/>
        </c:scaling>
        <c:delete val="1"/>
        <c:axPos val="b"/>
        <c:numFmt formatCode="General" sourceLinked="1"/>
        <c:majorTickMark val="out"/>
        <c:minorTickMark val="none"/>
        <c:tickLblPos val="nextTo"/>
        <c:crossAx val="263285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employment!$C$109</c:f>
              <c:strCache>
                <c:ptCount val="1"/>
                <c:pt idx="0">
                  <c:v>od 55 do 59</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0-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01-F42E-4DA7-872F-DF81B431D8DC}"/>
                </c:ext>
              </c:extLst>
            </c:dLbl>
            <c:dLbl>
              <c:idx val="3"/>
              <c:delete val="1"/>
              <c:extLst>
                <c:ext xmlns:c15="http://schemas.microsoft.com/office/drawing/2012/chart" uri="{CE6537A1-D6FC-4f65-9D91-7224C49458BB}"/>
                <c:ext xmlns:c16="http://schemas.microsoft.com/office/drawing/2014/chart" uri="{C3380CC4-5D6E-409C-BE32-E72D297353CC}">
                  <c16:uniqueId val="{00000002-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03-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04-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05-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06-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07-F42E-4DA7-872F-DF81B431D8DC}"/>
                </c:ext>
              </c:extLst>
            </c:dLbl>
            <c:dLbl>
              <c:idx val="11"/>
              <c:delete val="1"/>
              <c:extLst>
                <c:ext xmlns:c15="http://schemas.microsoft.com/office/drawing/2012/chart" uri="{CE6537A1-D6FC-4f65-9D91-7224C49458BB}"/>
                <c:ext xmlns:c16="http://schemas.microsoft.com/office/drawing/2014/chart" uri="{C3380CC4-5D6E-409C-BE32-E72D297353CC}">
                  <c16:uniqueId val="{00000008-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09-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0A-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0B-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0C-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0D-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0E-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0F-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10-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11-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12-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13-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14-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15-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16-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17-F42E-4DA7-872F-DF81B431D8DC}"/>
                </c:ext>
              </c:extLst>
            </c:dLbl>
            <c:dLbl>
              <c:idx val="32"/>
              <c:layout>
                <c:manualLayout>
                  <c:x val="-3.8536155202821873E-2"/>
                  <c:y val="7.8141161811398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19-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1A-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1B-F42E-4DA7-872F-DF81B431D8DC}"/>
                </c:ext>
              </c:extLst>
            </c:dLbl>
            <c:spPr>
              <a:solidFill>
                <a:srgbClr val="FFC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employment!$C$110:$C$146</c:f>
              <c:numCache>
                <c:formatCode>#\ ##0.0</c:formatCode>
                <c:ptCount val="37"/>
                <c:pt idx="0">
                  <c:v>44.5</c:v>
                </c:pt>
                <c:pt idx="1">
                  <c:v>45.4</c:v>
                </c:pt>
                <c:pt idx="2">
                  <c:v>46.5</c:v>
                </c:pt>
                <c:pt idx="3">
                  <c:v>47.4</c:v>
                </c:pt>
                <c:pt idx="4">
                  <c:v>48.4</c:v>
                </c:pt>
                <c:pt idx="5">
                  <c:v>49.1</c:v>
                </c:pt>
                <c:pt idx="6">
                  <c:v>49</c:v>
                </c:pt>
                <c:pt idx="7">
                  <c:v>49.4</c:v>
                </c:pt>
                <c:pt idx="8">
                  <c:v>50</c:v>
                </c:pt>
                <c:pt idx="9">
                  <c:v>50.8</c:v>
                </c:pt>
                <c:pt idx="10">
                  <c:v>51</c:v>
                </c:pt>
                <c:pt idx="11">
                  <c:v>53.1</c:v>
                </c:pt>
                <c:pt idx="12">
                  <c:v>54.6</c:v>
                </c:pt>
                <c:pt idx="13">
                  <c:v>54.7</c:v>
                </c:pt>
                <c:pt idx="14">
                  <c:v>55.6</c:v>
                </c:pt>
                <c:pt idx="15">
                  <c:v>56.3</c:v>
                </c:pt>
                <c:pt idx="16">
                  <c:v>56.8</c:v>
                </c:pt>
                <c:pt idx="17">
                  <c:v>56.5</c:v>
                </c:pt>
                <c:pt idx="18">
                  <c:v>58.6</c:v>
                </c:pt>
                <c:pt idx="19">
                  <c:v>59.3</c:v>
                </c:pt>
                <c:pt idx="20">
                  <c:v>58.1</c:v>
                </c:pt>
                <c:pt idx="21">
                  <c:v>58.4</c:v>
                </c:pt>
                <c:pt idx="22">
                  <c:v>59.8</c:v>
                </c:pt>
                <c:pt idx="23">
                  <c:v>61.8</c:v>
                </c:pt>
                <c:pt idx="24">
                  <c:v>60.4</c:v>
                </c:pt>
                <c:pt idx="25">
                  <c:v>60.6</c:v>
                </c:pt>
                <c:pt idx="26">
                  <c:v>61.9</c:v>
                </c:pt>
                <c:pt idx="27">
                  <c:v>63.2</c:v>
                </c:pt>
                <c:pt idx="28">
                  <c:v>62.3</c:v>
                </c:pt>
                <c:pt idx="29">
                  <c:v>61.6</c:v>
                </c:pt>
                <c:pt idx="30">
                  <c:v>62.4</c:v>
                </c:pt>
                <c:pt idx="31">
                  <c:v>66.400000000000006</c:v>
                </c:pt>
                <c:pt idx="32">
                  <c:v>67</c:v>
                </c:pt>
                <c:pt idx="33">
                  <c:v>66</c:v>
                </c:pt>
                <c:pt idx="34">
                  <c:v>65.8</c:v>
                </c:pt>
                <c:pt idx="35">
                  <c:v>68.900000000000006</c:v>
                </c:pt>
                <c:pt idx="36">
                  <c:v>68.2</c:v>
                </c:pt>
              </c:numCache>
            </c:numRef>
          </c:val>
          <c:smooth val="0"/>
          <c:extLst>
            <c:ext xmlns:c16="http://schemas.microsoft.com/office/drawing/2014/chart" uri="{C3380CC4-5D6E-409C-BE32-E72D297353CC}">
              <c16:uniqueId val="{0000001C-F42E-4DA7-872F-DF81B431D8DC}"/>
            </c:ext>
          </c:extLst>
        </c:ser>
        <c:ser>
          <c:idx val="0"/>
          <c:order val="0"/>
          <c:tx>
            <c:strRef>
              <c:f>employment!$B$109</c:f>
              <c:strCache>
                <c:ptCount val="1"/>
                <c:pt idx="0">
                  <c:v>od 20 do 64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D-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1E-F42E-4DA7-872F-DF81B431D8DC}"/>
                </c:ext>
              </c:extLst>
            </c:dLbl>
            <c:dLbl>
              <c:idx val="3"/>
              <c:delete val="1"/>
              <c:extLst>
                <c:ext xmlns:c15="http://schemas.microsoft.com/office/drawing/2012/chart" uri="{CE6537A1-D6FC-4f65-9D91-7224C49458BB}"/>
                <c:ext xmlns:c16="http://schemas.microsoft.com/office/drawing/2014/chart" uri="{C3380CC4-5D6E-409C-BE32-E72D297353CC}">
                  <c16:uniqueId val="{0000001F-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20-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21-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22-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23-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24-F42E-4DA7-872F-DF81B431D8DC}"/>
                </c:ext>
              </c:extLst>
            </c:dLbl>
            <c:dLbl>
              <c:idx val="11"/>
              <c:delete val="1"/>
              <c:extLst>
                <c:ext xmlns:c15="http://schemas.microsoft.com/office/drawing/2012/chart" uri="{CE6537A1-D6FC-4f65-9D91-7224C49458BB}"/>
                <c:ext xmlns:c16="http://schemas.microsoft.com/office/drawing/2014/chart" uri="{C3380CC4-5D6E-409C-BE32-E72D297353CC}">
                  <c16:uniqueId val="{00000025-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26-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27-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28-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29-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2A-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2B-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2C-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2D-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2E-F42E-4DA7-872F-DF81B431D8DC}"/>
                </c:ext>
              </c:extLst>
            </c:dLbl>
            <c:dLbl>
              <c:idx val="24"/>
              <c:layout>
                <c:manualLayout>
                  <c:x val="-3.1922398589065336E-2"/>
                  <c:y val="-7.0514851039234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30-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31-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32-F42E-4DA7-872F-DF81B431D8DC}"/>
                </c:ext>
              </c:extLst>
            </c:dLbl>
            <c:dLbl>
              <c:idx val="28"/>
              <c:layout>
                <c:manualLayout>
                  <c:x val="-3.6331569664903078E-2"/>
                  <c:y val="-7.05148510392349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34-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35-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36-F42E-4DA7-872F-DF81B431D8DC}"/>
                </c:ext>
              </c:extLst>
            </c:dLbl>
            <c:dLbl>
              <c:idx val="32"/>
              <c:layout>
                <c:manualLayout>
                  <c:x val="-4.2945326278659615E-2"/>
                  <c:y val="-6.28885402670709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38-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39-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3A-F42E-4DA7-872F-DF81B431D8DC}"/>
                </c:ext>
              </c:extLst>
            </c:dLbl>
            <c:dLbl>
              <c:idx val="36"/>
              <c:layout>
                <c:manualLayout>
                  <c:x val="-5.17636684303351E-2"/>
                  <c:y val="-4.0009607950579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F42E-4DA7-872F-DF81B431D8DC}"/>
                </c:ext>
              </c:extLst>
            </c:dLbl>
            <c:spPr>
              <a:solidFill>
                <a:schemeClr val="accent2"/>
              </a:solid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employment!$B$110:$B$146</c:f>
              <c:numCache>
                <c:formatCode>#\ ##0.0</c:formatCode>
                <c:ptCount val="37"/>
                <c:pt idx="0">
                  <c:v>57.7</c:v>
                </c:pt>
                <c:pt idx="1">
                  <c:v>56.5</c:v>
                </c:pt>
                <c:pt idx="2">
                  <c:v>57.3</c:v>
                </c:pt>
                <c:pt idx="3">
                  <c:v>58.2</c:v>
                </c:pt>
                <c:pt idx="4">
                  <c:v>58.6</c:v>
                </c:pt>
                <c:pt idx="5">
                  <c:v>58.5</c:v>
                </c:pt>
                <c:pt idx="6">
                  <c:v>59</c:v>
                </c:pt>
                <c:pt idx="7">
                  <c:v>59.8</c:v>
                </c:pt>
                <c:pt idx="8">
                  <c:v>60.3</c:v>
                </c:pt>
                <c:pt idx="9">
                  <c:v>60.1</c:v>
                </c:pt>
                <c:pt idx="10">
                  <c:v>60.7</c:v>
                </c:pt>
                <c:pt idx="11">
                  <c:v>61.3</c:v>
                </c:pt>
                <c:pt idx="12">
                  <c:v>61.6</c:v>
                </c:pt>
                <c:pt idx="13">
                  <c:v>61.6</c:v>
                </c:pt>
                <c:pt idx="14">
                  <c:v>62.3</c:v>
                </c:pt>
                <c:pt idx="15">
                  <c:v>62.5</c:v>
                </c:pt>
                <c:pt idx="16">
                  <c:v>62.6</c:v>
                </c:pt>
                <c:pt idx="17">
                  <c:v>63.1</c:v>
                </c:pt>
                <c:pt idx="18">
                  <c:v>64.2</c:v>
                </c:pt>
                <c:pt idx="19">
                  <c:v>63.7</c:v>
                </c:pt>
                <c:pt idx="20">
                  <c:v>63.5</c:v>
                </c:pt>
                <c:pt idx="21">
                  <c:v>64.2</c:v>
                </c:pt>
                <c:pt idx="22">
                  <c:v>65.5</c:v>
                </c:pt>
                <c:pt idx="23">
                  <c:v>65.599999999999994</c:v>
                </c:pt>
                <c:pt idx="24">
                  <c:v>64.5</c:v>
                </c:pt>
                <c:pt idx="25">
                  <c:v>64.5</c:v>
                </c:pt>
                <c:pt idx="26">
                  <c:v>65.7</c:v>
                </c:pt>
                <c:pt idx="27">
                  <c:v>65.900000000000006</c:v>
                </c:pt>
                <c:pt idx="28">
                  <c:v>65.2</c:v>
                </c:pt>
                <c:pt idx="29">
                  <c:v>65.3</c:v>
                </c:pt>
                <c:pt idx="30">
                  <c:v>64.7</c:v>
                </c:pt>
                <c:pt idx="31">
                  <c:v>66.2</c:v>
                </c:pt>
                <c:pt idx="32">
                  <c:v>66.8</c:v>
                </c:pt>
                <c:pt idx="33">
                  <c:v>66.900000000000006</c:v>
                </c:pt>
                <c:pt idx="34">
                  <c:v>68.099999999999994</c:v>
                </c:pt>
                <c:pt idx="35">
                  <c:v>69.099999999999994</c:v>
                </c:pt>
                <c:pt idx="36">
                  <c:v>69.3</c:v>
                </c:pt>
              </c:numCache>
            </c:numRef>
          </c:val>
          <c:smooth val="0"/>
          <c:extLst>
            <c:ext xmlns:c16="http://schemas.microsoft.com/office/drawing/2014/chart" uri="{C3380CC4-5D6E-409C-BE32-E72D297353CC}">
              <c16:uniqueId val="{0000003C-F42E-4DA7-872F-DF81B431D8DC}"/>
            </c:ext>
          </c:extLst>
        </c:ser>
        <c:dLbls>
          <c:dLblPos val="t"/>
          <c:showLegendKey val="0"/>
          <c:showVal val="1"/>
          <c:showCatName val="0"/>
          <c:showSerName val="0"/>
          <c:showPercent val="0"/>
          <c:showBubbleSize val="0"/>
        </c:dLbls>
        <c:marker val="1"/>
        <c:smooth val="0"/>
        <c:axId val="263790976"/>
        <c:axId val="263792512"/>
        <c:extLst>
          <c:ext xmlns:c15="http://schemas.microsoft.com/office/drawing/2012/chart" uri="{02D57815-91ED-43cb-92C2-25804820EDAC}">
            <c15:filteredLineSeries>
              <c15:ser>
                <c:idx val="2"/>
                <c:order val="2"/>
                <c:tx>
                  <c:strRef>
                    <c:extLst>
                      <c:ext uri="{02D57815-91ED-43cb-92C2-25804820EDAC}">
                        <c15:formulaRef>
                          <c15:sqref>employment!$D$109</c15:sqref>
                        </c15:formulaRef>
                      </c:ext>
                    </c:extLst>
                    <c:strCache>
                      <c:ptCount val="1"/>
                      <c:pt idx="0">
                        <c:v>od 55 do 64</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delete val="1"/>
                    <c:extLst>
                      <c:ext uri="{CE6537A1-D6FC-4f65-9D91-7224C49458BB}"/>
                      <c:ext xmlns:c16="http://schemas.microsoft.com/office/drawing/2014/chart" uri="{C3380CC4-5D6E-409C-BE32-E72D297353CC}">
                        <c16:uniqueId val="{00000075-F42E-4DA7-872F-DF81B431D8DC}"/>
                      </c:ext>
                    </c:extLst>
                  </c:dLbl>
                  <c:dLbl>
                    <c:idx val="2"/>
                    <c:delete val="1"/>
                    <c:extLst>
                      <c:ext uri="{CE6537A1-D6FC-4f65-9D91-7224C49458BB}"/>
                      <c:ext xmlns:c16="http://schemas.microsoft.com/office/drawing/2014/chart" uri="{C3380CC4-5D6E-409C-BE32-E72D297353CC}">
                        <c16:uniqueId val="{00000076-F42E-4DA7-872F-DF81B431D8DC}"/>
                      </c:ext>
                    </c:extLst>
                  </c:dLbl>
                  <c:dLbl>
                    <c:idx val="3"/>
                    <c:delete val="1"/>
                    <c:extLst>
                      <c:ext uri="{CE6537A1-D6FC-4f65-9D91-7224C49458BB}"/>
                      <c:ext xmlns:c16="http://schemas.microsoft.com/office/drawing/2014/chart" uri="{C3380CC4-5D6E-409C-BE32-E72D297353CC}">
                        <c16:uniqueId val="{00000077-F42E-4DA7-872F-DF81B431D8DC}"/>
                      </c:ext>
                    </c:extLst>
                  </c:dLbl>
                  <c:dLbl>
                    <c:idx val="5"/>
                    <c:delete val="1"/>
                    <c:extLst>
                      <c:ext uri="{CE6537A1-D6FC-4f65-9D91-7224C49458BB}"/>
                      <c:ext xmlns:c16="http://schemas.microsoft.com/office/drawing/2014/chart" uri="{C3380CC4-5D6E-409C-BE32-E72D297353CC}">
                        <c16:uniqueId val="{00000078-F42E-4DA7-872F-DF81B431D8DC}"/>
                      </c:ext>
                    </c:extLst>
                  </c:dLbl>
                  <c:dLbl>
                    <c:idx val="6"/>
                    <c:delete val="1"/>
                    <c:extLst>
                      <c:ext uri="{CE6537A1-D6FC-4f65-9D91-7224C49458BB}"/>
                      <c:ext xmlns:c16="http://schemas.microsoft.com/office/drawing/2014/chart" uri="{C3380CC4-5D6E-409C-BE32-E72D297353CC}">
                        <c16:uniqueId val="{00000079-F42E-4DA7-872F-DF81B431D8DC}"/>
                      </c:ext>
                    </c:extLst>
                  </c:dLbl>
                  <c:dLbl>
                    <c:idx val="7"/>
                    <c:delete val="1"/>
                    <c:extLst>
                      <c:ext uri="{CE6537A1-D6FC-4f65-9D91-7224C49458BB}"/>
                      <c:ext xmlns:c16="http://schemas.microsoft.com/office/drawing/2014/chart" uri="{C3380CC4-5D6E-409C-BE32-E72D297353CC}">
                        <c16:uniqueId val="{0000007A-F42E-4DA7-872F-DF81B431D8DC}"/>
                      </c:ext>
                    </c:extLst>
                  </c:dLbl>
                  <c:dLbl>
                    <c:idx val="9"/>
                    <c:delete val="1"/>
                    <c:extLst>
                      <c:ext uri="{CE6537A1-D6FC-4f65-9D91-7224C49458BB}"/>
                      <c:ext xmlns:c16="http://schemas.microsoft.com/office/drawing/2014/chart" uri="{C3380CC4-5D6E-409C-BE32-E72D297353CC}">
                        <c16:uniqueId val="{0000007B-F42E-4DA7-872F-DF81B431D8DC}"/>
                      </c:ext>
                    </c:extLst>
                  </c:dLbl>
                  <c:dLbl>
                    <c:idx val="10"/>
                    <c:delete val="1"/>
                    <c:extLst>
                      <c:ext uri="{CE6537A1-D6FC-4f65-9D91-7224C49458BB}"/>
                      <c:ext xmlns:c16="http://schemas.microsoft.com/office/drawing/2014/chart" uri="{C3380CC4-5D6E-409C-BE32-E72D297353CC}">
                        <c16:uniqueId val="{0000007C-F42E-4DA7-872F-DF81B431D8DC}"/>
                      </c:ext>
                    </c:extLst>
                  </c:dLbl>
                  <c:dLbl>
                    <c:idx val="11"/>
                    <c:delete val="1"/>
                    <c:extLst>
                      <c:ext uri="{CE6537A1-D6FC-4f65-9D91-7224C49458BB}"/>
                      <c:ext xmlns:c16="http://schemas.microsoft.com/office/drawing/2014/chart" uri="{C3380CC4-5D6E-409C-BE32-E72D297353CC}">
                        <c16:uniqueId val="{0000007D-F42E-4DA7-872F-DF81B431D8DC}"/>
                      </c:ext>
                    </c:extLst>
                  </c:dLbl>
                  <c:dLbl>
                    <c:idx val="13"/>
                    <c:delete val="1"/>
                    <c:extLst>
                      <c:ext uri="{CE6537A1-D6FC-4f65-9D91-7224C49458BB}"/>
                      <c:ext xmlns:c16="http://schemas.microsoft.com/office/drawing/2014/chart" uri="{C3380CC4-5D6E-409C-BE32-E72D297353CC}">
                        <c16:uniqueId val="{0000007E-F42E-4DA7-872F-DF81B431D8DC}"/>
                      </c:ext>
                    </c:extLst>
                  </c:dLbl>
                  <c:dLbl>
                    <c:idx val="14"/>
                    <c:delete val="1"/>
                    <c:extLst>
                      <c:ext uri="{CE6537A1-D6FC-4f65-9D91-7224C49458BB}"/>
                      <c:ext xmlns:c16="http://schemas.microsoft.com/office/drawing/2014/chart" uri="{C3380CC4-5D6E-409C-BE32-E72D297353CC}">
                        <c16:uniqueId val="{0000007F-F42E-4DA7-872F-DF81B431D8DC}"/>
                      </c:ext>
                    </c:extLst>
                  </c:dLbl>
                  <c:dLbl>
                    <c:idx val="15"/>
                    <c:delete val="1"/>
                    <c:extLst>
                      <c:ext uri="{CE6537A1-D6FC-4f65-9D91-7224C49458BB}"/>
                      <c:ext xmlns:c16="http://schemas.microsoft.com/office/drawing/2014/chart" uri="{C3380CC4-5D6E-409C-BE32-E72D297353CC}">
                        <c16:uniqueId val="{00000080-F42E-4DA7-872F-DF81B431D8DC}"/>
                      </c:ext>
                    </c:extLst>
                  </c:dLbl>
                  <c:dLbl>
                    <c:idx val="17"/>
                    <c:delete val="1"/>
                    <c:extLst>
                      <c:ext uri="{CE6537A1-D6FC-4f65-9D91-7224C49458BB}"/>
                      <c:ext xmlns:c16="http://schemas.microsoft.com/office/drawing/2014/chart" uri="{C3380CC4-5D6E-409C-BE32-E72D297353CC}">
                        <c16:uniqueId val="{00000081-F42E-4DA7-872F-DF81B431D8DC}"/>
                      </c:ext>
                    </c:extLst>
                  </c:dLbl>
                  <c:dLbl>
                    <c:idx val="18"/>
                    <c:delete val="1"/>
                    <c:extLst>
                      <c:ext uri="{CE6537A1-D6FC-4f65-9D91-7224C49458BB}"/>
                      <c:ext xmlns:c16="http://schemas.microsoft.com/office/drawing/2014/chart" uri="{C3380CC4-5D6E-409C-BE32-E72D297353CC}">
                        <c16:uniqueId val="{00000082-F42E-4DA7-872F-DF81B431D8DC}"/>
                      </c:ext>
                    </c:extLst>
                  </c:dLbl>
                  <c:dLbl>
                    <c:idx val="19"/>
                    <c:delete val="1"/>
                    <c:extLst>
                      <c:ext uri="{CE6537A1-D6FC-4f65-9D91-7224C49458BB}"/>
                      <c:ext xmlns:c16="http://schemas.microsoft.com/office/drawing/2014/chart" uri="{C3380CC4-5D6E-409C-BE32-E72D297353CC}">
                        <c16:uniqueId val="{00000083-F42E-4DA7-872F-DF81B431D8DC}"/>
                      </c:ext>
                    </c:extLst>
                  </c:dLbl>
                  <c:dLbl>
                    <c:idx val="21"/>
                    <c:delete val="1"/>
                    <c:extLst>
                      <c:ext uri="{CE6537A1-D6FC-4f65-9D91-7224C49458BB}"/>
                      <c:ext xmlns:c16="http://schemas.microsoft.com/office/drawing/2014/chart" uri="{C3380CC4-5D6E-409C-BE32-E72D297353CC}">
                        <c16:uniqueId val="{00000084-F42E-4DA7-872F-DF81B431D8DC}"/>
                      </c:ext>
                    </c:extLst>
                  </c:dLbl>
                  <c:dLbl>
                    <c:idx val="22"/>
                    <c:delete val="1"/>
                    <c:extLst>
                      <c:ext uri="{CE6537A1-D6FC-4f65-9D91-7224C49458BB}"/>
                      <c:ext xmlns:c16="http://schemas.microsoft.com/office/drawing/2014/chart" uri="{C3380CC4-5D6E-409C-BE32-E72D297353CC}">
                        <c16:uniqueId val="{00000085-F42E-4DA7-872F-DF81B431D8DC}"/>
                      </c:ext>
                    </c:extLst>
                  </c:dLbl>
                  <c:dLbl>
                    <c:idx val="23"/>
                    <c:delete val="1"/>
                    <c:extLst>
                      <c:ext uri="{CE6537A1-D6FC-4f65-9D91-7224C49458BB}"/>
                      <c:ext xmlns:c16="http://schemas.microsoft.com/office/drawing/2014/chart" uri="{C3380CC4-5D6E-409C-BE32-E72D297353CC}">
                        <c16:uniqueId val="{00000086-F42E-4DA7-872F-DF81B431D8DC}"/>
                      </c:ext>
                    </c:extLst>
                  </c:dLbl>
                  <c:dLbl>
                    <c:idx val="25"/>
                    <c:delete val="1"/>
                    <c:extLst>
                      <c:ext uri="{CE6537A1-D6FC-4f65-9D91-7224C49458BB}"/>
                      <c:ext xmlns:c16="http://schemas.microsoft.com/office/drawing/2014/chart" uri="{C3380CC4-5D6E-409C-BE32-E72D297353CC}">
                        <c16:uniqueId val="{00000087-F42E-4DA7-872F-DF81B431D8DC}"/>
                      </c:ext>
                    </c:extLst>
                  </c:dLbl>
                  <c:dLbl>
                    <c:idx val="26"/>
                    <c:delete val="1"/>
                    <c:extLst>
                      <c:ext uri="{CE6537A1-D6FC-4f65-9D91-7224C49458BB}"/>
                      <c:ext xmlns:c16="http://schemas.microsoft.com/office/drawing/2014/chart" uri="{C3380CC4-5D6E-409C-BE32-E72D297353CC}">
                        <c16:uniqueId val="{00000088-F42E-4DA7-872F-DF81B431D8DC}"/>
                      </c:ext>
                    </c:extLst>
                  </c:dLbl>
                  <c:dLbl>
                    <c:idx val="27"/>
                    <c:delete val="1"/>
                    <c:extLst>
                      <c:ext uri="{CE6537A1-D6FC-4f65-9D91-7224C49458BB}"/>
                      <c:ext xmlns:c16="http://schemas.microsoft.com/office/drawing/2014/chart" uri="{C3380CC4-5D6E-409C-BE32-E72D297353CC}">
                        <c16:uniqueId val="{00000089-F42E-4DA7-872F-DF81B431D8DC}"/>
                      </c:ext>
                    </c:extLst>
                  </c:dLbl>
                  <c:dLbl>
                    <c:idx val="29"/>
                    <c:delete val="1"/>
                    <c:extLst>
                      <c:ext uri="{CE6537A1-D6FC-4f65-9D91-7224C49458BB}"/>
                      <c:ext xmlns:c16="http://schemas.microsoft.com/office/drawing/2014/chart" uri="{C3380CC4-5D6E-409C-BE32-E72D297353CC}">
                        <c16:uniqueId val="{0000008A-F42E-4DA7-872F-DF81B431D8DC}"/>
                      </c:ext>
                    </c:extLst>
                  </c:dLbl>
                  <c:dLbl>
                    <c:idx val="30"/>
                    <c:delete val="1"/>
                    <c:extLst>
                      <c:ext uri="{CE6537A1-D6FC-4f65-9D91-7224C49458BB}"/>
                      <c:ext xmlns:c16="http://schemas.microsoft.com/office/drawing/2014/chart" uri="{C3380CC4-5D6E-409C-BE32-E72D297353CC}">
                        <c16:uniqueId val="{0000008B-F42E-4DA7-872F-DF81B431D8DC}"/>
                      </c:ext>
                    </c:extLst>
                  </c:dLbl>
                  <c:dLbl>
                    <c:idx val="31"/>
                    <c:delete val="1"/>
                    <c:extLst>
                      <c:ext uri="{CE6537A1-D6FC-4f65-9D91-7224C49458BB}"/>
                      <c:ext xmlns:c16="http://schemas.microsoft.com/office/drawing/2014/chart" uri="{C3380CC4-5D6E-409C-BE32-E72D297353CC}">
                        <c16:uniqueId val="{0000008C-F42E-4DA7-872F-DF81B431D8DC}"/>
                      </c:ext>
                    </c:extLst>
                  </c:dLbl>
                  <c:dLbl>
                    <c:idx val="33"/>
                    <c:delete val="1"/>
                    <c:extLst>
                      <c:ext uri="{CE6537A1-D6FC-4f65-9D91-7224C49458BB}"/>
                      <c:ext xmlns:c16="http://schemas.microsoft.com/office/drawing/2014/chart" uri="{C3380CC4-5D6E-409C-BE32-E72D297353CC}">
                        <c16:uniqueId val="{0000008D-F42E-4DA7-872F-DF81B431D8DC}"/>
                      </c:ext>
                    </c:extLst>
                  </c:dLbl>
                  <c:dLbl>
                    <c:idx val="34"/>
                    <c:delete val="1"/>
                    <c:extLst>
                      <c:ext uri="{CE6537A1-D6FC-4f65-9D91-7224C49458BB}"/>
                      <c:ext xmlns:c16="http://schemas.microsoft.com/office/drawing/2014/chart" uri="{C3380CC4-5D6E-409C-BE32-E72D297353CC}">
                        <c16:uniqueId val="{0000008E-F42E-4DA7-872F-DF81B431D8DC}"/>
                      </c:ext>
                    </c:extLst>
                  </c:dLbl>
                  <c:dLbl>
                    <c:idx val="35"/>
                    <c:delete val="1"/>
                    <c:extLst>
                      <c:ext uri="{CE6537A1-D6FC-4f65-9D91-7224C49458BB}"/>
                      <c:ext xmlns:c16="http://schemas.microsoft.com/office/drawing/2014/chart" uri="{C3380CC4-5D6E-409C-BE32-E72D297353CC}">
                        <c16:uniqueId val="{0000008F-F42E-4DA7-872F-DF81B431D8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employment!$A$110:$A$146</c15:sqref>
                        </c15:formulaRef>
                      </c:ext>
                    </c:extLst>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extLst>
                      <c:ext uri="{02D57815-91ED-43cb-92C2-25804820EDAC}">
                        <c15:formulaRef>
                          <c15:sqref>employment!$D$110:$D$146</c15:sqref>
                        </c15:formulaRef>
                      </c:ext>
                    </c:extLst>
                    <c:numCache>
                      <c:formatCode>#\ ##0.0</c:formatCode>
                      <c:ptCount val="37"/>
                      <c:pt idx="0">
                        <c:v>30.4</c:v>
                      </c:pt>
                      <c:pt idx="1">
                        <c:v>29.7</c:v>
                      </c:pt>
                      <c:pt idx="2">
                        <c:v>30.4</c:v>
                      </c:pt>
                      <c:pt idx="3">
                        <c:v>31.5</c:v>
                      </c:pt>
                      <c:pt idx="4">
                        <c:v>32.4</c:v>
                      </c:pt>
                      <c:pt idx="5">
                        <c:v>32.200000000000003</c:v>
                      </c:pt>
                      <c:pt idx="6">
                        <c:v>32.200000000000003</c:v>
                      </c:pt>
                      <c:pt idx="7">
                        <c:v>33.299999999999997</c:v>
                      </c:pt>
                      <c:pt idx="8">
                        <c:v>34</c:v>
                      </c:pt>
                      <c:pt idx="9">
                        <c:v>34.1</c:v>
                      </c:pt>
                      <c:pt idx="10">
                        <c:v>34.299999999999997</c:v>
                      </c:pt>
                      <c:pt idx="11">
                        <c:v>36.5</c:v>
                      </c:pt>
                      <c:pt idx="12">
                        <c:v>37.299999999999997</c:v>
                      </c:pt>
                      <c:pt idx="13">
                        <c:v>36.200000000000003</c:v>
                      </c:pt>
                      <c:pt idx="14">
                        <c:v>37.200000000000003</c:v>
                      </c:pt>
                      <c:pt idx="15">
                        <c:v>38.4</c:v>
                      </c:pt>
                      <c:pt idx="16">
                        <c:v>38.799999999999997</c:v>
                      </c:pt>
                      <c:pt idx="17">
                        <c:v>38</c:v>
                      </c:pt>
                      <c:pt idx="18">
                        <c:v>40</c:v>
                      </c:pt>
                      <c:pt idx="19">
                        <c:v>40.700000000000003</c:v>
                      </c:pt>
                      <c:pt idx="20">
                        <c:v>38.5</c:v>
                      </c:pt>
                      <c:pt idx="21">
                        <c:v>38.4</c:v>
                      </c:pt>
                      <c:pt idx="22">
                        <c:v>40.1</c:v>
                      </c:pt>
                      <c:pt idx="23">
                        <c:v>39.5</c:v>
                      </c:pt>
                      <c:pt idx="24">
                        <c:v>38.5</c:v>
                      </c:pt>
                      <c:pt idx="25">
                        <c:v>39.200000000000003</c:v>
                      </c:pt>
                      <c:pt idx="26">
                        <c:v>39.1</c:v>
                      </c:pt>
                      <c:pt idx="27">
                        <c:v>39.6</c:v>
                      </c:pt>
                      <c:pt idx="28">
                        <c:v>38.700000000000003</c:v>
                      </c:pt>
                      <c:pt idx="29">
                        <c:v>38.799999999999997</c:v>
                      </c:pt>
                      <c:pt idx="30">
                        <c:v>39.799999999999997</c:v>
                      </c:pt>
                      <c:pt idx="31">
                        <c:v>42.4</c:v>
                      </c:pt>
                      <c:pt idx="32">
                        <c:v>43.1</c:v>
                      </c:pt>
                      <c:pt idx="33">
                        <c:v>41.9</c:v>
                      </c:pt>
                      <c:pt idx="34">
                        <c:v>42.5</c:v>
                      </c:pt>
                      <c:pt idx="35">
                        <c:v>44.3</c:v>
                      </c:pt>
                      <c:pt idx="36">
                        <c:v>43.8</c:v>
                      </c:pt>
                    </c:numCache>
                  </c:numRef>
                </c:val>
                <c:smooth val="0"/>
                <c:extLst>
                  <c:ext xmlns:c16="http://schemas.microsoft.com/office/drawing/2014/chart" uri="{C3380CC4-5D6E-409C-BE32-E72D297353CC}">
                    <c16:uniqueId val="{00000090-F42E-4DA7-872F-DF81B431D8DC}"/>
                  </c:ext>
                </c:extLst>
              </c15:ser>
            </c15:filteredLineSeries>
          </c:ext>
        </c:extLst>
      </c:lineChart>
      <c:lineChart>
        <c:grouping val="standard"/>
        <c:varyColors val="0"/>
        <c:ser>
          <c:idx val="3"/>
          <c:order val="3"/>
          <c:tx>
            <c:strRef>
              <c:f>employment!$E$109</c:f>
              <c:strCache>
                <c:ptCount val="1"/>
                <c:pt idx="0">
                  <c:v>od 60 do 64 (prawa oś)</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3D-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3E-F42E-4DA7-872F-DF81B431D8DC}"/>
                </c:ext>
              </c:extLst>
            </c:dLbl>
            <c:dLbl>
              <c:idx val="3"/>
              <c:tx>
                <c:rich>
                  <a:bodyPr/>
                  <a:lstStyle/>
                  <a:p>
                    <a:r>
                      <a:rPr lang="en-US"/>
                      <a:t>15,2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D0-48D5-805A-6D4C91FB23D0}"/>
                </c:ext>
              </c:extLst>
            </c:dLbl>
            <c:dLbl>
              <c:idx val="4"/>
              <c:delete val="1"/>
              <c:extLst>
                <c:ext xmlns:c15="http://schemas.microsoft.com/office/drawing/2012/chart" uri="{CE6537A1-D6FC-4f65-9D91-7224C49458BB}"/>
                <c:ext xmlns:c16="http://schemas.microsoft.com/office/drawing/2014/chart" uri="{C3380CC4-5D6E-409C-BE32-E72D297353CC}">
                  <c16:uniqueId val="{0000003F-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40-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41-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42-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43-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44-F42E-4DA7-872F-DF81B431D8DC}"/>
                </c:ext>
              </c:extLst>
            </c:dLbl>
            <c:dLbl>
              <c:idx val="11"/>
              <c:tx>
                <c:rich>
                  <a:bodyPr/>
                  <a:lstStyle/>
                  <a:p>
                    <a:r>
                      <a:rPr lang="en-US"/>
                      <a:t>19,3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D0-48D5-805A-6D4C91FB23D0}"/>
                </c:ext>
              </c:extLst>
            </c:dLbl>
            <c:dLbl>
              <c:idx val="12"/>
              <c:delete val="1"/>
              <c:extLst>
                <c:ext xmlns:c15="http://schemas.microsoft.com/office/drawing/2012/chart" uri="{CE6537A1-D6FC-4f65-9D91-7224C49458BB}"/>
                <c:ext xmlns:c16="http://schemas.microsoft.com/office/drawing/2014/chart" uri="{C3380CC4-5D6E-409C-BE32-E72D297353CC}">
                  <c16:uniqueId val="{00000045-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46-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47-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48-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49-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4A-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4B-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4C-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4D-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4E-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4F-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50-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51-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52-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53-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54-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55-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56-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57-F42E-4DA7-872F-DF81B431D8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employment!$E$110:$E$146</c:f>
              <c:numCache>
                <c:formatCode>#\ ##0.0</c:formatCode>
                <c:ptCount val="37"/>
                <c:pt idx="0">
                  <c:v>14.9</c:v>
                </c:pt>
                <c:pt idx="1">
                  <c:v>12.4</c:v>
                </c:pt>
                <c:pt idx="2">
                  <c:v>13</c:v>
                </c:pt>
                <c:pt idx="3">
                  <c:v>14.2</c:v>
                </c:pt>
                <c:pt idx="4">
                  <c:v>15.2</c:v>
                </c:pt>
                <c:pt idx="5">
                  <c:v>14.1</c:v>
                </c:pt>
                <c:pt idx="6">
                  <c:v>14.3</c:v>
                </c:pt>
                <c:pt idx="7">
                  <c:v>16.3</c:v>
                </c:pt>
                <c:pt idx="8">
                  <c:v>17.100000000000001</c:v>
                </c:pt>
                <c:pt idx="9">
                  <c:v>16.600000000000001</c:v>
                </c:pt>
                <c:pt idx="10">
                  <c:v>17</c:v>
                </c:pt>
                <c:pt idx="11">
                  <c:v>19.2</c:v>
                </c:pt>
                <c:pt idx="12">
                  <c:v>19.3</c:v>
                </c:pt>
                <c:pt idx="13">
                  <c:v>17.8</c:v>
                </c:pt>
                <c:pt idx="14">
                  <c:v>18.899999999999999</c:v>
                </c:pt>
                <c:pt idx="15">
                  <c:v>21</c:v>
                </c:pt>
                <c:pt idx="16">
                  <c:v>21.4</c:v>
                </c:pt>
                <c:pt idx="17">
                  <c:v>20.5</c:v>
                </c:pt>
                <c:pt idx="18">
                  <c:v>22.4</c:v>
                </c:pt>
                <c:pt idx="19">
                  <c:v>23.6</c:v>
                </c:pt>
                <c:pt idx="20">
                  <c:v>20.7</c:v>
                </c:pt>
                <c:pt idx="21">
                  <c:v>20.5</c:v>
                </c:pt>
                <c:pt idx="22">
                  <c:v>22.7</c:v>
                </c:pt>
                <c:pt idx="23">
                  <c:v>20</c:v>
                </c:pt>
                <c:pt idx="24">
                  <c:v>19.600000000000001</c:v>
                </c:pt>
                <c:pt idx="25">
                  <c:v>21</c:v>
                </c:pt>
                <c:pt idx="26">
                  <c:v>19.7</c:v>
                </c:pt>
                <c:pt idx="27">
                  <c:v>19.7</c:v>
                </c:pt>
                <c:pt idx="28">
                  <c:v>19.100000000000001</c:v>
                </c:pt>
                <c:pt idx="29">
                  <c:v>20</c:v>
                </c:pt>
                <c:pt idx="30">
                  <c:v>21.2</c:v>
                </c:pt>
                <c:pt idx="31">
                  <c:v>22.7</c:v>
                </c:pt>
                <c:pt idx="32">
                  <c:v>23.4</c:v>
                </c:pt>
                <c:pt idx="33">
                  <c:v>22.1</c:v>
                </c:pt>
                <c:pt idx="34">
                  <c:v>23.2</c:v>
                </c:pt>
                <c:pt idx="35">
                  <c:v>23.9</c:v>
                </c:pt>
                <c:pt idx="36">
                  <c:v>23.5</c:v>
                </c:pt>
              </c:numCache>
            </c:numRef>
          </c:val>
          <c:smooth val="0"/>
          <c:extLst>
            <c:ext xmlns:c16="http://schemas.microsoft.com/office/drawing/2014/chart" uri="{C3380CC4-5D6E-409C-BE32-E72D297353CC}">
              <c16:uniqueId val="{00000058-F42E-4DA7-872F-DF81B431D8DC}"/>
            </c:ext>
          </c:extLst>
        </c:ser>
        <c:ser>
          <c:idx val="4"/>
          <c:order val="4"/>
          <c:tx>
            <c:strRef>
              <c:f>employment!$F$109</c:f>
              <c:strCache>
                <c:ptCount val="1"/>
                <c:pt idx="0">
                  <c:v>powyżej 65 (prawa oś)</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59-F42E-4DA7-872F-DF81B431D8DC}"/>
                </c:ext>
              </c:extLst>
            </c:dLbl>
            <c:dLbl>
              <c:idx val="2"/>
              <c:delete val="1"/>
              <c:extLst>
                <c:ext xmlns:c15="http://schemas.microsoft.com/office/drawing/2012/chart" uri="{CE6537A1-D6FC-4f65-9D91-7224C49458BB}"/>
                <c:ext xmlns:c16="http://schemas.microsoft.com/office/drawing/2014/chart" uri="{C3380CC4-5D6E-409C-BE32-E72D297353CC}">
                  <c16:uniqueId val="{0000005A-F42E-4DA7-872F-DF81B431D8DC}"/>
                </c:ext>
              </c:extLst>
            </c:dLbl>
            <c:dLbl>
              <c:idx val="3"/>
              <c:delete val="1"/>
              <c:extLst>
                <c:ext xmlns:c15="http://schemas.microsoft.com/office/drawing/2012/chart" uri="{CE6537A1-D6FC-4f65-9D91-7224C49458BB}"/>
                <c:ext xmlns:c16="http://schemas.microsoft.com/office/drawing/2014/chart" uri="{C3380CC4-5D6E-409C-BE32-E72D297353CC}">
                  <c16:uniqueId val="{0000005B-F42E-4DA7-872F-DF81B431D8DC}"/>
                </c:ext>
              </c:extLst>
            </c:dLbl>
            <c:dLbl>
              <c:idx val="5"/>
              <c:delete val="1"/>
              <c:extLst>
                <c:ext xmlns:c15="http://schemas.microsoft.com/office/drawing/2012/chart" uri="{CE6537A1-D6FC-4f65-9D91-7224C49458BB}"/>
                <c:ext xmlns:c16="http://schemas.microsoft.com/office/drawing/2014/chart" uri="{C3380CC4-5D6E-409C-BE32-E72D297353CC}">
                  <c16:uniqueId val="{0000005C-F42E-4DA7-872F-DF81B431D8DC}"/>
                </c:ext>
              </c:extLst>
            </c:dLbl>
            <c:dLbl>
              <c:idx val="6"/>
              <c:delete val="1"/>
              <c:extLst>
                <c:ext xmlns:c15="http://schemas.microsoft.com/office/drawing/2012/chart" uri="{CE6537A1-D6FC-4f65-9D91-7224C49458BB}"/>
                <c:ext xmlns:c16="http://schemas.microsoft.com/office/drawing/2014/chart" uri="{C3380CC4-5D6E-409C-BE32-E72D297353CC}">
                  <c16:uniqueId val="{0000005D-F42E-4DA7-872F-DF81B431D8DC}"/>
                </c:ext>
              </c:extLst>
            </c:dLbl>
            <c:dLbl>
              <c:idx val="7"/>
              <c:delete val="1"/>
              <c:extLst>
                <c:ext xmlns:c15="http://schemas.microsoft.com/office/drawing/2012/chart" uri="{CE6537A1-D6FC-4f65-9D91-7224C49458BB}"/>
                <c:ext xmlns:c16="http://schemas.microsoft.com/office/drawing/2014/chart" uri="{C3380CC4-5D6E-409C-BE32-E72D297353CC}">
                  <c16:uniqueId val="{0000005E-F42E-4DA7-872F-DF81B431D8DC}"/>
                </c:ext>
              </c:extLst>
            </c:dLbl>
            <c:dLbl>
              <c:idx val="9"/>
              <c:delete val="1"/>
              <c:extLst>
                <c:ext xmlns:c15="http://schemas.microsoft.com/office/drawing/2012/chart" uri="{CE6537A1-D6FC-4f65-9D91-7224C49458BB}"/>
                <c:ext xmlns:c16="http://schemas.microsoft.com/office/drawing/2014/chart" uri="{C3380CC4-5D6E-409C-BE32-E72D297353CC}">
                  <c16:uniqueId val="{0000005F-F42E-4DA7-872F-DF81B431D8DC}"/>
                </c:ext>
              </c:extLst>
            </c:dLbl>
            <c:dLbl>
              <c:idx val="10"/>
              <c:delete val="1"/>
              <c:extLst>
                <c:ext xmlns:c15="http://schemas.microsoft.com/office/drawing/2012/chart" uri="{CE6537A1-D6FC-4f65-9D91-7224C49458BB}"/>
                <c:ext xmlns:c16="http://schemas.microsoft.com/office/drawing/2014/chart" uri="{C3380CC4-5D6E-409C-BE32-E72D297353CC}">
                  <c16:uniqueId val="{00000060-F42E-4DA7-872F-DF81B431D8DC}"/>
                </c:ext>
              </c:extLst>
            </c:dLbl>
            <c:dLbl>
              <c:idx val="11"/>
              <c:delete val="1"/>
              <c:extLst>
                <c:ext xmlns:c15="http://schemas.microsoft.com/office/drawing/2012/chart" uri="{CE6537A1-D6FC-4f65-9D91-7224C49458BB}"/>
                <c:ext xmlns:c16="http://schemas.microsoft.com/office/drawing/2014/chart" uri="{C3380CC4-5D6E-409C-BE32-E72D297353CC}">
                  <c16:uniqueId val="{00000061-F42E-4DA7-872F-DF81B431D8DC}"/>
                </c:ext>
              </c:extLst>
            </c:dLbl>
            <c:dLbl>
              <c:idx val="13"/>
              <c:delete val="1"/>
              <c:extLst>
                <c:ext xmlns:c15="http://schemas.microsoft.com/office/drawing/2012/chart" uri="{CE6537A1-D6FC-4f65-9D91-7224C49458BB}"/>
                <c:ext xmlns:c16="http://schemas.microsoft.com/office/drawing/2014/chart" uri="{C3380CC4-5D6E-409C-BE32-E72D297353CC}">
                  <c16:uniqueId val="{00000062-F42E-4DA7-872F-DF81B431D8DC}"/>
                </c:ext>
              </c:extLst>
            </c:dLbl>
            <c:dLbl>
              <c:idx val="14"/>
              <c:delete val="1"/>
              <c:extLst>
                <c:ext xmlns:c15="http://schemas.microsoft.com/office/drawing/2012/chart" uri="{CE6537A1-D6FC-4f65-9D91-7224C49458BB}"/>
                <c:ext xmlns:c16="http://schemas.microsoft.com/office/drawing/2014/chart" uri="{C3380CC4-5D6E-409C-BE32-E72D297353CC}">
                  <c16:uniqueId val="{00000063-F42E-4DA7-872F-DF81B431D8DC}"/>
                </c:ext>
              </c:extLst>
            </c:dLbl>
            <c:dLbl>
              <c:idx val="15"/>
              <c:delete val="1"/>
              <c:extLst>
                <c:ext xmlns:c15="http://schemas.microsoft.com/office/drawing/2012/chart" uri="{CE6537A1-D6FC-4f65-9D91-7224C49458BB}"/>
                <c:ext xmlns:c16="http://schemas.microsoft.com/office/drawing/2014/chart" uri="{C3380CC4-5D6E-409C-BE32-E72D297353CC}">
                  <c16:uniqueId val="{00000064-F42E-4DA7-872F-DF81B431D8DC}"/>
                </c:ext>
              </c:extLst>
            </c:dLbl>
            <c:dLbl>
              <c:idx val="17"/>
              <c:delete val="1"/>
              <c:extLst>
                <c:ext xmlns:c15="http://schemas.microsoft.com/office/drawing/2012/chart" uri="{CE6537A1-D6FC-4f65-9D91-7224C49458BB}"/>
                <c:ext xmlns:c16="http://schemas.microsoft.com/office/drawing/2014/chart" uri="{C3380CC4-5D6E-409C-BE32-E72D297353CC}">
                  <c16:uniqueId val="{00000065-F42E-4DA7-872F-DF81B431D8DC}"/>
                </c:ext>
              </c:extLst>
            </c:dLbl>
            <c:dLbl>
              <c:idx val="18"/>
              <c:delete val="1"/>
              <c:extLst>
                <c:ext xmlns:c15="http://schemas.microsoft.com/office/drawing/2012/chart" uri="{CE6537A1-D6FC-4f65-9D91-7224C49458BB}"/>
                <c:ext xmlns:c16="http://schemas.microsoft.com/office/drawing/2014/chart" uri="{C3380CC4-5D6E-409C-BE32-E72D297353CC}">
                  <c16:uniqueId val="{00000066-F42E-4DA7-872F-DF81B431D8DC}"/>
                </c:ext>
              </c:extLst>
            </c:dLbl>
            <c:dLbl>
              <c:idx val="19"/>
              <c:delete val="1"/>
              <c:extLst>
                <c:ext xmlns:c15="http://schemas.microsoft.com/office/drawing/2012/chart" uri="{CE6537A1-D6FC-4f65-9D91-7224C49458BB}"/>
                <c:ext xmlns:c16="http://schemas.microsoft.com/office/drawing/2014/chart" uri="{C3380CC4-5D6E-409C-BE32-E72D297353CC}">
                  <c16:uniqueId val="{00000067-F42E-4DA7-872F-DF81B431D8DC}"/>
                </c:ext>
              </c:extLst>
            </c:dLbl>
            <c:dLbl>
              <c:idx val="21"/>
              <c:delete val="1"/>
              <c:extLst>
                <c:ext xmlns:c15="http://schemas.microsoft.com/office/drawing/2012/chart" uri="{CE6537A1-D6FC-4f65-9D91-7224C49458BB}"/>
                <c:ext xmlns:c16="http://schemas.microsoft.com/office/drawing/2014/chart" uri="{C3380CC4-5D6E-409C-BE32-E72D297353CC}">
                  <c16:uniqueId val="{00000068-F42E-4DA7-872F-DF81B431D8DC}"/>
                </c:ext>
              </c:extLst>
            </c:dLbl>
            <c:dLbl>
              <c:idx val="22"/>
              <c:delete val="1"/>
              <c:extLst>
                <c:ext xmlns:c15="http://schemas.microsoft.com/office/drawing/2012/chart" uri="{CE6537A1-D6FC-4f65-9D91-7224C49458BB}"/>
                <c:ext xmlns:c16="http://schemas.microsoft.com/office/drawing/2014/chart" uri="{C3380CC4-5D6E-409C-BE32-E72D297353CC}">
                  <c16:uniqueId val="{00000069-F42E-4DA7-872F-DF81B431D8DC}"/>
                </c:ext>
              </c:extLst>
            </c:dLbl>
            <c:dLbl>
              <c:idx val="23"/>
              <c:delete val="1"/>
              <c:extLst>
                <c:ext xmlns:c15="http://schemas.microsoft.com/office/drawing/2012/chart" uri="{CE6537A1-D6FC-4f65-9D91-7224C49458BB}"/>
                <c:ext xmlns:c16="http://schemas.microsoft.com/office/drawing/2014/chart" uri="{C3380CC4-5D6E-409C-BE32-E72D297353CC}">
                  <c16:uniqueId val="{0000006A-F42E-4DA7-872F-DF81B431D8DC}"/>
                </c:ext>
              </c:extLst>
            </c:dLbl>
            <c:dLbl>
              <c:idx val="25"/>
              <c:delete val="1"/>
              <c:extLst>
                <c:ext xmlns:c15="http://schemas.microsoft.com/office/drawing/2012/chart" uri="{CE6537A1-D6FC-4f65-9D91-7224C49458BB}"/>
                <c:ext xmlns:c16="http://schemas.microsoft.com/office/drawing/2014/chart" uri="{C3380CC4-5D6E-409C-BE32-E72D297353CC}">
                  <c16:uniqueId val="{0000006B-F42E-4DA7-872F-DF81B431D8DC}"/>
                </c:ext>
              </c:extLst>
            </c:dLbl>
            <c:dLbl>
              <c:idx val="26"/>
              <c:delete val="1"/>
              <c:extLst>
                <c:ext xmlns:c15="http://schemas.microsoft.com/office/drawing/2012/chart" uri="{CE6537A1-D6FC-4f65-9D91-7224C49458BB}"/>
                <c:ext xmlns:c16="http://schemas.microsoft.com/office/drawing/2014/chart" uri="{C3380CC4-5D6E-409C-BE32-E72D297353CC}">
                  <c16:uniqueId val="{0000006C-F42E-4DA7-872F-DF81B431D8DC}"/>
                </c:ext>
              </c:extLst>
            </c:dLbl>
            <c:dLbl>
              <c:idx val="27"/>
              <c:delete val="1"/>
              <c:extLst>
                <c:ext xmlns:c15="http://schemas.microsoft.com/office/drawing/2012/chart" uri="{CE6537A1-D6FC-4f65-9D91-7224C49458BB}"/>
                <c:ext xmlns:c16="http://schemas.microsoft.com/office/drawing/2014/chart" uri="{C3380CC4-5D6E-409C-BE32-E72D297353CC}">
                  <c16:uniqueId val="{0000006D-F42E-4DA7-872F-DF81B431D8DC}"/>
                </c:ext>
              </c:extLst>
            </c:dLbl>
            <c:dLbl>
              <c:idx val="29"/>
              <c:delete val="1"/>
              <c:extLst>
                <c:ext xmlns:c15="http://schemas.microsoft.com/office/drawing/2012/chart" uri="{CE6537A1-D6FC-4f65-9D91-7224C49458BB}"/>
                <c:ext xmlns:c16="http://schemas.microsoft.com/office/drawing/2014/chart" uri="{C3380CC4-5D6E-409C-BE32-E72D297353CC}">
                  <c16:uniqueId val="{0000006E-F42E-4DA7-872F-DF81B431D8DC}"/>
                </c:ext>
              </c:extLst>
            </c:dLbl>
            <c:dLbl>
              <c:idx val="30"/>
              <c:delete val="1"/>
              <c:extLst>
                <c:ext xmlns:c15="http://schemas.microsoft.com/office/drawing/2012/chart" uri="{CE6537A1-D6FC-4f65-9D91-7224C49458BB}"/>
                <c:ext xmlns:c16="http://schemas.microsoft.com/office/drawing/2014/chart" uri="{C3380CC4-5D6E-409C-BE32-E72D297353CC}">
                  <c16:uniqueId val="{0000006F-F42E-4DA7-872F-DF81B431D8DC}"/>
                </c:ext>
              </c:extLst>
            </c:dLbl>
            <c:dLbl>
              <c:idx val="31"/>
              <c:delete val="1"/>
              <c:extLst>
                <c:ext xmlns:c15="http://schemas.microsoft.com/office/drawing/2012/chart" uri="{CE6537A1-D6FC-4f65-9D91-7224C49458BB}"/>
                <c:ext xmlns:c16="http://schemas.microsoft.com/office/drawing/2014/chart" uri="{C3380CC4-5D6E-409C-BE32-E72D297353CC}">
                  <c16:uniqueId val="{00000070-F42E-4DA7-872F-DF81B431D8DC}"/>
                </c:ext>
              </c:extLst>
            </c:dLbl>
            <c:dLbl>
              <c:idx val="33"/>
              <c:delete val="1"/>
              <c:extLst>
                <c:ext xmlns:c15="http://schemas.microsoft.com/office/drawing/2012/chart" uri="{CE6537A1-D6FC-4f65-9D91-7224C49458BB}"/>
                <c:ext xmlns:c16="http://schemas.microsoft.com/office/drawing/2014/chart" uri="{C3380CC4-5D6E-409C-BE32-E72D297353CC}">
                  <c16:uniqueId val="{00000071-F42E-4DA7-872F-DF81B431D8DC}"/>
                </c:ext>
              </c:extLst>
            </c:dLbl>
            <c:dLbl>
              <c:idx val="34"/>
              <c:delete val="1"/>
              <c:extLst>
                <c:ext xmlns:c15="http://schemas.microsoft.com/office/drawing/2012/chart" uri="{CE6537A1-D6FC-4f65-9D91-7224C49458BB}"/>
                <c:ext xmlns:c16="http://schemas.microsoft.com/office/drawing/2014/chart" uri="{C3380CC4-5D6E-409C-BE32-E72D297353CC}">
                  <c16:uniqueId val="{00000072-F42E-4DA7-872F-DF81B431D8DC}"/>
                </c:ext>
              </c:extLst>
            </c:dLbl>
            <c:dLbl>
              <c:idx val="35"/>
              <c:delete val="1"/>
              <c:extLst>
                <c:ext xmlns:c15="http://schemas.microsoft.com/office/drawing/2012/chart" uri="{CE6537A1-D6FC-4f65-9D91-7224C49458BB}"/>
                <c:ext xmlns:c16="http://schemas.microsoft.com/office/drawing/2014/chart" uri="{C3380CC4-5D6E-409C-BE32-E72D297353CC}">
                  <c16:uniqueId val="{00000073-F42E-4DA7-872F-DF81B431D8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employment!$A$110:$A$146</c:f>
              <c:strCache>
                <c:ptCount val="37"/>
                <c:pt idx="0">
                  <c:v>2012Q4</c:v>
                </c:pt>
                <c:pt idx="1">
                  <c:v>2013Q1</c:v>
                </c:pt>
                <c:pt idx="2">
                  <c:v>2013Q2</c:v>
                </c:pt>
                <c:pt idx="3">
                  <c:v>2013Q3</c:v>
                </c:pt>
                <c:pt idx="4">
                  <c:v>2013Q4</c:v>
                </c:pt>
                <c:pt idx="5">
                  <c:v>2014Q1</c:v>
                </c:pt>
                <c:pt idx="6">
                  <c:v>2014Q2</c:v>
                </c:pt>
                <c:pt idx="7">
                  <c:v>2014Q3</c:v>
                </c:pt>
                <c:pt idx="8">
                  <c:v>2014Q4</c:v>
                </c:pt>
                <c:pt idx="9">
                  <c:v>2015Q1</c:v>
                </c:pt>
                <c:pt idx="10">
                  <c:v>2015Q2</c:v>
                </c:pt>
                <c:pt idx="11">
                  <c:v>2015Q3</c:v>
                </c:pt>
                <c:pt idx="12">
                  <c:v>2015Q4</c:v>
                </c:pt>
                <c:pt idx="13">
                  <c:v>2016Q1</c:v>
                </c:pt>
                <c:pt idx="14">
                  <c:v>2016Q2</c:v>
                </c:pt>
                <c:pt idx="15">
                  <c:v>2016Q3</c:v>
                </c:pt>
                <c:pt idx="16">
                  <c:v>2016Q4</c:v>
                </c:pt>
                <c:pt idx="17">
                  <c:v>2017Q1</c:v>
                </c:pt>
                <c:pt idx="18">
                  <c:v>2017Q2</c:v>
                </c:pt>
                <c:pt idx="19">
                  <c:v>2017Q3</c:v>
                </c:pt>
                <c:pt idx="20">
                  <c:v>2017Q4</c:v>
                </c:pt>
                <c:pt idx="21">
                  <c:v>2018Q1</c:v>
                </c:pt>
                <c:pt idx="22">
                  <c:v>2018Q2</c:v>
                </c:pt>
                <c:pt idx="23">
                  <c:v>2018Q3</c:v>
                </c:pt>
                <c:pt idx="24">
                  <c:v>2018Q4</c:v>
                </c:pt>
                <c:pt idx="25">
                  <c:v>2019Q1</c:v>
                </c:pt>
                <c:pt idx="26">
                  <c:v>2019Q2</c:v>
                </c:pt>
                <c:pt idx="27">
                  <c:v>2019Q3</c:v>
                </c:pt>
                <c:pt idx="28">
                  <c:v>2019Q4</c:v>
                </c:pt>
                <c:pt idx="29">
                  <c:v>2020Q1</c:v>
                </c:pt>
                <c:pt idx="30">
                  <c:v>2020Q2</c:v>
                </c:pt>
                <c:pt idx="31">
                  <c:v>2020Q3</c:v>
                </c:pt>
                <c:pt idx="32">
                  <c:v>2020Q4</c:v>
                </c:pt>
                <c:pt idx="33">
                  <c:v>2021Q1</c:v>
                </c:pt>
                <c:pt idx="34">
                  <c:v>2021Q2</c:v>
                </c:pt>
                <c:pt idx="35">
                  <c:v>2021Q3</c:v>
                </c:pt>
                <c:pt idx="36">
                  <c:v>2021Q4</c:v>
                </c:pt>
              </c:strCache>
            </c:strRef>
          </c:cat>
          <c:val>
            <c:numRef>
              <c:f>employment!$F$110:$F$146</c:f>
              <c:numCache>
                <c:formatCode>#\ ##0.0</c:formatCode>
                <c:ptCount val="37"/>
                <c:pt idx="0">
                  <c:v>2.9</c:v>
                </c:pt>
                <c:pt idx="1">
                  <c:v>2.9</c:v>
                </c:pt>
                <c:pt idx="2">
                  <c:v>3.1</c:v>
                </c:pt>
                <c:pt idx="3">
                  <c:v>2.9</c:v>
                </c:pt>
                <c:pt idx="4">
                  <c:v>2.8</c:v>
                </c:pt>
                <c:pt idx="5">
                  <c:v>3</c:v>
                </c:pt>
                <c:pt idx="6">
                  <c:v>3</c:v>
                </c:pt>
                <c:pt idx="7">
                  <c:v>2.9</c:v>
                </c:pt>
                <c:pt idx="8">
                  <c:v>2.5</c:v>
                </c:pt>
                <c:pt idx="9">
                  <c:v>2.8</c:v>
                </c:pt>
                <c:pt idx="10">
                  <c:v>2.7</c:v>
                </c:pt>
                <c:pt idx="11">
                  <c:v>2.5</c:v>
                </c:pt>
                <c:pt idx="12">
                  <c:v>2.7</c:v>
                </c:pt>
                <c:pt idx="13">
                  <c:v>2.7</c:v>
                </c:pt>
                <c:pt idx="14">
                  <c:v>2.7</c:v>
                </c:pt>
                <c:pt idx="15">
                  <c:v>2.7</c:v>
                </c:pt>
                <c:pt idx="16">
                  <c:v>2.6</c:v>
                </c:pt>
                <c:pt idx="17">
                  <c:v>3</c:v>
                </c:pt>
                <c:pt idx="18">
                  <c:v>3.2</c:v>
                </c:pt>
                <c:pt idx="19">
                  <c:v>3.2</c:v>
                </c:pt>
                <c:pt idx="20">
                  <c:v>3.2</c:v>
                </c:pt>
                <c:pt idx="21">
                  <c:v>3.2</c:v>
                </c:pt>
                <c:pt idx="22">
                  <c:v>3.1</c:v>
                </c:pt>
                <c:pt idx="23">
                  <c:v>3.3</c:v>
                </c:pt>
                <c:pt idx="24">
                  <c:v>3.3</c:v>
                </c:pt>
                <c:pt idx="25">
                  <c:v>3.2</c:v>
                </c:pt>
                <c:pt idx="26">
                  <c:v>3.4</c:v>
                </c:pt>
                <c:pt idx="27">
                  <c:v>3.7</c:v>
                </c:pt>
                <c:pt idx="28">
                  <c:v>3.4</c:v>
                </c:pt>
                <c:pt idx="29">
                  <c:v>3.5</c:v>
                </c:pt>
                <c:pt idx="30">
                  <c:v>3.4</c:v>
                </c:pt>
                <c:pt idx="31">
                  <c:v>3.7</c:v>
                </c:pt>
                <c:pt idx="32">
                  <c:v>3.8</c:v>
                </c:pt>
                <c:pt idx="33">
                  <c:v>3.9</c:v>
                </c:pt>
                <c:pt idx="34">
                  <c:v>4</c:v>
                </c:pt>
                <c:pt idx="35">
                  <c:v>4.3</c:v>
                </c:pt>
                <c:pt idx="36">
                  <c:v>4</c:v>
                </c:pt>
              </c:numCache>
            </c:numRef>
          </c:val>
          <c:smooth val="0"/>
          <c:extLst>
            <c:ext xmlns:c16="http://schemas.microsoft.com/office/drawing/2014/chart" uri="{C3380CC4-5D6E-409C-BE32-E72D297353CC}">
              <c16:uniqueId val="{00000074-F42E-4DA7-872F-DF81B431D8DC}"/>
            </c:ext>
          </c:extLst>
        </c:ser>
        <c:dLbls>
          <c:showLegendKey val="0"/>
          <c:showVal val="0"/>
          <c:showCatName val="0"/>
          <c:showSerName val="0"/>
          <c:showPercent val="0"/>
          <c:showBubbleSize val="0"/>
        </c:dLbls>
        <c:marker val="1"/>
        <c:smooth val="0"/>
        <c:axId val="263984256"/>
        <c:axId val="263794048"/>
      </c:lineChart>
      <c:catAx>
        <c:axId val="26379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792512"/>
        <c:crosses val="autoZero"/>
        <c:auto val="1"/>
        <c:lblAlgn val="ctr"/>
        <c:lblOffset val="100"/>
        <c:noMultiLvlLbl val="0"/>
      </c:catAx>
      <c:valAx>
        <c:axId val="263792512"/>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790976"/>
        <c:crosses val="autoZero"/>
        <c:crossBetween val="between"/>
      </c:valAx>
      <c:valAx>
        <c:axId val="263794048"/>
        <c:scaling>
          <c:orientation val="minMax"/>
          <c:max val="50"/>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984256"/>
        <c:crosses val="max"/>
        <c:crossBetween val="between"/>
      </c:valAx>
      <c:catAx>
        <c:axId val="263984256"/>
        <c:scaling>
          <c:orientation val="minMax"/>
        </c:scaling>
        <c:delete val="1"/>
        <c:axPos val="b"/>
        <c:numFmt formatCode="General" sourceLinked="1"/>
        <c:majorTickMark val="out"/>
        <c:minorTickMark val="none"/>
        <c:tickLblPos val="nextTo"/>
        <c:crossAx val="263794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'pracujacy emeryci'!$N$9</c:f>
              <c:strCache>
                <c:ptCount val="1"/>
                <c:pt idx="0">
                  <c:v>Liczba pracujących emerytów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'pracujacy emeryci'!$M$10:$M$19</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'pracujacy emeryci'!$N$10:$N$19</c:f>
              <c:numCache>
                <c:formatCode>General</c:formatCode>
                <c:ptCount val="10"/>
                <c:pt idx="0">
                  <c:v>545.4</c:v>
                </c:pt>
                <c:pt idx="1">
                  <c:v>532.6</c:v>
                </c:pt>
                <c:pt idx="2">
                  <c:v>550.6</c:v>
                </c:pt>
                <c:pt idx="3">
                  <c:v>575.4</c:v>
                </c:pt>
                <c:pt idx="4">
                  <c:v>595.9</c:v>
                </c:pt>
                <c:pt idx="5">
                  <c:v>689.4</c:v>
                </c:pt>
                <c:pt idx="6">
                  <c:v>747.2</c:v>
                </c:pt>
                <c:pt idx="7" formatCode="0.0">
                  <c:v>794</c:v>
                </c:pt>
                <c:pt idx="8">
                  <c:v>776.6</c:v>
                </c:pt>
                <c:pt idx="9">
                  <c:v>812.9</c:v>
                </c:pt>
              </c:numCache>
            </c:numRef>
          </c:val>
          <c:extLst>
            <c:ext xmlns:c16="http://schemas.microsoft.com/office/drawing/2014/chart" uri="{C3380CC4-5D6E-409C-BE32-E72D297353CC}">
              <c16:uniqueId val="{00000000-5997-4BF1-AFEE-04D0B9EF5D08}"/>
            </c:ext>
          </c:extLst>
        </c:ser>
        <c:dLbls>
          <c:showLegendKey val="0"/>
          <c:showVal val="0"/>
          <c:showCatName val="0"/>
          <c:showSerName val="0"/>
          <c:showPercent val="0"/>
          <c:showBubbleSize val="0"/>
        </c:dLbls>
        <c:gapWidth val="182"/>
        <c:axId val="264005120"/>
        <c:axId val="264006656"/>
      </c:barChart>
      <c:catAx>
        <c:axId val="26400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4006656"/>
        <c:crosses val="autoZero"/>
        <c:auto val="1"/>
        <c:lblAlgn val="ctr"/>
        <c:lblOffset val="100"/>
        <c:noMultiLvlLbl val="0"/>
      </c:catAx>
      <c:valAx>
        <c:axId val="264006656"/>
        <c:scaling>
          <c:orientation val="minMax"/>
          <c:min val="5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400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E1B1-C93E-44E1-B1BA-22B681B9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13388</Words>
  <Characters>80332</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2022-11-18T09:04:00Z</dcterms:created>
  <dcterms:modified xsi:type="dcterms:W3CDTF">2022-11-18T09:04:00Z</dcterms:modified>
</cp:coreProperties>
</file>