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BF6F" w14:textId="1F161C19" w:rsidR="00D24408" w:rsidRPr="009D2359" w:rsidRDefault="00D24408" w:rsidP="00D2440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D2359">
        <w:rPr>
          <w:rFonts w:asciiTheme="minorHAnsi" w:hAnsiTheme="minorHAnsi" w:cstheme="minorHAnsi"/>
          <w:b/>
          <w:sz w:val="22"/>
          <w:szCs w:val="22"/>
        </w:rPr>
        <w:tab/>
      </w:r>
      <w:r w:rsidRPr="009D2359">
        <w:rPr>
          <w:rFonts w:asciiTheme="minorHAnsi" w:hAnsiTheme="minorHAnsi" w:cstheme="minorHAnsi"/>
          <w:b/>
          <w:sz w:val="22"/>
          <w:szCs w:val="22"/>
        </w:rPr>
        <w:tab/>
      </w:r>
      <w:r w:rsidRPr="009D2359">
        <w:rPr>
          <w:rFonts w:asciiTheme="minorHAnsi" w:hAnsiTheme="minorHAnsi" w:cstheme="minorHAnsi"/>
          <w:b/>
          <w:sz w:val="22"/>
          <w:szCs w:val="22"/>
        </w:rPr>
        <w:tab/>
      </w:r>
      <w:r w:rsidRPr="009D2359">
        <w:rPr>
          <w:rFonts w:asciiTheme="minorHAnsi" w:hAnsiTheme="minorHAnsi" w:cstheme="minorHAnsi"/>
          <w:b/>
          <w:sz w:val="22"/>
          <w:szCs w:val="22"/>
        </w:rPr>
        <w:tab/>
      </w:r>
      <w:r w:rsidRPr="009D2359">
        <w:rPr>
          <w:rFonts w:asciiTheme="minorHAnsi" w:hAnsiTheme="minorHAnsi" w:cstheme="minorHAnsi"/>
          <w:b/>
          <w:sz w:val="22"/>
          <w:szCs w:val="22"/>
        </w:rPr>
        <w:tab/>
      </w:r>
      <w:r w:rsidRPr="009D2359">
        <w:rPr>
          <w:rFonts w:asciiTheme="minorHAnsi" w:hAnsiTheme="minorHAnsi" w:cstheme="minorHAnsi"/>
          <w:b/>
          <w:sz w:val="22"/>
          <w:szCs w:val="22"/>
        </w:rPr>
        <w:tab/>
      </w:r>
      <w:r w:rsidRPr="009D2359">
        <w:rPr>
          <w:rFonts w:asciiTheme="minorHAnsi" w:hAnsiTheme="minorHAnsi" w:cstheme="minorHAnsi"/>
          <w:b/>
          <w:sz w:val="22"/>
          <w:szCs w:val="22"/>
        </w:rPr>
        <w:tab/>
      </w:r>
      <w:r w:rsidRPr="009D2359">
        <w:rPr>
          <w:rFonts w:asciiTheme="minorHAnsi" w:hAnsiTheme="minorHAnsi" w:cstheme="minorHAnsi"/>
          <w:b/>
          <w:sz w:val="22"/>
          <w:szCs w:val="22"/>
        </w:rPr>
        <w:tab/>
      </w:r>
      <w:r w:rsidRPr="009D2359">
        <w:rPr>
          <w:rFonts w:asciiTheme="minorHAnsi" w:hAnsiTheme="minorHAnsi" w:cstheme="minorHAnsi"/>
          <w:b/>
          <w:sz w:val="22"/>
          <w:szCs w:val="22"/>
        </w:rPr>
        <w:tab/>
      </w:r>
      <w:r w:rsidRPr="009D2359">
        <w:rPr>
          <w:rFonts w:asciiTheme="minorHAnsi" w:hAnsiTheme="minorHAnsi" w:cstheme="minorHAnsi"/>
          <w:b/>
          <w:sz w:val="22"/>
          <w:szCs w:val="22"/>
        </w:rPr>
        <w:tab/>
      </w:r>
      <w:r w:rsidR="00EA13BF" w:rsidRPr="009D2359">
        <w:rPr>
          <w:rFonts w:asciiTheme="minorHAnsi" w:hAnsiTheme="minorHAnsi" w:cstheme="minorHAnsi"/>
          <w:color w:val="auto"/>
          <w:sz w:val="22"/>
          <w:szCs w:val="22"/>
          <w14:ligatures w14:val="none"/>
        </w:rPr>
        <w:t>1</w:t>
      </w:r>
      <w:r w:rsidR="00102FBE">
        <w:rPr>
          <w:rFonts w:asciiTheme="minorHAnsi" w:hAnsiTheme="minorHAnsi" w:cstheme="minorHAnsi"/>
          <w:color w:val="auto"/>
          <w:sz w:val="22"/>
          <w:szCs w:val="22"/>
          <w14:ligatures w14:val="none"/>
        </w:rPr>
        <w:t>9</w:t>
      </w:r>
      <w:r w:rsidR="00EA13BF" w:rsidRPr="009D2359">
        <w:rPr>
          <w:rFonts w:asciiTheme="minorHAnsi" w:hAnsiTheme="minorHAnsi" w:cstheme="minorHAnsi"/>
          <w:color w:val="auto"/>
          <w:sz w:val="22"/>
          <w:szCs w:val="22"/>
          <w14:ligatures w14:val="none"/>
        </w:rPr>
        <w:t>.</w:t>
      </w:r>
      <w:r w:rsidRPr="009D2359">
        <w:rPr>
          <w:rFonts w:asciiTheme="minorHAnsi" w:hAnsiTheme="minorHAnsi" w:cstheme="minorHAnsi"/>
          <w:color w:val="auto"/>
          <w:sz w:val="22"/>
          <w:szCs w:val="22"/>
          <w14:ligatures w14:val="none"/>
        </w:rPr>
        <w:t>09.2023 r.</w:t>
      </w:r>
    </w:p>
    <w:p w14:paraId="4BACDAE4" w14:textId="77777777" w:rsidR="00D24408" w:rsidRPr="009D2359" w:rsidRDefault="00D24408" w:rsidP="00D2440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4156474D" w14:textId="77777777" w:rsidR="00D24408" w:rsidRPr="009D2359" w:rsidRDefault="00D24408" w:rsidP="00D2440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9D2359">
        <w:rPr>
          <w:rFonts w:asciiTheme="minorHAnsi" w:hAnsiTheme="minorHAnsi" w:cstheme="minorHAnsi"/>
          <w:b/>
          <w:sz w:val="22"/>
          <w:szCs w:val="22"/>
        </w:rPr>
        <w:t>Informacja o zmianie w dokumentacji dla naboru nr FERC.01.01-IP.01.001/23 w ramach działania FERC.01.01 Zwiększenie dostępu do ultra-szybkiego internetu szerokopasmowego, Fundusze Europejskie na Rozwój Cyfrowy 2021-2027</w:t>
      </w:r>
    </w:p>
    <w:p w14:paraId="1C97A7A2" w14:textId="6B0EB549" w:rsidR="000E40F9" w:rsidRPr="009D2359" w:rsidRDefault="000E40F9" w:rsidP="000E40F9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9D2359">
        <w:rPr>
          <w:rFonts w:asciiTheme="minorHAnsi" w:hAnsiTheme="minorHAnsi" w:cstheme="minorHAnsi"/>
          <w:sz w:val="22"/>
          <w:szCs w:val="22"/>
        </w:rPr>
        <w:t>Wprowadzone zmiany:</w:t>
      </w:r>
    </w:p>
    <w:p w14:paraId="0F8714F2" w14:textId="6C546E39" w:rsidR="00FD41C1" w:rsidRPr="009D2359" w:rsidRDefault="00FD41C1" w:rsidP="00513751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D2359">
        <w:rPr>
          <w:rFonts w:asciiTheme="minorHAnsi" w:hAnsiTheme="minorHAnsi" w:cstheme="minorHAnsi"/>
          <w:sz w:val="22"/>
          <w:szCs w:val="22"/>
        </w:rPr>
        <w:t>Regulamin wyboru projektów:</w:t>
      </w:r>
    </w:p>
    <w:p w14:paraId="1858AF54" w14:textId="5939EF36" w:rsidR="00FD41C1" w:rsidRPr="009D2359" w:rsidRDefault="00FD41C1" w:rsidP="008754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eastAsia="Trebuchet MS" w:cstheme="minorHAnsi"/>
          <w:color w:val="000000" w:themeColor="text1"/>
        </w:rPr>
      </w:pPr>
      <w:r w:rsidRPr="009D2359">
        <w:rPr>
          <w:rFonts w:cstheme="minorHAnsi"/>
        </w:rPr>
        <w:t xml:space="preserve">§ 10 ust. 1 pkt 2 </w:t>
      </w:r>
      <w:r w:rsidR="00370645">
        <w:rPr>
          <w:rFonts w:cstheme="minorHAnsi"/>
        </w:rPr>
        <w:t>nadano</w:t>
      </w:r>
      <w:r w:rsidRPr="009D2359">
        <w:rPr>
          <w:rFonts w:cstheme="minorHAnsi"/>
        </w:rPr>
        <w:t xml:space="preserve"> brzmienie: „</w:t>
      </w:r>
      <w:r w:rsidRPr="009D2359">
        <w:rPr>
          <w:rFonts w:eastAsia="Trebuchet MS" w:cstheme="minorHAnsi"/>
          <w:color w:val="000000" w:themeColor="text1"/>
        </w:rPr>
        <w:t xml:space="preserve">2) na Ogólnopolskiej liście rankingowej - względem dostępnej alokacji w naborze, o której mowa w </w:t>
      </w:r>
      <w:r w:rsidRPr="009D2359">
        <w:rPr>
          <w:rFonts w:eastAsiaTheme="minorEastAsia" w:cstheme="minorHAnsi"/>
          <w:color w:val="000000" w:themeColor="text1"/>
        </w:rPr>
        <w:t>§ 3 ust. 5 (II stopień)</w:t>
      </w:r>
      <w:r w:rsidRPr="009D2359">
        <w:rPr>
          <w:rFonts w:eastAsia="Trebuchet MS" w:cstheme="minorHAnsi"/>
          <w:color w:val="000000" w:themeColor="text1"/>
        </w:rPr>
        <w:t xml:space="preserve"> - z wyjątkiem sytuacji, gdy wartość wniosków złożonych w ramach naboru nie przekracza kwoty alokacji wskazanej w</w:t>
      </w:r>
      <w:r w:rsidRPr="009D2359">
        <w:rPr>
          <w:rFonts w:cstheme="minorHAnsi"/>
        </w:rPr>
        <w:t xml:space="preserve"> </w:t>
      </w:r>
      <w:r w:rsidRPr="009D2359">
        <w:rPr>
          <w:rFonts w:eastAsia="Trebuchet MS" w:cstheme="minorHAnsi"/>
          <w:color w:val="000000" w:themeColor="text1"/>
        </w:rPr>
        <w:t>§ 3 ust. 5.”</w:t>
      </w:r>
    </w:p>
    <w:p w14:paraId="479F0A13" w14:textId="16BF5046" w:rsidR="00EA13BF" w:rsidRPr="009D2359" w:rsidRDefault="00FD41C1" w:rsidP="00EA13BF">
      <w:pPr>
        <w:pStyle w:val="Akapitzlist"/>
        <w:numPr>
          <w:ilvl w:val="0"/>
          <w:numId w:val="10"/>
        </w:numPr>
        <w:rPr>
          <w:rFonts w:eastAsia="Trebuchet MS" w:cstheme="minorHAnsi"/>
          <w:color w:val="000000" w:themeColor="text1"/>
        </w:rPr>
      </w:pPr>
      <w:r w:rsidRPr="009D2359">
        <w:rPr>
          <w:rFonts w:cstheme="minorHAnsi"/>
        </w:rPr>
        <w:t xml:space="preserve">§ 10 ust. 2 pkt 2 </w:t>
      </w:r>
      <w:r w:rsidR="00370645">
        <w:rPr>
          <w:rFonts w:cstheme="minorHAnsi"/>
        </w:rPr>
        <w:t>nadano</w:t>
      </w:r>
      <w:r w:rsidRPr="009D2359">
        <w:rPr>
          <w:rFonts w:cstheme="minorHAnsi"/>
        </w:rPr>
        <w:t xml:space="preserve"> brzmienie: „2) </w:t>
      </w:r>
      <w:r w:rsidRPr="009D2359">
        <w:rPr>
          <w:rFonts w:eastAsia="Trebuchet MS" w:cstheme="minorHAnsi"/>
          <w:color w:val="000000" w:themeColor="text1"/>
        </w:rPr>
        <w:t xml:space="preserve">względem alokacji dostępnej w naborze, o której mowa w </w:t>
      </w:r>
      <w:r w:rsidRPr="009D2359">
        <w:rPr>
          <w:rFonts w:eastAsiaTheme="minorEastAsia" w:cstheme="minorHAnsi"/>
          <w:color w:val="000000" w:themeColor="text1"/>
        </w:rPr>
        <w:t xml:space="preserve">§ 3 ust. 5 </w:t>
      </w:r>
      <w:r w:rsidRPr="009D2359">
        <w:rPr>
          <w:rFonts w:eastAsia="Trebuchet MS" w:cstheme="minorHAnsi"/>
          <w:color w:val="000000" w:themeColor="text1"/>
        </w:rPr>
        <w:t xml:space="preserve">– polegająca na tym, że </w:t>
      </w:r>
      <w:r w:rsidR="003B61C4" w:rsidRPr="009D2359">
        <w:rPr>
          <w:rFonts w:eastAsia="Trebuchet MS" w:cstheme="minorHAnsi"/>
          <w:color w:val="000000" w:themeColor="text1"/>
        </w:rPr>
        <w:t>W</w:t>
      </w:r>
      <w:r w:rsidR="000A2B47" w:rsidRPr="009D2359">
        <w:rPr>
          <w:rFonts w:eastAsia="Trebuchet MS" w:cstheme="minorHAnsi"/>
          <w:color w:val="000000" w:themeColor="text1"/>
        </w:rPr>
        <w:t>oD</w:t>
      </w:r>
      <w:r w:rsidRPr="009D2359">
        <w:rPr>
          <w:rFonts w:eastAsia="Trebuchet MS" w:cstheme="minorHAnsi"/>
          <w:color w:val="000000" w:themeColor="text1"/>
        </w:rPr>
        <w:t xml:space="preserve">, które uzyskały najwyższą liczbę punktów z danego Obszaru konkursowego zgodnie z pkt. 1 i zostały umieszczone na Ogólnopolskiej liście rankingowej są na niej porządkowane w kolejności od Wniosku, który uzyskał najwyższą liczbę punktów w kryterium merytorycznym nr 9 „Minimalizacja wkładu publicznego” do </w:t>
      </w:r>
      <w:r w:rsidR="000A2B47" w:rsidRPr="009D2359">
        <w:rPr>
          <w:rFonts w:eastAsia="Trebuchet MS" w:cstheme="minorHAnsi"/>
          <w:color w:val="000000" w:themeColor="text1"/>
        </w:rPr>
        <w:t>WoD</w:t>
      </w:r>
      <w:r w:rsidRPr="009D2359">
        <w:rPr>
          <w:rFonts w:eastAsia="Trebuchet MS" w:cstheme="minorHAnsi"/>
          <w:color w:val="000000" w:themeColor="text1"/>
        </w:rPr>
        <w:t xml:space="preserve">, który uzyskał najniższą liczbę punktów za to kryterium, </w:t>
      </w:r>
      <w:r w:rsidR="00EA13BF" w:rsidRPr="009D2359">
        <w:rPr>
          <w:rFonts w:eastAsia="Trebuchet MS" w:cstheme="minorHAnsi"/>
          <w:color w:val="000000" w:themeColor="text1"/>
        </w:rPr>
        <w:t xml:space="preserve">z wyjątkiem sytuacji, gdy wartość </w:t>
      </w:r>
      <w:r w:rsidR="004471A4">
        <w:rPr>
          <w:rFonts w:eastAsia="Trebuchet MS" w:cstheme="minorHAnsi"/>
          <w:color w:val="000000" w:themeColor="text1"/>
        </w:rPr>
        <w:t xml:space="preserve">wszystkich </w:t>
      </w:r>
      <w:r w:rsidR="00EA13BF" w:rsidRPr="009D2359">
        <w:rPr>
          <w:rFonts w:eastAsia="Trebuchet MS" w:cstheme="minorHAnsi"/>
          <w:color w:val="000000" w:themeColor="text1"/>
        </w:rPr>
        <w:t>WoD złożonych w ramach naboru nie przekracza kwoty alokacji wskazanej w § 3 ust. 5.”</w:t>
      </w:r>
      <w:r w:rsidR="009C4167" w:rsidRPr="009D2359">
        <w:rPr>
          <w:rFonts w:eastAsia="Trebuchet MS" w:cstheme="minorHAnsi"/>
          <w:color w:val="000000" w:themeColor="text1"/>
        </w:rPr>
        <w:t>,</w:t>
      </w:r>
    </w:p>
    <w:p w14:paraId="608A9A37" w14:textId="149FFD2E" w:rsidR="00FD41C1" w:rsidRPr="009D2359" w:rsidRDefault="00FD41C1" w:rsidP="00FD41C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9D2359">
        <w:rPr>
          <w:rFonts w:cstheme="minorHAnsi"/>
        </w:rPr>
        <w:t xml:space="preserve">§ 10 ust. 4 </w:t>
      </w:r>
      <w:r w:rsidR="00370645">
        <w:rPr>
          <w:rFonts w:cstheme="minorHAnsi"/>
        </w:rPr>
        <w:t>nadano</w:t>
      </w:r>
      <w:r w:rsidRPr="009D2359">
        <w:rPr>
          <w:rFonts w:cstheme="minorHAnsi"/>
        </w:rPr>
        <w:t xml:space="preserve"> brzmienie: „4. Do objęcia wsparciem wybierane są </w:t>
      </w:r>
      <w:r w:rsidR="003B61C4" w:rsidRPr="009D2359">
        <w:rPr>
          <w:rFonts w:cstheme="minorHAnsi"/>
        </w:rPr>
        <w:t xml:space="preserve">WoD </w:t>
      </w:r>
      <w:r w:rsidRPr="009D2359">
        <w:rPr>
          <w:rFonts w:cstheme="minorHAnsi"/>
        </w:rPr>
        <w:t>w kolejności od najwyższej do najniższej pozycji danego Wniosku na Ogólnopolskiej liście rankingowej, do momentu wyczerpania alokacji dla naboru, o której mowa w § 3 ust. 5,</w:t>
      </w:r>
      <w:r w:rsidR="00EA13BF" w:rsidRPr="009D2359">
        <w:rPr>
          <w:rFonts w:cstheme="minorHAnsi"/>
        </w:rPr>
        <w:t xml:space="preserve"> z wyjątkiem sytuacji, gdy wartość </w:t>
      </w:r>
      <w:r w:rsidR="004471A4">
        <w:rPr>
          <w:rFonts w:cstheme="minorHAnsi"/>
        </w:rPr>
        <w:t xml:space="preserve">wszystkich </w:t>
      </w:r>
      <w:r w:rsidR="00EA13BF" w:rsidRPr="009D2359">
        <w:rPr>
          <w:rFonts w:cstheme="minorHAnsi"/>
        </w:rPr>
        <w:t>WoD złożonych w ramach naboru nie przekracza kwoty alokacji wskazanej w § 3 ust. 5.</w:t>
      </w:r>
      <w:r w:rsidRPr="009D2359">
        <w:rPr>
          <w:rFonts w:cstheme="minorHAnsi"/>
        </w:rPr>
        <w:t>”</w:t>
      </w:r>
      <w:r w:rsidR="009C4167" w:rsidRPr="009D2359">
        <w:rPr>
          <w:rFonts w:cstheme="minorHAnsi"/>
        </w:rPr>
        <w:t>,</w:t>
      </w:r>
    </w:p>
    <w:p w14:paraId="404B0A92" w14:textId="0D436881" w:rsidR="00FD41C1" w:rsidRPr="009D2359" w:rsidRDefault="00FD41C1" w:rsidP="00FD41C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9D2359">
        <w:rPr>
          <w:rFonts w:cstheme="minorHAnsi"/>
        </w:rPr>
        <w:t xml:space="preserve">§ 10 ust. 5 </w:t>
      </w:r>
      <w:r w:rsidR="00370645">
        <w:rPr>
          <w:rFonts w:cstheme="minorHAnsi"/>
        </w:rPr>
        <w:t>nadano</w:t>
      </w:r>
      <w:r w:rsidRPr="009D2359">
        <w:rPr>
          <w:rFonts w:cstheme="minorHAnsi"/>
        </w:rPr>
        <w:t xml:space="preserve"> brzmienie: „5. Ogólnopolska lista rankingowa zostanie umieszczona na stronie internetowej ION oraz na Portalu, niezwłocznie po rozstrzygnięciu naboru. W przypadku</w:t>
      </w:r>
      <w:r w:rsidR="004471A4">
        <w:rPr>
          <w:rFonts w:cstheme="minorHAnsi"/>
        </w:rPr>
        <w:t>,</w:t>
      </w:r>
      <w:r w:rsidRPr="009D2359">
        <w:rPr>
          <w:rFonts w:cstheme="minorHAnsi"/>
        </w:rPr>
        <w:t xml:space="preserve"> </w:t>
      </w:r>
      <w:r w:rsidR="004471A4" w:rsidRPr="009D2359">
        <w:rPr>
          <w:rFonts w:cstheme="minorHAnsi"/>
        </w:rPr>
        <w:t xml:space="preserve">gdy wartość </w:t>
      </w:r>
      <w:r w:rsidR="004471A4">
        <w:rPr>
          <w:rFonts w:cstheme="minorHAnsi"/>
        </w:rPr>
        <w:t xml:space="preserve">wszystkich </w:t>
      </w:r>
      <w:r w:rsidR="004471A4" w:rsidRPr="009D2359">
        <w:rPr>
          <w:rFonts w:cstheme="minorHAnsi"/>
        </w:rPr>
        <w:t xml:space="preserve">WoD </w:t>
      </w:r>
      <w:r w:rsidR="00091D2A">
        <w:rPr>
          <w:rFonts w:cstheme="minorHAnsi"/>
        </w:rPr>
        <w:t xml:space="preserve">złożonych </w:t>
      </w:r>
      <w:r w:rsidR="004471A4" w:rsidRPr="009D2359">
        <w:rPr>
          <w:rFonts w:cstheme="minorHAnsi"/>
        </w:rPr>
        <w:t>w ramach naboru nie przekracza kwoty alokacji wskazanej w § 3 ust. 5</w:t>
      </w:r>
      <w:r w:rsidRPr="009D2359">
        <w:rPr>
          <w:rFonts w:cstheme="minorHAnsi"/>
        </w:rPr>
        <w:t>, Ogólnopolska lista rankingowa zostanie umieszczona na stronie internetowej ION po poinformowaniu</w:t>
      </w:r>
      <w:r w:rsidR="00EA13BF" w:rsidRPr="009D2359">
        <w:rPr>
          <w:rFonts w:cstheme="minorHAnsi"/>
        </w:rPr>
        <w:t xml:space="preserve"> </w:t>
      </w:r>
      <w:r w:rsidR="00091D2A">
        <w:rPr>
          <w:rFonts w:cstheme="minorHAnsi"/>
        </w:rPr>
        <w:t>o wyniku oceny</w:t>
      </w:r>
      <w:r w:rsidR="00091D2A" w:rsidRPr="009D2359">
        <w:rPr>
          <w:rFonts w:cstheme="minorHAnsi"/>
        </w:rPr>
        <w:t xml:space="preserve"> </w:t>
      </w:r>
      <w:r w:rsidR="00EA13BF" w:rsidRPr="009D2359">
        <w:rPr>
          <w:rFonts w:cstheme="minorHAnsi"/>
        </w:rPr>
        <w:t>Wnioskodawców, których wnioski uzyskały pozytywny wynik oceny i uzyskały najwyższą liczbę punktów na danym obszarze.</w:t>
      </w:r>
      <w:r w:rsidRPr="009D2359">
        <w:rPr>
          <w:rFonts w:cstheme="minorHAnsi"/>
        </w:rPr>
        <w:t>”</w:t>
      </w:r>
      <w:r w:rsidR="008C6552" w:rsidRPr="009D2359">
        <w:rPr>
          <w:rFonts w:cstheme="minorHAnsi"/>
        </w:rPr>
        <w:t>;</w:t>
      </w:r>
    </w:p>
    <w:p w14:paraId="2E4DB40C" w14:textId="6FEBB4C4" w:rsidR="00513751" w:rsidRPr="009D2359" w:rsidRDefault="00513751" w:rsidP="009C4167">
      <w:pPr>
        <w:pStyle w:val="NormalnyWeb"/>
        <w:numPr>
          <w:ilvl w:val="0"/>
          <w:numId w:val="1"/>
        </w:numPr>
        <w:tabs>
          <w:tab w:val="left" w:pos="709"/>
        </w:tabs>
        <w:spacing w:after="240" w:afterAutospacing="0"/>
        <w:ind w:left="1134" w:hanging="777"/>
        <w:rPr>
          <w:rFonts w:asciiTheme="minorHAnsi" w:hAnsiTheme="minorHAnsi" w:cstheme="minorHAnsi"/>
          <w:sz w:val="22"/>
          <w:szCs w:val="22"/>
        </w:rPr>
      </w:pPr>
      <w:r w:rsidRPr="009D2359">
        <w:rPr>
          <w:rFonts w:asciiTheme="minorHAnsi" w:hAnsiTheme="minorHAnsi" w:cstheme="minorHAnsi"/>
          <w:sz w:val="22"/>
          <w:szCs w:val="22"/>
        </w:rPr>
        <w:t xml:space="preserve">Instrukcja </w:t>
      </w:r>
      <w:r w:rsidR="00C93815" w:rsidRPr="009D2359">
        <w:rPr>
          <w:rFonts w:asciiTheme="minorHAnsi" w:hAnsiTheme="minorHAnsi" w:cstheme="minorHAnsi"/>
          <w:sz w:val="22"/>
          <w:szCs w:val="22"/>
        </w:rPr>
        <w:t xml:space="preserve">wypełniania </w:t>
      </w:r>
      <w:r w:rsidRPr="009D2359">
        <w:rPr>
          <w:rFonts w:asciiTheme="minorHAnsi" w:hAnsiTheme="minorHAnsi" w:cstheme="minorHAnsi"/>
          <w:sz w:val="22"/>
          <w:szCs w:val="22"/>
        </w:rPr>
        <w:t xml:space="preserve">wniosku o </w:t>
      </w:r>
      <w:r w:rsidR="00190C43" w:rsidRPr="009D2359">
        <w:rPr>
          <w:rFonts w:asciiTheme="minorHAnsi" w:hAnsiTheme="minorHAnsi" w:cstheme="minorHAnsi"/>
          <w:sz w:val="22"/>
          <w:szCs w:val="22"/>
        </w:rPr>
        <w:t>dofinansowanie -</w:t>
      </w:r>
      <w:r w:rsidRPr="009D2359">
        <w:rPr>
          <w:rFonts w:asciiTheme="minorHAnsi" w:hAnsiTheme="minorHAnsi" w:cstheme="minorHAnsi"/>
          <w:sz w:val="22"/>
          <w:szCs w:val="22"/>
        </w:rPr>
        <w:t xml:space="preserve"> doprecyzowano informacje w instrukcji dotyczące podsekcji wniosku o dofinansowanie, </w:t>
      </w:r>
      <w:r w:rsidR="00C82119" w:rsidRPr="009D2359">
        <w:rPr>
          <w:rFonts w:asciiTheme="minorHAnsi" w:hAnsiTheme="minorHAnsi" w:cstheme="minorHAnsi"/>
          <w:sz w:val="22"/>
          <w:szCs w:val="22"/>
        </w:rPr>
        <w:t xml:space="preserve">w tym informacje o monitorowaniu wskaźników rezultatu do 2029 r. </w:t>
      </w:r>
      <w:r w:rsidRPr="009D2359">
        <w:rPr>
          <w:rFonts w:asciiTheme="minorHAnsi" w:hAnsiTheme="minorHAnsi" w:cstheme="minorHAnsi"/>
          <w:sz w:val="22"/>
          <w:szCs w:val="22"/>
        </w:rPr>
        <w:t>załączników oraz informacji ogólnych</w:t>
      </w:r>
      <w:r w:rsidR="008C6552" w:rsidRPr="009D2359">
        <w:rPr>
          <w:rFonts w:asciiTheme="minorHAnsi" w:hAnsiTheme="minorHAnsi" w:cstheme="minorHAnsi"/>
          <w:sz w:val="22"/>
          <w:szCs w:val="22"/>
        </w:rPr>
        <w:t>,</w:t>
      </w:r>
      <w:r w:rsidR="00C82119" w:rsidRPr="009D23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5A38E4" w14:textId="77777777" w:rsidR="008C6552" w:rsidRPr="009D2359" w:rsidRDefault="008C6552" w:rsidP="005137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eastAsia="Trebuchet MS" w:cstheme="minorHAnsi"/>
        </w:rPr>
      </w:pPr>
      <w:r w:rsidRPr="009D2359">
        <w:rPr>
          <w:rFonts w:cstheme="minorHAnsi"/>
        </w:rPr>
        <w:t>Wzór wniosku o dofinansowanie projektu:</w:t>
      </w:r>
    </w:p>
    <w:p w14:paraId="0DBC875D" w14:textId="6DC82519" w:rsidR="008B6DF2" w:rsidRDefault="008B6DF2" w:rsidP="008B6DF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zaktualizowano wzór wniosku o dofinansowanie, </w:t>
      </w:r>
    </w:p>
    <w:p w14:paraId="0011B868" w14:textId="77777777" w:rsidR="008B6DF2" w:rsidRPr="008B6DF2" w:rsidRDefault="008B6DF2" w:rsidP="008B6DF2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 w:val="0"/>
        <w:rPr>
          <w:rFonts w:cstheme="minorHAnsi"/>
        </w:rPr>
      </w:pPr>
      <w:r w:rsidRPr="009D2359">
        <w:rPr>
          <w:rFonts w:cstheme="minorHAnsi"/>
        </w:rPr>
        <w:t xml:space="preserve">dodano załącznik </w:t>
      </w:r>
      <w:r w:rsidRPr="008B6DF2">
        <w:rPr>
          <w:rFonts w:cstheme="minorHAnsi"/>
        </w:rPr>
        <w:t>nr 2 „Formularz oceny sytuacji ekonomicznej” i usunięto obowiązek złożenia załącznika nr 2 – „Formularz informacji przedstawianych przy ubieganiu się o pomoc inną niż pomoc w rolnictwie lub rybołówstwie, pomoc de minimis lub pomoc de minimis w rolnictwie lub rybołówstwie oraz sprawozdania finansowe z ostatnich 3 lat”,</w:t>
      </w:r>
    </w:p>
    <w:p w14:paraId="1AB7EA40" w14:textId="26DE8DD2" w:rsidR="00513751" w:rsidRPr="009D2359" w:rsidRDefault="008754CA" w:rsidP="008B6DF2">
      <w:pPr>
        <w:pStyle w:val="Akapitzlist"/>
        <w:autoSpaceDE w:val="0"/>
        <w:autoSpaceDN w:val="0"/>
        <w:adjustRightInd w:val="0"/>
        <w:spacing w:after="0" w:line="240" w:lineRule="auto"/>
        <w:ind w:left="1134" w:hanging="414"/>
        <w:contextualSpacing w:val="0"/>
        <w:rPr>
          <w:rFonts w:cstheme="minorHAnsi"/>
        </w:rPr>
      </w:pPr>
      <w:r w:rsidRPr="009D2359">
        <w:rPr>
          <w:rFonts w:cstheme="minorHAnsi"/>
        </w:rPr>
        <w:t>b)</w:t>
      </w:r>
      <w:r w:rsidRPr="009D2359">
        <w:rPr>
          <w:rFonts w:cstheme="minorHAnsi"/>
        </w:rPr>
        <w:tab/>
      </w:r>
      <w:r w:rsidR="00E84884" w:rsidRPr="009D2359">
        <w:rPr>
          <w:rFonts w:cstheme="minorHAnsi"/>
        </w:rPr>
        <w:t>zaktualizowano treść z</w:t>
      </w:r>
      <w:r w:rsidR="00513751" w:rsidRPr="009D2359">
        <w:rPr>
          <w:rFonts w:cstheme="minorHAnsi"/>
        </w:rPr>
        <w:t>ałącznik</w:t>
      </w:r>
      <w:r w:rsidR="00E84884" w:rsidRPr="009D2359">
        <w:rPr>
          <w:rFonts w:cstheme="minorHAnsi"/>
        </w:rPr>
        <w:t>a</w:t>
      </w:r>
      <w:r w:rsidR="00513751" w:rsidRPr="009D2359">
        <w:rPr>
          <w:rFonts w:cstheme="minorHAnsi"/>
        </w:rPr>
        <w:t xml:space="preserve"> nr 2a „Dodatkowe oświadczenie o sytuacji ekonomicznej”</w:t>
      </w:r>
      <w:r w:rsidR="00D45A1E" w:rsidRPr="009D2359">
        <w:rPr>
          <w:rFonts w:cstheme="minorHAnsi"/>
        </w:rPr>
        <w:t xml:space="preserve"> do wniosku o dofinansowanie</w:t>
      </w:r>
      <w:r w:rsidR="00E84884" w:rsidRPr="009D2359">
        <w:rPr>
          <w:rFonts w:cstheme="minorHAnsi"/>
        </w:rPr>
        <w:t>,</w:t>
      </w:r>
    </w:p>
    <w:p w14:paraId="6DA3F478" w14:textId="1FCE5F27" w:rsidR="0085750E" w:rsidRPr="009D2359" w:rsidRDefault="008754CA" w:rsidP="009D2359">
      <w:pPr>
        <w:pStyle w:val="Akapitzlist"/>
        <w:autoSpaceDE w:val="0"/>
        <w:autoSpaceDN w:val="0"/>
        <w:adjustRightInd w:val="0"/>
        <w:spacing w:after="0" w:line="240" w:lineRule="auto"/>
        <w:ind w:left="1134" w:hanging="414"/>
        <w:contextualSpacing w:val="0"/>
        <w:rPr>
          <w:rStyle w:val="normaltextrun"/>
          <w:rFonts w:cstheme="minorHAnsi"/>
        </w:rPr>
      </w:pPr>
      <w:r w:rsidRPr="009D2359">
        <w:rPr>
          <w:rStyle w:val="normaltextrun"/>
          <w:rFonts w:cstheme="minorHAnsi"/>
        </w:rPr>
        <w:t>c)</w:t>
      </w:r>
      <w:r w:rsidRPr="009D2359">
        <w:rPr>
          <w:rStyle w:val="normaltextrun"/>
          <w:rFonts w:cstheme="minorHAnsi"/>
        </w:rPr>
        <w:tab/>
      </w:r>
      <w:r w:rsidR="00E84884" w:rsidRPr="009D2359">
        <w:rPr>
          <w:rStyle w:val="normaltextrun"/>
          <w:rFonts w:cstheme="minorHAnsi"/>
        </w:rPr>
        <w:t xml:space="preserve">zaktualizowano treść </w:t>
      </w:r>
      <w:r w:rsidR="00FA03F0" w:rsidRPr="009D2359">
        <w:rPr>
          <w:rStyle w:val="normaltextrun"/>
          <w:rFonts w:cstheme="minorHAnsi"/>
        </w:rPr>
        <w:t>z</w:t>
      </w:r>
      <w:r w:rsidR="0085750E" w:rsidRPr="009D2359">
        <w:rPr>
          <w:rStyle w:val="normaltextrun"/>
          <w:rFonts w:cstheme="minorHAnsi"/>
        </w:rPr>
        <w:t>ałącznik</w:t>
      </w:r>
      <w:r w:rsidR="00E84884" w:rsidRPr="009D2359">
        <w:rPr>
          <w:rStyle w:val="normaltextrun"/>
          <w:rFonts w:cstheme="minorHAnsi"/>
        </w:rPr>
        <w:t>a</w:t>
      </w:r>
      <w:r w:rsidR="0085750E" w:rsidRPr="009D2359">
        <w:rPr>
          <w:rStyle w:val="normaltextrun"/>
          <w:rFonts w:cstheme="minorHAnsi"/>
        </w:rPr>
        <w:t xml:space="preserve"> nr </w:t>
      </w:r>
      <w:r w:rsidR="00190C43" w:rsidRPr="009D2359">
        <w:rPr>
          <w:rStyle w:val="normaltextrun"/>
          <w:rFonts w:cstheme="minorHAnsi"/>
        </w:rPr>
        <w:t>3 „</w:t>
      </w:r>
      <w:r w:rsidR="0085750E" w:rsidRPr="009D2359">
        <w:rPr>
          <w:rStyle w:val="normaltextrun"/>
          <w:rFonts w:cstheme="minorHAnsi"/>
        </w:rPr>
        <w:t>Oświadczenie Wnioskodawcy o spełnieniu kryteriów MŚP”</w:t>
      </w:r>
      <w:r w:rsidR="00E84884" w:rsidRPr="009D2359">
        <w:rPr>
          <w:rStyle w:val="normaltextrun"/>
          <w:rFonts w:cstheme="minorHAnsi"/>
        </w:rPr>
        <w:t>,</w:t>
      </w:r>
    </w:p>
    <w:p w14:paraId="644C4DC1" w14:textId="4CB32B9F" w:rsidR="00C82119" w:rsidRPr="009D2359" w:rsidRDefault="008754CA" w:rsidP="009D2359">
      <w:pPr>
        <w:pStyle w:val="Akapitzlist"/>
        <w:autoSpaceDE w:val="0"/>
        <w:autoSpaceDN w:val="0"/>
        <w:adjustRightInd w:val="0"/>
        <w:spacing w:after="0" w:line="240" w:lineRule="auto"/>
        <w:ind w:left="1134" w:hanging="414"/>
        <w:contextualSpacing w:val="0"/>
        <w:rPr>
          <w:rStyle w:val="normaltextrun"/>
          <w:rFonts w:cstheme="minorHAnsi"/>
        </w:rPr>
      </w:pPr>
      <w:r w:rsidRPr="009D2359">
        <w:rPr>
          <w:rStyle w:val="normaltextrun"/>
          <w:rFonts w:cstheme="minorHAnsi"/>
        </w:rPr>
        <w:lastRenderedPageBreak/>
        <w:t>d)</w:t>
      </w:r>
      <w:r w:rsidRPr="009D2359">
        <w:rPr>
          <w:rStyle w:val="normaltextrun"/>
          <w:rFonts w:cstheme="minorHAnsi"/>
        </w:rPr>
        <w:tab/>
      </w:r>
      <w:r w:rsidR="00E84884" w:rsidRPr="009D2359">
        <w:rPr>
          <w:rStyle w:val="normaltextrun"/>
          <w:rFonts w:cstheme="minorHAnsi"/>
        </w:rPr>
        <w:t xml:space="preserve">zaktualizowano treść </w:t>
      </w:r>
      <w:r w:rsidR="00FA03F0" w:rsidRPr="009D2359">
        <w:rPr>
          <w:rStyle w:val="normaltextrun"/>
          <w:rFonts w:cstheme="minorHAnsi"/>
        </w:rPr>
        <w:t>z</w:t>
      </w:r>
      <w:r w:rsidR="00C82119" w:rsidRPr="009D2359">
        <w:rPr>
          <w:rStyle w:val="normaltextrun"/>
          <w:rFonts w:cstheme="minorHAnsi"/>
        </w:rPr>
        <w:t>ałącznik</w:t>
      </w:r>
      <w:r w:rsidR="00E84884" w:rsidRPr="009D2359">
        <w:rPr>
          <w:rStyle w:val="normaltextrun"/>
          <w:rFonts w:cstheme="minorHAnsi"/>
        </w:rPr>
        <w:t>a</w:t>
      </w:r>
      <w:r w:rsidR="00C82119" w:rsidRPr="009D2359">
        <w:rPr>
          <w:rStyle w:val="normaltextrun"/>
          <w:rFonts w:cstheme="minorHAnsi"/>
        </w:rPr>
        <w:t xml:space="preserve"> nr 6 </w:t>
      </w:r>
      <w:r w:rsidR="00D45A1E" w:rsidRPr="009D2359">
        <w:rPr>
          <w:rStyle w:val="normaltextrun"/>
          <w:rFonts w:cstheme="minorHAnsi"/>
        </w:rPr>
        <w:t>„Oświadczenie o formie finansowania projektu” do wniosku o dofinansowanie</w:t>
      </w:r>
      <w:r w:rsidR="009D2359" w:rsidRPr="009D2359">
        <w:rPr>
          <w:rStyle w:val="normaltextrun"/>
          <w:rFonts w:cstheme="minorHAnsi"/>
        </w:rPr>
        <w:t>;</w:t>
      </w:r>
    </w:p>
    <w:p w14:paraId="109D5CA3" w14:textId="77777777" w:rsidR="009D2359" w:rsidRPr="009D2359" w:rsidRDefault="009D2359" w:rsidP="009D2359">
      <w:pPr>
        <w:pStyle w:val="Akapitzlist"/>
        <w:autoSpaceDE w:val="0"/>
        <w:autoSpaceDN w:val="0"/>
        <w:adjustRightInd w:val="0"/>
        <w:spacing w:after="0" w:line="240" w:lineRule="auto"/>
        <w:ind w:left="1134" w:hanging="414"/>
        <w:contextualSpacing w:val="0"/>
        <w:rPr>
          <w:rStyle w:val="normaltextrun"/>
          <w:rFonts w:cstheme="minorHAnsi"/>
        </w:rPr>
      </w:pPr>
    </w:p>
    <w:p w14:paraId="4159AFB0" w14:textId="3475ECE1" w:rsidR="00FA03F0" w:rsidRPr="009D2359" w:rsidRDefault="00FA03F0">
      <w:pPr>
        <w:pStyle w:val="Akapitzlist"/>
        <w:ind w:left="1134" w:hanging="708"/>
        <w:rPr>
          <w:rFonts w:cstheme="minorHAnsi"/>
        </w:rPr>
      </w:pPr>
      <w:r w:rsidRPr="009D2359">
        <w:rPr>
          <w:rFonts w:cstheme="minorHAnsi"/>
        </w:rPr>
        <w:t>4) wzór Umowy o dofinansowanie:</w:t>
      </w:r>
    </w:p>
    <w:p w14:paraId="20165521" w14:textId="6B818433" w:rsidR="00CB37D3" w:rsidRPr="00914373" w:rsidRDefault="00CB37D3" w:rsidP="00914373">
      <w:pPr>
        <w:pStyle w:val="Akapitzlist"/>
        <w:numPr>
          <w:ilvl w:val="0"/>
          <w:numId w:val="13"/>
        </w:numPr>
        <w:suppressAutoHyphens/>
        <w:spacing w:after="60" w:line="240" w:lineRule="auto"/>
        <w:rPr>
          <w:color w:val="000000" w:themeColor="text1"/>
        </w:rPr>
      </w:pPr>
      <w:r w:rsidRPr="009D2359">
        <w:rPr>
          <w:rFonts w:cstheme="minorHAnsi"/>
        </w:rPr>
        <w:t>w § 1 pkt</w:t>
      </w:r>
      <w:r>
        <w:rPr>
          <w:rFonts w:cstheme="minorHAnsi"/>
        </w:rPr>
        <w:t xml:space="preserve">. 5 dodano definicję „Listy dodatkowej” w brzmieniu: </w:t>
      </w:r>
      <w:bookmarkStart w:id="0" w:name="_Hlk139536697"/>
      <w:r w:rsidRPr="00914373">
        <w:rPr>
          <w:color w:val="000000" w:themeColor="text1"/>
        </w:rPr>
        <w:t xml:space="preserve">„Liście dodatkowej” – oznacza to listę zwierającą dodatkowe punkty adresowe wyznaczone dla danego obszaru projektowego zgodnie z warunkami określonymi w Rozporządzeniu Ministra Cyfryzacji, które zostały przyporządkowane do odpowiednich kategorii stawek jednostkowych. </w:t>
      </w:r>
      <w:r w:rsidRPr="00CB37D3">
        <w:rPr>
          <w:rStyle w:val="normaltextrun"/>
        </w:rPr>
        <w:t>Lista dodatkowa będzie udostępniona na stronie Instytucji Pośredniczącej;</w:t>
      </w:r>
    </w:p>
    <w:bookmarkEnd w:id="0"/>
    <w:p w14:paraId="77F01EB7" w14:textId="5C66FD57" w:rsidR="00AC7E42" w:rsidRDefault="00CB37D3" w:rsidP="00CB37D3">
      <w:pPr>
        <w:pStyle w:val="Akapitzlist"/>
        <w:numPr>
          <w:ilvl w:val="0"/>
          <w:numId w:val="13"/>
        </w:numPr>
        <w:rPr>
          <w:rFonts w:cstheme="minorHAnsi"/>
        </w:rPr>
      </w:pPr>
      <w:r w:rsidRPr="00CB37D3">
        <w:rPr>
          <w:rFonts w:cstheme="minorHAnsi"/>
        </w:rPr>
        <w:t xml:space="preserve"> </w:t>
      </w:r>
      <w:r w:rsidR="00AC7E42" w:rsidRPr="00CB37D3">
        <w:rPr>
          <w:rFonts w:cstheme="minorHAnsi"/>
        </w:rPr>
        <w:t xml:space="preserve">w § 1 pkt. 26 dodano definicję dotyczącą </w:t>
      </w:r>
      <w:r w:rsidR="00AC7E42" w:rsidRPr="00CB37D3">
        <w:rPr>
          <w:rFonts w:cstheme="minorHAnsi"/>
          <w:color w:val="000000" w:themeColor="text1"/>
        </w:rPr>
        <w:t>wydatków kwalifikowalnych na obszarze projektowym</w:t>
      </w:r>
      <w:r w:rsidR="00AC7E42" w:rsidRPr="00CB37D3">
        <w:rPr>
          <w:rFonts w:cstheme="minorHAnsi"/>
        </w:rPr>
        <w:t>, a definicję „Wytycznych dot. kwalifikowalności” przeniesiono do pkt. 27</w:t>
      </w:r>
      <w:r w:rsidR="009D2359" w:rsidRPr="00CB37D3">
        <w:rPr>
          <w:rFonts w:cstheme="minorHAnsi"/>
        </w:rPr>
        <w:t>,</w:t>
      </w:r>
    </w:p>
    <w:p w14:paraId="42552B18" w14:textId="36E3DEA1" w:rsidR="00CB37D3" w:rsidRPr="00CB37D3" w:rsidRDefault="00CB37D3" w:rsidP="00CB37D3">
      <w:pPr>
        <w:pStyle w:val="Akapitzlist"/>
        <w:numPr>
          <w:ilvl w:val="0"/>
          <w:numId w:val="13"/>
        </w:numPr>
        <w:rPr>
          <w:rFonts w:cstheme="minorHAnsi"/>
        </w:rPr>
      </w:pPr>
      <w:r w:rsidRPr="009D2359">
        <w:rPr>
          <w:rFonts w:cstheme="minorHAnsi"/>
        </w:rPr>
        <w:t xml:space="preserve">w § 1 </w:t>
      </w:r>
      <w:r>
        <w:rPr>
          <w:rFonts w:cstheme="minorHAnsi"/>
        </w:rPr>
        <w:t>zaktualizowano numerację punktów</w:t>
      </w:r>
      <w:r w:rsidR="00370645">
        <w:rPr>
          <w:rFonts w:cstheme="minorHAnsi"/>
        </w:rPr>
        <w:t xml:space="preserve"> po ww. zmianach</w:t>
      </w:r>
      <w:r>
        <w:rPr>
          <w:rFonts w:cstheme="minorHAnsi"/>
        </w:rPr>
        <w:t>;</w:t>
      </w:r>
    </w:p>
    <w:p w14:paraId="00EFFE84" w14:textId="30C53742" w:rsidR="0042258C" w:rsidRPr="009D2359" w:rsidRDefault="00AC7E42" w:rsidP="009D2359">
      <w:pPr>
        <w:pStyle w:val="Tekstpodstawowy"/>
        <w:keepNext/>
        <w:numPr>
          <w:ilvl w:val="0"/>
          <w:numId w:val="13"/>
        </w:numPr>
        <w:tabs>
          <w:tab w:val="clear" w:pos="900"/>
        </w:tabs>
        <w:autoSpaceDE w:val="0"/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sz w:val="22"/>
          <w:szCs w:val="22"/>
        </w:rPr>
        <w:t xml:space="preserve">§ 2 ust. 2 – 5 </w:t>
      </w:r>
      <w:r w:rsidR="00370645">
        <w:rPr>
          <w:rFonts w:asciiTheme="minorHAnsi" w:hAnsiTheme="minorHAnsi" w:cstheme="minorHAnsi"/>
          <w:sz w:val="22"/>
          <w:szCs w:val="22"/>
        </w:rPr>
        <w:t>nadano brzmienie</w:t>
      </w:r>
      <w:r w:rsidRPr="009D2359">
        <w:rPr>
          <w:rFonts w:asciiTheme="minorHAnsi" w:hAnsiTheme="minorHAnsi" w:cstheme="minorHAnsi"/>
          <w:sz w:val="22"/>
          <w:szCs w:val="22"/>
        </w:rPr>
        <w:t xml:space="preserve">: „2. 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Całkowita maksymalna wartość Projektu </w:t>
      </w:r>
      <w:r w:rsidRPr="009D2359">
        <w:rPr>
          <w:rFonts w:asciiTheme="minorHAnsi" w:eastAsia="Calibri" w:hAnsiTheme="minorHAnsi" w:cstheme="minorHAnsi"/>
          <w:sz w:val="22"/>
          <w:szCs w:val="22"/>
        </w:rPr>
        <w:t>określona na etapie naboru dla obszaru projektowego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wynosi ..........................,….. zł (słownie:.......................................).</w:t>
      </w:r>
      <w:r w:rsidR="0042258C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2a. Maksymalna kwota wydatków kwalifikowalnych na obszarze projektowym określona na etapie naboru  wynosi: ........................,...... zł (słownie: ...................................................).</w:t>
      </w:r>
    </w:p>
    <w:p w14:paraId="1203B691" w14:textId="77777777" w:rsidR="0042258C" w:rsidRPr="009D2359" w:rsidRDefault="0042258C" w:rsidP="009D2359">
      <w:pPr>
        <w:pStyle w:val="Tekstpodstawowy"/>
        <w:keepNext/>
        <w:tabs>
          <w:tab w:val="clear" w:pos="900"/>
        </w:tabs>
        <w:spacing w:after="60"/>
        <w:ind w:left="1146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eastAsia="Calibri" w:hAnsiTheme="minorHAnsi" w:cstheme="minorHAnsi"/>
          <w:sz w:val="22"/>
          <w:szCs w:val="22"/>
        </w:rPr>
        <w:t xml:space="preserve">2b. Całkowita wartość inwestycji wskazana przez Beneficjenta we Wniosku w ramach zadania 1 </w:t>
      </w:r>
      <w:r w:rsidRP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 zadania 2 (jeśli dotyczy) wynosi ………………,…. zł (słownie:………………….….).</w:t>
      </w:r>
    </w:p>
    <w:p w14:paraId="337F9D63" w14:textId="3E96EF1A" w:rsidR="0042258C" w:rsidRPr="009D2359" w:rsidRDefault="0042258C" w:rsidP="009D2359">
      <w:pPr>
        <w:suppressAutoHyphens/>
        <w:autoSpaceDE w:val="0"/>
        <w:spacing w:after="60" w:line="240" w:lineRule="auto"/>
        <w:ind w:left="1146"/>
        <w:rPr>
          <w:rFonts w:asciiTheme="minorHAnsi" w:hAnsiTheme="minorHAnsi"/>
          <w:color w:val="000000" w:themeColor="text1"/>
          <w:sz w:val="22"/>
        </w:rPr>
      </w:pPr>
      <w:r w:rsidRPr="009D2359">
        <w:rPr>
          <w:rFonts w:asciiTheme="minorHAnsi" w:hAnsiTheme="minorHAnsi"/>
          <w:color w:val="000000" w:themeColor="text1"/>
          <w:sz w:val="22"/>
        </w:rPr>
        <w:t>3. Całkowita kwota wydatków kwalifikowalnych Projektu wynosi: ........................,...... zł (słownie: ...................................................).</w:t>
      </w:r>
    </w:p>
    <w:p w14:paraId="41C5B399" w14:textId="22B623D5" w:rsidR="0042258C" w:rsidRPr="009D2359" w:rsidRDefault="0042258C" w:rsidP="009D2359">
      <w:pPr>
        <w:suppressAutoHyphens/>
        <w:autoSpaceDE w:val="0"/>
        <w:spacing w:after="60" w:line="240" w:lineRule="auto"/>
        <w:ind w:left="798" w:firstLine="348"/>
        <w:rPr>
          <w:rFonts w:asciiTheme="minorHAnsi" w:hAnsiTheme="minorHAnsi"/>
          <w:color w:val="000000" w:themeColor="text1"/>
          <w:sz w:val="22"/>
        </w:rPr>
      </w:pPr>
      <w:r w:rsidRPr="009D2359">
        <w:rPr>
          <w:rFonts w:asciiTheme="minorHAnsi" w:hAnsiTheme="minorHAnsi"/>
          <w:color w:val="000000" w:themeColor="text1"/>
          <w:sz w:val="22"/>
        </w:rPr>
        <w:t xml:space="preserve">4. Kwota dofinansowania wynosi ………………………,…… zł (słownie: ………………). </w:t>
      </w:r>
    </w:p>
    <w:p w14:paraId="5887C17F" w14:textId="7D89F9F0" w:rsidR="0042258C" w:rsidRPr="009D2359" w:rsidRDefault="0042258C" w:rsidP="009D2359">
      <w:pPr>
        <w:suppressAutoHyphens/>
        <w:autoSpaceDE w:val="0"/>
        <w:spacing w:after="60" w:line="240" w:lineRule="auto"/>
        <w:ind w:left="1146"/>
        <w:rPr>
          <w:rFonts w:asciiTheme="minorHAnsi" w:hAnsiTheme="minorHAnsi"/>
          <w:color w:val="000000" w:themeColor="text1"/>
          <w:sz w:val="22"/>
        </w:rPr>
      </w:pPr>
      <w:r w:rsidRPr="009D2359">
        <w:rPr>
          <w:rFonts w:asciiTheme="minorHAnsi" w:hAnsiTheme="minorHAnsi"/>
          <w:color w:val="000000" w:themeColor="text1"/>
          <w:sz w:val="22"/>
        </w:rPr>
        <w:t>5. Beneficjent zobowiązuje się wnieść wkład własny w wysokości wskazanej we Wniosku.”</w:t>
      </w:r>
      <w:r w:rsidR="009D2359" w:rsidRPr="009D2359">
        <w:rPr>
          <w:rFonts w:asciiTheme="minorHAnsi" w:hAnsiTheme="minorHAnsi"/>
          <w:color w:val="000000" w:themeColor="text1"/>
          <w:sz w:val="22"/>
        </w:rPr>
        <w:t>,</w:t>
      </w:r>
    </w:p>
    <w:p w14:paraId="76C10E14" w14:textId="66AFC30D" w:rsidR="0074216E" w:rsidRPr="0074216E" w:rsidRDefault="0042258C" w:rsidP="0074216E">
      <w:pPr>
        <w:pStyle w:val="Akapitzlist"/>
        <w:numPr>
          <w:ilvl w:val="0"/>
          <w:numId w:val="13"/>
        </w:numPr>
        <w:rPr>
          <w:rFonts w:eastAsia="Calibri" w:cstheme="minorHAnsi"/>
          <w:color w:val="000000" w:themeColor="text1"/>
          <w:lang w:eastAsia="ar-SA"/>
          <w14:ligatures w14:val="none"/>
        </w:rPr>
      </w:pPr>
      <w:r w:rsidRPr="0074216E">
        <w:rPr>
          <w:rFonts w:cstheme="minorHAnsi"/>
        </w:rPr>
        <w:t xml:space="preserve">§ </w:t>
      </w:r>
      <w:r w:rsidRPr="0074216E">
        <w:rPr>
          <w:rFonts w:cstheme="minorHAnsi"/>
          <w:color w:val="000000" w:themeColor="text1"/>
        </w:rPr>
        <w:t>3 ust. 1</w:t>
      </w:r>
      <w:r w:rsidR="009D2359" w:rsidRPr="0074216E">
        <w:rPr>
          <w:rFonts w:cstheme="minorHAnsi"/>
        </w:rPr>
        <w:t xml:space="preserve"> –</w:t>
      </w:r>
      <w:r w:rsidR="009D2359" w:rsidRPr="0074216E">
        <w:rPr>
          <w:rFonts w:cstheme="minorHAnsi"/>
          <w:color w:val="000000" w:themeColor="text1"/>
        </w:rPr>
        <w:t xml:space="preserve"> </w:t>
      </w:r>
      <w:r w:rsidR="0088192B">
        <w:rPr>
          <w:rFonts w:cstheme="minorHAnsi"/>
          <w:color w:val="000000" w:themeColor="text1"/>
        </w:rPr>
        <w:t>4</w:t>
      </w:r>
      <w:r w:rsidRPr="0074216E">
        <w:rPr>
          <w:rFonts w:cstheme="minorHAnsi"/>
          <w:color w:val="000000" w:themeColor="text1"/>
        </w:rPr>
        <w:t xml:space="preserve"> </w:t>
      </w:r>
      <w:r w:rsidR="00370645" w:rsidRPr="0074216E">
        <w:rPr>
          <w:rFonts w:cstheme="minorHAnsi"/>
          <w:color w:val="000000" w:themeColor="text1"/>
        </w:rPr>
        <w:t>nadano brzmienie</w:t>
      </w:r>
      <w:r w:rsidRPr="0074216E">
        <w:rPr>
          <w:rFonts w:cstheme="minorHAnsi"/>
          <w:color w:val="000000" w:themeColor="text1"/>
        </w:rPr>
        <w:t xml:space="preserve">: „1. </w:t>
      </w:r>
      <w:r w:rsidR="0074216E" w:rsidRPr="0074216E">
        <w:rPr>
          <w:rFonts w:eastAsia="Calibri" w:cstheme="minorHAnsi"/>
          <w:color w:val="000000" w:themeColor="text1"/>
          <w:lang w:eastAsia="ar-SA"/>
          <w14:ligatures w14:val="none"/>
        </w:rPr>
        <w:t xml:space="preserve">Instytucja Pośrednicząca dokona zmiany wysokości dofinansowania w wyniku waloryzacji stawek jednostkowych o wskaźnik waloryzacji dofinansowania inwestycji telekomunikacyjnych prowadzonych w ramach KPO i FERC, opracowany przez Prezesa Głównego Urzędu Statystycznego i publikowany na jego stronie. Waloryzacja będzie odbywała się dwukrotnie tzn. na początku 2025 r. w oparciu o wskaźnik opublikowany w IV kwartale 2024 r. oraz w 2026 r. w oparciu o wskaźnik opublikowany w IV kwartale 2025 r. Pierwszą waloryzacją zostaną objęte punkty adresowe nie objęte planami pierwszego kamienia milowego, natomiast drugą waloryzacją nie będą objęte punkty adresowe planowane do realizacji w pierwszym i drugim kamieniu milowym. Tym samym pierwsza waloryzacja będzie obejmować maksymalnie 85% punktów adresowych wyznaczonych do realizacji w ramach zadania 1., natomiast druga waloryzacja maksymalnie 65% tychże punktów adresowych.  </w:t>
      </w:r>
    </w:p>
    <w:p w14:paraId="3EE1B121" w14:textId="7A9C560D" w:rsidR="0042258C" w:rsidRPr="009D2359" w:rsidRDefault="0074216E" w:rsidP="009D2359">
      <w:pPr>
        <w:pStyle w:val="Tekstpodstawowy"/>
        <w:spacing w:after="60"/>
        <w:ind w:left="1146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2</w:t>
      </w:r>
      <w:r w:rsidR="0042258C" w:rsidRP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W wyniku waloryzacji stawek jednostkowych zmianie ulegną wartości określone w § 2 ust. 2b-4, przy czym ich maksymalna wartość wyniesie: </w:t>
      </w:r>
    </w:p>
    <w:p w14:paraId="73551B39" w14:textId="77777777" w:rsidR="0042258C" w:rsidRPr="009D2359" w:rsidRDefault="0042258C" w:rsidP="009D2359">
      <w:pPr>
        <w:pStyle w:val="Tekstpodstawowy"/>
        <w:keepNext/>
        <w:numPr>
          <w:ilvl w:val="0"/>
          <w:numId w:val="18"/>
        </w:numPr>
        <w:tabs>
          <w:tab w:val="clear" w:pos="900"/>
        </w:tabs>
        <w:autoSpaceDE w:val="0"/>
        <w:spacing w:after="120"/>
        <w:ind w:left="1572" w:hanging="283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całkowita kwota wydatków kwalifikowalnych Projektu wyniesie: ........................,...... zł (słownie: ...................................................);</w:t>
      </w:r>
    </w:p>
    <w:p w14:paraId="23024A8D" w14:textId="25FC6ECC" w:rsidR="0042258C" w:rsidRPr="009D2359" w:rsidRDefault="0042258C" w:rsidP="009D2359">
      <w:pPr>
        <w:pStyle w:val="Tekstpodstawowy"/>
        <w:keepNext/>
        <w:numPr>
          <w:ilvl w:val="0"/>
          <w:numId w:val="18"/>
        </w:numPr>
        <w:tabs>
          <w:tab w:val="clear" w:pos="900"/>
        </w:tabs>
        <w:autoSpaceDE w:val="0"/>
        <w:spacing w:after="120"/>
        <w:ind w:left="1572" w:hanging="283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całkowita wartość inwestycji wskazana przez Beneficjenta we Wniosku w ramach zadania 1 i zadania 2 (jeśli dotyczy) wyniesie ………………,…. zł (słownie:………………….….);</w:t>
      </w:r>
    </w:p>
    <w:p w14:paraId="29F2CBFB" w14:textId="77777777" w:rsidR="0042258C" w:rsidRPr="009D2359" w:rsidRDefault="0042258C" w:rsidP="009D2359">
      <w:pPr>
        <w:pStyle w:val="Tekstpodstawowy"/>
        <w:keepNext/>
        <w:numPr>
          <w:ilvl w:val="0"/>
          <w:numId w:val="18"/>
        </w:numPr>
        <w:tabs>
          <w:tab w:val="clear" w:pos="900"/>
        </w:tabs>
        <w:autoSpaceDE w:val="0"/>
        <w:spacing w:after="120"/>
        <w:ind w:left="1572" w:hanging="283"/>
        <w:contextualSpacing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kwota dofinansowania wyniesie …………………………… zł (słownie: ………………). </w:t>
      </w:r>
    </w:p>
    <w:p w14:paraId="62881DF8" w14:textId="7F945F30" w:rsidR="0042258C" w:rsidRPr="009D2359" w:rsidRDefault="0074216E" w:rsidP="009D2359">
      <w:pPr>
        <w:pStyle w:val="Tekstpodstawowy"/>
        <w:spacing w:after="60"/>
        <w:ind w:left="1146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3</w:t>
      </w:r>
      <w:r w:rsidR="0042258C" w:rsidRP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Waloryzacja będzie dotyczyć punktów adresowych, które nie zostały wykazane we wnioskach o płatność przedłożonych do Instytucji Pośredniczącej.  Waloryzacją nie będą objęte punkty adresowe, które uprzednio zostały wykazane we wnioskach o płatność </w:t>
      </w:r>
      <w:r w:rsidR="0042258C" w:rsidRP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lastRenderedPageBreak/>
        <w:t xml:space="preserve">przedłożonych do Instytucji Pośredniczącej, niezależnie od etapu ich weryfikacji przez Instytucję Pośredniczącą. </w:t>
      </w:r>
    </w:p>
    <w:p w14:paraId="1AF29F5E" w14:textId="7E52ED0B" w:rsidR="0042258C" w:rsidRDefault="0074216E" w:rsidP="009D2359">
      <w:pPr>
        <w:pStyle w:val="Tekstpodstawowy"/>
        <w:spacing w:after="60"/>
        <w:ind w:left="1146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4</w:t>
      </w:r>
      <w:r w:rsidR="0042258C" w:rsidRP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. Waloryzacja kwot oraz stawek jednostkowych, o których mowa w niniejszym paragrafie zostanie dokonana poprzez zawarcie między Stronami aneksu do Umowy. Nieprzystąpienie przez Beneficjenta do zawarcia aneksu w zakresie, o którym mowa w zdaniu pierwszym powoduje utratę przez Beneficjenta uprawnienia do waloryzacji.”</w:t>
      </w:r>
      <w:r w:rsidR="009D2359" w:rsidRP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</w:p>
    <w:p w14:paraId="4E5CB4DC" w14:textId="04E58C3B" w:rsidR="00E9724F" w:rsidRPr="009D2359" w:rsidRDefault="00E9724F" w:rsidP="00E9724F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Zaktualizowano numerację ustępów w </w:t>
      </w:r>
      <w:r w:rsidRP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§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3 po wyżej wprowadzonych zmianach, wcześniejszy ustęp 6 ma nadany numer 5. </w:t>
      </w:r>
    </w:p>
    <w:p w14:paraId="3E8F813D" w14:textId="74B32173" w:rsidR="0042258C" w:rsidRDefault="0042258C" w:rsidP="009D2359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§ 5 ust. 4 do drugiego zdania dodano dopisek</w:t>
      </w:r>
      <w:r w:rsid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:</w:t>
      </w:r>
      <w:r w:rsidRP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 w:rsid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„</w:t>
      </w:r>
      <w:r w:rsidRP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z zastrzeżeniem postanowień § 21 ust. 10-12.”</w:t>
      </w:r>
      <w:r w:rsidR="009D2359" w:rsidRP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</w:p>
    <w:p w14:paraId="1CEB81AB" w14:textId="4A25AD3F" w:rsidR="00A26355" w:rsidRPr="00914373" w:rsidRDefault="00A26355" w:rsidP="00914373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14373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§ 6 ust. 1 wykreślano pkt. 3 „Wytycznych dotyczących warunków gromadzenia i przekazywania danych w postaci elektronicznej na lata 2021-2027 „i zmodyfikowano numerację punktów,</w:t>
      </w:r>
    </w:p>
    <w:p w14:paraId="67A0C447" w14:textId="17173709" w:rsidR="0042258C" w:rsidRPr="009D2359" w:rsidRDefault="0042258C" w:rsidP="009D2359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 § 8 ust. 3 dodano trzecie zdanie, które brzmi</w:t>
      </w:r>
      <w:r w:rsid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: </w:t>
      </w:r>
      <w:r w:rsidRP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„W uzasadnionych przypadkach zmiana harmonogramu płatności może polegać na zwiększeniu kwoty dofinasowania przekazywanej w formie, o której mowa w ust. 1 pkt 1 i 2 do 100% kwoty wskazanej w § 2 ust. 4.”</w:t>
      </w:r>
      <w:r w:rsidR="009D2359" w:rsidRP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,</w:t>
      </w:r>
    </w:p>
    <w:p w14:paraId="128F6ED0" w14:textId="05DBAC2A" w:rsidR="0042258C" w:rsidRPr="009D2359" w:rsidRDefault="0042258C" w:rsidP="009D2359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 </w:t>
      </w:r>
      <w:r w:rsidRPr="009D2359">
        <w:rPr>
          <w:rFonts w:asciiTheme="minorHAnsi" w:hAnsiTheme="minorHAnsi" w:cstheme="minorHAnsi"/>
          <w:sz w:val="22"/>
          <w:szCs w:val="22"/>
        </w:rPr>
        <w:t xml:space="preserve">§ 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 ust. 11 zaktualizowano treść ustępu, który brzmi: </w:t>
      </w:r>
      <w:r w:rsidR="000C7E00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Odsetki bankowe narosłe od dofinansowania przekazanego Beneficjentowi w formie zaliczki podlegają zwrotowi najpóźniej z dniem złożenia wniosku o płatność końcową  wraz z przekazaniem Instytucji Pośredniczącej za pośrednictwem CST2021 wyciągów bankowych potwierdzających wysokość narosłych odsetek</w:t>
      </w:r>
      <w:r w:rsidR="000C7E00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.”</w:t>
      </w:r>
      <w:r w:rsidR="009D2359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05050C26" w14:textId="70A70A4A" w:rsidR="000C7E00" w:rsidRPr="009D2359" w:rsidRDefault="000C7E00" w:rsidP="009D2359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w § 9 dodano ustęp 9 o treści: „Pierwszy harmonogram płatności, stanowiący załącznik nr 3 do Umowy, Beneficjent składa wraz z zawarciem niniejszej Umowy. Kolejny harmonogram płatności jest składany przez Beneficjenta za pomocą CST2021 w przypadku konieczności jego aktualizacji. Ponadto Beneficjent zobowiązany jest do złożenia aktualizacji harmonogramu płatności każdorazowo na żądanie Instytucji Pośredniczącej lub Instytucji Zarządzającej FERC.”</w:t>
      </w:r>
      <w:r w:rsidR="009D2359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B557E7C" w14:textId="5D241BA0" w:rsidR="000C7E00" w:rsidRPr="009D2359" w:rsidRDefault="000C7E00" w:rsidP="009D2359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w § 9 zmieniono numerację ust. nr 9 – 10 na 10 – 11</w:t>
      </w:r>
      <w:r w:rsidR="009D2359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174EC57" w14:textId="5DA569F8" w:rsidR="000C7E00" w:rsidRPr="009D2359" w:rsidRDefault="000C7E00" w:rsidP="009D2359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w § 10 usunięto ustęp 14</w:t>
      </w:r>
      <w:r w:rsidR="009D2359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31F1CC4" w14:textId="70EDA1DD" w:rsidR="000C7E00" w:rsidRPr="009D2359" w:rsidRDefault="000C7E00" w:rsidP="009D2359">
      <w:pPr>
        <w:pStyle w:val="Akapitzlist"/>
        <w:numPr>
          <w:ilvl w:val="0"/>
          <w:numId w:val="13"/>
        </w:numPr>
        <w:spacing w:after="0" w:line="240" w:lineRule="auto"/>
        <w:rPr>
          <w:rFonts w:cstheme="minorHAnsi"/>
          <w:color w:val="000000" w:themeColor="text1"/>
        </w:rPr>
      </w:pPr>
      <w:r w:rsidRPr="009D2359">
        <w:rPr>
          <w:rFonts w:eastAsia="Times New Roman" w:cstheme="minorHAnsi"/>
          <w:color w:val="000000" w:themeColor="text1"/>
          <w:lang w:eastAsia="ar-SA"/>
          <w14:ligatures w14:val="none"/>
        </w:rPr>
        <w:t>§ 1</w:t>
      </w:r>
      <w:r w:rsidR="00801BBC" w:rsidRPr="009D2359">
        <w:rPr>
          <w:rFonts w:eastAsia="Times New Roman" w:cstheme="minorHAnsi"/>
          <w:color w:val="000000" w:themeColor="text1"/>
          <w:lang w:eastAsia="ar-SA"/>
          <w14:ligatures w14:val="none"/>
        </w:rPr>
        <w:t>3</w:t>
      </w:r>
      <w:r w:rsidRPr="009D2359">
        <w:rPr>
          <w:rFonts w:eastAsia="Times New Roman" w:cstheme="minorHAnsi"/>
          <w:color w:val="000000" w:themeColor="text1"/>
          <w:lang w:eastAsia="ar-SA"/>
          <w14:ligatures w14:val="none"/>
        </w:rPr>
        <w:t xml:space="preserve"> </w:t>
      </w:r>
      <w:r w:rsidR="00FC7590">
        <w:rPr>
          <w:rFonts w:eastAsia="Times New Roman" w:cstheme="minorHAnsi"/>
          <w:color w:val="000000" w:themeColor="text1"/>
          <w:lang w:eastAsia="ar-SA"/>
          <w14:ligatures w14:val="none"/>
        </w:rPr>
        <w:t>ust. 2</w:t>
      </w:r>
      <w:r w:rsidR="00FC7590">
        <w:rPr>
          <w:rFonts w:cstheme="minorHAnsi"/>
          <w:color w:val="000000" w:themeColor="text1"/>
        </w:rPr>
        <w:t xml:space="preserve"> nadano brzmienie</w:t>
      </w:r>
      <w:r w:rsidRPr="009D2359">
        <w:rPr>
          <w:rFonts w:cstheme="minorHAnsi"/>
          <w:color w:val="000000" w:themeColor="text1"/>
        </w:rPr>
        <w:t xml:space="preserve">: </w:t>
      </w:r>
      <w:r w:rsidR="00190C43" w:rsidRPr="009D2359">
        <w:rPr>
          <w:rFonts w:cstheme="minorHAnsi"/>
          <w:color w:val="000000" w:themeColor="text1"/>
        </w:rPr>
        <w:t>„2.</w:t>
      </w:r>
      <w:r w:rsidR="00801BBC" w:rsidRPr="009D2359">
        <w:rPr>
          <w:rFonts w:cstheme="minorHAnsi"/>
          <w:color w:val="000000" w:themeColor="text1"/>
        </w:rPr>
        <w:t xml:space="preserve"> </w:t>
      </w:r>
      <w:r w:rsidRPr="009D2359">
        <w:rPr>
          <w:rFonts w:cstheme="minorHAnsi"/>
          <w:color w:val="000000" w:themeColor="text1"/>
        </w:rPr>
        <w:t>Beneficjent zwraca:</w:t>
      </w:r>
    </w:p>
    <w:p w14:paraId="1B9F6B1D" w14:textId="3E3BD46E" w:rsidR="000C7E00" w:rsidRPr="009D2359" w:rsidRDefault="000C7E00" w:rsidP="009D2359">
      <w:pPr>
        <w:pStyle w:val="Akapitzlist"/>
        <w:numPr>
          <w:ilvl w:val="0"/>
          <w:numId w:val="32"/>
        </w:numPr>
        <w:tabs>
          <w:tab w:val="left" w:pos="357"/>
        </w:tabs>
        <w:suppressAutoHyphens/>
        <w:spacing w:line="240" w:lineRule="auto"/>
        <w:rPr>
          <w:rFonts w:cstheme="minorHAnsi"/>
          <w:color w:val="000000" w:themeColor="text1"/>
        </w:rPr>
      </w:pPr>
      <w:r w:rsidRPr="009D2359">
        <w:rPr>
          <w:rFonts w:cstheme="minorHAnsi"/>
          <w:color w:val="000000" w:themeColor="text1"/>
        </w:rPr>
        <w:t>niewykorzystane zaliczki oraz nieprawidłowo wydatkowane dofinansowanie na poniższy rachunek bankowy: </w:t>
      </w:r>
    </w:p>
    <w:p w14:paraId="4DDCFE31" w14:textId="77777777" w:rsidR="000C7E00" w:rsidRPr="009D2359" w:rsidRDefault="000C7E00" w:rsidP="000C7E00">
      <w:pPr>
        <w:pStyle w:val="paragraph"/>
        <w:numPr>
          <w:ilvl w:val="0"/>
          <w:numId w:val="22"/>
        </w:numPr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D2359">
        <w:rPr>
          <w:rStyle w:val="normaltextrun"/>
          <w:rFonts w:asciiTheme="minorHAnsi" w:hAnsiTheme="minorHAnsi" w:cstheme="minorHAnsi"/>
          <w:sz w:val="22"/>
          <w:szCs w:val="22"/>
        </w:rPr>
        <w:t xml:space="preserve">numer rachunku: 17 1130 0007 0020 0660 2620 0016 </w:t>
      </w:r>
      <w:r w:rsidRPr="009D2359">
        <w:rPr>
          <w:rStyle w:val="normaltextrun"/>
          <w:rFonts w:asciiTheme="minorHAnsi" w:hAnsiTheme="minorHAnsi" w:cstheme="minorHAnsi"/>
          <w:sz w:val="22"/>
          <w:szCs w:val="22"/>
        </w:rPr>
        <w:br/>
        <w:t xml:space="preserve">nazwa rachunku: Ministerstwo Finansów </w:t>
      </w:r>
    </w:p>
    <w:p w14:paraId="321082A8" w14:textId="77777777" w:rsidR="000C7E00" w:rsidRPr="009D2359" w:rsidRDefault="000C7E00" w:rsidP="000C7E00">
      <w:pPr>
        <w:pStyle w:val="paragraph"/>
        <w:numPr>
          <w:ilvl w:val="0"/>
          <w:numId w:val="22"/>
        </w:numPr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D2359">
        <w:rPr>
          <w:rStyle w:val="normaltextrun"/>
          <w:rFonts w:asciiTheme="minorHAnsi" w:hAnsiTheme="minorHAnsi" w:cstheme="minorHAnsi"/>
          <w:sz w:val="22"/>
          <w:szCs w:val="22"/>
        </w:rPr>
        <w:t xml:space="preserve">nazwa banku: Bank Gospodarstwa Krajowego; </w:t>
      </w:r>
    </w:p>
    <w:p w14:paraId="3E712D3D" w14:textId="381358F3" w:rsidR="000C7E00" w:rsidRPr="009D2359" w:rsidRDefault="000C7E00" w:rsidP="009D2359">
      <w:pPr>
        <w:pStyle w:val="Akapitzlist"/>
        <w:numPr>
          <w:ilvl w:val="0"/>
          <w:numId w:val="32"/>
        </w:numPr>
        <w:tabs>
          <w:tab w:val="left" w:pos="357"/>
        </w:tabs>
        <w:suppressAutoHyphens/>
        <w:spacing w:line="240" w:lineRule="auto"/>
        <w:rPr>
          <w:rFonts w:cstheme="minorHAnsi"/>
          <w:color w:val="000000" w:themeColor="text1"/>
        </w:rPr>
      </w:pPr>
      <w:r w:rsidRPr="009D2359">
        <w:rPr>
          <w:rFonts w:cstheme="minorHAnsi"/>
          <w:color w:val="000000" w:themeColor="text1"/>
        </w:rPr>
        <w:t>odsetki bankowe narosłe od środków przekazanych w formie zaliczek, odsetki naliczone w związku z nieterminowym rozliczeniem zaliczek oraz odsetki naliczone od nieprawidłowo wydatkowanego dofinansowania na poniższy rachunek bankowy: </w:t>
      </w:r>
    </w:p>
    <w:p w14:paraId="16E15E92" w14:textId="77777777" w:rsidR="000C7E00" w:rsidRPr="009D2359" w:rsidRDefault="000C7E00" w:rsidP="000C7E00">
      <w:pPr>
        <w:pStyle w:val="paragraph"/>
        <w:numPr>
          <w:ilvl w:val="0"/>
          <w:numId w:val="22"/>
        </w:numPr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D2359">
        <w:rPr>
          <w:rStyle w:val="normaltextrun"/>
          <w:rFonts w:asciiTheme="minorHAnsi" w:hAnsiTheme="minorHAnsi" w:cstheme="minorHAnsi"/>
          <w:sz w:val="22"/>
          <w:szCs w:val="22"/>
        </w:rPr>
        <w:t>numer rachunku: 15 1010 1010 0048 2213 9135 0000 </w:t>
      </w:r>
    </w:p>
    <w:p w14:paraId="5EF5BF9C" w14:textId="77777777" w:rsidR="000C7E00" w:rsidRPr="009D2359" w:rsidRDefault="000C7E00" w:rsidP="000C7E00">
      <w:pPr>
        <w:pStyle w:val="paragraph"/>
        <w:numPr>
          <w:ilvl w:val="0"/>
          <w:numId w:val="22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9D2359">
        <w:rPr>
          <w:rStyle w:val="normaltextrun"/>
          <w:rFonts w:asciiTheme="minorHAnsi" w:hAnsiTheme="minorHAnsi" w:cstheme="minorHAnsi"/>
          <w:sz w:val="22"/>
          <w:szCs w:val="22"/>
        </w:rPr>
        <w:t>nazwa rachunku: Centrum Projektów Polska Cyfrowa</w:t>
      </w:r>
    </w:p>
    <w:p w14:paraId="14C4A2D5" w14:textId="6654CE48" w:rsidR="000C7E00" w:rsidRPr="009D2359" w:rsidRDefault="000C7E00" w:rsidP="000C7E00">
      <w:pPr>
        <w:pStyle w:val="paragraph"/>
        <w:numPr>
          <w:ilvl w:val="0"/>
          <w:numId w:val="22"/>
        </w:numPr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D2359">
        <w:rPr>
          <w:rStyle w:val="normaltextrun"/>
          <w:rFonts w:asciiTheme="minorHAnsi" w:hAnsiTheme="minorHAnsi" w:cstheme="minorHAnsi"/>
          <w:sz w:val="22"/>
          <w:szCs w:val="22"/>
        </w:rPr>
        <w:t>nazwa banku: Narodowy Bank Polski.</w:t>
      </w:r>
      <w:r w:rsidRPr="009D2359">
        <w:rPr>
          <w:rStyle w:val="eop"/>
          <w:rFonts w:asciiTheme="minorHAnsi" w:hAnsiTheme="minorHAnsi" w:cstheme="minorHAnsi"/>
          <w:sz w:val="22"/>
          <w:szCs w:val="22"/>
        </w:rPr>
        <w:t>”</w:t>
      </w:r>
      <w:r w:rsidR="009D2359" w:rsidRPr="009D2359">
        <w:rPr>
          <w:rStyle w:val="eop"/>
          <w:rFonts w:asciiTheme="minorHAnsi" w:hAnsiTheme="minorHAnsi" w:cstheme="minorHAnsi"/>
          <w:sz w:val="22"/>
          <w:szCs w:val="22"/>
        </w:rPr>
        <w:t>,</w:t>
      </w:r>
    </w:p>
    <w:p w14:paraId="5A678C31" w14:textId="70FFAE2B" w:rsidR="00801BBC" w:rsidRPr="009D2359" w:rsidRDefault="00801BBC" w:rsidP="009D2359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theme="minorHAnsi"/>
          <w:color w:val="000000" w:themeColor="text1"/>
          <w:lang w:eastAsia="ar-SA"/>
          <w14:ligatures w14:val="none"/>
        </w:rPr>
      </w:pPr>
      <w:r w:rsidRPr="009D2359">
        <w:rPr>
          <w:rFonts w:eastAsia="Times New Roman" w:cstheme="minorHAnsi"/>
          <w:color w:val="000000" w:themeColor="text1"/>
          <w:lang w:eastAsia="ar-SA"/>
          <w14:ligatures w14:val="none"/>
        </w:rPr>
        <w:t xml:space="preserve">w § 13 dodano ust. 10, </w:t>
      </w:r>
      <w:r w:rsidR="00FC7590">
        <w:rPr>
          <w:rFonts w:eastAsia="Times New Roman" w:cstheme="minorHAnsi"/>
          <w:color w:val="000000" w:themeColor="text1"/>
          <w:lang w:eastAsia="ar-SA"/>
          <w14:ligatures w14:val="none"/>
        </w:rPr>
        <w:t>w brzmieniu</w:t>
      </w:r>
      <w:r w:rsidRPr="009D2359">
        <w:rPr>
          <w:rFonts w:eastAsia="Times New Roman" w:cstheme="minorHAnsi"/>
          <w:color w:val="000000" w:themeColor="text1"/>
          <w:lang w:eastAsia="ar-SA"/>
          <w14:ligatures w14:val="none"/>
        </w:rPr>
        <w:t xml:space="preserve">: „10. </w:t>
      </w:r>
      <w:bookmarkStart w:id="1" w:name="_Hlk144812475"/>
      <w:r w:rsidRPr="009D2359">
        <w:rPr>
          <w:rFonts w:eastAsia="Times New Roman" w:cstheme="minorHAnsi"/>
          <w:color w:val="000000" w:themeColor="text1"/>
          <w:lang w:eastAsia="ar-SA"/>
          <w14:ligatures w14:val="none"/>
        </w:rPr>
        <w:t xml:space="preserve">Jeżeli z wniosku o płatność końcową wynika, że część przekazanego dofinansowania nie została wydatkowana przez Beneficjenta, </w:t>
      </w:r>
      <w:r w:rsidRPr="009D2359">
        <w:rPr>
          <w:rFonts w:eastAsia="Times New Roman" w:cstheme="minorHAnsi"/>
          <w:color w:val="000000" w:themeColor="text1"/>
          <w:lang w:eastAsia="ar-SA"/>
          <w14:ligatures w14:val="none"/>
        </w:rPr>
        <w:lastRenderedPageBreak/>
        <w:t>Beneficjent bez wezwania w dniu złożenia wniosku o płatność końcową, zwraca na rachunki, o których mowa w ust. 2 pkt 1 i 2 niewykorzystaną kwotę dofinansowania oraz odsetki bankowe wynikające z przechowywania tej kwoty na rachunku bankowym - wraz z przekazaniem Instytucji Pośredniczącej za pośrednictwem CST2021 wyciągów bankowych potwierdzających wysokość narosłych odsetek.”</w:t>
      </w:r>
      <w:r w:rsidR="009D2359" w:rsidRPr="009D2359">
        <w:rPr>
          <w:rFonts w:eastAsia="Times New Roman" w:cstheme="minorHAnsi"/>
          <w:color w:val="000000" w:themeColor="text1"/>
          <w:lang w:eastAsia="ar-SA"/>
          <w14:ligatures w14:val="none"/>
        </w:rPr>
        <w:t>,</w:t>
      </w:r>
    </w:p>
    <w:bookmarkEnd w:id="1"/>
    <w:p w14:paraId="15478DFC" w14:textId="58C163A3" w:rsidR="00801BBC" w:rsidRPr="009D2359" w:rsidRDefault="00801BBC" w:rsidP="009D2359">
      <w:pPr>
        <w:pStyle w:val="paragraph"/>
        <w:numPr>
          <w:ilvl w:val="0"/>
          <w:numId w:val="13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w § 14 ust. 3 usunięto drugie zdanie</w:t>
      </w:r>
      <w:r w:rsidR="009D2359" w:rsidRPr="009D2359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, </w:t>
      </w:r>
    </w:p>
    <w:p w14:paraId="6EF0FCBE" w14:textId="0A295607" w:rsidR="00801BBC" w:rsidRPr="009D2359" w:rsidRDefault="00801BBC" w:rsidP="009D2359">
      <w:pPr>
        <w:pStyle w:val="paragraph"/>
        <w:numPr>
          <w:ilvl w:val="0"/>
          <w:numId w:val="13"/>
        </w:numPr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w § 14 dodano ust. 4</w:t>
      </w:r>
      <w:r w:rsidR="00FC7590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 w brzmieniu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 xml:space="preserve">: </w:t>
      </w:r>
      <w:r w:rsidR="00190C43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„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4. Zabezpieczenie, o którym mowa w ust. 3, składane jest na całą wartość dofinansowania uwzględniającą waloryzację zgodnie z § 3 ust. 3. W przypadku, o którym mowa w § 3 ust. 3 Beneficjent zobowiązany jest do przedłożenia przed dniem wypłaty dofinansowania objętego waloryzacją, nowego zabezpieczenia w formie weksla in blanco wraz z deklaracją wekslową na wartość dofinansowania uwzględniającą dokonaną waloryzację.”</w:t>
      </w:r>
      <w:r w:rsidR="009D2359" w:rsidRPr="009D2359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t>,</w:t>
      </w:r>
    </w:p>
    <w:p w14:paraId="6CC93006" w14:textId="041FCC09" w:rsidR="00801BBC" w:rsidRPr="009D2359" w:rsidRDefault="00801BBC" w:rsidP="009D2359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w § 14 zmieniono numerację ust. nr 4 – 9 na 5 – 10</w:t>
      </w:r>
      <w:r w:rsidR="009D2359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56226BF" w14:textId="54FB9FEC" w:rsidR="00801BBC" w:rsidRPr="009D2359" w:rsidRDefault="00801BBC" w:rsidP="009D2359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§ 14 w ust. 5 dodano ostatnie zdanie, </w:t>
      </w:r>
      <w:r w:rsidR="00FC7590">
        <w:rPr>
          <w:rFonts w:asciiTheme="minorHAnsi" w:hAnsiTheme="minorHAnsi" w:cstheme="minorHAnsi"/>
          <w:color w:val="000000" w:themeColor="text1"/>
          <w:sz w:val="22"/>
          <w:szCs w:val="22"/>
        </w:rPr>
        <w:t>w brzmieniu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: „Postanowienia zdania poprzedniego nie mają zastosowania w sytuacji, o której mowa w § 8 ust. 5 zdanie drugie.”</w:t>
      </w:r>
      <w:r w:rsidR="009D2359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05F5C84" w14:textId="22C815F0" w:rsidR="00801BBC" w:rsidRPr="009D2359" w:rsidRDefault="00801BBC" w:rsidP="009D2359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14 w ust. 6 </w:t>
      </w:r>
      <w:r w:rsidR="00FC7590">
        <w:rPr>
          <w:rFonts w:asciiTheme="minorHAnsi" w:hAnsiTheme="minorHAnsi" w:cstheme="minorHAnsi"/>
          <w:color w:val="000000" w:themeColor="text1"/>
          <w:sz w:val="22"/>
          <w:szCs w:val="22"/>
        </w:rPr>
        <w:t>nadano brzmienie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: „</w:t>
      </w:r>
      <w:r w:rsidR="00190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6. 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Gwarancje, o których mowa w ust. 5 oraz § 8 ust. 5 będą gwarancjami bezwarunkowymi i płatnymi na pierwsze żądanie. Ustanowienie </w:t>
      </w:r>
      <w:r w:rsidR="00190C43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gwarancji,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której mowa w ust. 5 musi nastąpić przed wypłatą transzy zaliczki, którą gwarancja zabezpiecza.”</w:t>
      </w:r>
      <w:r w:rsidR="009D2359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9889DF3" w14:textId="039EEC31" w:rsidR="00243C1B" w:rsidRPr="009D2359" w:rsidRDefault="00243C1B" w:rsidP="009D2359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w § 17 dodano ust. 4</w:t>
      </w:r>
      <w:r w:rsidR="00FC75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brzmieniu: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„4. Kontrole mogą być prowadzone do ostatniego dnia okresu, w którym upływa zobowiązanie Beneficjenta do przechowywania dokumentacji, zgodnie z § 16 ust. 2.”</w:t>
      </w:r>
      <w:r w:rsidR="009D2359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05C9D235" w14:textId="410CF2BA" w:rsidR="00243C1B" w:rsidRPr="009D2359" w:rsidRDefault="00243C1B" w:rsidP="009D2359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w § 14 zmieniono numerację ust. nr 4 – 17 na 5 – 18</w:t>
      </w:r>
      <w:r w:rsidR="009D2359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24CEA8B" w14:textId="546D356B" w:rsidR="00243C1B" w:rsidRDefault="00243C1B" w:rsidP="009D2359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§ 14 do ust. 14 dodano zdanie drugie </w:t>
      </w:r>
      <w:r w:rsidR="00590700">
        <w:rPr>
          <w:rFonts w:asciiTheme="minorHAnsi" w:hAnsiTheme="minorHAnsi" w:cstheme="minorHAnsi"/>
          <w:color w:val="000000" w:themeColor="text1"/>
          <w:sz w:val="22"/>
          <w:szCs w:val="22"/>
        </w:rPr>
        <w:t>w brzmieniu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: „Termin może być przedłużony przez instytucję kontrolującą na czas oznaczony, na wniosek podmiotu kontrolowanego, złożony przed upływem terminu zgłoszenia zastrzeżeń.”</w:t>
      </w:r>
      <w:r w:rsidR="009D2359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EC8004B" w14:textId="387D3350" w:rsidR="00CB37D3" w:rsidRPr="00914373" w:rsidRDefault="00CB37D3" w:rsidP="009D2359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§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15 ust</w:t>
      </w:r>
      <w:r w:rsidR="006D4144">
        <w:rPr>
          <w:rFonts w:asciiTheme="minorHAnsi" w:hAnsiTheme="minorHAnsi" w:cstheme="minorHAnsi"/>
          <w:color w:val="000000" w:themeColor="text1"/>
          <w:sz w:val="22"/>
          <w:szCs w:val="22"/>
        </w:rPr>
        <w:t>. 7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D4144">
        <w:rPr>
          <w:rFonts w:asciiTheme="minorHAnsi" w:hAnsiTheme="minorHAnsi" w:cstheme="minorHAnsi"/>
          <w:color w:val="000000" w:themeColor="text1"/>
          <w:sz w:val="22"/>
          <w:szCs w:val="22"/>
        </w:rPr>
        <w:t>zmieniono zdanie drugie</w:t>
      </w:r>
      <w:r w:rsidR="00590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brzmieniu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 „</w:t>
      </w: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usunięciu awarii CST2021 Instytucja Pośrednicząca informuje Beneficjenta na adresy e-mail osób uprawnionych zgodnie z załącznikiem nr 5 do Wytycznych dotyczących gromadzenia </w:t>
      </w: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i przekazywania danych w postaci elektronicznej na lata 2021 - 2027</w:t>
      </w: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Beneficjent zaś zobowiązuje się uzupełnić dane w CST2021 w zakresie dokumentów przekazanych drogą pisemną w </w:t>
      </w: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terminie</w:t>
      </w:r>
      <w:r w:rsidR="006D4144"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3 dni od usunięcia awarii w zakresie dokumentów przekazanych drogą pisemną</w:t>
      </w: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”,</w:t>
      </w:r>
    </w:p>
    <w:p w14:paraId="7E661414" w14:textId="0E4164F3" w:rsidR="00CB37D3" w:rsidRPr="00914373" w:rsidRDefault="00CB37D3" w:rsidP="00914373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/>
          <w:color w:val="000000" w:themeColor="text1"/>
          <w:sz w:val="22"/>
        </w:rPr>
      </w:pP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§ 15 ust. 8 pkt. 1 i 2 nadano</w:t>
      </w: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brzmienie: </w:t>
      </w: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>Przedmiotem komunikacji wyłącznie przy wykorzystaniu CST2021 nie może być:</w:t>
      </w:r>
    </w:p>
    <w:p w14:paraId="2D1D32E9" w14:textId="2FC0893E" w:rsidR="00CB37D3" w:rsidRPr="00914373" w:rsidRDefault="00CB37D3" w:rsidP="00590700">
      <w:pPr>
        <w:pStyle w:val="Tekstpodstawowy"/>
        <w:numPr>
          <w:ilvl w:val="0"/>
          <w:numId w:val="45"/>
        </w:numPr>
        <w:spacing w:after="60"/>
        <w:jc w:val="left"/>
        <w:rPr>
          <w:rFonts w:asciiTheme="minorHAnsi" w:hAnsiTheme="minorHAnsi"/>
          <w:color w:val="000000" w:themeColor="text1"/>
          <w:sz w:val="22"/>
        </w:rPr>
      </w:pP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zmiana treści Umowy, z wyłączeniem zmiany, o której mowa w § 9 ust. </w:t>
      </w: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10</w:t>
      </w: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§ 21 ust. 2;</w:t>
      </w:r>
    </w:p>
    <w:p w14:paraId="5436E0FF" w14:textId="0263604A" w:rsidR="00CB37D3" w:rsidRPr="00914373" w:rsidRDefault="00CB37D3" w:rsidP="00590700">
      <w:pPr>
        <w:pStyle w:val="Tekstpodstawowy"/>
        <w:numPr>
          <w:ilvl w:val="0"/>
          <w:numId w:val="45"/>
        </w:numPr>
        <w:spacing w:after="60"/>
        <w:jc w:val="left"/>
        <w:rPr>
          <w:rFonts w:asciiTheme="minorHAnsi" w:hAnsiTheme="minorHAnsi"/>
          <w:color w:val="000000" w:themeColor="text1"/>
          <w:sz w:val="22"/>
        </w:rPr>
      </w:pP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>dochodzenie zwrotu środków od Beneficjenta, o którym mowa w § 13, w tym prowadzenie postępowania administracyjnego w celu wydania decyzji o zwrocie środków</w:t>
      </w: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podstawie art. 207 ust. 1 i 9 Ufp;”,</w:t>
      </w:r>
    </w:p>
    <w:p w14:paraId="6EB85BB3" w14:textId="1516B2E1" w:rsidR="00CB37D3" w:rsidRPr="00914373" w:rsidRDefault="00CB37D3" w:rsidP="00590700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/>
          <w:color w:val="000000" w:themeColor="text1"/>
          <w:sz w:val="22"/>
        </w:rPr>
      </w:pP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>§ 17 ust. 1 – 3 nadano brzmienie: „1.Beneficjent zobowiązuje się poddać kontroli</w:t>
      </w:r>
      <w:r w:rsidRPr="00914373">
        <w:rPr>
          <w:rFonts w:cstheme="minorHAnsi"/>
          <w:szCs w:val="22"/>
        </w:rPr>
        <w:t xml:space="preserve"> </w:t>
      </w: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>w zakresie prawidłowości realizacji Projektu dokonywanej przez Instytucję Pośredniczącą oraz inne uprawnione podmioty wymienione w art. 25 ust. 2 Ustawy.</w:t>
      </w:r>
    </w:p>
    <w:p w14:paraId="31A2C263" w14:textId="566556D5" w:rsidR="00CB37D3" w:rsidRPr="00914373" w:rsidRDefault="00CB37D3" w:rsidP="00544816">
      <w:pPr>
        <w:pStyle w:val="Tekstpodstawowy"/>
        <w:spacing w:after="60"/>
        <w:ind w:left="1146"/>
        <w:jc w:val="left"/>
        <w:rPr>
          <w:rFonts w:asciiTheme="minorHAnsi" w:hAnsiTheme="minorHAnsi"/>
          <w:color w:val="000000" w:themeColor="text1"/>
          <w:sz w:val="22"/>
        </w:rPr>
      </w:pP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</w:t>
      </w: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Kontrola może zostać przeprowadzona w siedzibie instytucji kontrolującej lub w innym miejscu świadczenia przez osoby kontrolujące pracy lub usług na rzecz instytucji kontrolującej, w siedzibie podmiotu kontrolowanego, </w:t>
      </w: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jak również </w:t>
      </w: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>w każdym miejscu związanym z realizacją Projektu.</w:t>
      </w:r>
    </w:p>
    <w:p w14:paraId="4C081A38" w14:textId="150A4EAA" w:rsidR="00CB37D3" w:rsidRPr="00914373" w:rsidRDefault="00CB37D3" w:rsidP="00544816">
      <w:pPr>
        <w:pStyle w:val="Tekstpodstawowy"/>
        <w:spacing w:after="60"/>
        <w:ind w:left="1146"/>
        <w:jc w:val="left"/>
        <w:rPr>
          <w:rFonts w:asciiTheme="minorHAnsi" w:hAnsiTheme="minorHAnsi"/>
          <w:color w:val="000000" w:themeColor="text1"/>
          <w:sz w:val="22"/>
        </w:rPr>
      </w:pP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3. </w:t>
      </w: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>Niektóre czynności kontrolne mogą być prowadzone w siedzibie podmiotu kontrolującego na podstawie danych i dokumentów zamieszczonych w CST2021 i innych dokumentów przekazywanych przez Beneficjenta</w:t>
      </w:r>
      <w:r w:rsidR="006D4144"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”,</w:t>
      </w: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B3662EE" w14:textId="3DB20BB2" w:rsidR="00CB37D3" w:rsidRPr="00914373" w:rsidRDefault="00CB37D3" w:rsidP="00590700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/>
          <w:color w:val="000000" w:themeColor="text1"/>
          <w:sz w:val="22"/>
        </w:rPr>
      </w:pP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§ 17 dodano ust. 4 w brzmieniu: </w:t>
      </w:r>
      <w:bookmarkStart w:id="2" w:name="_Hlk145683941"/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>„Kontrole mogą być prowadzone do ostatniego dnia okresu, w którym upływa zobowiązanie Beneficjenta do przechowywania dokumentacji, zgodnie z § 16 ust. 2.”,</w:t>
      </w:r>
    </w:p>
    <w:bookmarkEnd w:id="2"/>
    <w:p w14:paraId="1A40D40B" w14:textId="6D1C8989" w:rsidR="00CB37D3" w:rsidRDefault="00CB37D3" w:rsidP="00590700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§ 17 </w:t>
      </w:r>
      <w:r w:rsidRPr="00CB37D3">
        <w:rPr>
          <w:rFonts w:asciiTheme="minorHAnsi" w:hAnsiTheme="minorHAnsi" w:cstheme="minorHAnsi"/>
          <w:color w:val="000000" w:themeColor="text1"/>
          <w:sz w:val="22"/>
          <w:szCs w:val="22"/>
        </w:rPr>
        <w:t>zmieniono numerację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4-17</w:t>
      </w:r>
      <w:r w:rsidR="00A24B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ust. 5-18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144AF5D6" w14:textId="19874B5B" w:rsidR="00CB37D3" w:rsidRPr="00914373" w:rsidRDefault="00CB37D3" w:rsidP="00590700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§ 17 w ust. 14 dodano zdanie drugie w brzmieniu: </w:t>
      </w:r>
      <w:bookmarkStart w:id="3" w:name="_Hlk145684042"/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„Termin może być przedłużony przez instytucję kontrolującą na czas oznaczony, na wniosek podmiotu kontrolowanego, złożony przed upływem terminu zgłoszenia zastrzeżeń.</w:t>
      </w:r>
      <w:bookmarkEnd w:id="3"/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”,</w:t>
      </w:r>
    </w:p>
    <w:p w14:paraId="7FC6E541" w14:textId="6B39DB15" w:rsidR="00CB37D3" w:rsidRPr="00CB37D3" w:rsidRDefault="00CB37D3" w:rsidP="00590700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w § 19 ust. 1 po słowie danych dodano słowo „osobowych”,</w:t>
      </w:r>
    </w:p>
    <w:p w14:paraId="5B52F5E6" w14:textId="546FE7EF" w:rsidR="00CB37D3" w:rsidRPr="00914373" w:rsidRDefault="00CB37D3" w:rsidP="00590700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§ 19 ust. 6 otrzymał </w:t>
      </w:r>
      <w:r w:rsidR="00914373"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brzmienie: „</w:t>
      </w: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6. </w:t>
      </w: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Zmiany w załączniku nr 8 </w:t>
      </w: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do Umowy, o którym mowa w ust. 5 pkt 1 nie</w:t>
      </w: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wymagają aneksowania Umowy, a jedynie poinformowania </w:t>
      </w: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takich zmianach </w:t>
      </w:r>
      <w:r w:rsidRPr="00914373">
        <w:rPr>
          <w:rFonts w:asciiTheme="minorHAnsi" w:hAnsiTheme="minorHAnsi" w:cstheme="minorHAnsi"/>
          <w:color w:val="000000" w:themeColor="text1"/>
          <w:sz w:val="22"/>
          <w:szCs w:val="22"/>
        </w:rPr>
        <w:t>Beneficjenta.</w:t>
      </w: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”,</w:t>
      </w:r>
    </w:p>
    <w:p w14:paraId="195EB515" w14:textId="65907600" w:rsidR="00CB37D3" w:rsidRPr="00914373" w:rsidRDefault="00CB37D3" w:rsidP="00590700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/>
          <w:color w:val="000000" w:themeColor="text1"/>
          <w:sz w:val="22"/>
        </w:rPr>
      </w:pP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w § 20 ust. 1 wykreślono słowa: „oraz zgodnie z załącznikiem nr 8 do Umowy.”,</w:t>
      </w:r>
    </w:p>
    <w:p w14:paraId="75C54F02" w14:textId="3FFE135C" w:rsidR="00243C1B" w:rsidRPr="009D2359" w:rsidRDefault="00243C1B" w:rsidP="00590700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w § 21 dodano ust. 10 – 14</w:t>
      </w:r>
      <w:r w:rsidR="00CB37D3">
        <w:rPr>
          <w:rFonts w:asciiTheme="minorHAnsi" w:hAnsiTheme="minorHAnsi" w:cstheme="minorHAnsi"/>
          <w:color w:val="000000" w:themeColor="text1"/>
          <w:sz w:val="22"/>
          <w:szCs w:val="22"/>
        </w:rPr>
        <w:t>, w brzmieniu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: „10. W przypadku wystąpienia barier inwestycyjnych, które uzasadniają wyłączenia danego punktu adresowego z zakresu realizowanego Projektu, Beneficjent, za zgodą Instytucji Pośredniczącej, może skorzystać z możliwości włączenia do Projektu innych punktów adresowych z Listy dodatkowej. Uwzględnienie w Projekcie punktów adresowych z Listy dodatkowej nie może prowadzić do zwiększenia kwoty dofinansowania określonej w § 2 ust. 4. Beneficjent dokonuje wyboru punktów adresowych z Listy dodatkowej poprzez przekazanie Instytucji Pośredniczącej wybranych punktów adresowych w formie pisemnej.</w:t>
      </w:r>
    </w:p>
    <w:p w14:paraId="2D750759" w14:textId="55501C99" w:rsidR="00243C1B" w:rsidRPr="009D2359" w:rsidRDefault="00243C1B" w:rsidP="009D2359">
      <w:pPr>
        <w:pStyle w:val="Tekstpodstawowy"/>
        <w:spacing w:after="60"/>
        <w:ind w:left="1146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11. Beneficjent może dokonać wyboru, czy w wyniku wystąpienia barier inwestycyjnych, o których mowa w załączniku nr 7 do Umowy, chce objąć zasięgiem punkty adresowe z Listy dodatkowej, czy na podstawie informacji przedstawionych Instytucji Pośredniczącej, które uzasadniają zmiany wynikające z wystąpienia barier inwestycyjnych, będzie ubiegał się o pomniejszenie wskaźnika określonego we Wniosku, na podstawie którego Beneficjent rozliczany jest z wymogu objęcia zasięgiem 100% punktów adresowych określonych w Obszarze projektowym. </w:t>
      </w:r>
    </w:p>
    <w:p w14:paraId="7DA7B27A" w14:textId="4F59CFC1" w:rsidR="00243C1B" w:rsidRPr="009D2359" w:rsidRDefault="00243C1B" w:rsidP="009D2359">
      <w:pPr>
        <w:pStyle w:val="Tekstpodstawowy"/>
        <w:spacing w:after="60"/>
        <w:ind w:left="1146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12. W stosunku do punktów adresowych z Listy dodatkowej uwzględnionych w Projekcie stosuje się wymagania techniczne dla sieci KPO/FERC, a także odpowiednio wszelkie inne postanowienia Umowy. </w:t>
      </w:r>
    </w:p>
    <w:p w14:paraId="2576E7A9" w14:textId="08EDB4D8" w:rsidR="00243C1B" w:rsidRPr="009D2359" w:rsidRDefault="00243C1B" w:rsidP="009D2359">
      <w:pPr>
        <w:pStyle w:val="Tekstpodstawowy"/>
        <w:spacing w:after="60"/>
        <w:ind w:left="1146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13. W okresie realizacji Projektu, określonym w § 4 ust. 1 dofinansowanie udzielone Beneficjentowi i Przedsiębiorstwom powiązanym oraz należącym do grupy kapitałowej w rozumieniu art. 4 pkt 14 ustawy z dnia 16 lutego 2007 r. o ochronie konkurencji i konsumentów, nie może przekroczyć 20% kwoty alokacji naboru, z zastrzeżeniem przypadku, o którym mowa w § 4 ust. 3 Regulaminu. W przypadku gdy zajdą okoliczności, o których mowa w § 3 ust. 1 Regulaminu, dofinansowanie udzielone Beneficjentowi  i Przedsiębiorstwom powiązanym oraz należącym do grupy kapitałowej w rozumieniu art. 4 pkt 14 ustawy z dnia 16 lutego 2007 r. o ochronie konkurencji i konsumentów – nie może w okresie realizacji Projektu przekroczyć wartości procentowej alokacji naboru przyznanej im łącznie według stanu na dzień zawierania ostatniej z umów o dofinansowanie między Instytucją Pośredniczącą a wyżej wskazanymi podmiotami.</w:t>
      </w:r>
    </w:p>
    <w:p w14:paraId="5DA20341" w14:textId="60F06276" w:rsidR="00243C1B" w:rsidRDefault="00243C1B" w:rsidP="009D2359">
      <w:pPr>
        <w:pStyle w:val="Tekstpodstawowy"/>
        <w:spacing w:after="60"/>
        <w:ind w:left="1146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14. W przypadku niezachowania trwałości Projektu Beneficjent jest zobowiązany do zwrotu kwoty dofinansowania proporcjonalnie do okresu trwania braku zgodności z wymogiem zachowania trwałości Projektu. Zwrot następuje w trybie określonym w art. 207 ustawy z dnia 27 sierpnia 2009 r. o finansach publicznych.”</w:t>
      </w:r>
      <w:r w:rsidR="009D2359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2DC3087" w14:textId="3298BFDE" w:rsidR="00A40B2F" w:rsidRPr="00A40B2F" w:rsidRDefault="00A40B2F" w:rsidP="00A40B2F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 § 22 ust. 3 pkt. </w:t>
      </w:r>
      <w:r w:rsidR="001E0E0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A40B2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 otrzymał </w:t>
      </w: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brzmieni</w:t>
      </w:r>
      <w:r w:rsidRPr="00A40B2F">
        <w:rPr>
          <w:rFonts w:asciiTheme="minorHAnsi" w:hAnsiTheme="minorHAnsi" w:cstheme="minorHAnsi"/>
          <w:color w:val="000000" w:themeColor="text1"/>
          <w:sz w:val="22"/>
          <w:szCs w:val="22"/>
        </w:rPr>
        <w:t>e: „Beneficjent pomimo orzeczenia obowiązku zwrotu środków przeznaczonych na realizację Projektu, o którym mowa w art. 207 ust. 1 ustawy o finansach publicznych, nie dokonał zwrotu środków w terminie, w którym decyzja, o jakiej mowa w art. 207 ust. 9 ustawy o finansach publicznych, stała się ostateczna, chyba że Beneficjentowi została udzielona ulga w spłacie należności”</w:t>
      </w:r>
      <w:r w:rsidR="0058040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44C6F27" w14:textId="631C4808" w:rsidR="00CB37D3" w:rsidRPr="007E0E72" w:rsidRDefault="00CB37D3" w:rsidP="00590700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>w § 22 ust. 3 dodano pkt. 20 w brzmieniu: „20</w:t>
      </w:r>
      <w:r w:rsidR="00A24B80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7E0E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Beneficjent nie dochował warunków określonych w § 21 ust. 13.”,</w:t>
      </w:r>
    </w:p>
    <w:p w14:paraId="00A88546" w14:textId="7096A810" w:rsidR="005F2033" w:rsidRDefault="00243C1B" w:rsidP="00590700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§ 23 </w:t>
      </w:r>
      <w:r w:rsidR="005F2033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zaktualizowano treść ust. 3, któr</w:t>
      </w:r>
      <w:r w:rsidR="00DC5D0E">
        <w:rPr>
          <w:rFonts w:asciiTheme="minorHAnsi" w:hAnsiTheme="minorHAnsi" w:cstheme="minorHAnsi"/>
          <w:color w:val="000000" w:themeColor="text1"/>
          <w:sz w:val="22"/>
          <w:szCs w:val="22"/>
        </w:rPr>
        <w:t>y otrzymał brzmienie</w:t>
      </w:r>
      <w:r w:rsidR="005F2033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„3. W przypadku rozwiązania Umowy, Beneficjent zobowiązuje się usunąć w sposób trwały i nieodwracalny wszelkie dane osobowe pozyskane w związku z realizacją przedsięwzięcia lub zwrócić je administratorowi w rozumieniu </w:t>
      </w:r>
      <w:r w:rsidR="00914373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RODO, terminie</w:t>
      </w:r>
      <w:r w:rsidR="005F2033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30 dni po upływie terminu wskazanego w Umowie na przechowywanie dokumentów dotyczących udzielonej pomocy, chyba że z przepisów prawa wynika obowiązek dalszego przechowywanie danych osobowych.”</w:t>
      </w:r>
      <w:r w:rsidR="00190C43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23F8AE0" w14:textId="729695B3" w:rsidR="00535DA2" w:rsidRPr="009D2359" w:rsidRDefault="00535DA2" w:rsidP="00590700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poprawiono omyłki pisarskie </w:t>
      </w:r>
      <w:r w:rsidR="00EE0F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metryki aktów prawnych znajdujące się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 treści Umowy</w:t>
      </w:r>
      <w:r w:rsidR="0058040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0106B2BE" w14:textId="60A7CCED" w:rsidR="000E40F9" w:rsidRPr="009D2359" w:rsidRDefault="00FA03F0" w:rsidP="00590700">
      <w:pPr>
        <w:pStyle w:val="Tekstpodstawowy"/>
        <w:numPr>
          <w:ilvl w:val="0"/>
          <w:numId w:val="13"/>
        </w:numPr>
        <w:spacing w:after="6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zaktualizowano katalog barier inwestycyjnych wskazanych w z</w:t>
      </w:r>
      <w:r w:rsidR="000E40F9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ałącznik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0E40F9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7 </w:t>
      </w:r>
      <w:r w:rsidR="00513751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0E40F9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Katalog barier inwestycyjnych</w:t>
      </w:r>
      <w:r w:rsidR="00513751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494C00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6AAE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8754CA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następujące </w:t>
      </w:r>
      <w:r w:rsidR="002D6AAE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informacje: </w:t>
      </w:r>
    </w:p>
    <w:p w14:paraId="7903E209" w14:textId="6765DEEA" w:rsidR="000E40F9" w:rsidRPr="009D2359" w:rsidRDefault="000E40F9" w:rsidP="009C4167">
      <w:pPr>
        <w:pStyle w:val="Akapitzlist"/>
        <w:numPr>
          <w:ilvl w:val="0"/>
          <w:numId w:val="2"/>
        </w:numPr>
        <w:ind w:left="1560" w:hanging="426"/>
        <w:rPr>
          <w:rFonts w:eastAsia="Trebuchet MS" w:cstheme="minorHAnsi"/>
          <w:color w:val="000000"/>
        </w:rPr>
      </w:pPr>
      <w:r w:rsidRPr="009D2359">
        <w:rPr>
          <w:rFonts w:eastAsia="Trebuchet MS" w:cstheme="minorHAnsi"/>
          <w:color w:val="000000"/>
        </w:rPr>
        <w:t xml:space="preserve">Punkt I. Bariery związane z wyznaczaniem białych plam, podpunkt 3) otrzymuje brzmienie: </w:t>
      </w:r>
      <w:r w:rsidRPr="009D2359">
        <w:rPr>
          <w:rFonts w:eastAsia="Trebuchet MS" w:cstheme="minorHAnsi"/>
          <w:color w:val="000000"/>
        </w:rPr>
        <w:br/>
        <w:t>„</w:t>
      </w:r>
      <w:r w:rsidR="00E67FA1" w:rsidRPr="009D2359">
        <w:rPr>
          <w:rFonts w:eastAsia="Trebuchet MS" w:cstheme="minorHAnsi"/>
          <w:color w:val="000000"/>
        </w:rPr>
        <w:t xml:space="preserve">3) </w:t>
      </w:r>
      <w:r w:rsidRPr="009D2359">
        <w:rPr>
          <w:rFonts w:eastAsia="Trebuchet MS" w:cstheme="minorHAnsi"/>
          <w:color w:val="000000"/>
        </w:rPr>
        <w:t>wskazanie błędnych danych dotyczących danego punktu adresowego. Na przykład: brak budynku we wskazanym punkcie adresowym lub pustostan oznaczony jako punkt adresowy lub ten sam punkt adresowy został wskazany więcej niż raz w Obszarze projektowym</w:t>
      </w:r>
      <w:r w:rsidRPr="009D2359">
        <w:rPr>
          <w:rFonts w:eastAsia="Trebuchet MS" w:cstheme="minorHAnsi"/>
          <w:color w:val="000000"/>
          <w:vertAlign w:val="superscript"/>
        </w:rPr>
        <w:t>1</w:t>
      </w:r>
      <w:r w:rsidR="00914373">
        <w:rPr>
          <w:rFonts w:eastAsia="Trebuchet MS" w:cstheme="minorHAnsi"/>
          <w:color w:val="000000"/>
          <w:vertAlign w:val="superscript"/>
        </w:rPr>
        <w:t xml:space="preserve"> </w:t>
      </w:r>
      <w:r w:rsidRPr="009D2359">
        <w:rPr>
          <w:rFonts w:eastAsia="Trebuchet MS" w:cstheme="minorHAnsi"/>
          <w:color w:val="000000"/>
        </w:rPr>
        <w:t>– dokument potwierdzający barierę: oświadczenie z gminy.”</w:t>
      </w:r>
      <w:r w:rsidR="002C6242" w:rsidRPr="009D2359">
        <w:rPr>
          <w:rFonts w:eastAsia="Trebuchet MS" w:cstheme="minorHAnsi"/>
          <w:color w:val="000000"/>
        </w:rPr>
        <w:t>,</w:t>
      </w:r>
    </w:p>
    <w:p w14:paraId="5031C981" w14:textId="599B73E8" w:rsidR="00A0517F" w:rsidRPr="009D2359" w:rsidRDefault="00A0517F" w:rsidP="009C4167">
      <w:pPr>
        <w:pStyle w:val="Akapitzlist"/>
        <w:numPr>
          <w:ilvl w:val="0"/>
          <w:numId w:val="2"/>
        </w:numPr>
        <w:ind w:left="1560" w:hanging="426"/>
        <w:rPr>
          <w:rFonts w:eastAsia="Trebuchet MS" w:cstheme="minorHAnsi"/>
          <w:color w:val="000000"/>
        </w:rPr>
      </w:pPr>
      <w:r w:rsidRPr="009D2359">
        <w:rPr>
          <w:rFonts w:eastAsia="Trebuchet MS" w:cstheme="minorHAnsi"/>
          <w:color w:val="000000"/>
          <w:vertAlign w:val="superscript"/>
        </w:rPr>
        <w:t>1</w:t>
      </w:r>
      <w:r w:rsidRPr="009D2359">
        <w:rPr>
          <w:rFonts w:eastAsia="Trebuchet MS" w:cstheme="minorHAnsi"/>
          <w:color w:val="000000"/>
        </w:rPr>
        <w:t xml:space="preserve"> Przykład: </w:t>
      </w:r>
      <w:r w:rsidR="00E67FA1" w:rsidRPr="009D2359">
        <w:rPr>
          <w:rFonts w:eastAsia="Trebuchet MS" w:cstheme="minorHAnsi"/>
          <w:color w:val="000000"/>
        </w:rPr>
        <w:t>„</w:t>
      </w:r>
      <w:r w:rsidR="00E67FA1" w:rsidRPr="009D2359">
        <w:rPr>
          <w:rFonts w:eastAsia="Trebuchet MS" w:cstheme="minorHAnsi"/>
          <w:color w:val="000000"/>
          <w:vertAlign w:val="superscript"/>
        </w:rPr>
        <w:t>1</w:t>
      </w:r>
      <w:r w:rsidRPr="009D2359">
        <w:rPr>
          <w:rFonts w:eastAsia="Trebuchet MS" w:cstheme="minorHAnsi"/>
          <w:color w:val="000000"/>
        </w:rPr>
        <w:t>ten sam budynek występuje dwukrotnie na liście punktów adresowych dla danego obszaru (nieznacznie różnią się współrzędne lub dane adresowe</w:t>
      </w:r>
      <w:r w:rsidR="00E67FA1" w:rsidRPr="009D2359">
        <w:rPr>
          <w:rFonts w:eastAsia="Trebuchet MS" w:cstheme="minorHAnsi"/>
          <w:color w:val="000000"/>
        </w:rPr>
        <w:t>,</w:t>
      </w:r>
      <w:r w:rsidRPr="009D2359">
        <w:rPr>
          <w:rFonts w:eastAsia="Trebuchet MS" w:cstheme="minorHAnsi"/>
          <w:color w:val="000000"/>
        </w:rPr>
        <w:t xml:space="preserve"> np. w przypadku zmiany nazwy ulicy). W przypadku zidentyfikowania zdublowanych adresów Beneficjent ma obowiązek niezwłocznego poinformowania Instytucji Pośredniczącej o zaistniałej sytuacji.</w:t>
      </w:r>
      <w:r w:rsidR="002D6AAE" w:rsidRPr="009D2359">
        <w:rPr>
          <w:rFonts w:eastAsia="Trebuchet MS" w:cstheme="minorHAnsi"/>
          <w:color w:val="000000"/>
        </w:rPr>
        <w:t>”</w:t>
      </w:r>
      <w:r w:rsidR="002C6242" w:rsidRPr="009D2359">
        <w:rPr>
          <w:rFonts w:eastAsia="Trebuchet MS" w:cstheme="minorHAnsi"/>
          <w:color w:val="000000"/>
        </w:rPr>
        <w:t>,</w:t>
      </w:r>
      <w:r w:rsidRPr="009D2359">
        <w:rPr>
          <w:rFonts w:eastAsia="Trebuchet MS" w:cstheme="minorHAnsi"/>
          <w:color w:val="000000"/>
        </w:rPr>
        <w:t xml:space="preserve"> </w:t>
      </w:r>
    </w:p>
    <w:p w14:paraId="51A339CA" w14:textId="6E66BB3D" w:rsidR="004E0A74" w:rsidRPr="009D2359" w:rsidRDefault="004E0A74" w:rsidP="00DC5D0E">
      <w:pPr>
        <w:pStyle w:val="Tekstpodstawowy"/>
        <w:numPr>
          <w:ilvl w:val="0"/>
          <w:numId w:val="13"/>
        </w:numPr>
        <w:spacing w:after="360"/>
        <w:ind w:left="1145" w:hanging="357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8 </w:t>
      </w:r>
      <w:r w:rsidR="00513751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Wzór obowiązku informacyjnego</w:t>
      </w:r>
      <w:r w:rsidR="00513751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2C6242"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z</w:t>
      </w:r>
      <w:r w:rsidRPr="009D2359">
        <w:rPr>
          <w:rFonts w:asciiTheme="minorHAnsi" w:hAnsiTheme="minorHAnsi" w:cstheme="minorHAnsi"/>
          <w:color w:val="000000" w:themeColor="text1"/>
          <w:sz w:val="22"/>
          <w:szCs w:val="22"/>
        </w:rPr>
        <w:t>aktualizowano dokument z wersji opublikowanej jako „projekt dokumentu” do wersji obowiązującej, uzupełniono niezbędne informacje dotyczące celu przetwarzania informacji oraz adres e-mail podany do kontaktu z administratorem danych i Inspektorem Ochrony Danych</w:t>
      </w:r>
      <w:r w:rsidR="00190C43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1ABA3B48" w14:textId="1C843216" w:rsidR="00924755" w:rsidRPr="009D2359" w:rsidRDefault="00924755" w:rsidP="00DC5D0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360" w:line="276" w:lineRule="auto"/>
        <w:ind w:left="714" w:hanging="357"/>
        <w:contextualSpacing w:val="0"/>
        <w:rPr>
          <w:rFonts w:cstheme="minorHAnsi"/>
        </w:rPr>
      </w:pPr>
      <w:r w:rsidRPr="009D2359">
        <w:rPr>
          <w:rFonts w:cstheme="minorHAnsi"/>
        </w:rPr>
        <w:t>„Lista dokumentów niezbędnych do podpisania umowy o dofinansowanie” – zaktualizowano dokument dodając informację w ostatnim wierszu tabeli o</w:t>
      </w:r>
      <w:r w:rsidR="00BE4433" w:rsidRPr="009D2359">
        <w:rPr>
          <w:rFonts w:cstheme="minorHAnsi"/>
        </w:rPr>
        <w:t xml:space="preserve"> obowiązku przedłożenia wypełnionego</w:t>
      </w:r>
      <w:r w:rsidRPr="009D2359">
        <w:rPr>
          <w:rFonts w:cstheme="minorHAnsi"/>
        </w:rPr>
        <w:t xml:space="preserve"> </w:t>
      </w:r>
      <w:r w:rsidR="00BE4433" w:rsidRPr="009D2359">
        <w:rPr>
          <w:rFonts w:cstheme="minorHAnsi"/>
        </w:rPr>
        <w:t>„F</w:t>
      </w:r>
      <w:r w:rsidRPr="009D2359">
        <w:rPr>
          <w:rFonts w:cstheme="minorHAnsi"/>
        </w:rPr>
        <w:t>ormularz</w:t>
      </w:r>
      <w:r w:rsidR="00BE4433" w:rsidRPr="009D2359">
        <w:rPr>
          <w:rFonts w:cstheme="minorHAnsi"/>
        </w:rPr>
        <w:t>a</w:t>
      </w:r>
      <w:r w:rsidRPr="009D2359">
        <w:rPr>
          <w:rFonts w:cstheme="minorHAnsi"/>
        </w:rPr>
        <w:t xml:space="preserve"> informacji przedstawianych przy ubieganiu się o pomoc inną niż pomoc w rolnictwie lub rybołówstwie, pomoc de minimis lub pomoc de minimis w rolnictwie lub rybołówstwie oraz sprawozdaniach finansowych z ostatnich 3 lat.</w:t>
      </w:r>
      <w:r w:rsidR="00BE4433" w:rsidRPr="009D2359">
        <w:rPr>
          <w:rFonts w:cstheme="minorHAnsi"/>
        </w:rPr>
        <w:t>”;</w:t>
      </w:r>
    </w:p>
    <w:p w14:paraId="75810009" w14:textId="445E6954" w:rsidR="00924755" w:rsidRPr="009D2359" w:rsidRDefault="00924755" w:rsidP="009D23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9D2359">
        <w:rPr>
          <w:rFonts w:cstheme="minorHAnsi"/>
        </w:rPr>
        <w:t xml:space="preserve"> „Oświadczenie o aktualności informacji przedstawionych we wniosku o dofinansowanie oraz w załącznikach” </w:t>
      </w:r>
      <w:r w:rsidR="002D6AAE" w:rsidRPr="009D2359">
        <w:rPr>
          <w:rFonts w:cstheme="minorHAnsi"/>
        </w:rPr>
        <w:t>–</w:t>
      </w:r>
      <w:r w:rsidRPr="009D2359">
        <w:rPr>
          <w:rFonts w:cstheme="minorHAnsi"/>
        </w:rPr>
        <w:t xml:space="preserve"> </w:t>
      </w:r>
      <w:r w:rsidR="002D6AAE" w:rsidRPr="009D2359">
        <w:rPr>
          <w:rFonts w:cstheme="minorHAnsi"/>
        </w:rPr>
        <w:t>zaktualizowano treść oświadczenia w zakresie odwołania się do analizy sytuacji ekonomicznej przedsiębiorcy, która jest załącznikiem do wniosku o dofinansowanie</w:t>
      </w:r>
      <w:r w:rsidR="00190C43">
        <w:rPr>
          <w:rFonts w:cstheme="minorHAnsi"/>
        </w:rPr>
        <w:t>.</w:t>
      </w:r>
    </w:p>
    <w:p w14:paraId="70EB5306" w14:textId="1C1FA19C" w:rsidR="00924755" w:rsidRPr="009D2359" w:rsidRDefault="00924755" w:rsidP="00924755">
      <w:pPr>
        <w:rPr>
          <w:rFonts w:asciiTheme="minorHAnsi" w:hAnsiTheme="minorHAnsi"/>
          <w:sz w:val="22"/>
        </w:rPr>
      </w:pPr>
    </w:p>
    <w:p w14:paraId="0131FFB8" w14:textId="5F7789C1" w:rsidR="000E40F9" w:rsidRPr="009D2359" w:rsidRDefault="000E40F9">
      <w:pPr>
        <w:rPr>
          <w:rFonts w:asciiTheme="minorHAnsi" w:hAnsiTheme="minorHAnsi"/>
          <w:sz w:val="22"/>
        </w:rPr>
      </w:pPr>
    </w:p>
    <w:sectPr w:rsidR="000E40F9" w:rsidRPr="009D2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8E2F" w14:textId="77777777" w:rsidR="000E7131" w:rsidRPr="00C93815" w:rsidRDefault="000E7131" w:rsidP="002F4963">
      <w:pPr>
        <w:spacing w:before="0" w:after="0" w:line="240" w:lineRule="auto"/>
      </w:pPr>
      <w:r w:rsidRPr="00C93815">
        <w:separator/>
      </w:r>
    </w:p>
  </w:endnote>
  <w:endnote w:type="continuationSeparator" w:id="0">
    <w:p w14:paraId="2A5E8BE4" w14:textId="77777777" w:rsidR="000E7131" w:rsidRPr="00C93815" w:rsidRDefault="000E7131" w:rsidP="002F4963">
      <w:pPr>
        <w:spacing w:before="0" w:after="0" w:line="240" w:lineRule="auto"/>
      </w:pPr>
      <w:r w:rsidRPr="00C9381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21AE" w14:textId="77777777" w:rsidR="000E7131" w:rsidRPr="00C93815" w:rsidRDefault="000E7131" w:rsidP="002F4963">
      <w:pPr>
        <w:spacing w:before="0" w:after="0" w:line="240" w:lineRule="auto"/>
      </w:pPr>
      <w:r w:rsidRPr="00C93815">
        <w:separator/>
      </w:r>
    </w:p>
  </w:footnote>
  <w:footnote w:type="continuationSeparator" w:id="0">
    <w:p w14:paraId="398BB6E0" w14:textId="77777777" w:rsidR="000E7131" w:rsidRPr="00C93815" w:rsidRDefault="000E7131" w:rsidP="002F4963">
      <w:pPr>
        <w:spacing w:before="0" w:after="0" w:line="240" w:lineRule="auto"/>
      </w:pPr>
      <w:r w:rsidRPr="00C93815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2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F"/>
    <w:multiLevelType w:val="multilevel"/>
    <w:tmpl w:val="BE4E5590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  <w:iCs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4" w15:restartNumberingAfterBreak="0">
    <w:nsid w:val="00000048"/>
    <w:multiLevelType w:val="hybridMultilevel"/>
    <w:tmpl w:val="9DAC63DC"/>
    <w:name w:val="WW8Num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B952EC9E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/>
      </w:rPr>
    </w:lvl>
    <w:lvl w:ilvl="2" w:tplc="236A126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i/>
      </w:rPr>
    </w:lvl>
    <w:lvl w:ilvl="3" w:tplc="A6C2E5DC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i/>
      </w:rPr>
    </w:lvl>
    <w:lvl w:ilvl="4" w:tplc="CE529F6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/>
      </w:rPr>
    </w:lvl>
    <w:lvl w:ilvl="5" w:tplc="D91CB59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i/>
      </w:rPr>
    </w:lvl>
    <w:lvl w:ilvl="6" w:tplc="92FC662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/>
      </w:rPr>
    </w:lvl>
    <w:lvl w:ilvl="7" w:tplc="7B9EE94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/>
      </w:rPr>
    </w:lvl>
    <w:lvl w:ilvl="8" w:tplc="1F1270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i/>
      </w:rPr>
    </w:lvl>
  </w:abstractNum>
  <w:abstractNum w:abstractNumId="5" w15:restartNumberingAfterBreak="0">
    <w:nsid w:val="015C673B"/>
    <w:multiLevelType w:val="hybridMultilevel"/>
    <w:tmpl w:val="752A4524"/>
    <w:lvl w:ilvl="0" w:tplc="5692AEEE">
      <w:start w:val="1"/>
      <w:numFmt w:val="decimal"/>
      <w:lvlText w:val="%1)"/>
      <w:lvlJc w:val="left"/>
      <w:pPr>
        <w:ind w:left="1068" w:hanging="360"/>
      </w:pPr>
      <w:rPr>
        <w:rFonts w:eastAsia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514D4C"/>
    <w:multiLevelType w:val="hybridMultilevel"/>
    <w:tmpl w:val="2E8AF3C6"/>
    <w:lvl w:ilvl="0" w:tplc="78F0360E">
      <w:start w:val="1"/>
      <w:numFmt w:val="bullet"/>
      <w:lvlText w:val="—"/>
      <w:lvlJc w:val="left"/>
      <w:pPr>
        <w:ind w:left="108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13353C"/>
    <w:multiLevelType w:val="hybridMultilevel"/>
    <w:tmpl w:val="4B16FE2A"/>
    <w:lvl w:ilvl="0" w:tplc="FFFFFFFF">
      <w:start w:val="1"/>
      <w:numFmt w:val="decimal"/>
      <w:lvlText w:val="%1."/>
      <w:lvlJc w:val="left"/>
      <w:pPr>
        <w:ind w:left="2855" w:hanging="360"/>
      </w:pPr>
    </w:lvl>
    <w:lvl w:ilvl="1" w:tplc="8B084A0E">
      <w:start w:val="1"/>
      <w:numFmt w:val="lowerLetter"/>
      <w:lvlText w:val="%2."/>
      <w:lvlJc w:val="left"/>
      <w:pPr>
        <w:ind w:left="3652" w:hanging="360"/>
      </w:pPr>
    </w:lvl>
    <w:lvl w:ilvl="2" w:tplc="7056124E">
      <w:start w:val="1"/>
      <w:numFmt w:val="lowerRoman"/>
      <w:lvlText w:val="%3."/>
      <w:lvlJc w:val="right"/>
      <w:pPr>
        <w:ind w:left="4372" w:hanging="180"/>
      </w:pPr>
    </w:lvl>
    <w:lvl w:ilvl="3" w:tplc="8D509D7C">
      <w:start w:val="1"/>
      <w:numFmt w:val="decimal"/>
      <w:lvlText w:val="%4."/>
      <w:lvlJc w:val="left"/>
      <w:pPr>
        <w:ind w:left="5092" w:hanging="360"/>
      </w:pPr>
    </w:lvl>
    <w:lvl w:ilvl="4" w:tplc="4EDCDBC6">
      <w:start w:val="1"/>
      <w:numFmt w:val="lowerLetter"/>
      <w:lvlText w:val="%5."/>
      <w:lvlJc w:val="left"/>
      <w:pPr>
        <w:ind w:left="5812" w:hanging="360"/>
      </w:pPr>
    </w:lvl>
    <w:lvl w:ilvl="5" w:tplc="E858381C">
      <w:start w:val="1"/>
      <w:numFmt w:val="lowerRoman"/>
      <w:lvlText w:val="%6."/>
      <w:lvlJc w:val="right"/>
      <w:pPr>
        <w:ind w:left="6532" w:hanging="180"/>
      </w:pPr>
    </w:lvl>
    <w:lvl w:ilvl="6" w:tplc="0B9EFA0C">
      <w:start w:val="1"/>
      <w:numFmt w:val="decimal"/>
      <w:lvlText w:val="%7."/>
      <w:lvlJc w:val="left"/>
      <w:pPr>
        <w:ind w:left="7252" w:hanging="360"/>
      </w:pPr>
    </w:lvl>
    <w:lvl w:ilvl="7" w:tplc="27A42BAA">
      <w:start w:val="1"/>
      <w:numFmt w:val="lowerLetter"/>
      <w:lvlText w:val="%8."/>
      <w:lvlJc w:val="left"/>
      <w:pPr>
        <w:ind w:left="7972" w:hanging="360"/>
      </w:pPr>
    </w:lvl>
    <w:lvl w:ilvl="8" w:tplc="980C938E">
      <w:start w:val="1"/>
      <w:numFmt w:val="lowerRoman"/>
      <w:lvlText w:val="%9."/>
      <w:lvlJc w:val="right"/>
      <w:pPr>
        <w:ind w:left="8692" w:hanging="180"/>
      </w:pPr>
    </w:lvl>
  </w:abstractNum>
  <w:abstractNum w:abstractNumId="8" w15:restartNumberingAfterBreak="0">
    <w:nsid w:val="09DE399A"/>
    <w:multiLevelType w:val="hybridMultilevel"/>
    <w:tmpl w:val="221C08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A4D546F"/>
    <w:multiLevelType w:val="hybridMultilevel"/>
    <w:tmpl w:val="EC7CD694"/>
    <w:lvl w:ilvl="0" w:tplc="A842A050">
      <w:start w:val="1"/>
      <w:numFmt w:val="lowerLetter"/>
      <w:lvlText w:val="%1)"/>
      <w:lvlJc w:val="left"/>
      <w:pPr>
        <w:ind w:left="1080" w:hanging="360"/>
      </w:pPr>
      <w:rPr>
        <w:rFonts w:ascii="Calibri" w:eastAsiaTheme="minorHAnsi" w:hAnsi="Calibri" w:cs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AF63D00"/>
    <w:multiLevelType w:val="hybridMultilevel"/>
    <w:tmpl w:val="05202072"/>
    <w:lvl w:ilvl="0" w:tplc="0CC65360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E94481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2" w15:restartNumberingAfterBreak="0">
    <w:nsid w:val="18AA6B3B"/>
    <w:multiLevelType w:val="hybridMultilevel"/>
    <w:tmpl w:val="76D42D46"/>
    <w:lvl w:ilvl="0" w:tplc="86087AEE">
      <w:start w:val="1"/>
      <w:numFmt w:val="decimal"/>
      <w:lvlText w:val="%1)"/>
      <w:lvlJc w:val="left"/>
      <w:pPr>
        <w:ind w:left="1506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19B72DF9"/>
    <w:multiLevelType w:val="hybridMultilevel"/>
    <w:tmpl w:val="1A94F91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502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F00DC"/>
    <w:multiLevelType w:val="hybridMultilevel"/>
    <w:tmpl w:val="4EE4F9A2"/>
    <w:lvl w:ilvl="0" w:tplc="9B6C1900">
      <w:start w:val="1"/>
      <w:numFmt w:val="decimal"/>
      <w:lvlText w:val="%1."/>
      <w:lvlJc w:val="left"/>
      <w:pPr>
        <w:ind w:left="429" w:hanging="428"/>
      </w:pPr>
      <w:rPr>
        <w:rFonts w:asciiTheme="minorHAnsi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1" w:tplc="3EBAF136">
      <w:start w:val="1"/>
      <w:numFmt w:val="decimal"/>
      <w:lvlText w:val="%2)"/>
      <w:lvlJc w:val="left"/>
      <w:pPr>
        <w:ind w:left="707" w:hanging="281"/>
      </w:pPr>
      <w:rPr>
        <w:rFonts w:asciiTheme="minorHAnsi" w:eastAsia="Trebuchet MS" w:hAnsiTheme="minorHAnsi" w:cstheme="minorHAnsi" w:hint="default"/>
        <w:spacing w:val="-1"/>
        <w:w w:val="100"/>
        <w:sz w:val="22"/>
        <w:szCs w:val="22"/>
        <w:lang w:val="pl-PL" w:eastAsia="en-US" w:bidi="ar-SA"/>
      </w:rPr>
    </w:lvl>
    <w:lvl w:ilvl="2" w:tplc="257A2B28">
      <w:numFmt w:val="bullet"/>
      <w:lvlText w:val="•"/>
      <w:lvlJc w:val="left"/>
      <w:pPr>
        <w:ind w:left="722" w:hanging="281"/>
      </w:pPr>
      <w:rPr>
        <w:rFonts w:hint="default"/>
        <w:lang w:val="pl-PL" w:eastAsia="en-US" w:bidi="ar-SA"/>
      </w:rPr>
    </w:lvl>
    <w:lvl w:ilvl="3" w:tplc="EDDCBEE6">
      <w:numFmt w:val="bullet"/>
      <w:lvlText w:val="•"/>
      <w:lvlJc w:val="left"/>
      <w:pPr>
        <w:ind w:left="862" w:hanging="281"/>
      </w:pPr>
      <w:rPr>
        <w:rFonts w:hint="default"/>
        <w:lang w:val="pl-PL" w:eastAsia="en-US" w:bidi="ar-SA"/>
      </w:rPr>
    </w:lvl>
    <w:lvl w:ilvl="4" w:tplc="F6C47448">
      <w:numFmt w:val="bullet"/>
      <w:lvlText w:val="•"/>
      <w:lvlJc w:val="left"/>
      <w:pPr>
        <w:ind w:left="2182" w:hanging="281"/>
      </w:pPr>
      <w:rPr>
        <w:rFonts w:hint="default"/>
        <w:lang w:val="pl-PL" w:eastAsia="en-US" w:bidi="ar-SA"/>
      </w:rPr>
    </w:lvl>
    <w:lvl w:ilvl="5" w:tplc="7D602A5C">
      <w:numFmt w:val="bullet"/>
      <w:lvlText w:val="•"/>
      <w:lvlJc w:val="left"/>
      <w:pPr>
        <w:ind w:left="3502" w:hanging="281"/>
      </w:pPr>
      <w:rPr>
        <w:rFonts w:hint="default"/>
        <w:lang w:val="pl-PL" w:eastAsia="en-US" w:bidi="ar-SA"/>
      </w:rPr>
    </w:lvl>
    <w:lvl w:ilvl="6" w:tplc="7D0A56AC">
      <w:numFmt w:val="bullet"/>
      <w:lvlText w:val="•"/>
      <w:lvlJc w:val="left"/>
      <w:pPr>
        <w:ind w:left="4822" w:hanging="281"/>
      </w:pPr>
      <w:rPr>
        <w:rFonts w:hint="default"/>
        <w:lang w:val="pl-PL" w:eastAsia="en-US" w:bidi="ar-SA"/>
      </w:rPr>
    </w:lvl>
    <w:lvl w:ilvl="7" w:tplc="852A06D0">
      <w:numFmt w:val="bullet"/>
      <w:lvlText w:val="•"/>
      <w:lvlJc w:val="left"/>
      <w:pPr>
        <w:ind w:left="6142" w:hanging="281"/>
      </w:pPr>
      <w:rPr>
        <w:rFonts w:hint="default"/>
        <w:lang w:val="pl-PL" w:eastAsia="en-US" w:bidi="ar-SA"/>
      </w:rPr>
    </w:lvl>
    <w:lvl w:ilvl="8" w:tplc="95ECEF7A">
      <w:numFmt w:val="bullet"/>
      <w:lvlText w:val="•"/>
      <w:lvlJc w:val="left"/>
      <w:pPr>
        <w:ind w:left="7462" w:hanging="281"/>
      </w:pPr>
      <w:rPr>
        <w:rFonts w:hint="default"/>
        <w:lang w:val="pl-PL" w:eastAsia="en-US" w:bidi="ar-SA"/>
      </w:rPr>
    </w:lvl>
  </w:abstractNum>
  <w:abstractNum w:abstractNumId="15" w15:restartNumberingAfterBreak="0">
    <w:nsid w:val="29497FBA"/>
    <w:multiLevelType w:val="hybridMultilevel"/>
    <w:tmpl w:val="FC24BE68"/>
    <w:lvl w:ilvl="0" w:tplc="9A38D5E2">
      <w:start w:val="1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 w15:restartNumberingAfterBreak="0">
    <w:nsid w:val="2AAF39A4"/>
    <w:multiLevelType w:val="hybridMultilevel"/>
    <w:tmpl w:val="21B6BCCE"/>
    <w:lvl w:ilvl="0" w:tplc="78F0360E">
      <w:start w:val="1"/>
      <w:numFmt w:val="bullet"/>
      <w:lvlText w:val="—"/>
      <w:lvlJc w:val="left"/>
      <w:pPr>
        <w:ind w:left="1845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 w15:restartNumberingAfterBreak="0">
    <w:nsid w:val="2BF57EE2"/>
    <w:multiLevelType w:val="multilevel"/>
    <w:tmpl w:val="106A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2C5E442F"/>
    <w:multiLevelType w:val="hybridMultilevel"/>
    <w:tmpl w:val="EEE0D0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8631D3"/>
    <w:multiLevelType w:val="hybridMultilevel"/>
    <w:tmpl w:val="6ADE5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9478E"/>
    <w:multiLevelType w:val="hybridMultilevel"/>
    <w:tmpl w:val="88FE087A"/>
    <w:lvl w:ilvl="0" w:tplc="9B129968">
      <w:start w:val="1"/>
      <w:numFmt w:val="decimal"/>
      <w:lvlText w:val="%1."/>
      <w:lvlJc w:val="left"/>
      <w:pPr>
        <w:ind w:left="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2002C">
      <w:start w:val="1"/>
      <w:numFmt w:val="decimal"/>
      <w:lvlText w:val="%2)"/>
      <w:lvlJc w:val="left"/>
      <w:pPr>
        <w:ind w:left="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16FC2E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E2967C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CCAC6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299B8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EA667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4D82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64E016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9D5362"/>
    <w:multiLevelType w:val="hybridMultilevel"/>
    <w:tmpl w:val="14EE7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725C16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953A4"/>
    <w:multiLevelType w:val="hybridMultilevel"/>
    <w:tmpl w:val="4CA4AF04"/>
    <w:lvl w:ilvl="0" w:tplc="93CA23B6">
      <w:start w:val="5"/>
      <w:numFmt w:val="decimal"/>
      <w:lvlText w:val="%1)"/>
      <w:lvlJc w:val="left"/>
      <w:pPr>
        <w:ind w:left="720" w:hanging="360"/>
      </w:pPr>
      <w:rPr>
        <w:rFonts w:eastAsia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2614F"/>
    <w:multiLevelType w:val="hybridMultilevel"/>
    <w:tmpl w:val="C50869BE"/>
    <w:lvl w:ilvl="0" w:tplc="78F0360E">
      <w:start w:val="1"/>
      <w:numFmt w:val="bullet"/>
      <w:lvlText w:val="—"/>
      <w:lvlJc w:val="left"/>
      <w:pPr>
        <w:ind w:left="1068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076736B"/>
    <w:multiLevelType w:val="hybridMultilevel"/>
    <w:tmpl w:val="3BEE93EE"/>
    <w:lvl w:ilvl="0" w:tplc="2A6609DE">
      <w:start w:val="1"/>
      <w:numFmt w:val="decimal"/>
      <w:lvlText w:val="%1)"/>
      <w:lvlJc w:val="left"/>
      <w:pPr>
        <w:ind w:left="3905" w:hanging="360"/>
      </w:pPr>
      <w:rPr>
        <w:b w:val="0"/>
        <w:bCs/>
        <w:i w:val="0"/>
        <w:iCs w:val="0"/>
      </w:rPr>
    </w:lvl>
    <w:lvl w:ilvl="1" w:tplc="E60E5326">
      <w:start w:val="1"/>
      <w:numFmt w:val="lowerLetter"/>
      <w:lvlText w:val="%2)"/>
      <w:lvlJc w:val="left"/>
      <w:pPr>
        <w:ind w:left="1506" w:hanging="360"/>
      </w:pPr>
    </w:lvl>
    <w:lvl w:ilvl="2" w:tplc="67721206">
      <w:start w:val="1"/>
      <w:numFmt w:val="lowerRoman"/>
      <w:lvlText w:val="%3)"/>
      <w:lvlJc w:val="right"/>
      <w:pPr>
        <w:ind w:left="2226" w:hanging="180"/>
      </w:pPr>
    </w:lvl>
    <w:lvl w:ilvl="3" w:tplc="C114C96A">
      <w:start w:val="1"/>
      <w:numFmt w:val="decimal"/>
      <w:lvlText w:val="(%4)"/>
      <w:lvlJc w:val="left"/>
      <w:pPr>
        <w:ind w:left="2946" w:hanging="360"/>
      </w:pPr>
    </w:lvl>
    <w:lvl w:ilvl="4" w:tplc="6BECC046">
      <w:start w:val="1"/>
      <w:numFmt w:val="lowerLetter"/>
      <w:lvlText w:val="(%5)"/>
      <w:lvlJc w:val="left"/>
      <w:pPr>
        <w:ind w:left="3666" w:hanging="360"/>
      </w:pPr>
    </w:lvl>
    <w:lvl w:ilvl="5" w:tplc="E61EBD52">
      <w:start w:val="1"/>
      <w:numFmt w:val="lowerRoman"/>
      <w:lvlText w:val="(%6)"/>
      <w:lvlJc w:val="right"/>
      <w:pPr>
        <w:ind w:left="4386" w:hanging="180"/>
      </w:pPr>
    </w:lvl>
    <w:lvl w:ilvl="6" w:tplc="9732BD20">
      <w:start w:val="1"/>
      <w:numFmt w:val="decimal"/>
      <w:lvlText w:val="%7."/>
      <w:lvlJc w:val="left"/>
      <w:pPr>
        <w:ind w:left="5106" w:hanging="360"/>
      </w:pPr>
    </w:lvl>
    <w:lvl w:ilvl="7" w:tplc="E48212E8">
      <w:start w:val="1"/>
      <w:numFmt w:val="lowerLetter"/>
      <w:lvlText w:val="%8."/>
      <w:lvlJc w:val="left"/>
      <w:pPr>
        <w:ind w:left="5826" w:hanging="360"/>
      </w:pPr>
    </w:lvl>
    <w:lvl w:ilvl="8" w:tplc="95008730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A8276C7"/>
    <w:multiLevelType w:val="hybridMultilevel"/>
    <w:tmpl w:val="EF567B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DDB70F"/>
    <w:multiLevelType w:val="hybridMultilevel"/>
    <w:tmpl w:val="F6E423A0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E7067528">
      <w:start w:val="1"/>
      <w:numFmt w:val="lowerLetter"/>
      <w:lvlText w:val="%2."/>
      <w:lvlJc w:val="left"/>
      <w:pPr>
        <w:ind w:left="1440" w:hanging="360"/>
      </w:pPr>
    </w:lvl>
    <w:lvl w:ilvl="2" w:tplc="F1F49F2C">
      <w:start w:val="1"/>
      <w:numFmt w:val="lowerRoman"/>
      <w:lvlText w:val="%3."/>
      <w:lvlJc w:val="right"/>
      <w:pPr>
        <w:ind w:left="2160" w:hanging="180"/>
      </w:pPr>
    </w:lvl>
    <w:lvl w:ilvl="3" w:tplc="04A2FCCA">
      <w:start w:val="1"/>
      <w:numFmt w:val="decimal"/>
      <w:lvlText w:val="%4."/>
      <w:lvlJc w:val="left"/>
      <w:pPr>
        <w:ind w:left="2880" w:hanging="360"/>
      </w:pPr>
    </w:lvl>
    <w:lvl w:ilvl="4" w:tplc="71089AE0">
      <w:start w:val="1"/>
      <w:numFmt w:val="lowerLetter"/>
      <w:lvlText w:val="%5."/>
      <w:lvlJc w:val="left"/>
      <w:pPr>
        <w:ind w:left="3600" w:hanging="360"/>
      </w:pPr>
    </w:lvl>
    <w:lvl w:ilvl="5" w:tplc="0090F3FA">
      <w:start w:val="1"/>
      <w:numFmt w:val="lowerRoman"/>
      <w:lvlText w:val="%6."/>
      <w:lvlJc w:val="right"/>
      <w:pPr>
        <w:ind w:left="4320" w:hanging="180"/>
      </w:pPr>
    </w:lvl>
    <w:lvl w:ilvl="6" w:tplc="3E7215E4">
      <w:start w:val="1"/>
      <w:numFmt w:val="decimal"/>
      <w:lvlText w:val="%7."/>
      <w:lvlJc w:val="left"/>
      <w:pPr>
        <w:ind w:left="5040" w:hanging="360"/>
      </w:pPr>
    </w:lvl>
    <w:lvl w:ilvl="7" w:tplc="3A7031D4">
      <w:start w:val="1"/>
      <w:numFmt w:val="lowerLetter"/>
      <w:lvlText w:val="%8."/>
      <w:lvlJc w:val="left"/>
      <w:pPr>
        <w:ind w:left="5760" w:hanging="360"/>
      </w:pPr>
    </w:lvl>
    <w:lvl w:ilvl="8" w:tplc="E488DDC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17A89"/>
    <w:multiLevelType w:val="hybridMultilevel"/>
    <w:tmpl w:val="82F0D050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FFFFFFFF">
      <w:start w:val="1"/>
      <w:numFmt w:val="lowerLetter"/>
      <w:lvlText w:val="%2."/>
      <w:lvlJc w:val="left"/>
      <w:pPr>
        <w:ind w:left="1223" w:hanging="360"/>
      </w:pPr>
    </w:lvl>
    <w:lvl w:ilvl="2" w:tplc="FFFFFFFF">
      <w:start w:val="1"/>
      <w:numFmt w:val="lowerRoman"/>
      <w:lvlText w:val="%3."/>
      <w:lvlJc w:val="right"/>
      <w:pPr>
        <w:ind w:left="1943" w:hanging="180"/>
      </w:pPr>
    </w:lvl>
    <w:lvl w:ilvl="3" w:tplc="FFFFFFFF">
      <w:start w:val="1"/>
      <w:numFmt w:val="decimal"/>
      <w:lvlText w:val="%4."/>
      <w:lvlJc w:val="left"/>
      <w:pPr>
        <w:ind w:left="2663" w:hanging="360"/>
      </w:pPr>
    </w:lvl>
    <w:lvl w:ilvl="4" w:tplc="FFFFFFFF">
      <w:start w:val="1"/>
      <w:numFmt w:val="lowerLetter"/>
      <w:lvlText w:val="%5."/>
      <w:lvlJc w:val="left"/>
      <w:pPr>
        <w:ind w:left="3383" w:hanging="360"/>
      </w:pPr>
    </w:lvl>
    <w:lvl w:ilvl="5" w:tplc="FFFFFFFF">
      <w:start w:val="1"/>
      <w:numFmt w:val="lowerRoman"/>
      <w:lvlText w:val="%6."/>
      <w:lvlJc w:val="right"/>
      <w:pPr>
        <w:ind w:left="4103" w:hanging="180"/>
      </w:pPr>
    </w:lvl>
    <w:lvl w:ilvl="6" w:tplc="FFFFFFFF">
      <w:start w:val="1"/>
      <w:numFmt w:val="decimal"/>
      <w:lvlText w:val="%7."/>
      <w:lvlJc w:val="left"/>
      <w:pPr>
        <w:ind w:left="4823" w:hanging="360"/>
      </w:pPr>
    </w:lvl>
    <w:lvl w:ilvl="7" w:tplc="FFFFFFFF">
      <w:start w:val="1"/>
      <w:numFmt w:val="lowerLetter"/>
      <w:lvlText w:val="%8."/>
      <w:lvlJc w:val="left"/>
      <w:pPr>
        <w:ind w:left="5543" w:hanging="360"/>
      </w:pPr>
    </w:lvl>
    <w:lvl w:ilvl="8" w:tplc="FFFFFFFF">
      <w:start w:val="1"/>
      <w:numFmt w:val="lowerRoman"/>
      <w:lvlText w:val="%9."/>
      <w:lvlJc w:val="right"/>
      <w:pPr>
        <w:ind w:left="6263" w:hanging="180"/>
      </w:pPr>
    </w:lvl>
  </w:abstractNum>
  <w:abstractNum w:abstractNumId="28" w15:restartNumberingAfterBreak="0">
    <w:nsid w:val="5F3F43D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F451E59"/>
    <w:multiLevelType w:val="hybridMultilevel"/>
    <w:tmpl w:val="982653D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679048E"/>
    <w:multiLevelType w:val="hybridMultilevel"/>
    <w:tmpl w:val="45CAE09C"/>
    <w:lvl w:ilvl="0" w:tplc="04150011">
      <w:start w:val="1"/>
      <w:numFmt w:val="decimal"/>
      <w:lvlText w:val="%1)"/>
      <w:lvlJc w:val="left"/>
      <w:pPr>
        <w:ind w:left="1352" w:hanging="360"/>
      </w:pPr>
    </w:lvl>
    <w:lvl w:ilvl="1" w:tplc="04150011">
      <w:start w:val="1"/>
      <w:numFmt w:val="decimal"/>
      <w:lvlText w:val="%2)"/>
      <w:lvlJc w:val="left"/>
      <w:pPr>
        <w:ind w:left="926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67974A53"/>
    <w:multiLevelType w:val="hybridMultilevel"/>
    <w:tmpl w:val="38C2E27C"/>
    <w:lvl w:ilvl="0" w:tplc="8C26F05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9FA6652"/>
    <w:multiLevelType w:val="hybridMultilevel"/>
    <w:tmpl w:val="B68A62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AD5C69"/>
    <w:multiLevelType w:val="hybridMultilevel"/>
    <w:tmpl w:val="E4B6994C"/>
    <w:lvl w:ilvl="0" w:tplc="A3F2E672">
      <w:start w:val="1"/>
      <w:numFmt w:val="decimal"/>
      <w:lvlText w:val="%1)"/>
      <w:lvlJc w:val="left"/>
      <w:pPr>
        <w:ind w:left="211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832" w:hanging="360"/>
      </w:pPr>
    </w:lvl>
    <w:lvl w:ilvl="2" w:tplc="0415001B" w:tentative="1">
      <w:start w:val="1"/>
      <w:numFmt w:val="lowerRoman"/>
      <w:lvlText w:val="%3."/>
      <w:lvlJc w:val="right"/>
      <w:pPr>
        <w:ind w:left="3552" w:hanging="180"/>
      </w:pPr>
    </w:lvl>
    <w:lvl w:ilvl="3" w:tplc="0415000F" w:tentative="1">
      <w:start w:val="1"/>
      <w:numFmt w:val="decimal"/>
      <w:lvlText w:val="%4."/>
      <w:lvlJc w:val="left"/>
      <w:pPr>
        <w:ind w:left="4272" w:hanging="360"/>
      </w:pPr>
    </w:lvl>
    <w:lvl w:ilvl="4" w:tplc="04150019" w:tentative="1">
      <w:start w:val="1"/>
      <w:numFmt w:val="lowerLetter"/>
      <w:lvlText w:val="%5."/>
      <w:lvlJc w:val="left"/>
      <w:pPr>
        <w:ind w:left="4992" w:hanging="360"/>
      </w:pPr>
    </w:lvl>
    <w:lvl w:ilvl="5" w:tplc="0415001B" w:tentative="1">
      <w:start w:val="1"/>
      <w:numFmt w:val="lowerRoman"/>
      <w:lvlText w:val="%6."/>
      <w:lvlJc w:val="right"/>
      <w:pPr>
        <w:ind w:left="5712" w:hanging="180"/>
      </w:pPr>
    </w:lvl>
    <w:lvl w:ilvl="6" w:tplc="0415000F" w:tentative="1">
      <w:start w:val="1"/>
      <w:numFmt w:val="decimal"/>
      <w:lvlText w:val="%7."/>
      <w:lvlJc w:val="left"/>
      <w:pPr>
        <w:ind w:left="6432" w:hanging="360"/>
      </w:pPr>
    </w:lvl>
    <w:lvl w:ilvl="7" w:tplc="04150019" w:tentative="1">
      <w:start w:val="1"/>
      <w:numFmt w:val="lowerLetter"/>
      <w:lvlText w:val="%8."/>
      <w:lvlJc w:val="left"/>
      <w:pPr>
        <w:ind w:left="7152" w:hanging="360"/>
      </w:pPr>
    </w:lvl>
    <w:lvl w:ilvl="8" w:tplc="0415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34" w15:restartNumberingAfterBreak="0">
    <w:nsid w:val="6E4A4BF7"/>
    <w:multiLevelType w:val="multilevel"/>
    <w:tmpl w:val="5602E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35" w15:restartNumberingAfterBreak="0">
    <w:nsid w:val="74ABFC79"/>
    <w:multiLevelType w:val="hybridMultilevel"/>
    <w:tmpl w:val="14149A92"/>
    <w:lvl w:ilvl="0" w:tplc="4E14E7F4">
      <w:start w:val="1"/>
      <w:numFmt w:val="decimal"/>
      <w:lvlText w:val="%1."/>
      <w:lvlJc w:val="left"/>
      <w:pPr>
        <w:ind w:left="927" w:hanging="360"/>
      </w:pPr>
    </w:lvl>
    <w:lvl w:ilvl="1" w:tplc="05EECA60">
      <w:start w:val="1"/>
      <w:numFmt w:val="lowerLetter"/>
      <w:lvlText w:val="%2."/>
      <w:lvlJc w:val="left"/>
      <w:pPr>
        <w:ind w:left="1440" w:hanging="360"/>
      </w:pPr>
    </w:lvl>
    <w:lvl w:ilvl="2" w:tplc="594AD9FE">
      <w:start w:val="1"/>
      <w:numFmt w:val="lowerRoman"/>
      <w:lvlText w:val="%3."/>
      <w:lvlJc w:val="right"/>
      <w:pPr>
        <w:ind w:left="2160" w:hanging="180"/>
      </w:pPr>
    </w:lvl>
    <w:lvl w:ilvl="3" w:tplc="5CC2F648">
      <w:start w:val="1"/>
      <w:numFmt w:val="decimal"/>
      <w:lvlText w:val="%4."/>
      <w:lvlJc w:val="left"/>
      <w:pPr>
        <w:ind w:left="2880" w:hanging="360"/>
      </w:pPr>
    </w:lvl>
    <w:lvl w:ilvl="4" w:tplc="E6D4CFB0">
      <w:start w:val="1"/>
      <w:numFmt w:val="lowerLetter"/>
      <w:lvlText w:val="%5."/>
      <w:lvlJc w:val="left"/>
      <w:pPr>
        <w:ind w:left="3600" w:hanging="360"/>
      </w:pPr>
    </w:lvl>
    <w:lvl w:ilvl="5" w:tplc="3E2A3286">
      <w:start w:val="1"/>
      <w:numFmt w:val="lowerRoman"/>
      <w:lvlText w:val="%6."/>
      <w:lvlJc w:val="right"/>
      <w:pPr>
        <w:ind w:left="4320" w:hanging="180"/>
      </w:pPr>
    </w:lvl>
    <w:lvl w:ilvl="6" w:tplc="9CAC05E6">
      <w:start w:val="1"/>
      <w:numFmt w:val="decimal"/>
      <w:lvlText w:val="%7."/>
      <w:lvlJc w:val="left"/>
      <w:pPr>
        <w:ind w:left="5040" w:hanging="360"/>
      </w:pPr>
    </w:lvl>
    <w:lvl w:ilvl="7" w:tplc="98185D50">
      <w:start w:val="1"/>
      <w:numFmt w:val="lowerLetter"/>
      <w:lvlText w:val="%8."/>
      <w:lvlJc w:val="left"/>
      <w:pPr>
        <w:ind w:left="5760" w:hanging="360"/>
      </w:pPr>
    </w:lvl>
    <w:lvl w:ilvl="8" w:tplc="61EAD43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C0162"/>
    <w:multiLevelType w:val="hybridMultilevel"/>
    <w:tmpl w:val="65B8B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8F0360E">
      <w:start w:val="1"/>
      <w:numFmt w:val="bullet"/>
      <w:lvlText w:val="—"/>
      <w:lvlJc w:val="left"/>
      <w:pPr>
        <w:ind w:left="1440" w:hanging="360"/>
      </w:pPr>
      <w:rPr>
        <w:rFonts w:ascii="Vivaldi" w:hAnsi="Vival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949E9"/>
    <w:multiLevelType w:val="hybridMultilevel"/>
    <w:tmpl w:val="5740A59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D51035"/>
    <w:multiLevelType w:val="hybridMultilevel"/>
    <w:tmpl w:val="C6485D02"/>
    <w:lvl w:ilvl="0" w:tplc="78F0360E">
      <w:start w:val="1"/>
      <w:numFmt w:val="bullet"/>
      <w:lvlText w:val="—"/>
      <w:lvlJc w:val="left"/>
      <w:pPr>
        <w:ind w:left="108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323086">
    <w:abstractNumId w:val="36"/>
  </w:num>
  <w:num w:numId="2" w16cid:durableId="346297778">
    <w:abstractNumId w:val="23"/>
  </w:num>
  <w:num w:numId="3" w16cid:durableId="241723103">
    <w:abstractNumId w:val="23"/>
  </w:num>
  <w:num w:numId="4" w16cid:durableId="1211722644">
    <w:abstractNumId w:val="36"/>
  </w:num>
  <w:num w:numId="5" w16cid:durableId="2124154746">
    <w:abstractNumId w:val="38"/>
  </w:num>
  <w:num w:numId="6" w16cid:durableId="1608806006">
    <w:abstractNumId w:val="6"/>
  </w:num>
  <w:num w:numId="7" w16cid:durableId="20275125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86539">
    <w:abstractNumId w:val="5"/>
  </w:num>
  <w:num w:numId="9" w16cid:durableId="613440962">
    <w:abstractNumId w:val="37"/>
  </w:num>
  <w:num w:numId="10" w16cid:durableId="67120878">
    <w:abstractNumId w:val="9"/>
  </w:num>
  <w:num w:numId="11" w16cid:durableId="717895638">
    <w:abstractNumId w:val="22"/>
  </w:num>
  <w:num w:numId="12" w16cid:durableId="1404791005">
    <w:abstractNumId w:val="18"/>
  </w:num>
  <w:num w:numId="13" w16cid:durableId="2098943737">
    <w:abstractNumId w:val="29"/>
  </w:num>
  <w:num w:numId="14" w16cid:durableId="806623542">
    <w:abstractNumId w:val="23"/>
  </w:num>
  <w:num w:numId="15" w16cid:durableId="1299412781">
    <w:abstractNumId w:val="35"/>
  </w:num>
  <w:num w:numId="16" w16cid:durableId="1879321224">
    <w:abstractNumId w:val="32"/>
  </w:num>
  <w:num w:numId="17" w16cid:durableId="277032190">
    <w:abstractNumId w:val="7"/>
  </w:num>
  <w:num w:numId="18" w16cid:durableId="1450466980">
    <w:abstractNumId w:val="30"/>
  </w:num>
  <w:num w:numId="19" w16cid:durableId="1196576788">
    <w:abstractNumId w:val="26"/>
  </w:num>
  <w:num w:numId="20" w16cid:durableId="1403215637">
    <w:abstractNumId w:val="14"/>
  </w:num>
  <w:num w:numId="21" w16cid:durableId="1012294172">
    <w:abstractNumId w:val="3"/>
  </w:num>
  <w:num w:numId="22" w16cid:durableId="1898121541">
    <w:abstractNumId w:val="16"/>
  </w:num>
  <w:num w:numId="23" w16cid:durableId="1374304349">
    <w:abstractNumId w:val="33"/>
  </w:num>
  <w:num w:numId="24" w16cid:durableId="74788485">
    <w:abstractNumId w:val="28"/>
  </w:num>
  <w:num w:numId="25" w16cid:durableId="305865990">
    <w:abstractNumId w:val="8"/>
  </w:num>
  <w:num w:numId="26" w16cid:durableId="1426805686">
    <w:abstractNumId w:val="19"/>
  </w:num>
  <w:num w:numId="27" w16cid:durableId="1762599410">
    <w:abstractNumId w:val="4"/>
  </w:num>
  <w:num w:numId="28" w16cid:durableId="1691300709">
    <w:abstractNumId w:val="0"/>
  </w:num>
  <w:num w:numId="29" w16cid:durableId="1611934557">
    <w:abstractNumId w:val="27"/>
  </w:num>
  <w:num w:numId="30" w16cid:durableId="455955276">
    <w:abstractNumId w:val="15"/>
  </w:num>
  <w:num w:numId="31" w16cid:durableId="1658993948">
    <w:abstractNumId w:val="2"/>
  </w:num>
  <w:num w:numId="32" w16cid:durableId="173768684">
    <w:abstractNumId w:val="31"/>
  </w:num>
  <w:num w:numId="33" w16cid:durableId="944266117">
    <w:abstractNumId w:val="1"/>
  </w:num>
  <w:num w:numId="34" w16cid:durableId="1009330641">
    <w:abstractNumId w:val="13"/>
  </w:num>
  <w:num w:numId="35" w16cid:durableId="1001396598">
    <w:abstractNumId w:val="11"/>
  </w:num>
  <w:num w:numId="36" w16cid:durableId="1762989565">
    <w:abstractNumId w:val="20"/>
  </w:num>
  <w:num w:numId="37" w16cid:durableId="1296106599">
    <w:abstractNumId w:val="34"/>
  </w:num>
  <w:num w:numId="38" w16cid:durableId="761875861">
    <w:abstractNumId w:val="21"/>
  </w:num>
  <w:num w:numId="39" w16cid:durableId="230779156">
    <w:abstractNumId w:val="24"/>
  </w:num>
  <w:num w:numId="40" w16cid:durableId="590704838">
    <w:abstractNumId w:val="17"/>
  </w:num>
  <w:num w:numId="41" w16cid:durableId="8690309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859655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920032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396002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21639982">
    <w:abstractNumId w:val="12"/>
  </w:num>
  <w:num w:numId="46" w16cid:durableId="1158375306">
    <w:abstractNumId w:val="25"/>
  </w:num>
  <w:num w:numId="47" w16cid:durableId="14490049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0F0"/>
    <w:rsid w:val="00091D2A"/>
    <w:rsid w:val="000A2B47"/>
    <w:rsid w:val="000C7E00"/>
    <w:rsid w:val="000E40F9"/>
    <w:rsid w:val="000E7131"/>
    <w:rsid w:val="000F034A"/>
    <w:rsid w:val="000F09C8"/>
    <w:rsid w:val="00102FBE"/>
    <w:rsid w:val="00107E2D"/>
    <w:rsid w:val="00190C43"/>
    <w:rsid w:val="001E0E01"/>
    <w:rsid w:val="00243C1B"/>
    <w:rsid w:val="00285629"/>
    <w:rsid w:val="002C6242"/>
    <w:rsid w:val="002D6AAE"/>
    <w:rsid w:val="002F4963"/>
    <w:rsid w:val="00370645"/>
    <w:rsid w:val="003B61C4"/>
    <w:rsid w:val="0041221E"/>
    <w:rsid w:val="0042258C"/>
    <w:rsid w:val="004471A4"/>
    <w:rsid w:val="004930F0"/>
    <w:rsid w:val="00494C00"/>
    <w:rsid w:val="004E0A74"/>
    <w:rsid w:val="00513751"/>
    <w:rsid w:val="00527BDC"/>
    <w:rsid w:val="00535DA2"/>
    <w:rsid w:val="00544816"/>
    <w:rsid w:val="0058040C"/>
    <w:rsid w:val="00590700"/>
    <w:rsid w:val="00596CA6"/>
    <w:rsid w:val="005F2033"/>
    <w:rsid w:val="00606960"/>
    <w:rsid w:val="00620F41"/>
    <w:rsid w:val="00697258"/>
    <w:rsid w:val="006D4144"/>
    <w:rsid w:val="007216D1"/>
    <w:rsid w:val="0074216E"/>
    <w:rsid w:val="007A3D9E"/>
    <w:rsid w:val="007E0E72"/>
    <w:rsid w:val="00801BBC"/>
    <w:rsid w:val="0082177D"/>
    <w:rsid w:val="008239F7"/>
    <w:rsid w:val="0083410C"/>
    <w:rsid w:val="0085750E"/>
    <w:rsid w:val="008754CA"/>
    <w:rsid w:val="0088192B"/>
    <w:rsid w:val="008B6DF2"/>
    <w:rsid w:val="008C6552"/>
    <w:rsid w:val="00914373"/>
    <w:rsid w:val="00924755"/>
    <w:rsid w:val="00932C73"/>
    <w:rsid w:val="009C4167"/>
    <w:rsid w:val="009D2359"/>
    <w:rsid w:val="00A0517F"/>
    <w:rsid w:val="00A24B80"/>
    <w:rsid w:val="00A26355"/>
    <w:rsid w:val="00A40B2F"/>
    <w:rsid w:val="00AB7ADF"/>
    <w:rsid w:val="00AC7E42"/>
    <w:rsid w:val="00B34155"/>
    <w:rsid w:val="00B900DE"/>
    <w:rsid w:val="00BE4433"/>
    <w:rsid w:val="00BF59F1"/>
    <w:rsid w:val="00C30CDD"/>
    <w:rsid w:val="00C6126C"/>
    <w:rsid w:val="00C82119"/>
    <w:rsid w:val="00C93815"/>
    <w:rsid w:val="00CA3CD4"/>
    <w:rsid w:val="00CB2ACC"/>
    <w:rsid w:val="00CB37D3"/>
    <w:rsid w:val="00D24408"/>
    <w:rsid w:val="00D45A1E"/>
    <w:rsid w:val="00DC5D0E"/>
    <w:rsid w:val="00E67FA1"/>
    <w:rsid w:val="00E84884"/>
    <w:rsid w:val="00E93F9A"/>
    <w:rsid w:val="00E9724F"/>
    <w:rsid w:val="00EA13BF"/>
    <w:rsid w:val="00EE0F30"/>
    <w:rsid w:val="00F0788A"/>
    <w:rsid w:val="00FA03F0"/>
    <w:rsid w:val="00FA28BF"/>
    <w:rsid w:val="00FC7590"/>
    <w:rsid w:val="00FD41C1"/>
    <w:rsid w:val="00FD601F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C14E"/>
  <w15:chartTrackingRefBased/>
  <w15:docId w15:val="{D970C766-0489-4A32-8766-87730467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563C1" w:themeColor="hyperlink"/>
        <w:kern w:val="2"/>
        <w:sz w:val="24"/>
        <w:szCs w:val="22"/>
        <w:u w:val="single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F41"/>
    <w:pPr>
      <w:spacing w:before="120" w:after="120" w:line="276" w:lineRule="auto"/>
    </w:pPr>
    <w:rPr>
      <w:color w:val="auto"/>
      <w:u w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A28BF"/>
    <w:pPr>
      <w:keepNext/>
      <w:keepLines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6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28BF"/>
    <w:rPr>
      <w:rFonts w:eastAsiaTheme="majorEastAsia" w:cstheme="majorBidi"/>
      <w:b/>
      <w:bCs/>
      <w:sz w:val="26"/>
      <w:szCs w:val="28"/>
    </w:rPr>
  </w:style>
  <w:style w:type="paragraph" w:styleId="NormalnyWeb">
    <w:name w:val="Normal (Web)"/>
    <w:basedOn w:val="Normalny"/>
    <w:uiPriority w:val="99"/>
    <w:semiHidden/>
    <w:unhideWhenUsed/>
    <w:rsid w:val="000E4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</w:rPr>
  </w:style>
  <w:style w:type="paragraph" w:styleId="Akapitzlist">
    <w:name w:val="List Paragraph"/>
    <w:aliases w:val="L1,Numerowanie,BulletC,Wyliczanie,Obiekt,normalny tekst,Akapit z listą31,Bullets,List Paragraph1,Akapit z listą5,lp1,List Paragraph2,Bullet Number,ISCG Numerowanie,lp11,List Paragraph11,Bullet 1,Use Case List Paragraph"/>
    <w:basedOn w:val="Normalny"/>
    <w:link w:val="AkapitzlistZnak"/>
    <w:uiPriority w:val="34"/>
    <w:qFormat/>
    <w:rsid w:val="000E40F9"/>
    <w:pPr>
      <w:spacing w:before="0" w:after="160" w:line="254" w:lineRule="auto"/>
      <w:ind w:left="720"/>
      <w:contextualSpacing/>
    </w:pPr>
    <w:rPr>
      <w:rFonts w:asciiTheme="minorHAnsi" w:hAnsiTheme="minorHAnsi" w:cstheme="minorBidi"/>
      <w:kern w:val="0"/>
      <w:sz w:val="22"/>
    </w:rPr>
  </w:style>
  <w:style w:type="character" w:customStyle="1" w:styleId="normaltextrun">
    <w:name w:val="normaltextrun"/>
    <w:basedOn w:val="Domylnaczcionkaakapitu"/>
    <w:rsid w:val="00513751"/>
  </w:style>
  <w:style w:type="character" w:styleId="Odwoaniedokomentarza">
    <w:name w:val="annotation reference"/>
    <w:basedOn w:val="Domylnaczcionkaakapitu"/>
    <w:uiPriority w:val="99"/>
    <w:unhideWhenUsed/>
    <w:rsid w:val="00C82119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C82119"/>
    <w:pPr>
      <w:spacing w:before="0" w:after="160" w:line="240" w:lineRule="auto"/>
    </w:pPr>
    <w:rPr>
      <w:rFonts w:asciiTheme="minorHAnsi" w:hAnsiTheme="minorHAnsi" w:cstheme="minorBidi"/>
      <w:kern w:val="0"/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C82119"/>
    <w:rPr>
      <w:rFonts w:asciiTheme="minorHAnsi" w:hAnsiTheme="minorHAnsi" w:cstheme="minorBidi"/>
      <w:color w:val="auto"/>
      <w:kern w:val="0"/>
      <w:sz w:val="20"/>
      <w:szCs w:val="20"/>
      <w:u w:val="none"/>
    </w:rPr>
  </w:style>
  <w:style w:type="paragraph" w:styleId="Nagwek">
    <w:name w:val="header"/>
    <w:basedOn w:val="Normalny"/>
    <w:link w:val="NagwekZnak"/>
    <w:uiPriority w:val="99"/>
    <w:unhideWhenUsed/>
    <w:rsid w:val="002F49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963"/>
    <w:rPr>
      <w:color w:val="auto"/>
      <w:u w:val="none"/>
    </w:rPr>
  </w:style>
  <w:style w:type="paragraph" w:styleId="Stopka">
    <w:name w:val="footer"/>
    <w:basedOn w:val="Normalny"/>
    <w:link w:val="StopkaZnak"/>
    <w:uiPriority w:val="99"/>
    <w:unhideWhenUsed/>
    <w:rsid w:val="002F49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963"/>
    <w:rPr>
      <w:color w:val="auto"/>
      <w:u w:val="none"/>
    </w:rPr>
  </w:style>
  <w:style w:type="paragraph" w:customStyle="1" w:styleId="Default">
    <w:name w:val="Default"/>
    <w:rsid w:val="00D24408"/>
    <w:pPr>
      <w:autoSpaceDE w:val="0"/>
      <w:autoSpaceDN w:val="0"/>
      <w:adjustRightInd w:val="0"/>
      <w:spacing w:after="0" w:line="240" w:lineRule="auto"/>
    </w:pPr>
    <w:rPr>
      <w:rFonts w:cs="Calibri"/>
      <w:color w:val="000000"/>
      <w:kern w:val="0"/>
      <w:szCs w:val="24"/>
      <w:u w:val="none"/>
    </w:rPr>
  </w:style>
  <w:style w:type="paragraph" w:styleId="Poprawka">
    <w:name w:val="Revision"/>
    <w:hidden/>
    <w:uiPriority w:val="99"/>
    <w:semiHidden/>
    <w:rsid w:val="000A2B47"/>
    <w:pPr>
      <w:spacing w:after="0" w:line="240" w:lineRule="auto"/>
    </w:pPr>
    <w:rPr>
      <w:color w:val="auto"/>
      <w:u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3D9E"/>
    <w:pPr>
      <w:spacing w:before="120" w:after="120"/>
    </w:pPr>
    <w:rPr>
      <w:rFonts w:ascii="Calibri" w:hAnsi="Calibri" w:cstheme="minorHAnsi"/>
      <w:b/>
      <w:bCs/>
      <w:kern w:val="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3D9E"/>
    <w:rPr>
      <w:rFonts w:asciiTheme="minorHAnsi" w:hAnsiTheme="minorHAnsi" w:cstheme="minorBidi"/>
      <w:b/>
      <w:bCs/>
      <w:color w:val="auto"/>
      <w:kern w:val="0"/>
      <w:sz w:val="20"/>
      <w:szCs w:val="20"/>
      <w:u w:val="none"/>
    </w:rPr>
  </w:style>
  <w:style w:type="paragraph" w:styleId="Tekstpodstawowy">
    <w:name w:val="Body Text"/>
    <w:basedOn w:val="Normalny"/>
    <w:link w:val="TekstpodstawowyZnak1"/>
    <w:qFormat/>
    <w:rsid w:val="00AC7E42"/>
    <w:pPr>
      <w:tabs>
        <w:tab w:val="left" w:pos="900"/>
      </w:tabs>
      <w:suppressAutoHyphens/>
      <w:spacing w:before="0"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uiPriority w:val="99"/>
    <w:semiHidden/>
    <w:rsid w:val="00AC7E42"/>
    <w:rPr>
      <w:color w:val="auto"/>
      <w:u w:val="none"/>
    </w:rPr>
  </w:style>
  <w:style w:type="character" w:customStyle="1" w:styleId="TekstpodstawowyZnak1">
    <w:name w:val="Tekst podstawowy Znak1"/>
    <w:basedOn w:val="Domylnaczcionkaakapitu"/>
    <w:link w:val="Tekstpodstawowy"/>
    <w:rsid w:val="00AC7E42"/>
    <w:rPr>
      <w:rFonts w:ascii="Times New Roman" w:eastAsia="Times New Roman" w:hAnsi="Times New Roman" w:cs="Times New Roman"/>
      <w:color w:val="auto"/>
      <w:kern w:val="0"/>
      <w:szCs w:val="24"/>
      <w:u w:val="none"/>
      <w:lang w:eastAsia="ar-SA"/>
      <w14:ligatures w14:val="none"/>
    </w:rPr>
  </w:style>
  <w:style w:type="character" w:customStyle="1" w:styleId="AkapitzlistZnak">
    <w:name w:val="Akapit z listą Znak"/>
    <w:aliases w:val="L1 Znak,Numerowanie Znak,BulletC Znak,Wyliczanie Znak,Obiekt Znak,normalny tekst Znak,Akapit z listą31 Znak,Bullets Znak,List Paragraph1 Znak,Akapit z listą5 Znak,lp1 Znak,List Paragraph2 Znak,Bullet Number Znak,ISCG Numerowanie Znak"/>
    <w:link w:val="Akapitzlist"/>
    <w:qFormat/>
    <w:locked/>
    <w:rsid w:val="00AC7E42"/>
    <w:rPr>
      <w:rFonts w:asciiTheme="minorHAnsi" w:hAnsiTheme="minorHAnsi" w:cstheme="minorBidi"/>
      <w:color w:val="auto"/>
      <w:kern w:val="0"/>
      <w:sz w:val="22"/>
      <w:u w:val="none"/>
    </w:rPr>
  </w:style>
  <w:style w:type="character" w:customStyle="1" w:styleId="TekstkomentarzaZnak1">
    <w:name w:val="Tekst komentarza Znak1"/>
    <w:aliases w:val="Znak Znak1"/>
    <w:basedOn w:val="Domylnaczcionkaakapitu"/>
    <w:uiPriority w:val="99"/>
    <w:rsid w:val="000C7E00"/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paragraph">
    <w:name w:val="paragraph"/>
    <w:basedOn w:val="Normalny"/>
    <w:rsid w:val="000C7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customStyle="1" w:styleId="eop">
    <w:name w:val="eop"/>
    <w:basedOn w:val="Domylnaczcionkaakapitu"/>
    <w:rsid w:val="000C7E00"/>
  </w:style>
  <w:style w:type="character" w:customStyle="1" w:styleId="ui-provider">
    <w:name w:val="ui-provider"/>
    <w:basedOn w:val="Domylnaczcionkaakapitu"/>
    <w:rsid w:val="005F203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26355"/>
    <w:rPr>
      <w:rFonts w:asciiTheme="majorHAnsi" w:eastAsiaTheme="majorEastAsia" w:hAnsiTheme="majorHAnsi" w:cstheme="majorBidi"/>
      <w:color w:val="1F3763" w:themeColor="accent1" w:themeShade="7F"/>
      <w:szCs w:val="24"/>
      <w:u w:val="none"/>
    </w:rPr>
  </w:style>
  <w:style w:type="character" w:styleId="Hipercze">
    <w:name w:val="Hyperlink"/>
    <w:basedOn w:val="Domylnaczcionkaakapitu"/>
    <w:uiPriority w:val="99"/>
    <w:semiHidden/>
    <w:unhideWhenUsed/>
    <w:rsid w:val="00A26355"/>
    <w:rPr>
      <w:color w:val="0000FF"/>
      <w:u w:val="single"/>
    </w:rPr>
  </w:style>
  <w:style w:type="character" w:customStyle="1" w:styleId="Znakiprzypiswdolnych">
    <w:name w:val="Znaki przypisów dolnych"/>
    <w:rsid w:val="00CB3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CAB8-13F4-410C-AA13-9DA54D4A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2706</Words>
  <Characters>16236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Agnieszka Ziomko-Olszewska</cp:lastModifiedBy>
  <cp:revision>3</cp:revision>
  <dcterms:created xsi:type="dcterms:W3CDTF">2023-09-19T12:47:00Z</dcterms:created>
  <dcterms:modified xsi:type="dcterms:W3CDTF">2023-09-19T13:17:00Z</dcterms:modified>
</cp:coreProperties>
</file>