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2CB98" w14:textId="1217E6C2" w:rsidR="00800E41" w:rsidRPr="006F6768" w:rsidRDefault="00800E41" w:rsidP="006F6768">
      <w:pPr>
        <w:spacing w:line="360" w:lineRule="auto"/>
        <w:jc w:val="center"/>
        <w:rPr>
          <w:rFonts w:ascii="Verdana" w:hAnsi="Verdana"/>
          <w:b/>
          <w:szCs w:val="22"/>
        </w:rPr>
      </w:pPr>
      <w:r w:rsidRPr="006F6768">
        <w:rPr>
          <w:rFonts w:ascii="Verdana" w:hAnsi="Verdana"/>
          <w:b/>
          <w:szCs w:val="22"/>
        </w:rPr>
        <w:t xml:space="preserve">Uchwała nr </w:t>
      </w:r>
      <w:r w:rsidR="006D353D" w:rsidRPr="006F6768">
        <w:rPr>
          <w:rFonts w:ascii="Verdana" w:hAnsi="Verdana"/>
          <w:b/>
          <w:szCs w:val="22"/>
        </w:rPr>
        <w:t>170</w:t>
      </w:r>
    </w:p>
    <w:p w14:paraId="1B494A68" w14:textId="77777777" w:rsidR="00800E41" w:rsidRPr="006F6768" w:rsidRDefault="00800E41" w:rsidP="006F6768">
      <w:pPr>
        <w:spacing w:line="360" w:lineRule="auto"/>
        <w:jc w:val="center"/>
        <w:rPr>
          <w:rFonts w:ascii="Verdana" w:hAnsi="Verdana"/>
          <w:b/>
          <w:szCs w:val="22"/>
        </w:rPr>
      </w:pPr>
      <w:r w:rsidRPr="006F6768">
        <w:rPr>
          <w:rFonts w:ascii="Verdana" w:hAnsi="Verdana"/>
          <w:b/>
          <w:szCs w:val="22"/>
        </w:rPr>
        <w:t>Rady Działalności Pożytku Publicznego</w:t>
      </w:r>
    </w:p>
    <w:p w14:paraId="65B8367F" w14:textId="27CB363F" w:rsidR="00800E41" w:rsidRPr="006F6768" w:rsidRDefault="000018F1" w:rsidP="006F6768">
      <w:pPr>
        <w:spacing w:line="360" w:lineRule="auto"/>
        <w:jc w:val="center"/>
        <w:rPr>
          <w:rFonts w:ascii="Verdana" w:hAnsi="Verdana"/>
          <w:b/>
          <w:szCs w:val="22"/>
        </w:rPr>
      </w:pPr>
      <w:r w:rsidRPr="006F6768">
        <w:rPr>
          <w:rFonts w:ascii="Verdana" w:hAnsi="Verdana"/>
          <w:b/>
          <w:szCs w:val="22"/>
        </w:rPr>
        <w:t>z dnia</w:t>
      </w:r>
      <w:r w:rsidR="00EC7541" w:rsidRPr="006F6768">
        <w:rPr>
          <w:rFonts w:ascii="Verdana" w:hAnsi="Verdana"/>
          <w:b/>
          <w:szCs w:val="22"/>
        </w:rPr>
        <w:t xml:space="preserve"> </w:t>
      </w:r>
      <w:r w:rsidR="006D353D" w:rsidRPr="006F6768">
        <w:rPr>
          <w:rFonts w:ascii="Verdana" w:hAnsi="Verdana"/>
          <w:b/>
          <w:szCs w:val="22"/>
        </w:rPr>
        <w:t>9</w:t>
      </w:r>
      <w:r w:rsidR="00530340" w:rsidRPr="006F6768">
        <w:rPr>
          <w:rFonts w:ascii="Verdana" w:hAnsi="Verdana"/>
          <w:b/>
          <w:szCs w:val="22"/>
        </w:rPr>
        <w:t xml:space="preserve"> kwietnia</w:t>
      </w:r>
      <w:r w:rsidR="00973E3B" w:rsidRPr="006F6768">
        <w:rPr>
          <w:rFonts w:ascii="Verdana" w:hAnsi="Verdana"/>
          <w:b/>
          <w:szCs w:val="22"/>
        </w:rPr>
        <w:t xml:space="preserve"> 20</w:t>
      </w:r>
      <w:r w:rsidR="00413237" w:rsidRPr="006F6768">
        <w:rPr>
          <w:rFonts w:ascii="Verdana" w:hAnsi="Verdana"/>
          <w:b/>
          <w:szCs w:val="22"/>
        </w:rPr>
        <w:t>21</w:t>
      </w:r>
      <w:r w:rsidR="00CD2219" w:rsidRPr="006F6768">
        <w:rPr>
          <w:rFonts w:ascii="Verdana" w:hAnsi="Verdana"/>
          <w:b/>
          <w:szCs w:val="22"/>
        </w:rPr>
        <w:t xml:space="preserve"> r.</w:t>
      </w:r>
      <w:r w:rsidRPr="006F6768">
        <w:rPr>
          <w:rFonts w:ascii="Verdana" w:hAnsi="Verdana"/>
          <w:b/>
          <w:szCs w:val="22"/>
        </w:rPr>
        <w:t xml:space="preserve"> </w:t>
      </w:r>
    </w:p>
    <w:p w14:paraId="670F813F" w14:textId="3EE108F9" w:rsidR="00961979" w:rsidRPr="006F6768" w:rsidRDefault="00FB0BEF" w:rsidP="006F6768">
      <w:pPr>
        <w:spacing w:line="360" w:lineRule="auto"/>
        <w:jc w:val="center"/>
        <w:rPr>
          <w:rFonts w:ascii="Verdana" w:hAnsi="Verdana"/>
          <w:b/>
          <w:szCs w:val="22"/>
        </w:rPr>
      </w:pPr>
      <w:r w:rsidRPr="006F6768">
        <w:rPr>
          <w:rFonts w:ascii="Verdana" w:hAnsi="Verdana"/>
          <w:b/>
          <w:szCs w:val="22"/>
        </w:rPr>
        <w:t xml:space="preserve">w sprawie </w:t>
      </w:r>
      <w:bookmarkStart w:id="0" w:name="_Hlk68595915"/>
      <w:r w:rsidRPr="006F6768">
        <w:rPr>
          <w:rFonts w:ascii="Verdana" w:hAnsi="Verdana"/>
          <w:b/>
          <w:szCs w:val="22"/>
        </w:rPr>
        <w:t xml:space="preserve">projektu </w:t>
      </w:r>
      <w:r w:rsidR="00530340" w:rsidRPr="006F6768">
        <w:rPr>
          <w:rFonts w:ascii="Verdana" w:hAnsi="Verdana"/>
          <w:b/>
          <w:szCs w:val="22"/>
        </w:rPr>
        <w:t xml:space="preserve">Krajowego Planu Odbudowy </w:t>
      </w:r>
      <w:r w:rsidR="00AC2081">
        <w:rPr>
          <w:rFonts w:ascii="Verdana" w:hAnsi="Verdana"/>
          <w:b/>
          <w:szCs w:val="22"/>
        </w:rPr>
        <w:br/>
      </w:r>
      <w:bookmarkStart w:id="1" w:name="_GoBack"/>
      <w:bookmarkEnd w:id="1"/>
      <w:r w:rsidR="00530340" w:rsidRPr="006F6768">
        <w:rPr>
          <w:rFonts w:ascii="Verdana" w:hAnsi="Verdana"/>
          <w:b/>
          <w:szCs w:val="22"/>
        </w:rPr>
        <w:t>i Zwiększania Odporności</w:t>
      </w:r>
      <w:bookmarkEnd w:id="0"/>
    </w:p>
    <w:p w14:paraId="58DE494B" w14:textId="77777777" w:rsidR="00FB0BEF" w:rsidRPr="006F6768" w:rsidRDefault="00FB0BEF" w:rsidP="006F6768">
      <w:pPr>
        <w:spacing w:line="360" w:lineRule="auto"/>
        <w:rPr>
          <w:rFonts w:ascii="Verdana" w:hAnsi="Verdana"/>
          <w:b/>
          <w:szCs w:val="22"/>
        </w:rPr>
      </w:pPr>
    </w:p>
    <w:p w14:paraId="62AEA24D" w14:textId="5442A239" w:rsidR="00923B67" w:rsidRPr="006F6768" w:rsidRDefault="00800E41" w:rsidP="006F6768">
      <w:pPr>
        <w:spacing w:line="360" w:lineRule="auto"/>
        <w:jc w:val="both"/>
        <w:rPr>
          <w:rFonts w:ascii="Verdana" w:hAnsi="Verdana"/>
          <w:bCs/>
          <w:szCs w:val="22"/>
        </w:rPr>
      </w:pPr>
      <w:r w:rsidRPr="006F6768">
        <w:rPr>
          <w:rFonts w:ascii="Verdana" w:eastAsia="Gulim" w:hAnsi="Verdana"/>
          <w:color w:val="000000"/>
          <w:szCs w:val="22"/>
        </w:rPr>
        <w:t>Na pod</w:t>
      </w:r>
      <w:r w:rsidR="006A775D" w:rsidRPr="006F6768">
        <w:rPr>
          <w:rFonts w:ascii="Verdana" w:eastAsia="Gulim" w:hAnsi="Verdana"/>
          <w:color w:val="000000"/>
          <w:szCs w:val="22"/>
        </w:rPr>
        <w:t xml:space="preserve">stawie </w:t>
      </w:r>
      <w:r w:rsidR="00961979" w:rsidRPr="006F6768">
        <w:rPr>
          <w:rFonts w:ascii="Verdana" w:eastAsia="Gulim" w:hAnsi="Verdana"/>
          <w:color w:val="000000"/>
          <w:szCs w:val="22"/>
        </w:rPr>
        <w:t>§ 10 r</w:t>
      </w:r>
      <w:r w:rsidR="000C6D95" w:rsidRPr="006F6768">
        <w:rPr>
          <w:rFonts w:ascii="Verdana" w:eastAsia="Gulim" w:hAnsi="Verdana"/>
          <w:color w:val="000000"/>
          <w:szCs w:val="22"/>
        </w:rPr>
        <w:t>ozporządzenia Przewodniczącego Komitetu do spraw Pożytku Publicznego</w:t>
      </w:r>
      <w:r w:rsidR="0064794D" w:rsidRPr="006F6768">
        <w:rPr>
          <w:rFonts w:ascii="Verdana" w:eastAsia="Gulim" w:hAnsi="Verdana"/>
          <w:color w:val="000000"/>
          <w:szCs w:val="22"/>
        </w:rPr>
        <w:t xml:space="preserve"> </w:t>
      </w:r>
      <w:r w:rsidR="000C6D95" w:rsidRPr="006F6768">
        <w:rPr>
          <w:rFonts w:ascii="Verdana" w:eastAsia="Gulim" w:hAnsi="Verdana"/>
          <w:color w:val="000000"/>
          <w:szCs w:val="22"/>
        </w:rPr>
        <w:t>z dnia 24 października 2018</w:t>
      </w:r>
      <w:r w:rsidRPr="006F6768">
        <w:rPr>
          <w:rFonts w:ascii="Verdana" w:eastAsia="Gulim" w:hAnsi="Verdana"/>
          <w:color w:val="000000"/>
          <w:szCs w:val="22"/>
        </w:rPr>
        <w:t xml:space="preserve"> r. w sprawie Rady Działalności Pożytku Publicznego</w:t>
      </w:r>
      <w:r w:rsidR="0064794D" w:rsidRPr="006F6768">
        <w:rPr>
          <w:rFonts w:ascii="Verdana" w:eastAsia="Gulim" w:hAnsi="Verdana"/>
          <w:color w:val="000000"/>
          <w:szCs w:val="22"/>
        </w:rPr>
        <w:t xml:space="preserve"> </w:t>
      </w:r>
      <w:r w:rsidRPr="006F6768">
        <w:rPr>
          <w:rFonts w:ascii="Verdana" w:eastAsia="Gulim" w:hAnsi="Verdana"/>
          <w:color w:val="000000"/>
          <w:szCs w:val="22"/>
        </w:rPr>
        <w:t>(Dz.</w:t>
      </w:r>
      <w:r w:rsidR="002A7294" w:rsidRPr="006F6768">
        <w:rPr>
          <w:rFonts w:ascii="Verdana" w:eastAsia="Gulim" w:hAnsi="Verdana"/>
          <w:color w:val="000000"/>
          <w:szCs w:val="22"/>
        </w:rPr>
        <w:t> U. poz. </w:t>
      </w:r>
      <w:r w:rsidR="000C6D95" w:rsidRPr="006F6768">
        <w:rPr>
          <w:rFonts w:ascii="Verdana" w:eastAsia="Gulim" w:hAnsi="Verdana"/>
          <w:color w:val="000000"/>
          <w:szCs w:val="22"/>
        </w:rPr>
        <w:t>2052</w:t>
      </w:r>
      <w:r w:rsidRPr="006F6768">
        <w:rPr>
          <w:rFonts w:ascii="Verdana" w:eastAsia="Gulim" w:hAnsi="Verdana"/>
          <w:color w:val="000000"/>
          <w:szCs w:val="22"/>
        </w:rPr>
        <w:t>)</w:t>
      </w:r>
      <w:r w:rsidR="00961979" w:rsidRPr="006F6768">
        <w:rPr>
          <w:rFonts w:ascii="Verdana" w:eastAsia="Gulim" w:hAnsi="Verdana"/>
          <w:color w:val="000000"/>
          <w:szCs w:val="22"/>
        </w:rPr>
        <w:t xml:space="preserve"> oraz </w:t>
      </w:r>
      <w:r w:rsidR="00961979" w:rsidRPr="006F6768">
        <w:rPr>
          <w:rFonts w:ascii="Verdana" w:hAnsi="Verdana"/>
          <w:szCs w:val="22"/>
        </w:rPr>
        <w:t>art. 35 ust. 2 ustawy z dnia 24 kwietnia 2003 r. o dzi</w:t>
      </w:r>
      <w:r w:rsidR="00D343A3" w:rsidRPr="006F6768">
        <w:rPr>
          <w:rFonts w:ascii="Verdana" w:hAnsi="Verdana"/>
          <w:szCs w:val="22"/>
        </w:rPr>
        <w:t>ał</w:t>
      </w:r>
      <w:r w:rsidR="006F6768">
        <w:rPr>
          <w:rFonts w:ascii="Verdana" w:hAnsi="Verdana"/>
          <w:szCs w:val="22"/>
        </w:rPr>
        <w:t>alności pożytku publicznego i o </w:t>
      </w:r>
      <w:r w:rsidR="00961979" w:rsidRPr="006F6768">
        <w:rPr>
          <w:rFonts w:ascii="Verdana" w:hAnsi="Verdana"/>
          <w:szCs w:val="22"/>
        </w:rPr>
        <w:t xml:space="preserve">wolontariacie </w:t>
      </w:r>
      <w:r w:rsidR="00F12D61" w:rsidRPr="006F6768">
        <w:rPr>
          <w:rFonts w:ascii="Verdana" w:hAnsi="Verdana"/>
          <w:szCs w:val="22"/>
        </w:rPr>
        <w:t>(</w:t>
      </w:r>
      <w:r w:rsidR="00A5141B" w:rsidRPr="006F6768">
        <w:rPr>
          <w:rFonts w:ascii="Verdana" w:hAnsi="Verdana"/>
          <w:szCs w:val="22"/>
        </w:rPr>
        <w:t xml:space="preserve">Dz. U. z </w:t>
      </w:r>
      <w:r w:rsidR="002A7294" w:rsidRPr="006F6768">
        <w:rPr>
          <w:rFonts w:ascii="Verdana" w:hAnsi="Verdana"/>
          <w:szCs w:val="22"/>
        </w:rPr>
        <w:t>2020 r. poz. 1057</w:t>
      </w:r>
      <w:r w:rsidR="00961979" w:rsidRPr="006F6768">
        <w:rPr>
          <w:rFonts w:ascii="Verdana" w:hAnsi="Verdana"/>
          <w:szCs w:val="22"/>
        </w:rPr>
        <w:t xml:space="preserve">), uchwala się stanowisko Rady Działalności Pożytku Publicznego </w:t>
      </w:r>
      <w:r w:rsidR="00FB0BEF" w:rsidRPr="006F6768">
        <w:rPr>
          <w:rFonts w:ascii="Verdana" w:hAnsi="Verdana"/>
          <w:bCs/>
          <w:szCs w:val="22"/>
        </w:rPr>
        <w:t xml:space="preserve">w sprawie projektu </w:t>
      </w:r>
      <w:r w:rsidR="00194D76" w:rsidRPr="006F6768">
        <w:rPr>
          <w:rFonts w:ascii="Verdana" w:hAnsi="Verdana"/>
          <w:bCs/>
          <w:szCs w:val="22"/>
        </w:rPr>
        <w:t>Krajowego Planu Odbudowy i </w:t>
      </w:r>
      <w:r w:rsidR="00530340" w:rsidRPr="006F6768">
        <w:rPr>
          <w:rFonts w:ascii="Verdana" w:hAnsi="Verdana"/>
          <w:bCs/>
          <w:szCs w:val="22"/>
        </w:rPr>
        <w:t>Zwiększania Odporności</w:t>
      </w:r>
      <w:r w:rsidR="00665FAB" w:rsidRPr="006F6768">
        <w:rPr>
          <w:rFonts w:ascii="Verdana" w:hAnsi="Verdana"/>
          <w:bCs/>
          <w:szCs w:val="22"/>
        </w:rPr>
        <w:t>.</w:t>
      </w:r>
    </w:p>
    <w:p w14:paraId="60955EEE" w14:textId="77777777" w:rsidR="00665FAB" w:rsidRPr="006F6768" w:rsidRDefault="00665FAB" w:rsidP="006F6768">
      <w:pPr>
        <w:spacing w:line="360" w:lineRule="auto"/>
        <w:jc w:val="both"/>
        <w:rPr>
          <w:rFonts w:ascii="Verdana" w:hAnsi="Verdana"/>
          <w:szCs w:val="22"/>
        </w:rPr>
      </w:pPr>
    </w:p>
    <w:p w14:paraId="5D67AD12" w14:textId="77777777" w:rsidR="006B2300" w:rsidRPr="006F6768" w:rsidRDefault="00800E41" w:rsidP="006F6768">
      <w:pPr>
        <w:spacing w:line="360" w:lineRule="auto"/>
        <w:jc w:val="center"/>
        <w:rPr>
          <w:rFonts w:ascii="Verdana" w:hAnsi="Verdana"/>
          <w:b/>
          <w:szCs w:val="22"/>
        </w:rPr>
      </w:pPr>
      <w:r w:rsidRPr="006F6768">
        <w:rPr>
          <w:rFonts w:ascii="Verdana" w:hAnsi="Verdana"/>
          <w:b/>
          <w:szCs w:val="22"/>
        </w:rPr>
        <w:t>§ 1</w:t>
      </w:r>
    </w:p>
    <w:p w14:paraId="603DD798" w14:textId="1A01D5FD" w:rsidR="00530340" w:rsidRPr="006F6768" w:rsidRDefault="00FB0BEF" w:rsidP="006F6768">
      <w:pPr>
        <w:spacing w:line="360" w:lineRule="auto"/>
        <w:contextualSpacing/>
        <w:jc w:val="both"/>
        <w:rPr>
          <w:rFonts w:ascii="Verdana" w:hAnsi="Verdana"/>
          <w:szCs w:val="22"/>
        </w:rPr>
      </w:pPr>
      <w:r w:rsidRPr="006F6768">
        <w:rPr>
          <w:rFonts w:ascii="Verdana" w:eastAsia="Gulim" w:hAnsi="Verdana"/>
          <w:szCs w:val="22"/>
          <w:lang w:eastAsia="de-DE"/>
        </w:rPr>
        <w:t>Rada Działalności Pożytku Publicznego</w:t>
      </w:r>
      <w:r w:rsidR="002A7294" w:rsidRPr="006F6768">
        <w:rPr>
          <w:rFonts w:ascii="Verdana" w:eastAsia="Gulim" w:hAnsi="Verdana"/>
          <w:szCs w:val="22"/>
          <w:lang w:eastAsia="de-DE"/>
        </w:rPr>
        <w:t>, zwana dalej: „Radą”,</w:t>
      </w:r>
      <w:r w:rsidRPr="006F6768">
        <w:rPr>
          <w:rFonts w:ascii="Verdana" w:eastAsia="Gulim" w:hAnsi="Verdana"/>
          <w:szCs w:val="22"/>
          <w:lang w:eastAsia="de-DE"/>
        </w:rPr>
        <w:t xml:space="preserve"> </w:t>
      </w:r>
      <w:r w:rsidR="00306AB9" w:rsidRPr="006F6768">
        <w:rPr>
          <w:rFonts w:ascii="Verdana" w:hAnsi="Verdana"/>
          <w:szCs w:val="22"/>
        </w:rPr>
        <w:t>wnosi</w:t>
      </w:r>
      <w:r w:rsidR="001C0B05" w:rsidRPr="006F6768">
        <w:rPr>
          <w:rFonts w:ascii="Verdana" w:hAnsi="Verdana"/>
          <w:szCs w:val="22"/>
        </w:rPr>
        <w:t xml:space="preserve"> </w:t>
      </w:r>
      <w:r w:rsidR="00BC2A5C" w:rsidRPr="006F6768">
        <w:rPr>
          <w:rFonts w:ascii="Verdana" w:hAnsi="Verdana"/>
          <w:szCs w:val="22"/>
        </w:rPr>
        <w:t xml:space="preserve">postulaty oraz </w:t>
      </w:r>
      <w:r w:rsidR="00306AB9" w:rsidRPr="006F6768">
        <w:rPr>
          <w:rFonts w:ascii="Verdana" w:hAnsi="Verdana"/>
          <w:szCs w:val="22"/>
        </w:rPr>
        <w:t xml:space="preserve">uwagi do </w:t>
      </w:r>
      <w:r w:rsidR="00530340" w:rsidRPr="006F6768">
        <w:rPr>
          <w:rFonts w:ascii="Verdana" w:hAnsi="Verdana"/>
          <w:szCs w:val="22"/>
        </w:rPr>
        <w:t>Krajowego Planu Odbudowy i Zwiększania Odporności</w:t>
      </w:r>
      <w:r w:rsidR="001E3D2C" w:rsidRPr="006F6768">
        <w:rPr>
          <w:rFonts w:ascii="Verdana" w:hAnsi="Verdana"/>
          <w:szCs w:val="22"/>
        </w:rPr>
        <w:t>, zwanego dalej: „KPO”</w:t>
      </w:r>
      <w:r w:rsidR="001D7031" w:rsidRPr="006F6768">
        <w:rPr>
          <w:rFonts w:ascii="Verdana" w:hAnsi="Verdana"/>
          <w:szCs w:val="22"/>
        </w:rPr>
        <w:t>. Główne postulaty to:</w:t>
      </w:r>
    </w:p>
    <w:p w14:paraId="590ED19C" w14:textId="44A2C2DA" w:rsidR="001B5791" w:rsidRPr="006F6768" w:rsidRDefault="001E3D2C" w:rsidP="006F6768">
      <w:pPr>
        <w:pStyle w:val="Akapitzlist"/>
        <w:numPr>
          <w:ilvl w:val="0"/>
          <w:numId w:val="10"/>
        </w:numPr>
        <w:spacing w:line="360" w:lineRule="auto"/>
        <w:jc w:val="both"/>
        <w:rPr>
          <w:rFonts w:ascii="Verdana" w:hAnsi="Verdana"/>
          <w:szCs w:val="22"/>
        </w:rPr>
      </w:pPr>
      <w:bookmarkStart w:id="2" w:name="_Hlk68596470"/>
      <w:r w:rsidRPr="006F6768">
        <w:rPr>
          <w:rFonts w:ascii="Verdana" w:hAnsi="Verdana"/>
          <w:szCs w:val="22"/>
        </w:rPr>
        <w:t>p</w:t>
      </w:r>
      <w:r w:rsidR="001B5791" w:rsidRPr="006F6768">
        <w:rPr>
          <w:rFonts w:ascii="Verdana" w:hAnsi="Verdana"/>
          <w:szCs w:val="22"/>
        </w:rPr>
        <w:t>rzeznaczenie 1 % alokacji ze ś</w:t>
      </w:r>
      <w:r w:rsidR="006F6768">
        <w:rPr>
          <w:rFonts w:ascii="Verdana" w:hAnsi="Verdana"/>
          <w:szCs w:val="22"/>
        </w:rPr>
        <w:t>rodków bezzwrotnych na rozwój i </w:t>
      </w:r>
      <w:r w:rsidR="001B5791" w:rsidRPr="006F6768">
        <w:rPr>
          <w:rFonts w:ascii="Verdana" w:hAnsi="Verdana"/>
          <w:szCs w:val="22"/>
        </w:rPr>
        <w:t>budowę odporności organizacji pozarządowych</w:t>
      </w:r>
      <w:r w:rsidRPr="006F6768">
        <w:rPr>
          <w:rFonts w:ascii="Verdana" w:hAnsi="Verdana"/>
          <w:szCs w:val="22"/>
        </w:rPr>
        <w:t>;</w:t>
      </w:r>
    </w:p>
    <w:p w14:paraId="65B97B2E" w14:textId="56E5B1B2" w:rsidR="001B5791" w:rsidRPr="006F6768" w:rsidRDefault="001E3D2C" w:rsidP="006F6768">
      <w:pPr>
        <w:pStyle w:val="Akapitzlist"/>
        <w:numPr>
          <w:ilvl w:val="0"/>
          <w:numId w:val="10"/>
        </w:numPr>
        <w:spacing w:line="360" w:lineRule="auto"/>
        <w:jc w:val="both"/>
        <w:rPr>
          <w:rFonts w:ascii="Verdana" w:hAnsi="Verdana"/>
          <w:szCs w:val="22"/>
        </w:rPr>
      </w:pPr>
      <w:r w:rsidRPr="006F6768">
        <w:rPr>
          <w:rFonts w:ascii="Verdana" w:hAnsi="Verdana"/>
          <w:szCs w:val="22"/>
        </w:rPr>
        <w:t>w</w:t>
      </w:r>
      <w:r w:rsidR="001B5791" w:rsidRPr="006F6768">
        <w:rPr>
          <w:rFonts w:ascii="Verdana" w:hAnsi="Verdana"/>
          <w:szCs w:val="22"/>
        </w:rPr>
        <w:t>łaściwa realizacja zasady partnerstwa na wszystkich etapach wdrażania programu</w:t>
      </w:r>
      <w:r w:rsidRPr="006F6768">
        <w:rPr>
          <w:rFonts w:ascii="Verdana" w:hAnsi="Verdana"/>
          <w:szCs w:val="22"/>
        </w:rPr>
        <w:t>;</w:t>
      </w:r>
      <w:r w:rsidR="001B5791" w:rsidRPr="006F6768">
        <w:rPr>
          <w:rFonts w:ascii="Verdana" w:hAnsi="Verdana"/>
          <w:szCs w:val="22"/>
        </w:rPr>
        <w:t xml:space="preserve"> Udział organizacji społeczeństwa obywatelskiego w Komitecie Monitorującym KPO</w:t>
      </w:r>
      <w:r w:rsidRPr="006F6768">
        <w:rPr>
          <w:rFonts w:ascii="Verdana" w:hAnsi="Verdana"/>
          <w:szCs w:val="22"/>
        </w:rPr>
        <w:t>;</w:t>
      </w:r>
    </w:p>
    <w:p w14:paraId="1214DD3E" w14:textId="330BB18C" w:rsidR="001B5791" w:rsidRPr="006F6768" w:rsidRDefault="001E3D2C" w:rsidP="006F6768">
      <w:pPr>
        <w:pStyle w:val="Akapitzlist"/>
        <w:numPr>
          <w:ilvl w:val="0"/>
          <w:numId w:val="10"/>
        </w:numPr>
        <w:spacing w:line="360" w:lineRule="auto"/>
        <w:jc w:val="both"/>
        <w:rPr>
          <w:rFonts w:ascii="Verdana" w:hAnsi="Verdana"/>
          <w:szCs w:val="22"/>
        </w:rPr>
      </w:pPr>
      <w:r w:rsidRPr="006F6768">
        <w:rPr>
          <w:rFonts w:ascii="Verdana" w:hAnsi="Verdana"/>
          <w:szCs w:val="22"/>
        </w:rPr>
        <w:t>d</w:t>
      </w:r>
      <w:r w:rsidR="00AF0117" w:rsidRPr="006F6768">
        <w:rPr>
          <w:rFonts w:ascii="Verdana" w:hAnsi="Verdana"/>
          <w:szCs w:val="22"/>
        </w:rPr>
        <w:t>ostępność finansowa środków w KPO dla organizacji pozarządowych</w:t>
      </w:r>
      <w:r w:rsidRPr="006F6768">
        <w:rPr>
          <w:rFonts w:ascii="Verdana" w:hAnsi="Verdana"/>
          <w:szCs w:val="22"/>
        </w:rPr>
        <w:t>;</w:t>
      </w:r>
    </w:p>
    <w:p w14:paraId="0A57A301" w14:textId="42F17D61" w:rsidR="00524642" w:rsidRPr="006F6768" w:rsidRDefault="001E3D2C" w:rsidP="006F6768">
      <w:pPr>
        <w:pStyle w:val="Akapitzlist"/>
        <w:numPr>
          <w:ilvl w:val="0"/>
          <w:numId w:val="10"/>
        </w:numPr>
        <w:spacing w:line="360" w:lineRule="auto"/>
        <w:jc w:val="both"/>
        <w:rPr>
          <w:rFonts w:ascii="Verdana" w:hAnsi="Verdana"/>
          <w:szCs w:val="22"/>
        </w:rPr>
      </w:pPr>
      <w:r w:rsidRPr="006F6768">
        <w:rPr>
          <w:rFonts w:ascii="Verdana" w:hAnsi="Verdana"/>
          <w:szCs w:val="22"/>
        </w:rPr>
        <w:t>r</w:t>
      </w:r>
      <w:r w:rsidR="00524642" w:rsidRPr="006F6768">
        <w:rPr>
          <w:rFonts w:ascii="Verdana" w:hAnsi="Verdana"/>
          <w:szCs w:val="22"/>
        </w:rPr>
        <w:t>ozbudowanie komponentu A o elementy społeczno-obywatelskie lub stworzenie dodatkowego  komponentu: “Rozwój oraz odporność społeczna i obywatelska”</w:t>
      </w:r>
      <w:r w:rsidR="00AF0117" w:rsidRPr="006F6768">
        <w:rPr>
          <w:rFonts w:ascii="Verdana" w:hAnsi="Verdana"/>
          <w:szCs w:val="22"/>
        </w:rPr>
        <w:t xml:space="preserve"> </w:t>
      </w:r>
      <w:r w:rsidR="00194D76" w:rsidRPr="006F6768">
        <w:rPr>
          <w:rFonts w:ascii="Verdana" w:hAnsi="Verdana"/>
          <w:szCs w:val="22"/>
        </w:rPr>
        <w:t>–</w:t>
      </w:r>
      <w:r w:rsidR="00AF0117" w:rsidRPr="006F6768">
        <w:rPr>
          <w:rFonts w:ascii="Verdana" w:hAnsi="Verdana"/>
          <w:szCs w:val="22"/>
        </w:rPr>
        <w:t xml:space="preserve"> centra aktywności społeczno-obywatelskiej wzmacniające odporność i spójność społeczną</w:t>
      </w:r>
      <w:r w:rsidRPr="006F6768">
        <w:rPr>
          <w:rFonts w:ascii="Verdana" w:hAnsi="Verdana"/>
          <w:szCs w:val="22"/>
        </w:rPr>
        <w:t>;</w:t>
      </w:r>
    </w:p>
    <w:p w14:paraId="5F150C44" w14:textId="06BCBA06" w:rsidR="00524642" w:rsidRPr="006F6768" w:rsidRDefault="001E3D2C" w:rsidP="006F6768">
      <w:pPr>
        <w:pStyle w:val="Akapitzlist"/>
        <w:numPr>
          <w:ilvl w:val="0"/>
          <w:numId w:val="10"/>
        </w:numPr>
        <w:spacing w:line="360" w:lineRule="auto"/>
        <w:jc w:val="both"/>
        <w:rPr>
          <w:rFonts w:ascii="Verdana" w:hAnsi="Verdana"/>
          <w:szCs w:val="22"/>
        </w:rPr>
      </w:pPr>
      <w:r w:rsidRPr="006F6768">
        <w:rPr>
          <w:rFonts w:ascii="Verdana" w:hAnsi="Verdana"/>
          <w:szCs w:val="22"/>
        </w:rPr>
        <w:lastRenderedPageBreak/>
        <w:t>u</w:t>
      </w:r>
      <w:r w:rsidR="00524642" w:rsidRPr="006F6768">
        <w:rPr>
          <w:rFonts w:ascii="Verdana" w:hAnsi="Verdana"/>
          <w:szCs w:val="22"/>
        </w:rPr>
        <w:t>względnienie zasad horyzontalnych, w ty</w:t>
      </w:r>
      <w:r w:rsidR="00194D76" w:rsidRPr="006F6768">
        <w:rPr>
          <w:rFonts w:ascii="Verdana" w:hAnsi="Verdana"/>
          <w:szCs w:val="22"/>
        </w:rPr>
        <w:t>m zasady dostępności dla osób z </w:t>
      </w:r>
      <w:r w:rsidR="00524642" w:rsidRPr="006F6768">
        <w:rPr>
          <w:rFonts w:ascii="Verdana" w:hAnsi="Verdana"/>
          <w:szCs w:val="22"/>
        </w:rPr>
        <w:t>niepełnosprawnościami w krajowym programie odbudowy</w:t>
      </w:r>
      <w:r w:rsidRPr="006F6768">
        <w:rPr>
          <w:rFonts w:ascii="Verdana" w:hAnsi="Verdana"/>
          <w:szCs w:val="22"/>
        </w:rPr>
        <w:t>;</w:t>
      </w:r>
    </w:p>
    <w:p w14:paraId="458481AB" w14:textId="31F2FA01" w:rsidR="00524642" w:rsidRPr="006F6768" w:rsidRDefault="001E3D2C" w:rsidP="006F6768">
      <w:pPr>
        <w:pStyle w:val="Akapitzlist"/>
        <w:numPr>
          <w:ilvl w:val="0"/>
          <w:numId w:val="10"/>
        </w:numPr>
        <w:spacing w:line="360" w:lineRule="auto"/>
        <w:jc w:val="both"/>
        <w:rPr>
          <w:rFonts w:ascii="Verdana" w:hAnsi="Verdana"/>
          <w:szCs w:val="22"/>
        </w:rPr>
      </w:pPr>
      <w:r w:rsidRPr="006F6768">
        <w:rPr>
          <w:rFonts w:ascii="Verdana" w:hAnsi="Verdana"/>
          <w:szCs w:val="22"/>
        </w:rPr>
        <w:t>d</w:t>
      </w:r>
      <w:r w:rsidR="00524642" w:rsidRPr="006F6768">
        <w:rPr>
          <w:rFonts w:ascii="Verdana" w:hAnsi="Verdana"/>
          <w:szCs w:val="22"/>
        </w:rPr>
        <w:t>odanie reformy A5 wzmocnienie kobi</w:t>
      </w:r>
      <w:r w:rsidR="00194D76" w:rsidRPr="006F6768">
        <w:rPr>
          <w:rFonts w:ascii="Verdana" w:hAnsi="Verdana"/>
          <w:szCs w:val="22"/>
        </w:rPr>
        <w:t>et w pełnieniu ról zawodowych i </w:t>
      </w:r>
      <w:r w:rsidR="00524642" w:rsidRPr="006F6768">
        <w:rPr>
          <w:rFonts w:ascii="Verdana" w:hAnsi="Verdana"/>
          <w:szCs w:val="22"/>
        </w:rPr>
        <w:t>społecznych w komponencie a (reforma: A5 wzmocnienie kobiet w pełnieniu ról zawodowych i społecznych;  inwestycja: A5.1 rozwój siatki usług społecznych pozwalających na powrót na rynek pracy i utrzymanie się na nim)</w:t>
      </w:r>
      <w:r w:rsidRPr="006F6768">
        <w:rPr>
          <w:rFonts w:ascii="Verdana" w:hAnsi="Verdana"/>
          <w:szCs w:val="22"/>
        </w:rPr>
        <w:t>;</w:t>
      </w:r>
    </w:p>
    <w:p w14:paraId="69C655AF" w14:textId="640BAC71" w:rsidR="00F559EC" w:rsidRPr="006F6768" w:rsidRDefault="001E3D2C" w:rsidP="006F6768">
      <w:pPr>
        <w:pStyle w:val="Akapitzlist"/>
        <w:numPr>
          <w:ilvl w:val="0"/>
          <w:numId w:val="10"/>
        </w:numPr>
        <w:spacing w:line="360" w:lineRule="auto"/>
        <w:jc w:val="both"/>
        <w:rPr>
          <w:rFonts w:ascii="Verdana" w:hAnsi="Verdana"/>
          <w:szCs w:val="22"/>
        </w:rPr>
      </w:pPr>
      <w:r w:rsidRPr="006F6768">
        <w:rPr>
          <w:rFonts w:ascii="Verdana" w:hAnsi="Verdana"/>
          <w:color w:val="000000"/>
          <w:szCs w:val="22"/>
        </w:rPr>
        <w:t>e</w:t>
      </w:r>
      <w:r w:rsidR="00F559EC" w:rsidRPr="006F6768">
        <w:rPr>
          <w:rFonts w:ascii="Verdana" w:hAnsi="Verdana"/>
          <w:color w:val="000000"/>
          <w:szCs w:val="22"/>
        </w:rPr>
        <w:t>fektywność, dostępność i jakość systemu ochrony zdrowia i usług społecznych. Wdrożenie deinstytuc</w:t>
      </w:r>
      <w:r w:rsidR="006F6768">
        <w:rPr>
          <w:rFonts w:ascii="Verdana" w:hAnsi="Verdana"/>
          <w:color w:val="000000"/>
          <w:szCs w:val="22"/>
        </w:rPr>
        <w:t>jonalizacji usług zdrowotnych i </w:t>
      </w:r>
      <w:r w:rsidR="00F559EC" w:rsidRPr="006F6768">
        <w:rPr>
          <w:rFonts w:ascii="Verdana" w:hAnsi="Verdana"/>
          <w:color w:val="000000"/>
          <w:szCs w:val="22"/>
        </w:rPr>
        <w:t>społecznych</w:t>
      </w:r>
      <w:r w:rsidRPr="006F6768">
        <w:rPr>
          <w:rFonts w:ascii="Verdana" w:hAnsi="Verdana"/>
          <w:color w:val="000000"/>
          <w:szCs w:val="22"/>
        </w:rPr>
        <w:t>;</w:t>
      </w:r>
    </w:p>
    <w:p w14:paraId="7B2350F4" w14:textId="19E1D733" w:rsidR="001D7031" w:rsidRPr="006F6768" w:rsidRDefault="001E3D2C" w:rsidP="006F6768">
      <w:pPr>
        <w:pStyle w:val="Akapitzlist"/>
        <w:numPr>
          <w:ilvl w:val="0"/>
          <w:numId w:val="10"/>
        </w:numPr>
        <w:spacing w:line="360" w:lineRule="auto"/>
        <w:jc w:val="both"/>
        <w:rPr>
          <w:rFonts w:ascii="Verdana" w:hAnsi="Verdana"/>
          <w:szCs w:val="22"/>
        </w:rPr>
      </w:pPr>
      <w:r w:rsidRPr="006F6768">
        <w:rPr>
          <w:rFonts w:ascii="Verdana" w:hAnsi="Verdana"/>
          <w:szCs w:val="22"/>
        </w:rPr>
        <w:t>d</w:t>
      </w:r>
      <w:r w:rsidR="00524642" w:rsidRPr="006F6768">
        <w:rPr>
          <w:rFonts w:ascii="Verdana" w:hAnsi="Verdana"/>
          <w:szCs w:val="22"/>
        </w:rPr>
        <w:t>odanie celu szczegółowego: D5 Usługi społeczne z inwestycyjną D5.1. Mieszkalnictwo wspomagane</w:t>
      </w:r>
      <w:r w:rsidRPr="006F6768">
        <w:rPr>
          <w:rFonts w:ascii="Verdana" w:hAnsi="Verdana"/>
          <w:szCs w:val="22"/>
        </w:rPr>
        <w:t>;</w:t>
      </w:r>
    </w:p>
    <w:p w14:paraId="2AD28C45" w14:textId="08098118" w:rsidR="00204A7A" w:rsidRPr="006F6768" w:rsidRDefault="001E3D2C" w:rsidP="006F6768">
      <w:pPr>
        <w:pStyle w:val="Akapitzlist"/>
        <w:numPr>
          <w:ilvl w:val="0"/>
          <w:numId w:val="10"/>
        </w:numPr>
        <w:spacing w:line="360" w:lineRule="auto"/>
        <w:jc w:val="both"/>
        <w:rPr>
          <w:rFonts w:ascii="Verdana" w:hAnsi="Verdana"/>
          <w:szCs w:val="22"/>
        </w:rPr>
      </w:pPr>
      <w:r w:rsidRPr="006F6768">
        <w:rPr>
          <w:rFonts w:ascii="Verdana" w:hAnsi="Verdana"/>
          <w:szCs w:val="22"/>
        </w:rPr>
        <w:t>w</w:t>
      </w:r>
      <w:r w:rsidR="00BC2A5C" w:rsidRPr="006F6768">
        <w:rPr>
          <w:rFonts w:ascii="Verdana" w:hAnsi="Verdana"/>
          <w:szCs w:val="22"/>
        </w:rPr>
        <w:t>zmocnienie działań na rzecz Zielonej Transformacji w KPO.</w:t>
      </w:r>
    </w:p>
    <w:bookmarkEnd w:id="2"/>
    <w:p w14:paraId="665F8CE1" w14:textId="7B67D812" w:rsidR="00530340" w:rsidRPr="006F6768" w:rsidRDefault="001741F8" w:rsidP="006F6768">
      <w:pPr>
        <w:spacing w:line="360" w:lineRule="auto"/>
        <w:jc w:val="center"/>
        <w:rPr>
          <w:rFonts w:ascii="Verdana" w:hAnsi="Verdana"/>
          <w:b/>
          <w:szCs w:val="22"/>
        </w:rPr>
      </w:pPr>
      <w:r w:rsidRPr="006F6768">
        <w:rPr>
          <w:rFonts w:ascii="Verdana" w:hAnsi="Verdana"/>
          <w:b/>
          <w:szCs w:val="22"/>
        </w:rPr>
        <w:t xml:space="preserve">§ </w:t>
      </w:r>
      <w:r w:rsidR="0062481D" w:rsidRPr="006F6768">
        <w:rPr>
          <w:rFonts w:ascii="Verdana" w:hAnsi="Verdana"/>
          <w:b/>
          <w:szCs w:val="22"/>
        </w:rPr>
        <w:t>2</w:t>
      </w:r>
    </w:p>
    <w:p w14:paraId="214432A8" w14:textId="0F1C024B" w:rsidR="00413237" w:rsidRPr="006F6768" w:rsidRDefault="001D7031" w:rsidP="006F6768">
      <w:pPr>
        <w:spacing w:line="360" w:lineRule="auto"/>
        <w:contextualSpacing/>
        <w:jc w:val="both"/>
        <w:rPr>
          <w:rFonts w:ascii="Verdana" w:hAnsi="Verdana"/>
          <w:szCs w:val="22"/>
        </w:rPr>
      </w:pPr>
      <w:r w:rsidRPr="006F6768">
        <w:rPr>
          <w:rFonts w:ascii="Verdana" w:hAnsi="Verdana"/>
          <w:szCs w:val="22"/>
        </w:rPr>
        <w:t xml:space="preserve">Wykaz uwag stanowią załączniki </w:t>
      </w:r>
      <w:r w:rsidR="00DA5432" w:rsidRPr="006F6768">
        <w:rPr>
          <w:rFonts w:ascii="Verdana" w:hAnsi="Verdana"/>
          <w:szCs w:val="22"/>
        </w:rPr>
        <w:t xml:space="preserve">nr 1-3 </w:t>
      </w:r>
      <w:r w:rsidRPr="006F6768">
        <w:rPr>
          <w:rFonts w:ascii="Verdana" w:hAnsi="Verdana"/>
          <w:szCs w:val="22"/>
        </w:rPr>
        <w:t xml:space="preserve">do niniejszej uchwały. </w:t>
      </w:r>
    </w:p>
    <w:p w14:paraId="42297211" w14:textId="7C0FE3C5" w:rsidR="001741F8" w:rsidRPr="006F6768" w:rsidRDefault="001741F8" w:rsidP="006F6768">
      <w:pPr>
        <w:spacing w:line="360" w:lineRule="auto"/>
        <w:contextualSpacing/>
        <w:jc w:val="center"/>
        <w:rPr>
          <w:rFonts w:ascii="Verdana" w:hAnsi="Verdana"/>
          <w:szCs w:val="22"/>
        </w:rPr>
      </w:pPr>
      <w:r w:rsidRPr="006F6768">
        <w:rPr>
          <w:rFonts w:ascii="Verdana" w:hAnsi="Verdana"/>
          <w:b/>
          <w:szCs w:val="22"/>
        </w:rPr>
        <w:t>§</w:t>
      </w:r>
      <w:r w:rsidR="0062481D" w:rsidRPr="006F6768">
        <w:rPr>
          <w:rFonts w:ascii="Verdana" w:hAnsi="Verdana"/>
          <w:b/>
          <w:szCs w:val="22"/>
        </w:rPr>
        <w:t xml:space="preserve"> 3</w:t>
      </w:r>
    </w:p>
    <w:p w14:paraId="59D76B4B" w14:textId="77777777" w:rsidR="001741F8" w:rsidRPr="006F6768" w:rsidRDefault="001741F8" w:rsidP="006F6768">
      <w:pPr>
        <w:pStyle w:val="Akapitzlist"/>
        <w:spacing w:line="360" w:lineRule="auto"/>
        <w:ind w:left="0"/>
        <w:jc w:val="both"/>
        <w:rPr>
          <w:rFonts w:ascii="Verdana" w:hAnsi="Verdana"/>
          <w:szCs w:val="22"/>
        </w:rPr>
      </w:pPr>
      <w:r w:rsidRPr="006F6768">
        <w:rPr>
          <w:rFonts w:ascii="Verdana" w:hAnsi="Verdana"/>
          <w:szCs w:val="22"/>
        </w:rPr>
        <w:t>Rada wnosi o przekazanie niniejszej uchwały:</w:t>
      </w:r>
    </w:p>
    <w:p w14:paraId="383C0599" w14:textId="77777777" w:rsidR="001741F8" w:rsidRPr="006F6768" w:rsidRDefault="001741F8" w:rsidP="006F6768">
      <w:pPr>
        <w:pStyle w:val="Akapitzlist"/>
        <w:numPr>
          <w:ilvl w:val="0"/>
          <w:numId w:val="7"/>
        </w:numPr>
        <w:spacing w:line="360" w:lineRule="auto"/>
        <w:jc w:val="both"/>
        <w:rPr>
          <w:rFonts w:ascii="Verdana" w:hAnsi="Verdana"/>
          <w:szCs w:val="22"/>
        </w:rPr>
      </w:pPr>
      <w:r w:rsidRPr="006F6768">
        <w:rPr>
          <w:rFonts w:ascii="Verdana" w:hAnsi="Verdana"/>
          <w:szCs w:val="22"/>
        </w:rPr>
        <w:t>Prezesowi Rady Ministrów Rzeczpospolitej Polskiej;</w:t>
      </w:r>
    </w:p>
    <w:p w14:paraId="71AF80E4" w14:textId="77777777" w:rsidR="001741F8" w:rsidRPr="006F6768" w:rsidRDefault="001741F8" w:rsidP="006F6768">
      <w:pPr>
        <w:pStyle w:val="Akapitzlist"/>
        <w:numPr>
          <w:ilvl w:val="0"/>
          <w:numId w:val="7"/>
        </w:numPr>
        <w:spacing w:line="360" w:lineRule="auto"/>
        <w:jc w:val="both"/>
        <w:rPr>
          <w:rFonts w:ascii="Verdana" w:hAnsi="Verdana"/>
          <w:szCs w:val="22"/>
        </w:rPr>
      </w:pPr>
      <w:r w:rsidRPr="006F6768">
        <w:rPr>
          <w:rFonts w:ascii="Verdana" w:hAnsi="Verdana"/>
          <w:szCs w:val="22"/>
        </w:rPr>
        <w:t>Ministrowi finansów, funduszy i polityki regionalnej;</w:t>
      </w:r>
    </w:p>
    <w:p w14:paraId="74F0A183" w14:textId="719E0957" w:rsidR="001741F8" w:rsidRPr="006F6768" w:rsidRDefault="001741F8" w:rsidP="006F6768">
      <w:pPr>
        <w:pStyle w:val="Akapitzlist"/>
        <w:numPr>
          <w:ilvl w:val="0"/>
          <w:numId w:val="7"/>
        </w:numPr>
        <w:spacing w:line="360" w:lineRule="auto"/>
        <w:jc w:val="both"/>
        <w:rPr>
          <w:rFonts w:ascii="Verdana" w:hAnsi="Verdana"/>
          <w:szCs w:val="22"/>
        </w:rPr>
      </w:pPr>
      <w:r w:rsidRPr="006F6768">
        <w:rPr>
          <w:rFonts w:ascii="Verdana" w:hAnsi="Verdana"/>
          <w:szCs w:val="22"/>
        </w:rPr>
        <w:t>Komisji Europejskiej oraz Przedstawi</w:t>
      </w:r>
      <w:r w:rsidR="006F6768">
        <w:rPr>
          <w:rFonts w:ascii="Verdana" w:hAnsi="Verdana"/>
          <w:szCs w:val="22"/>
        </w:rPr>
        <w:t>cielstwu Komisji Europejskiej w </w:t>
      </w:r>
      <w:r w:rsidRPr="006F6768">
        <w:rPr>
          <w:rFonts w:ascii="Verdana" w:hAnsi="Verdana"/>
          <w:szCs w:val="22"/>
        </w:rPr>
        <w:t>Polsce;</w:t>
      </w:r>
    </w:p>
    <w:p w14:paraId="4E711400" w14:textId="77777777" w:rsidR="001741F8" w:rsidRPr="006F6768" w:rsidRDefault="001741F8" w:rsidP="006F6768">
      <w:pPr>
        <w:pStyle w:val="Akapitzlist"/>
        <w:numPr>
          <w:ilvl w:val="0"/>
          <w:numId w:val="7"/>
        </w:numPr>
        <w:spacing w:line="360" w:lineRule="auto"/>
        <w:jc w:val="both"/>
        <w:rPr>
          <w:rFonts w:ascii="Verdana" w:hAnsi="Verdana"/>
          <w:szCs w:val="22"/>
        </w:rPr>
      </w:pPr>
      <w:r w:rsidRPr="006F6768">
        <w:rPr>
          <w:rFonts w:ascii="Verdana" w:hAnsi="Verdana"/>
          <w:szCs w:val="22"/>
        </w:rPr>
        <w:t>Przewodniczącemu Podkomitetu ds. Realizacji Rozwoju Partnerstwa;</w:t>
      </w:r>
    </w:p>
    <w:p w14:paraId="6319361D" w14:textId="77777777" w:rsidR="001741F8" w:rsidRPr="006F6768" w:rsidRDefault="001741F8" w:rsidP="006F6768">
      <w:pPr>
        <w:pStyle w:val="Akapitzlist"/>
        <w:numPr>
          <w:ilvl w:val="0"/>
          <w:numId w:val="7"/>
        </w:numPr>
        <w:spacing w:line="360" w:lineRule="auto"/>
        <w:jc w:val="both"/>
        <w:rPr>
          <w:rFonts w:ascii="Verdana" w:hAnsi="Verdana"/>
          <w:szCs w:val="22"/>
        </w:rPr>
      </w:pPr>
      <w:r w:rsidRPr="006F6768">
        <w:rPr>
          <w:rFonts w:ascii="Verdana" w:hAnsi="Verdana"/>
          <w:szCs w:val="22"/>
        </w:rPr>
        <w:t>Polskim członkom Europejskiego Komitetu Ekonomiczno- Społecznego.</w:t>
      </w:r>
    </w:p>
    <w:p w14:paraId="34E032F5" w14:textId="08A1EC83" w:rsidR="00FB0BEF" w:rsidRPr="006F6768" w:rsidRDefault="00FB0BEF" w:rsidP="006F6768">
      <w:pPr>
        <w:spacing w:line="360" w:lineRule="auto"/>
        <w:jc w:val="center"/>
        <w:rPr>
          <w:rFonts w:ascii="Verdana" w:hAnsi="Verdana"/>
          <w:szCs w:val="22"/>
        </w:rPr>
      </w:pPr>
      <w:r w:rsidRPr="006F6768">
        <w:rPr>
          <w:rFonts w:ascii="Verdana" w:hAnsi="Verdana"/>
          <w:b/>
          <w:szCs w:val="22"/>
        </w:rPr>
        <w:t xml:space="preserve">§ </w:t>
      </w:r>
      <w:r w:rsidR="0062481D" w:rsidRPr="006F6768">
        <w:rPr>
          <w:rFonts w:ascii="Verdana" w:hAnsi="Verdana"/>
          <w:b/>
          <w:szCs w:val="22"/>
        </w:rPr>
        <w:t>4</w:t>
      </w:r>
    </w:p>
    <w:p w14:paraId="04D6FFBC" w14:textId="70B1DA0B" w:rsidR="00194D76" w:rsidRPr="006F6768" w:rsidRDefault="00800E41" w:rsidP="006F6768">
      <w:pPr>
        <w:spacing w:line="360" w:lineRule="auto"/>
        <w:jc w:val="both"/>
        <w:rPr>
          <w:rFonts w:ascii="Verdana" w:hAnsi="Verdana"/>
          <w:szCs w:val="22"/>
        </w:rPr>
      </w:pPr>
      <w:r w:rsidRPr="006F6768">
        <w:rPr>
          <w:rFonts w:ascii="Verdana" w:hAnsi="Verdana"/>
          <w:szCs w:val="22"/>
        </w:rPr>
        <w:t>Uchwała wchodzi w życie z dniem podjęcia.</w:t>
      </w:r>
    </w:p>
    <w:p w14:paraId="53DD6D2B" w14:textId="0EF835AB" w:rsidR="001E3D2C" w:rsidRPr="006F6768" w:rsidRDefault="00194D76" w:rsidP="006F6768">
      <w:pPr>
        <w:spacing w:line="360" w:lineRule="auto"/>
        <w:rPr>
          <w:rFonts w:ascii="Verdana" w:hAnsi="Verdana"/>
          <w:szCs w:val="22"/>
        </w:rPr>
      </w:pPr>
      <w:r w:rsidRPr="006F6768">
        <w:rPr>
          <w:rFonts w:ascii="Verdana" w:hAnsi="Verdana"/>
          <w:szCs w:val="22"/>
        </w:rPr>
        <w:br w:type="page"/>
      </w:r>
    </w:p>
    <w:p w14:paraId="581C578C" w14:textId="1D39DF1C" w:rsidR="001A5A19" w:rsidRPr="006F6768" w:rsidRDefault="001A5A19" w:rsidP="006F6768">
      <w:pPr>
        <w:spacing w:line="360" w:lineRule="auto"/>
        <w:jc w:val="center"/>
        <w:rPr>
          <w:rFonts w:ascii="Verdana" w:hAnsi="Verdana"/>
          <w:b/>
          <w:bCs/>
        </w:rPr>
      </w:pPr>
      <w:r w:rsidRPr="006F6768">
        <w:rPr>
          <w:rFonts w:ascii="Verdana" w:hAnsi="Verdana"/>
          <w:b/>
          <w:bCs/>
        </w:rPr>
        <w:lastRenderedPageBreak/>
        <w:t>Uzasadnienie:</w:t>
      </w:r>
    </w:p>
    <w:p w14:paraId="5030F28A" w14:textId="77777777" w:rsidR="001B5791" w:rsidRPr="006F6768" w:rsidRDefault="001B5791" w:rsidP="006F6768">
      <w:pPr>
        <w:spacing w:line="360" w:lineRule="auto"/>
        <w:jc w:val="center"/>
        <w:rPr>
          <w:rFonts w:ascii="Verdana" w:hAnsi="Verdana"/>
          <w:b/>
          <w:bCs/>
        </w:rPr>
      </w:pPr>
    </w:p>
    <w:p w14:paraId="708C8FBA" w14:textId="74B47589" w:rsidR="00CE7E9E" w:rsidRPr="006F6768" w:rsidRDefault="00CE7E9E" w:rsidP="006F6768">
      <w:pPr>
        <w:spacing w:line="360" w:lineRule="auto"/>
        <w:jc w:val="both"/>
        <w:rPr>
          <w:rFonts w:ascii="Verdana" w:hAnsi="Verdana"/>
        </w:rPr>
      </w:pPr>
      <w:r w:rsidRPr="006F6768">
        <w:rPr>
          <w:rFonts w:ascii="Verdana" w:hAnsi="Verdana"/>
        </w:rPr>
        <w:t xml:space="preserve">Krajowy Plan Odbudowy i Zwiększania Odporności (zwany dalej KPO) będzie nową mapą drogową Polski w kilku obszarach – inwestycyjnym, rozwojowym i przede wszystkim społecznym. Odbudowa kraju po kryzysie, wzmocnienie jego odporności wymaga przede wszystkim inwestycji w ludzi. Pandemia COVID-19 bardzo </w:t>
      </w:r>
      <w:r w:rsidR="00194D76" w:rsidRPr="006F6768">
        <w:rPr>
          <w:rFonts w:ascii="Verdana" w:hAnsi="Verdana"/>
        </w:rPr>
        <w:t>silnie dotknęła społeczeństwo w o</w:t>
      </w:r>
      <w:r w:rsidRPr="006F6768">
        <w:rPr>
          <w:rFonts w:ascii="Verdana" w:hAnsi="Verdana"/>
        </w:rPr>
        <w:t>bszarze rynku pracy, edukacji, zdrowia, kultury, prob</w:t>
      </w:r>
      <w:r w:rsidR="006F6768">
        <w:rPr>
          <w:rFonts w:ascii="Verdana" w:hAnsi="Verdana"/>
        </w:rPr>
        <w:t>lemów społecznych oraz ubóstwa.</w:t>
      </w:r>
    </w:p>
    <w:p w14:paraId="5B72C18A" w14:textId="77777777" w:rsidR="00CE7E9E" w:rsidRPr="006F6768" w:rsidRDefault="00CE7E9E" w:rsidP="006F6768">
      <w:pPr>
        <w:spacing w:line="360" w:lineRule="auto"/>
        <w:jc w:val="both"/>
        <w:rPr>
          <w:rFonts w:ascii="Verdana" w:hAnsi="Verdana"/>
        </w:rPr>
      </w:pPr>
    </w:p>
    <w:p w14:paraId="5C77A56C" w14:textId="4D545A7C" w:rsidR="00CE7E9E" w:rsidRPr="006F6768" w:rsidRDefault="00CE7E9E" w:rsidP="006F6768">
      <w:pPr>
        <w:spacing w:line="360" w:lineRule="auto"/>
        <w:jc w:val="both"/>
        <w:rPr>
          <w:rFonts w:ascii="Verdana" w:hAnsi="Verdana"/>
        </w:rPr>
      </w:pPr>
      <w:r w:rsidRPr="006F6768">
        <w:rPr>
          <w:rFonts w:ascii="Verdana" w:hAnsi="Verdana"/>
        </w:rPr>
        <w:t>Bardzo wyraźnie osłabły więzi społeczne, na</w:t>
      </w:r>
      <w:r w:rsidR="006F6768">
        <w:rPr>
          <w:rFonts w:ascii="Verdana" w:hAnsi="Verdana"/>
        </w:rPr>
        <w:t>siliły się problemy osobiste, a </w:t>
      </w:r>
      <w:r w:rsidRPr="006F6768">
        <w:rPr>
          <w:rFonts w:ascii="Verdana" w:hAnsi="Verdana"/>
        </w:rPr>
        <w:t>wcześniejsze problemy nabrały na sile. Społeczeństwo potrzebuje pomocy, by móc wyjść silniejsze z tego kryzysu. Dlatego KPO  to nie jest zwykły dokument. To kluczowa strategia rozwoju społeczeństwa na lata. Porównywany do Planu Marshalla</w:t>
      </w:r>
      <w:r w:rsidR="0097207A" w:rsidRPr="006F6768">
        <w:rPr>
          <w:rFonts w:ascii="Verdana" w:hAnsi="Verdana"/>
        </w:rPr>
        <w:t>,</w:t>
      </w:r>
      <w:r w:rsidRPr="006F6768">
        <w:rPr>
          <w:rFonts w:ascii="Verdana" w:hAnsi="Verdana"/>
        </w:rPr>
        <w:t xml:space="preserve"> ma tworzyć warunki rozwoju po silnym kryzysie, z którego możemy podźwignąć się tylko działając wspólnie jako obywatele, organizacje pozarządowe, przedsiębiorcy, związki zawodowe, samorządy i rząd. </w:t>
      </w:r>
    </w:p>
    <w:p w14:paraId="7511F55A" w14:textId="77777777" w:rsidR="00CE7E9E" w:rsidRPr="006F6768" w:rsidRDefault="00CE7E9E" w:rsidP="006F6768">
      <w:pPr>
        <w:spacing w:line="360" w:lineRule="auto"/>
        <w:jc w:val="both"/>
        <w:rPr>
          <w:rFonts w:ascii="Verdana" w:hAnsi="Verdana"/>
        </w:rPr>
      </w:pPr>
    </w:p>
    <w:p w14:paraId="4CFE64B9" w14:textId="0CD50595" w:rsidR="00CE7E9E" w:rsidRPr="006F6768" w:rsidRDefault="00CE7E9E" w:rsidP="006F6768">
      <w:pPr>
        <w:spacing w:line="360" w:lineRule="auto"/>
        <w:jc w:val="both"/>
        <w:rPr>
          <w:rFonts w:ascii="Verdana" w:hAnsi="Verdana"/>
        </w:rPr>
      </w:pPr>
      <w:r w:rsidRPr="006F6768">
        <w:rPr>
          <w:rFonts w:ascii="Verdana" w:hAnsi="Verdana"/>
        </w:rPr>
        <w:t xml:space="preserve">Planowanie wyłącznie pięknych i nowoczesnych idei inwestycyjnych traci sens, jeżeli nie będzie to marzeniem ludzi, którzy będą mogli i chcieli swoją pracą wypełnić te idee rzeczywistością. Krajowy Plan Odbudowy powinien być dla </w:t>
      </w:r>
      <w:r w:rsidR="00194D76" w:rsidRPr="006F6768">
        <w:rPr>
          <w:rFonts w:ascii="Verdana" w:hAnsi="Verdana"/>
        </w:rPr>
        <w:t>ludzi i uwzględniać działania z </w:t>
      </w:r>
      <w:r w:rsidRPr="006F6768">
        <w:rPr>
          <w:rFonts w:ascii="Verdana" w:hAnsi="Verdana"/>
        </w:rPr>
        <w:t>ludźmi. Nie można popełnić błędu jak w przypadku Brazylii, gdzie indywidualne potrzeby mieszkańców, ich prywatność i pragnienia zostały całkowicie wyparte przez nadrzędną wizję polityczno-architektoniczną. Krajowy Plan Odbudowy spełni swoją rolę wzmocnienia odporności gospodarczej i społecznej oraz budowy potencjału polskiej gospodarki na przyszłość tylko wówczas</w:t>
      </w:r>
      <w:r w:rsidR="0097207A" w:rsidRPr="006F6768">
        <w:rPr>
          <w:rFonts w:ascii="Verdana" w:hAnsi="Verdana"/>
        </w:rPr>
        <w:t>,</w:t>
      </w:r>
      <w:r w:rsidRPr="006F6768">
        <w:rPr>
          <w:rFonts w:ascii="Verdana" w:hAnsi="Verdana"/>
        </w:rPr>
        <w:t xml:space="preserve"> jeżeli będzie tworzony przez ludzi i dla ludzi. KPO nie ma być pomnikiem, ale wielkim impulsem rozwoju społeczeństwa.</w:t>
      </w:r>
    </w:p>
    <w:p w14:paraId="23EA480F" w14:textId="77777777" w:rsidR="00CE7E9E" w:rsidRPr="006F6768" w:rsidRDefault="00CE7E9E" w:rsidP="006F6768">
      <w:pPr>
        <w:spacing w:line="360" w:lineRule="auto"/>
        <w:jc w:val="both"/>
        <w:rPr>
          <w:rFonts w:ascii="Verdana" w:hAnsi="Verdana"/>
        </w:rPr>
      </w:pPr>
    </w:p>
    <w:p w14:paraId="566ADDC1" w14:textId="41497428" w:rsidR="00CE7E9E" w:rsidRPr="006F6768" w:rsidRDefault="00CE7E9E" w:rsidP="006F6768">
      <w:pPr>
        <w:spacing w:line="360" w:lineRule="auto"/>
        <w:jc w:val="both"/>
        <w:rPr>
          <w:rFonts w:ascii="Verdana" w:hAnsi="Verdana"/>
        </w:rPr>
      </w:pPr>
      <w:r w:rsidRPr="006F6768">
        <w:rPr>
          <w:rFonts w:ascii="Verdana" w:hAnsi="Verdana"/>
        </w:rPr>
        <w:lastRenderedPageBreak/>
        <w:t>Jako Rada Działalności Pożytku Publicznego</w:t>
      </w:r>
      <w:r w:rsidR="0097207A" w:rsidRPr="006F6768">
        <w:rPr>
          <w:rFonts w:ascii="Verdana" w:hAnsi="Verdana"/>
        </w:rPr>
        <w:t>,</w:t>
      </w:r>
      <w:r w:rsidRPr="006F6768">
        <w:rPr>
          <w:rFonts w:ascii="Verdana" w:hAnsi="Verdana"/>
        </w:rPr>
        <w:t xml:space="preserve"> w tym grupa podmiotów i osób zorganizowanego społeczeństwa obywatelski</w:t>
      </w:r>
      <w:r w:rsidR="006F6768">
        <w:rPr>
          <w:rFonts w:ascii="Verdana" w:hAnsi="Verdana"/>
        </w:rPr>
        <w:t>ego</w:t>
      </w:r>
      <w:r w:rsidR="0097207A" w:rsidRPr="006F6768">
        <w:rPr>
          <w:rFonts w:ascii="Verdana" w:hAnsi="Verdana"/>
        </w:rPr>
        <w:t>,</w:t>
      </w:r>
      <w:r w:rsidR="006F6768">
        <w:rPr>
          <w:rFonts w:ascii="Verdana" w:hAnsi="Verdana"/>
        </w:rPr>
        <w:t xml:space="preserve"> </w:t>
      </w:r>
      <w:r w:rsidRPr="006F6768">
        <w:rPr>
          <w:rFonts w:ascii="Verdana" w:hAnsi="Verdana"/>
        </w:rPr>
        <w:t>reprezentująca środowiska z obszarów socjalnych, ekologicznych, dbających o dostępność i włączenie, aktywizujących i wspierających lokalnie, regionalnie i krajowo, postulujemy wprowadzenie do KPO szeregu zmian, których wdrożenie pozwoli polskiemu społeczeństwo stanąć na nogi po ciosie</w:t>
      </w:r>
      <w:r w:rsidR="0097207A" w:rsidRPr="006F6768">
        <w:rPr>
          <w:rFonts w:ascii="Verdana" w:hAnsi="Verdana"/>
        </w:rPr>
        <w:t>,</w:t>
      </w:r>
      <w:r w:rsidR="00194D76" w:rsidRPr="006F6768">
        <w:rPr>
          <w:rFonts w:ascii="Verdana" w:hAnsi="Verdana"/>
        </w:rPr>
        <w:t xml:space="preserve"> jakim dla wszystkich branż i </w:t>
      </w:r>
      <w:r w:rsidRPr="006F6768">
        <w:rPr>
          <w:rFonts w:ascii="Verdana" w:hAnsi="Verdana"/>
        </w:rPr>
        <w:t xml:space="preserve">sektorów jest pandemia. </w:t>
      </w:r>
    </w:p>
    <w:p w14:paraId="0BAB5592" w14:textId="77777777" w:rsidR="00CE7E9E" w:rsidRPr="006F6768" w:rsidRDefault="00CE7E9E" w:rsidP="006F6768">
      <w:pPr>
        <w:spacing w:line="360" w:lineRule="auto"/>
        <w:jc w:val="both"/>
        <w:rPr>
          <w:rFonts w:ascii="Verdana" w:hAnsi="Verdana"/>
        </w:rPr>
      </w:pPr>
    </w:p>
    <w:p w14:paraId="5CCA1911" w14:textId="6020FE30" w:rsidR="00CE7E9E" w:rsidRPr="006F6768" w:rsidRDefault="00CE7E9E" w:rsidP="006F6768">
      <w:pPr>
        <w:spacing w:line="360" w:lineRule="auto"/>
        <w:jc w:val="both"/>
        <w:rPr>
          <w:rFonts w:ascii="Verdana" w:hAnsi="Verdana"/>
        </w:rPr>
      </w:pPr>
      <w:r w:rsidRPr="006F6768">
        <w:rPr>
          <w:rFonts w:ascii="Verdana" w:hAnsi="Verdana"/>
        </w:rPr>
        <w:t xml:space="preserve">Kompleksowe podejście jest szczególnie istotne </w:t>
      </w:r>
      <w:r w:rsidR="0097207A" w:rsidRPr="006F6768">
        <w:rPr>
          <w:rFonts w:ascii="Verdana" w:hAnsi="Verdana"/>
        </w:rPr>
        <w:t>dlatego</w:t>
      </w:r>
      <w:r w:rsidRPr="006F6768">
        <w:rPr>
          <w:rFonts w:ascii="Verdana" w:hAnsi="Verdana"/>
        </w:rPr>
        <w:t xml:space="preserve">, że przed pogrążoną w pandemii Europą unosi się widmo kolejnej katastrofy: tym razem klimatycznej. </w:t>
      </w:r>
    </w:p>
    <w:p w14:paraId="37A4C1A9" w14:textId="69074B2A" w:rsidR="001A5A19" w:rsidRPr="006F6768" w:rsidRDefault="00CE7E9E" w:rsidP="006F6768">
      <w:pPr>
        <w:spacing w:line="360" w:lineRule="auto"/>
        <w:jc w:val="both"/>
        <w:rPr>
          <w:rFonts w:ascii="Verdana" w:hAnsi="Verdana"/>
        </w:rPr>
      </w:pPr>
      <w:r w:rsidRPr="006F6768">
        <w:rPr>
          <w:rFonts w:ascii="Verdana" w:hAnsi="Verdana"/>
        </w:rPr>
        <w:t>Należy pamiętać, że KPO jest odpowiedzią na pandemię spowodowaną kryzysem zdrowotnym wynikającym</w:t>
      </w:r>
      <w:r w:rsidR="006F6768">
        <w:rPr>
          <w:rFonts w:ascii="Verdana" w:hAnsi="Verdana"/>
        </w:rPr>
        <w:t xml:space="preserve"> z utraty bioróżnorodności, a w </w:t>
      </w:r>
      <w:r w:rsidRPr="006F6768">
        <w:rPr>
          <w:rFonts w:ascii="Verdana" w:hAnsi="Verdana"/>
        </w:rPr>
        <w:t>szerszym kontekście marginalizowania wpływu środowiska na zdrowie ludzi. Istotna część środków z Planu ma zostać przeznaczona na działania związane z transformacją energetyczną, dlatego kluczowym zagadnieniem w debacie nad zmianą sposobu produkowania energii czy neutralnością klimatyczną powinno być zdrowie publiczne. W samej Polsce koszty zdrowotne zmiany klimatu mogą wynieść nawet 119 mld zł w latach 2021-2030 (koszty hospitalizacji, koszty utraconych</w:t>
      </w:r>
      <w:r w:rsidR="00194D76" w:rsidRPr="006F6768">
        <w:rPr>
          <w:rFonts w:ascii="Verdana" w:hAnsi="Verdana"/>
        </w:rPr>
        <w:t xml:space="preserve"> dni pracy, rent czy zasiłków w </w:t>
      </w:r>
      <w:r w:rsidRPr="006F6768">
        <w:rPr>
          <w:rFonts w:ascii="Verdana" w:hAnsi="Verdana"/>
        </w:rPr>
        <w:t xml:space="preserve">wyniku niezdolności do pracy). Zarówno zanieczyszczenie powietrza, jak i nasilająca się zmiana klimatu pozostają największymi wyzwaniami środowiskowymi dla zdrowia publicznego w naszym kraju, powodując dziesiątki tysięcy </w:t>
      </w:r>
      <w:r w:rsidR="00194D76" w:rsidRPr="006F6768">
        <w:rPr>
          <w:rFonts w:ascii="Verdana" w:hAnsi="Verdana"/>
        </w:rPr>
        <w:t>przedwczesnych zgonów rocznie i </w:t>
      </w:r>
      <w:r w:rsidRPr="006F6768">
        <w:rPr>
          <w:rFonts w:ascii="Verdana" w:hAnsi="Verdana"/>
        </w:rPr>
        <w:t>narażając miliony ludzi na choroby przewlekłe, obniżenie jakości zdrowia czy produktywności.</w:t>
      </w:r>
    </w:p>
    <w:p w14:paraId="05D4B4A5" w14:textId="4C22D59D" w:rsidR="00CE7E9E" w:rsidRPr="006F6768" w:rsidRDefault="00CE7E9E" w:rsidP="006F6768">
      <w:pPr>
        <w:spacing w:line="360" w:lineRule="auto"/>
        <w:jc w:val="both"/>
        <w:rPr>
          <w:rFonts w:ascii="Verdana" w:hAnsi="Verdana"/>
        </w:rPr>
      </w:pPr>
    </w:p>
    <w:p w14:paraId="6F69C04C" w14:textId="0CF2BEB3" w:rsidR="00CE7E9E" w:rsidRPr="006F6768" w:rsidRDefault="00CE7E9E" w:rsidP="006F6768">
      <w:pPr>
        <w:spacing w:line="360" w:lineRule="auto"/>
        <w:jc w:val="both"/>
        <w:rPr>
          <w:rFonts w:ascii="Verdana" w:hAnsi="Verdana"/>
        </w:rPr>
      </w:pPr>
      <w:r w:rsidRPr="006F6768">
        <w:rPr>
          <w:rFonts w:ascii="Verdana" w:hAnsi="Verdana"/>
        </w:rPr>
        <w:t xml:space="preserve">KPO powstał, żeby Polska mogła sięgnąć po pieniądze ze specjalnego unijnego Instrumentu na rzecz Odbudowy i Zwiększania Odporności. Z tego źródła do Polski ma trafić ponad 23,9 mld euro dotacji i ponad 34,2 mld euro pożyczek. Plan ma być przełożeniem tych pieniędzy na konkretne reformy, programy i inwestycje. To duże pieniądze i zaplanowanie, jak je mądrze wydać, nie jest proste. Widać jednak, że wydatki na inwestycje </w:t>
      </w:r>
      <w:r w:rsidRPr="006F6768">
        <w:rPr>
          <w:rFonts w:ascii="Verdana" w:hAnsi="Verdana"/>
        </w:rPr>
        <w:lastRenderedPageBreak/>
        <w:t>zostały przez autorów projektu pieczołowicie zaplanowane, choć zbyt często nie są zgodne z unijnymi wytyczn</w:t>
      </w:r>
      <w:r w:rsidR="006F6768">
        <w:rPr>
          <w:rFonts w:ascii="Verdana" w:hAnsi="Verdana"/>
        </w:rPr>
        <w:t>ymi. To samo można powiedzieć o </w:t>
      </w:r>
      <w:r w:rsidRPr="006F6768">
        <w:rPr>
          <w:rFonts w:ascii="Verdana" w:hAnsi="Verdana"/>
        </w:rPr>
        <w:t>projektach konkretnych reform. Upominamy się zatem zarówno o zmianę całej filozofii Krajowego Planu Odbudowy, jak i zgłaszamy uwagi do partykularnych rozwiązań i reform w nim zaproponowanych. Zbuntowanym studentom na ulicach Warszawy i Paryża przyświecało kiedyś hasło: „Bądźcie realistami, żądajcie niemożliwego”. W tym paradoksalnym stwierdzeniu, na pozór niezwykle romantycznym – a może nawet naiwnym – tkwi mocny, racjonalny przekaz. Pozostanie przy celach bardzo ostrożnych nie ma wpływu mobilizującego. Ponadto cele zawarte w takich planach są często postrzegane jako punkty wyjścia do negocjacji, a nie uzasadnione naukowo rozwiązania konieczne dla nas i dla przyrody. W praktyce może okazać się, że nawet i te skromne założenia KPO zostaną rozwodnione. Dopiero postawienie sobie ambitnych wyzwań faktycznie mobilizuje do działania, ujawnia ścieżki realizacji, które wcześniej były niewidoczne lub wykluczone jako zbyt daleko idące, ustawia punkty podlegające negocjacji na odpowiednio wysokim poziomie. Nie jest to łatwe, ale właśnie takie odważne działania przechodzą do historii. Ten rząd ma szansę zapisać się w niej, krocząc w europejskiej awangardzie. Ma szansę zadziałać odważnie i słusznie, dla dobra naszego i przyszłych pokoleń. Los nas wszystkich jest w Państwa rękach.</w:t>
      </w:r>
    </w:p>
    <w:sectPr w:rsidR="00CE7E9E" w:rsidRPr="006F6768" w:rsidSect="00CA288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67640" w14:textId="77777777" w:rsidR="000A4ADA" w:rsidRDefault="000A4ADA">
      <w:r>
        <w:separator/>
      </w:r>
    </w:p>
  </w:endnote>
  <w:endnote w:type="continuationSeparator" w:id="0">
    <w:p w14:paraId="72375368" w14:textId="77777777" w:rsidR="000A4ADA" w:rsidRDefault="000A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84B1" w14:textId="77777777" w:rsidR="0078245C" w:rsidRPr="0078245C" w:rsidRDefault="00AC2081" w:rsidP="0078245C">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DAB97" w14:textId="77777777" w:rsidR="000A4ADA" w:rsidRDefault="000A4ADA">
      <w:r>
        <w:separator/>
      </w:r>
    </w:p>
  </w:footnote>
  <w:footnote w:type="continuationSeparator" w:id="0">
    <w:p w14:paraId="5906F86F" w14:textId="77777777" w:rsidR="000A4ADA" w:rsidRDefault="000A4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F5827"/>
    <w:multiLevelType w:val="hybridMultilevel"/>
    <w:tmpl w:val="E0A601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DD786F"/>
    <w:multiLevelType w:val="hybridMultilevel"/>
    <w:tmpl w:val="0A0815AA"/>
    <w:lvl w:ilvl="0" w:tplc="04150011">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2E4ECD"/>
    <w:multiLevelType w:val="hybridMultilevel"/>
    <w:tmpl w:val="F9EA0C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B6A18C6"/>
    <w:multiLevelType w:val="hybridMultilevel"/>
    <w:tmpl w:val="387C6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853706"/>
    <w:multiLevelType w:val="hybridMultilevel"/>
    <w:tmpl w:val="8EE6A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974151"/>
    <w:multiLevelType w:val="hybridMultilevel"/>
    <w:tmpl w:val="686204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6FA613E3"/>
    <w:multiLevelType w:val="hybridMultilevel"/>
    <w:tmpl w:val="686204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77D32485"/>
    <w:multiLevelType w:val="hybridMultilevel"/>
    <w:tmpl w:val="93C0A8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633DEE"/>
    <w:multiLevelType w:val="hybridMultilevel"/>
    <w:tmpl w:val="490CA2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7E846148"/>
    <w:multiLevelType w:val="hybridMultilevel"/>
    <w:tmpl w:val="A8F8B6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2"/>
  </w:num>
  <w:num w:numId="5">
    <w:abstractNumId w:val="5"/>
  </w:num>
  <w:num w:numId="6">
    <w:abstractNumId w:val="8"/>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41"/>
    <w:rsid w:val="000018F1"/>
    <w:rsid w:val="00054151"/>
    <w:rsid w:val="000A4ADA"/>
    <w:rsid w:val="000C6D95"/>
    <w:rsid w:val="00113798"/>
    <w:rsid w:val="00145517"/>
    <w:rsid w:val="0016028B"/>
    <w:rsid w:val="001741F8"/>
    <w:rsid w:val="00181643"/>
    <w:rsid w:val="00194D76"/>
    <w:rsid w:val="00197634"/>
    <w:rsid w:val="001A5A19"/>
    <w:rsid w:val="001B5791"/>
    <w:rsid w:val="001C0B05"/>
    <w:rsid w:val="001D7031"/>
    <w:rsid w:val="001E3D2C"/>
    <w:rsid w:val="001F2958"/>
    <w:rsid w:val="00204A7A"/>
    <w:rsid w:val="0022001C"/>
    <w:rsid w:val="00223A9B"/>
    <w:rsid w:val="00263B04"/>
    <w:rsid w:val="002A7294"/>
    <w:rsid w:val="00306293"/>
    <w:rsid w:val="00306AB9"/>
    <w:rsid w:val="00333E55"/>
    <w:rsid w:val="00400C8B"/>
    <w:rsid w:val="00413237"/>
    <w:rsid w:val="004602BC"/>
    <w:rsid w:val="004A4EE8"/>
    <w:rsid w:val="004A5061"/>
    <w:rsid w:val="004D6F12"/>
    <w:rsid w:val="004F7F38"/>
    <w:rsid w:val="00502FC1"/>
    <w:rsid w:val="00524642"/>
    <w:rsid w:val="00530340"/>
    <w:rsid w:val="00536FF2"/>
    <w:rsid w:val="00550F15"/>
    <w:rsid w:val="005529EB"/>
    <w:rsid w:val="005C73C7"/>
    <w:rsid w:val="0062481D"/>
    <w:rsid w:val="0064794D"/>
    <w:rsid w:val="00665FAB"/>
    <w:rsid w:val="00682B1E"/>
    <w:rsid w:val="006A775D"/>
    <w:rsid w:val="006B2300"/>
    <w:rsid w:val="006B2B93"/>
    <w:rsid w:val="006C7C5C"/>
    <w:rsid w:val="006D353D"/>
    <w:rsid w:val="006F6768"/>
    <w:rsid w:val="007B51D4"/>
    <w:rsid w:val="00800E41"/>
    <w:rsid w:val="008208A9"/>
    <w:rsid w:val="0083282B"/>
    <w:rsid w:val="00903173"/>
    <w:rsid w:val="00923B67"/>
    <w:rsid w:val="00941A44"/>
    <w:rsid w:val="00961979"/>
    <w:rsid w:val="00964B13"/>
    <w:rsid w:val="0097207A"/>
    <w:rsid w:val="00973E3B"/>
    <w:rsid w:val="009D43ED"/>
    <w:rsid w:val="00A5141B"/>
    <w:rsid w:val="00A52F1F"/>
    <w:rsid w:val="00AC2081"/>
    <w:rsid w:val="00AF0117"/>
    <w:rsid w:val="00B00F9B"/>
    <w:rsid w:val="00B75A1C"/>
    <w:rsid w:val="00B93459"/>
    <w:rsid w:val="00B97BD7"/>
    <w:rsid w:val="00BC2A5C"/>
    <w:rsid w:val="00BC4B2A"/>
    <w:rsid w:val="00BF75A5"/>
    <w:rsid w:val="00C27188"/>
    <w:rsid w:val="00C46D85"/>
    <w:rsid w:val="00C92912"/>
    <w:rsid w:val="00CA005F"/>
    <w:rsid w:val="00CB03E6"/>
    <w:rsid w:val="00CC5A61"/>
    <w:rsid w:val="00CD2219"/>
    <w:rsid w:val="00CE7E9E"/>
    <w:rsid w:val="00D343A3"/>
    <w:rsid w:val="00D45009"/>
    <w:rsid w:val="00DA5432"/>
    <w:rsid w:val="00DB4562"/>
    <w:rsid w:val="00DC30C8"/>
    <w:rsid w:val="00DE5FF5"/>
    <w:rsid w:val="00E54471"/>
    <w:rsid w:val="00EC7541"/>
    <w:rsid w:val="00F12D61"/>
    <w:rsid w:val="00F559EC"/>
    <w:rsid w:val="00F610EE"/>
    <w:rsid w:val="00F75ADB"/>
    <w:rsid w:val="00F83B46"/>
    <w:rsid w:val="00FB0BEF"/>
    <w:rsid w:val="00FC1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4048"/>
  <w15:chartTrackingRefBased/>
  <w15:docId w15:val="{92EFE5DB-1AAD-4A0C-892A-58F90990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0E4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0E41"/>
    <w:pPr>
      <w:ind w:left="720"/>
      <w:contextualSpacing/>
    </w:pPr>
  </w:style>
  <w:style w:type="paragraph" w:styleId="Stopka">
    <w:name w:val="footer"/>
    <w:basedOn w:val="Normalny"/>
    <w:link w:val="StopkaZnak"/>
    <w:uiPriority w:val="99"/>
    <w:unhideWhenUsed/>
    <w:rsid w:val="00800E41"/>
    <w:pPr>
      <w:tabs>
        <w:tab w:val="center" w:pos="4536"/>
        <w:tab w:val="right" w:pos="9072"/>
      </w:tabs>
    </w:pPr>
  </w:style>
  <w:style w:type="character" w:customStyle="1" w:styleId="StopkaZnak">
    <w:name w:val="Stopka Znak"/>
    <w:basedOn w:val="Domylnaczcionkaakapitu"/>
    <w:link w:val="Stopka"/>
    <w:uiPriority w:val="99"/>
    <w:rsid w:val="00800E4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A543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543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46402">
      <w:bodyDiv w:val="1"/>
      <w:marLeft w:val="0"/>
      <w:marRight w:val="0"/>
      <w:marTop w:val="0"/>
      <w:marBottom w:val="0"/>
      <w:divBdr>
        <w:top w:val="none" w:sz="0" w:space="0" w:color="auto"/>
        <w:left w:val="none" w:sz="0" w:space="0" w:color="auto"/>
        <w:bottom w:val="none" w:sz="0" w:space="0" w:color="auto"/>
        <w:right w:val="none" w:sz="0" w:space="0" w:color="auto"/>
      </w:divBdr>
    </w:div>
    <w:div w:id="109663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1095</Words>
  <Characters>6573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Jurek Oskar</dc:creator>
  <cp:keywords/>
  <dc:description/>
  <cp:lastModifiedBy>Krupa Katarzyna (DOB)</cp:lastModifiedBy>
  <cp:revision>5</cp:revision>
  <dcterms:created xsi:type="dcterms:W3CDTF">2021-04-08T12:41:00Z</dcterms:created>
  <dcterms:modified xsi:type="dcterms:W3CDTF">2021-04-09T08:09:00Z</dcterms:modified>
</cp:coreProperties>
</file>