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CF7EF" w14:textId="77777777" w:rsidR="00D12B40" w:rsidRDefault="00E839E8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648061C4" w14:textId="77777777" w:rsidR="00D12B40" w:rsidRDefault="00E839E8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 kwartał 2019</w:t>
      </w:r>
    </w:p>
    <w:p w14:paraId="2C338328" w14:textId="77777777" w:rsidR="00D12B40" w:rsidRDefault="00D12B40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D12B40" w14:paraId="41A95441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F3B5F09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B9BD61" w14:textId="77777777" w:rsidR="00D12B40" w:rsidRDefault="00E839E8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77A2F54C" w14:textId="77777777" w:rsidR="00D12B40" w:rsidRDefault="00E839E8">
            <w:pPr>
              <w:spacing w:line="276" w:lineRule="auto"/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D12B40" w14:paraId="505A4AA2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8120DF8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AE9A18" w14:textId="77777777" w:rsidR="00D12B40" w:rsidRDefault="00E839E8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D12B40" w14:paraId="2739843D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32EE005E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90F5FB" w14:textId="77777777" w:rsidR="00D12B40" w:rsidRDefault="00E839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D12B40" w14:paraId="2B27288D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492DAEB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E56380" w14:textId="77777777" w:rsidR="00D12B40" w:rsidRDefault="00E839E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D12B40" w14:paraId="69E723DE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184B773A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229A2EC" w14:textId="77777777" w:rsidR="00D12B40" w:rsidRDefault="00E839E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 w14:paraId="325BE9B6" w14:textId="77777777" w:rsidR="00D12B40" w:rsidRDefault="00E839E8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0B21CAE1" w14:textId="77777777" w:rsidR="00D12B40" w:rsidRDefault="00E839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2A70D276" w14:textId="77777777" w:rsidR="00D12B40" w:rsidRDefault="00E839E8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14:paraId="4546BF99" w14:textId="77777777" w:rsidR="00D12B40" w:rsidRDefault="00E839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46313C67" w14:textId="77777777" w:rsidR="00D12B40" w:rsidRDefault="00D12B4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12B40" w14:paraId="154E448A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357DD6E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3CD6A060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D34D6F" w14:textId="77777777" w:rsidR="00D12B40" w:rsidRDefault="00E839E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8 136 948,44 zł</w:t>
            </w:r>
          </w:p>
        </w:tc>
      </w:tr>
      <w:tr w:rsidR="00D12B40" w14:paraId="7303DD82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76A811DC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28C219D0" w14:textId="77777777" w:rsidR="00D12B40" w:rsidRDefault="00E839E8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6501D3" w14:textId="77777777" w:rsidR="00D12B40" w:rsidRDefault="00E839E8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 w14:paraId="7655A69B" w14:textId="77777777" w:rsidR="00D12B40" w:rsidRDefault="00E839E8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14:paraId="4EE5752E" w14:textId="77777777" w:rsidR="00D12B40" w:rsidRDefault="00E839E8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14:paraId="53CD3CB4" w14:textId="77777777" w:rsidR="00D12B40" w:rsidRDefault="00E839E8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D12B40" w14:paraId="13B6F3F1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39E9AD0" w14:textId="77777777" w:rsidR="00D12B40" w:rsidRDefault="00E839E8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6A5D3BC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2B8B9A6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D12B40" w14:paraId="6D53AA29" w14:textId="77777777">
        <w:tc>
          <w:tcPr>
            <w:tcW w:w="2972" w:type="dxa"/>
            <w:shd w:val="clear" w:color="auto" w:fill="auto"/>
          </w:tcPr>
          <w:p w14:paraId="6CB927D6" w14:textId="77777777" w:rsidR="00D12B40" w:rsidRDefault="004D12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55,56</w:t>
            </w:r>
            <w:r w:rsidR="00E839E8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63A1AEE" w14:textId="77777777" w:rsidR="00D12B40" w:rsidRDefault="00D12B4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E27DC60" w14:textId="77777777" w:rsidR="00D12B40" w:rsidRDefault="00BA0FC5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21,77</w:t>
            </w:r>
            <w:r w:rsidR="00E839E8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6A3E2664" w14:textId="77777777" w:rsidR="00D12B40" w:rsidRDefault="004D126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37,12</w:t>
            </w:r>
            <w:r w:rsidR="00E839E8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3DB3CCF3" w14:textId="77777777" w:rsidR="00D12B40" w:rsidRDefault="00D12B40">
      <w:pPr>
        <w:pStyle w:val="Nagwek3"/>
        <w:spacing w:before="0" w:after="200"/>
        <w:rPr>
          <w:rStyle w:val="Nagwek2Znak"/>
          <w:color w:val="000000"/>
        </w:rPr>
      </w:pPr>
    </w:p>
    <w:p w14:paraId="35CA490A" w14:textId="77777777" w:rsidR="00D12B40" w:rsidRDefault="00E839E8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14:paraId="2C60D867" w14:textId="77777777" w:rsidR="00D12B40" w:rsidRDefault="00D12B40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A5AC41B" w14:textId="77777777" w:rsidR="00D12B40" w:rsidRDefault="00D12B40">
      <w:pPr>
        <w:spacing w:after="12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7220DBC" w14:textId="77777777" w:rsidR="00D12B40" w:rsidRDefault="00D12B40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6075BB8A" w14:textId="77777777" w:rsidR="00D12B40" w:rsidRDefault="00D12B40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FA87999" w14:textId="77777777" w:rsidR="00D12B40" w:rsidRDefault="00D12B40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1D4D9B9B" w14:textId="77777777" w:rsidR="00D12B40" w:rsidRDefault="00D12B40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4557458D" w14:textId="77777777" w:rsidR="00D12B40" w:rsidRDefault="00E839E8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2688"/>
        <w:gridCol w:w="1842"/>
        <w:gridCol w:w="1134"/>
        <w:gridCol w:w="1277"/>
        <w:gridCol w:w="2693"/>
      </w:tblGrid>
      <w:tr w:rsidR="00D12B40" w14:paraId="53A419F2" w14:textId="77777777">
        <w:trPr>
          <w:trHeight w:val="855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14:paraId="40140D90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14:paraId="5C5910E5" w14:textId="77777777" w:rsidR="00D12B40" w:rsidRDefault="00E80A0C">
            <w:pPr>
              <w:spacing w:after="0" w:line="240" w:lineRule="auto"/>
            </w:pPr>
            <w:hyperlink r:id="rId8" w:anchor="RANGE!A3" w:history="1">
              <w:bookmarkStart w:id="0" w:name="RANGE!B2"/>
              <w:r w:rsidR="00E839E8">
                <w:rPr>
                  <w:rStyle w:val="ListLabel30"/>
                  <w:rFonts w:eastAsiaTheme="minorHAnsi"/>
                </w:rPr>
                <w:t>Powiązane wskaźniki projektu [1]</w:t>
              </w:r>
            </w:hyperlink>
            <w:bookmarkEnd w:id="0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14:paraId="5FEA1B3F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Planowany termin osiągnięcia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14:paraId="33243BF8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Rzeczywisty termin osiągnięcia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14:paraId="101D6B25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Status realizacji kamienia milowego</w:t>
            </w:r>
          </w:p>
        </w:tc>
      </w:tr>
      <w:tr w:rsidR="00D12B40" w14:paraId="02F41C03" w14:textId="77777777">
        <w:trPr>
          <w:trHeight w:val="89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438E5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79D2E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CE7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DB1FF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6185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D12B40" w14:paraId="5FDD2682" w14:textId="77777777">
        <w:trPr>
          <w:trHeight w:val="872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59C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F749EF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C3A3B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2AC33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CDEE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12B40" w14:paraId="42326CA0" w14:textId="77777777">
        <w:trPr>
          <w:trHeight w:val="1233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3D97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6A711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40F84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1AB7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F1EE" w14:textId="77777777" w:rsidR="004555D6" w:rsidRDefault="004555D6" w:rsidP="004555D6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AF3E28"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 w:rsidRPr="00AF3E28">
              <w:rPr>
                <w:rFonts w:cs="Arial"/>
                <w:color w:val="000000"/>
                <w:sz w:val="16"/>
                <w:szCs w:val="16"/>
              </w:rPr>
              <w:t>części I i II prac nastąpił 24.09.2018. Odbiór III części nastąpił 01.10.2018 – przekroczenie planowanego terminu spowodowane koniecznością dodatkowych konsultacji w zakresie prac z wykonawcami.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  <w:p w14:paraId="30A19734" w14:textId="46A22353" w:rsidR="00D12B40" w:rsidRDefault="00D12B4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D12B40" w14:paraId="71050A1E" w14:textId="77777777">
        <w:trPr>
          <w:trHeight w:val="153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FB96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96B94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EE8C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4C46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CC2E9" w14:textId="77777777" w:rsidR="004555D6" w:rsidRDefault="004555D6" w:rsidP="004555D6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14:paraId="6A26E3FB" w14:textId="312E6C57" w:rsidR="00D12B40" w:rsidRDefault="004555D6" w:rsidP="004555D6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 w:rsidR="00D12B40" w14:paraId="79D7781E" w14:textId="77777777">
        <w:trPr>
          <w:trHeight w:val="86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21D5A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CFAA8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EDA0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F0DC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50AAD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12B40" w14:paraId="1414FBAE" w14:textId="77777777">
        <w:trPr>
          <w:trHeight w:val="129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81F0B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BC47C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D9A9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2" w:name="_GoBack"/>
            <w:bookmarkEnd w:id="2"/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F9E7D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A32E4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1E3D" w14:textId="77777777" w:rsidR="00D12B40" w:rsidRDefault="006135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D12B40" w14:paraId="4520BFF6" w14:textId="77777777">
        <w:trPr>
          <w:trHeight w:val="129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FCE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D2632" w14:textId="77777777" w:rsidR="00D12B40" w:rsidRDefault="00E8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F1990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49B81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76D0" w14:textId="77777777" w:rsidR="00D12B40" w:rsidRDefault="00E839E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12B40" w14:paraId="73F8E43E" w14:textId="77777777">
        <w:trPr>
          <w:trHeight w:val="129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1544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497D76" w14:textId="77777777" w:rsidR="00D12B40" w:rsidRDefault="00E8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EF4B5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7940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809C" w14:textId="77777777" w:rsidR="00D12B40" w:rsidRDefault="00E839E8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 w:rsidR="00D12B40" w14:paraId="33807C50" w14:textId="77777777">
        <w:trPr>
          <w:trHeight w:val="129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91D3B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319E8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598F8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A4B1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EB772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D12B40" w14:paraId="564687B5" w14:textId="77777777">
        <w:trPr>
          <w:trHeight w:val="129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D21E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2A68E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97BC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F4C5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BEB81" w14:textId="77777777" w:rsidR="00D12B40" w:rsidRDefault="00E839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14:paraId="6AD10E68" w14:textId="77777777" w:rsidR="00D12B40" w:rsidRDefault="00D12B40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71229BF2" w14:textId="77777777" w:rsidR="00D12B40" w:rsidRDefault="00E839E8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6"/>
        <w:gridCol w:w="2265"/>
      </w:tblGrid>
      <w:tr w:rsidR="00D12B40" w14:paraId="33414269" w14:textId="77777777">
        <w:trPr>
          <w:trHeight w:val="105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7C58FF8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130FD13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F69B5E4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Wartość </w:t>
            </w:r>
          </w:p>
          <w:p w14:paraId="7573CC8F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6" w:type="dxa"/>
            <w:shd w:val="clear" w:color="auto" w:fill="D0CECE" w:themeFill="background2" w:themeFillShade="E6"/>
            <w:vAlign w:val="center"/>
          </w:tcPr>
          <w:p w14:paraId="767B76E4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2265" w:type="dxa"/>
            <w:shd w:val="clear" w:color="auto" w:fill="D0CECE" w:themeFill="background2" w:themeFillShade="E6"/>
            <w:vAlign w:val="center"/>
          </w:tcPr>
          <w:p w14:paraId="798D0D39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12B40" w14:paraId="464C4DD8" w14:textId="77777777">
        <w:tc>
          <w:tcPr>
            <w:tcW w:w="2545" w:type="dxa"/>
            <w:shd w:val="clear" w:color="auto" w:fill="auto"/>
          </w:tcPr>
          <w:p w14:paraId="699D95FA" w14:textId="77777777" w:rsidR="00D12B40" w:rsidRDefault="00E839E8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14:paraId="5D8F7DDF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4DCBCFC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14:paraId="034AFBBF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6EA88CF3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14:paraId="533439D1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159AFB4B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14:paraId="75A72317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27FA2810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14:paraId="42DFA748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19215B36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14:paraId="2FB4E93B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14:paraId="4A644244" w14:textId="77777777" w:rsidR="00D12B40" w:rsidRDefault="00E839E8">
            <w:pPr>
              <w:pStyle w:val="Tekstpodstawowy2"/>
              <w:spacing w:after="0"/>
              <w:ind w:left="34"/>
              <w:rPr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14:paraId="034F0FA3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0B178708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14:paraId="20A3F4D5" w14:textId="77777777" w:rsidR="00D12B40" w:rsidRDefault="00D12B40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14:paraId="4CF45F51" w14:textId="77777777" w:rsidR="00D12B40" w:rsidRDefault="00E839E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shd w:val="clear" w:color="auto" w:fill="auto"/>
          </w:tcPr>
          <w:p w14:paraId="55F9901C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621A770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56621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8FD54C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A978D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8E565A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7093B10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FA6C5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1C5FD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95812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88FBBA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52DF5C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398A4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79F91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54DB04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2162FA2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22770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E3CA2A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39B8F6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5C79A7B5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23ABA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D7C60B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797E1F0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14:paraId="78C3A5B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B8CB5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05DF0F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EF2398D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5D96BFC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48CC6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D6565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3BB6062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14:paraId="266D777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8C6D8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6531D27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9228BA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B312CF4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08966E2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0B812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A67034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F648B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4F45C0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14:paraId="7F33D15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F28A0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0A570B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E26F07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CA6020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14:paraId="10D6536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4ACE4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D8E35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96877A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14:paraId="75D82B5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0452A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DE459D7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576047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14:paraId="1F155A9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14176C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775A6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D5247F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14:paraId="03E6039E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A2571F5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91884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255E63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14:paraId="37A2D31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89962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529D8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D731167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14:paraId="126F547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082DF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8D8940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B2CF72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6" w:type="dxa"/>
            <w:shd w:val="clear" w:color="auto" w:fill="auto"/>
          </w:tcPr>
          <w:p w14:paraId="71CCFD29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6019094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B86AF1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F87A5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7B670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2B58B2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15F67B8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ECF1B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01918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38F40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AF5D641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24295A2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1752CAA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73F581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2243A5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3189BEA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63B88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8A9EA4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8E8A13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4C53EFA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1D4044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C375AC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A34C1B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12-2020</w:t>
            </w:r>
          </w:p>
          <w:p w14:paraId="3DAB754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5BF445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ACA64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B72C264" w14:textId="77777777" w:rsidR="00D12B40" w:rsidRDefault="00E839E8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14:paraId="4C98215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343C42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9C7B7F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DE995B6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6521582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B40E09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F4A85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EEB073E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14:paraId="2981B61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03408D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743200E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3182B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5" w:type="dxa"/>
            <w:shd w:val="clear" w:color="auto" w:fill="auto"/>
          </w:tcPr>
          <w:p w14:paraId="57717BB4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37A3899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7E1966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454E57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7F492A1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CA9D007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504 </w:t>
            </w:r>
          </w:p>
          <w:p w14:paraId="299E7675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F333F25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C0A43B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0D46BB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0353A14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6501C8A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07AF7F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887CE5E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D04CDDA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6C5A1F00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864381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7C986C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9445CC2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3EA7377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008E5BE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6062855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EA3045F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0EEB8436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C3BBAF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A80B48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6998ECE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1,09</w:t>
            </w:r>
          </w:p>
          <w:p w14:paraId="5C085BC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7B61DE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0A56E93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58FC076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14:paraId="06D75E84" w14:textId="77777777" w:rsidR="00D12B40" w:rsidRDefault="00D12B4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0F5193CC" w14:textId="77777777" w:rsidR="00D12B40" w:rsidRDefault="00D12B4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479FA22C" w14:textId="77777777" w:rsidR="00D12B40" w:rsidRDefault="00D12B4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21D3A24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78533E58" w14:textId="77777777" w:rsidR="00D12B40" w:rsidRDefault="00E839E8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3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3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D12B40" w14:paraId="22CA18DD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C8B9EDF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35A8FE1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44E6D6D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0FC8BB67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D12B40" w14:paraId="135F0050" w14:textId="77777777">
        <w:tc>
          <w:tcPr>
            <w:tcW w:w="2937" w:type="dxa"/>
            <w:shd w:val="clear" w:color="auto" w:fill="auto"/>
          </w:tcPr>
          <w:p w14:paraId="3E28A3D6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14:paraId="3822228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10929FE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640E4AF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14:paraId="3E9BA5F9" w14:textId="77777777" w:rsidR="00D12B40" w:rsidRDefault="00E839E8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74"/>
        <w:gridCol w:w="1708"/>
        <w:gridCol w:w="762"/>
        <w:gridCol w:w="4290"/>
      </w:tblGrid>
      <w:tr w:rsidR="00D12B40" w14:paraId="509CE2F4" w14:textId="77777777">
        <w:trPr>
          <w:tblHeader/>
        </w:trPr>
        <w:tc>
          <w:tcPr>
            <w:tcW w:w="2873" w:type="dxa"/>
            <w:shd w:val="clear" w:color="auto" w:fill="D0CECE" w:themeFill="background2" w:themeFillShade="E6"/>
            <w:vAlign w:val="center"/>
          </w:tcPr>
          <w:p w14:paraId="743B2209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8" w:type="dxa"/>
            <w:shd w:val="clear" w:color="auto" w:fill="D0CECE" w:themeFill="background2" w:themeFillShade="E6"/>
            <w:vAlign w:val="center"/>
          </w:tcPr>
          <w:p w14:paraId="1B95B8A5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762" w:type="dxa"/>
            <w:shd w:val="clear" w:color="auto" w:fill="D0CECE" w:themeFill="background2" w:themeFillShade="E6"/>
          </w:tcPr>
          <w:p w14:paraId="59D951B4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290" w:type="dxa"/>
            <w:shd w:val="clear" w:color="auto" w:fill="D0CECE" w:themeFill="background2" w:themeFillShade="E6"/>
            <w:vAlign w:val="center"/>
          </w:tcPr>
          <w:p w14:paraId="01205656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D12B40" w14:paraId="2B32BC94" w14:textId="77777777">
        <w:tc>
          <w:tcPr>
            <w:tcW w:w="2873" w:type="dxa"/>
            <w:shd w:val="clear" w:color="auto" w:fill="auto"/>
          </w:tcPr>
          <w:p w14:paraId="2DBB8FF2" w14:textId="77777777" w:rsidR="00D12B40" w:rsidRDefault="00E839E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 w14:paraId="0F8E0C0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shd w:val="clear" w:color="auto" w:fill="auto"/>
          </w:tcPr>
          <w:p w14:paraId="577075EE" w14:textId="77777777" w:rsidR="00D12B40" w:rsidRDefault="00E839E8">
            <w:pPr>
              <w:spacing w:after="0" w:line="240" w:lineRule="auto"/>
              <w:ind w:left="4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06-2020</w:t>
            </w:r>
          </w:p>
          <w:p w14:paraId="1069224D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2" w:type="dxa"/>
            <w:shd w:val="clear" w:color="auto" w:fill="auto"/>
          </w:tcPr>
          <w:p w14:paraId="2C559A9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290" w:type="dxa"/>
            <w:shd w:val="clear" w:color="auto" w:fill="auto"/>
          </w:tcPr>
          <w:p w14:paraId="6B18A304" w14:textId="77777777" w:rsidR="00D12B40" w:rsidRDefault="00E839E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54793170" w14:textId="77777777" w:rsidR="00D12B40" w:rsidRDefault="00E839E8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2"/>
        <w:gridCol w:w="1700"/>
        <w:gridCol w:w="1843"/>
        <w:gridCol w:w="3539"/>
      </w:tblGrid>
      <w:tr w:rsidR="00D12B40" w14:paraId="362ADBF3" w14:textId="77777777">
        <w:trPr>
          <w:tblHeader/>
        </w:trPr>
        <w:tc>
          <w:tcPr>
            <w:tcW w:w="2551" w:type="dxa"/>
            <w:shd w:val="clear" w:color="auto" w:fill="D0CECE" w:themeFill="background2" w:themeFillShade="E6"/>
          </w:tcPr>
          <w:p w14:paraId="486A6DF4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3609026E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2AF192B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39" w:type="dxa"/>
            <w:shd w:val="clear" w:color="auto" w:fill="D0CECE" w:themeFill="background2" w:themeFillShade="E6"/>
          </w:tcPr>
          <w:p w14:paraId="62654CFA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14:paraId="63470229" w14:textId="77777777" w:rsidR="00D12B40" w:rsidRDefault="00D12B40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12B40" w14:paraId="1A19E115" w14:textId="77777777">
        <w:tc>
          <w:tcPr>
            <w:tcW w:w="2551" w:type="dxa"/>
            <w:shd w:val="clear" w:color="auto" w:fill="auto"/>
          </w:tcPr>
          <w:p w14:paraId="2544D930" w14:textId="77777777" w:rsidR="00D12B40" w:rsidRDefault="00E839E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5D4CCD1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664F69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39" w:type="dxa"/>
            <w:shd w:val="clear" w:color="auto" w:fill="auto"/>
          </w:tcPr>
          <w:p w14:paraId="4A542B9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DC9B33" w14:textId="77777777" w:rsidR="00D12B40" w:rsidRDefault="00E839E8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14:paraId="433AD2B0" w14:textId="77777777" w:rsidR="00D12B40" w:rsidRDefault="00E839E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7"/>
        <w:gridCol w:w="2405"/>
        <w:gridCol w:w="2836"/>
      </w:tblGrid>
      <w:tr w:rsidR="00D12B40" w14:paraId="5F1F5A1F" w14:textId="77777777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42B177CA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7" w:type="dxa"/>
            <w:shd w:val="clear" w:color="auto" w:fill="D0CECE" w:themeFill="background2" w:themeFillShade="E6"/>
            <w:vAlign w:val="center"/>
          </w:tcPr>
          <w:p w14:paraId="2D4D4FA9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5" w:type="dxa"/>
            <w:shd w:val="clear" w:color="auto" w:fill="D0CECE" w:themeFill="background2" w:themeFillShade="E6"/>
          </w:tcPr>
          <w:p w14:paraId="09F5C09E" w14:textId="77777777" w:rsidR="00D12B40" w:rsidRDefault="00E839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33EB260C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D12B40" w14:paraId="4187EA75" w14:textId="77777777">
        <w:tc>
          <w:tcPr>
            <w:tcW w:w="2409" w:type="dxa"/>
            <w:shd w:val="clear" w:color="auto" w:fill="auto"/>
            <w:vAlign w:val="center"/>
          </w:tcPr>
          <w:p w14:paraId="50D14734" w14:textId="77777777" w:rsidR="00D12B40" w:rsidRDefault="00E839E8">
            <w:pPr>
              <w:spacing w:after="0" w:line="240" w:lineRule="auto"/>
            </w:pPr>
            <w:bookmarkStart w:id="4" w:name="__DdeLink__3049_1905454455"/>
            <w:bookmarkEnd w:id="4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</w:t>
            </w:r>
          </w:p>
          <w:p w14:paraId="07A57DF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2DE5208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55FDECEC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97708DB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69B7B59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5D7CB3E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29CCF0F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14C03B82" w14:textId="77777777" w:rsidR="00D12B40" w:rsidRDefault="00D12B4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7" w:type="dxa"/>
            <w:shd w:val="clear" w:color="auto" w:fill="auto"/>
          </w:tcPr>
          <w:p w14:paraId="2DB7A186" w14:textId="77777777" w:rsidR="00D12B40" w:rsidRDefault="00E839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5" w:type="dxa"/>
            <w:shd w:val="clear" w:color="auto" w:fill="auto"/>
          </w:tcPr>
          <w:p w14:paraId="78BC6D77" w14:textId="77777777" w:rsidR="00D12B40" w:rsidRDefault="00E839E8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836" w:type="dxa"/>
            <w:shd w:val="clear" w:color="auto" w:fill="auto"/>
          </w:tcPr>
          <w:p w14:paraId="6FC05BA0" w14:textId="77777777" w:rsidR="00D12B40" w:rsidRDefault="00E839E8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Zadanie 4.  W związku z koniecznością dodatkowych analiz związanych z przygotowaniem postępowania przetargowego na analizę pismoznawczą rękopisów Fryderyka Chopina postępowanie zostało ogłoszone w terminie uniemożliwiającym rozliczenie pierwszej części badań w obecnym kwartale. Nie ma to wpływu na planowaną datę osiągnięcia kamienia milowego. </w:t>
            </w:r>
          </w:p>
        </w:tc>
      </w:tr>
    </w:tbl>
    <w:p w14:paraId="163A628C" w14:textId="77777777" w:rsidR="00D12B40" w:rsidRDefault="00E839E8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7"/>
        <w:gridCol w:w="1691"/>
        <w:gridCol w:w="2298"/>
        <w:gridCol w:w="2634"/>
      </w:tblGrid>
      <w:tr w:rsidR="00D12B40" w14:paraId="155534B9" w14:textId="77777777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8E358BE" w14:textId="77777777" w:rsidR="00D12B40" w:rsidRDefault="00E839E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4D06098" w14:textId="77777777" w:rsidR="00D12B40" w:rsidRDefault="00E839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69166C73" w14:textId="77777777" w:rsidR="00D12B40" w:rsidRDefault="00E839E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C4B71B0" w14:textId="77777777" w:rsidR="00D12B40" w:rsidRDefault="00E839E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D12B40" w14:paraId="39032ED0" w14:textId="77777777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45123" w14:textId="77777777" w:rsidR="00D12B40" w:rsidRDefault="00E839E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395A78" w14:textId="77777777" w:rsidR="00D12B40" w:rsidRDefault="00D12B4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F50949E" w14:textId="77777777" w:rsidR="00D12B40" w:rsidRDefault="00D12B4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6273DA" w14:textId="77777777" w:rsidR="00D12B40" w:rsidRDefault="00D12B4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A27B961" w14:textId="77777777" w:rsidR="000233E1" w:rsidRDefault="000233E1" w:rsidP="000233E1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70FF9F0B" w14:textId="77777777" w:rsidR="000233E1" w:rsidRDefault="000233E1" w:rsidP="000233E1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9855CEA" w14:textId="77777777" w:rsidR="000233E1" w:rsidRDefault="000233E1" w:rsidP="000233E1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2C4A307C" w14:textId="77777777" w:rsidR="000233E1" w:rsidRPr="000233E1" w:rsidRDefault="000233E1" w:rsidP="000233E1">
      <w:p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3532D6B8" w14:textId="77777777" w:rsidR="00D12B40" w:rsidRPr="000233E1" w:rsidRDefault="00E839E8" w:rsidP="000233E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0233E1">
        <w:rPr>
          <w:rStyle w:val="Nagwek2Znak"/>
          <w:rFonts w:ascii="Arial" w:hAnsi="Arial" w:cs="Arial"/>
          <w:b/>
          <w:color w:val="000000"/>
          <w:sz w:val="24"/>
          <w:szCs w:val="24"/>
        </w:rPr>
        <w:t>Dane kontaktowe:</w:t>
      </w:r>
      <w:r w:rsidRPr="000233E1">
        <w:rPr>
          <w:rFonts w:ascii="Arial" w:hAnsi="Arial" w:cs="Arial"/>
          <w:b/>
          <w:color w:val="000000"/>
        </w:rPr>
        <w:t xml:space="preserve"> </w:t>
      </w:r>
    </w:p>
    <w:p w14:paraId="7A642A3B" w14:textId="77777777" w:rsidR="00D12B40" w:rsidRDefault="00E839E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14:paraId="6FB50E05" w14:textId="77777777" w:rsidR="00D12B40" w:rsidRDefault="00E839E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14:paraId="0FE7C7EF" w14:textId="77777777" w:rsidR="00D12B40" w:rsidRDefault="00E839E8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9">
        <w:r>
          <w:rPr>
            <w:rStyle w:val="czeinternetowe"/>
            <w:rFonts w:ascii="Arial" w:hAnsi="Arial" w:cs="Arial"/>
            <w:sz w:val="18"/>
            <w:szCs w:val="18"/>
          </w:rPr>
          <w:t>jadamska@nifc.pl</w:t>
        </w:r>
      </w:hyperlink>
    </w:p>
    <w:p w14:paraId="49EDE7E0" w14:textId="77777777" w:rsidR="00D12B40" w:rsidRDefault="00D12B4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46E5643A" w14:textId="77777777" w:rsidR="00D12B40" w:rsidRDefault="00D12B4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6942D577" w14:textId="77777777" w:rsidR="00D12B40" w:rsidRDefault="00D12B4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4404329D" w14:textId="77777777" w:rsidR="00D12B40" w:rsidRDefault="00D12B40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70167897" w14:textId="77777777" w:rsidR="00D12B40" w:rsidRDefault="00D12B40">
      <w:pPr>
        <w:pStyle w:val="Akapitzlist"/>
        <w:spacing w:before="360"/>
        <w:ind w:left="360"/>
        <w:jc w:val="both"/>
      </w:pPr>
    </w:p>
    <w:p w14:paraId="291D249B" w14:textId="77777777" w:rsidR="00D12B40" w:rsidRDefault="00E839E8">
      <w:pPr>
        <w:pStyle w:val="Akapitzlist"/>
        <w:spacing w:before="360"/>
        <w:ind w:left="360"/>
        <w:jc w:val="both"/>
      </w:pPr>
      <w:r>
        <w:t>Zatwierdził: ………………………………………..</w:t>
      </w:r>
    </w:p>
    <w:sectPr w:rsidR="00D12B40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9CD54" w14:textId="77777777" w:rsidR="00E80A0C" w:rsidRDefault="00E80A0C">
      <w:pPr>
        <w:spacing w:after="0" w:line="240" w:lineRule="auto"/>
      </w:pPr>
      <w:r>
        <w:separator/>
      </w:r>
    </w:p>
  </w:endnote>
  <w:endnote w:type="continuationSeparator" w:id="0">
    <w:p w14:paraId="583ACB10" w14:textId="77777777" w:rsidR="00E80A0C" w:rsidRDefault="00E80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8059979"/>
      <w:docPartObj>
        <w:docPartGallery w:val="Page Numbers (Top of Page)"/>
        <w:docPartUnique/>
      </w:docPartObj>
    </w:sdtPr>
    <w:sdtEndPr/>
    <w:sdtContent>
      <w:p w14:paraId="396343EC" w14:textId="7A64B270" w:rsidR="00D12B40" w:rsidRDefault="00E839E8">
        <w:pPr>
          <w:pStyle w:val="Stopka"/>
          <w:jc w:val="right"/>
        </w:pPr>
        <w:r>
          <w:t xml:space="preserve">Strona </w:t>
        </w:r>
        <w:r>
          <w:fldChar w:fldCharType="begin"/>
        </w:r>
        <w:r>
          <w:instrText>PAGE</w:instrText>
        </w:r>
        <w:r>
          <w:fldChar w:fldCharType="separate"/>
        </w:r>
        <w:r w:rsidR="004555D6">
          <w:rPr>
            <w:noProof/>
          </w:rPr>
          <w:t>5</w:t>
        </w:r>
        <w:r>
          <w:fldChar w:fldCharType="end"/>
        </w:r>
        <w:r>
          <w:t xml:space="preserve"> z </w:t>
        </w:r>
        <w:r>
          <w:rPr>
            <w:b/>
            <w:bCs/>
          </w:rPr>
          <w:t>4</w:t>
        </w:r>
      </w:p>
    </w:sdtContent>
  </w:sdt>
  <w:p w14:paraId="303178FF" w14:textId="77777777" w:rsidR="00D12B40" w:rsidRDefault="00D12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89DBB" w14:textId="77777777" w:rsidR="00E80A0C" w:rsidRDefault="00E80A0C">
      <w:pPr>
        <w:spacing w:after="0" w:line="240" w:lineRule="auto"/>
      </w:pPr>
      <w:r>
        <w:separator/>
      </w:r>
    </w:p>
  </w:footnote>
  <w:footnote w:type="continuationSeparator" w:id="0">
    <w:p w14:paraId="55EA0C11" w14:textId="77777777" w:rsidR="00E80A0C" w:rsidRDefault="00E80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37E73"/>
    <w:multiLevelType w:val="multilevel"/>
    <w:tmpl w:val="983A959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990"/>
    <w:multiLevelType w:val="multilevel"/>
    <w:tmpl w:val="82A0C4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B40"/>
    <w:rsid w:val="000233E1"/>
    <w:rsid w:val="00044838"/>
    <w:rsid w:val="00137060"/>
    <w:rsid w:val="00147315"/>
    <w:rsid w:val="004555D6"/>
    <w:rsid w:val="004D1268"/>
    <w:rsid w:val="005A5BCD"/>
    <w:rsid w:val="0061354D"/>
    <w:rsid w:val="00A32E48"/>
    <w:rsid w:val="00BA0FC5"/>
    <w:rsid w:val="00D12B40"/>
    <w:rsid w:val="00E80A0C"/>
    <w:rsid w:val="00E839E8"/>
    <w:rsid w:val="00F0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6F62"/>
  <w15:docId w15:val="{C3FC92B5-333A-409E-914D-0F79C4F85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F40BB0"/>
    <w:rPr>
      <w:color w:val="0563C1" w:themeColor="hyperlink"/>
      <w:u w:val="single"/>
    </w:rPr>
  </w:style>
  <w:style w:type="character" w:customStyle="1" w:styleId="ListLabel29">
    <w:name w:val="ListLabel 29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0">
    <w:name w:val="ListLabel 30"/>
    <w:qFormat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ListLabel31">
    <w:name w:val="ListLabel 31"/>
    <w:qFormat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A235A7"/>
    <w:rPr>
      <w:sz w:val="22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jadamska\AppData\Local\Microsoft\C:\Users\jadamska\Desktop\POPC\BUD%25C5%25BBET%20POPC\1.%20BUD%25C5%25BBET%20POPC%20BIE%25C5%25BB%25C4%2584CY%2026.07.2018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damska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10CFC-EE6B-4126-8B42-FBCB6AFB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2</cp:revision>
  <cp:lastPrinted>2019-07-10T11:29:00Z</cp:lastPrinted>
  <dcterms:created xsi:type="dcterms:W3CDTF">2019-08-22T08:57:00Z</dcterms:created>
  <dcterms:modified xsi:type="dcterms:W3CDTF">2019-08-22T08:57:00Z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