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7EC" w:rsidRDefault="002E07EC" w:rsidP="002E07E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INFORMACJA DLA PROJEKTANTÓW</w:t>
      </w:r>
    </w:p>
    <w:p w:rsidR="002E07EC" w:rsidRDefault="002E07EC" w:rsidP="002E07E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RZECZOZNAWCÓW DS. ZABEZPIECZEŃ PRZECIWPOŻAROWYCH</w:t>
      </w:r>
    </w:p>
    <w:p w:rsidR="002E07EC" w:rsidRDefault="002E07EC" w:rsidP="002E07EC">
      <w:pPr>
        <w:autoSpaceDE w:val="0"/>
        <w:autoSpaceDN w:val="0"/>
        <w:adjustRightInd w:val="0"/>
        <w:spacing w:after="0" w:line="240" w:lineRule="auto"/>
        <w:jc w:val="both"/>
        <w:rPr>
          <w:rFonts w:ascii="Times New Roman" w:hAnsi="Times New Roman" w:cs="Times New Roman"/>
          <w:b/>
          <w:sz w:val="24"/>
          <w:szCs w:val="24"/>
        </w:rPr>
      </w:pPr>
    </w:p>
    <w:p w:rsidR="002E07EC" w:rsidRDefault="002E07EC" w:rsidP="002E07EC">
      <w:pPr>
        <w:autoSpaceDE w:val="0"/>
        <w:autoSpaceDN w:val="0"/>
        <w:adjustRightInd w:val="0"/>
        <w:spacing w:after="0" w:line="240" w:lineRule="auto"/>
        <w:jc w:val="both"/>
        <w:rPr>
          <w:rFonts w:ascii="Times New Roman" w:hAnsi="Times New Roman" w:cs="Times New Roman"/>
          <w:b/>
          <w:sz w:val="24"/>
          <w:szCs w:val="24"/>
        </w:rPr>
      </w:pPr>
    </w:p>
    <w:p w:rsidR="002E07EC" w:rsidRPr="00AE567B" w:rsidRDefault="002E07EC" w:rsidP="002E07EC">
      <w:pPr>
        <w:autoSpaceDE w:val="0"/>
        <w:autoSpaceDN w:val="0"/>
        <w:adjustRightInd w:val="0"/>
        <w:spacing w:after="0" w:line="240" w:lineRule="auto"/>
        <w:ind w:firstLine="708"/>
        <w:jc w:val="both"/>
        <w:rPr>
          <w:rFonts w:ascii="Times New Roman" w:hAnsi="Times New Roman" w:cs="Times New Roman"/>
        </w:rPr>
      </w:pPr>
      <w:r w:rsidRPr="00AE567B">
        <w:rPr>
          <w:rFonts w:ascii="Times New Roman" w:hAnsi="Times New Roman" w:cs="Times New Roman"/>
        </w:rPr>
        <w:t xml:space="preserve">Zgodnie z §3 ust.1 rozporządzeniem Ministra Spraw </w:t>
      </w:r>
      <w:r w:rsidR="00AE567B">
        <w:rPr>
          <w:rFonts w:ascii="Times New Roman" w:hAnsi="Times New Roman" w:cs="Times New Roman"/>
        </w:rPr>
        <w:t xml:space="preserve">Wewnętrznych i Administracji </w:t>
      </w:r>
      <w:r w:rsidRPr="00AE567B">
        <w:rPr>
          <w:rFonts w:ascii="Times New Roman" w:hAnsi="Times New Roman" w:cs="Times New Roman"/>
        </w:rPr>
        <w:t xml:space="preserve">z dnia </w:t>
      </w:r>
      <w:r w:rsidR="00AE567B">
        <w:rPr>
          <w:rFonts w:ascii="Times New Roman" w:hAnsi="Times New Roman" w:cs="Times New Roman"/>
        </w:rPr>
        <w:t xml:space="preserve">                  </w:t>
      </w:r>
      <w:r w:rsidRPr="00AE567B">
        <w:rPr>
          <w:rFonts w:ascii="Times New Roman" w:hAnsi="Times New Roman" w:cs="Times New Roman"/>
        </w:rPr>
        <w:t>2 grudnia 2015r. w sprawie uzgadniania projektu budowlanego pod względem ochrony przeciwpożarowej (Dz. U z 2015 r. poz. 2117 ), projekty budowlane obiektów budowlanych istotnych ze względu na konieczność zapewnienia ochrony życia, zdrowia, mienia lub środowiska przed pożarem, klęską żywiołową lub innym miejscowym zagrożeniem, wymagają uzgodnienia z rzeczoznawcą ds. zabezpieczeń przeciwpożarowych.</w:t>
      </w:r>
    </w:p>
    <w:p w:rsidR="002E07EC" w:rsidRPr="00AE567B" w:rsidRDefault="002E07EC" w:rsidP="002E07EC">
      <w:pPr>
        <w:autoSpaceDE w:val="0"/>
        <w:autoSpaceDN w:val="0"/>
        <w:adjustRightInd w:val="0"/>
        <w:spacing w:after="0" w:line="240" w:lineRule="auto"/>
        <w:jc w:val="both"/>
        <w:rPr>
          <w:rFonts w:ascii="Times New Roman" w:hAnsi="Times New Roman" w:cs="Times New Roman"/>
        </w:rPr>
      </w:pPr>
    </w:p>
    <w:p w:rsidR="002E07EC" w:rsidRPr="00AE567B" w:rsidRDefault="002E07EC" w:rsidP="002E07EC">
      <w:pPr>
        <w:spacing w:after="0" w:line="240" w:lineRule="auto"/>
        <w:ind w:firstLine="708"/>
        <w:jc w:val="both"/>
        <w:rPr>
          <w:rFonts w:ascii="Times New Roman" w:eastAsia="Times New Roman" w:hAnsi="Times New Roman" w:cs="Times New Roman"/>
          <w:lang w:eastAsia="pl-PL"/>
        </w:rPr>
      </w:pPr>
      <w:r w:rsidRPr="00AE567B">
        <w:rPr>
          <w:rFonts w:ascii="Times New Roman" w:eastAsia="Times New Roman" w:hAnsi="Times New Roman" w:cs="Times New Roman"/>
          <w:lang w:eastAsia="pl-PL"/>
        </w:rPr>
        <w:t>Podstawę uzgodnienia stanowią dane niezb</w:t>
      </w:r>
      <w:r w:rsidR="00AE567B">
        <w:rPr>
          <w:rFonts w:ascii="Times New Roman" w:eastAsia="Times New Roman" w:hAnsi="Times New Roman" w:cs="Times New Roman"/>
          <w:lang w:eastAsia="pl-PL"/>
        </w:rPr>
        <w:t xml:space="preserve">ędne do stwierdzenia zgodności </w:t>
      </w:r>
      <w:r w:rsidRPr="00AE567B">
        <w:rPr>
          <w:rFonts w:ascii="Times New Roman" w:eastAsia="Times New Roman" w:hAnsi="Times New Roman" w:cs="Times New Roman"/>
          <w:lang w:eastAsia="pl-PL"/>
        </w:rPr>
        <w:t>z wymaganiami ochrony przeciwpożarowej, dotyczące warunków ochrony przeciwpożarowej obiektu budowlanego, zależne od przeznaczenia, sposobu użytkowania, prowadzonego procesu technologicznego, sposobu magazynowania lub składowania, występujących w obiekcie budowlanym zagrożeń pożarowych oraz warunków technicznych obiektu budowlanego, obejmujące w szczególności:</w:t>
      </w:r>
    </w:p>
    <w:p w:rsidR="002E07EC" w:rsidRPr="00AE567B" w:rsidRDefault="002E07EC" w:rsidP="002E07EC">
      <w:pPr>
        <w:spacing w:after="0" w:line="240" w:lineRule="auto"/>
        <w:jc w:val="both"/>
        <w:rPr>
          <w:rFonts w:ascii="Times New Roman" w:eastAsia="Times New Roman" w:hAnsi="Times New Roman" w:cs="Times New Roman"/>
          <w:lang w:eastAsia="pl-PL"/>
        </w:rPr>
      </w:pPr>
    </w:p>
    <w:p w:rsidR="002E07EC" w:rsidRPr="00AE567B" w:rsidRDefault="002E07EC" w:rsidP="002E07EC">
      <w:pPr>
        <w:pStyle w:val="Akapitzlist"/>
        <w:numPr>
          <w:ilvl w:val="0"/>
          <w:numId w:val="1"/>
        </w:numPr>
        <w:spacing w:after="0" w:line="240" w:lineRule="auto"/>
        <w:jc w:val="both"/>
        <w:rPr>
          <w:rFonts w:ascii="Times New Roman" w:eastAsia="Times New Roman" w:hAnsi="Times New Roman" w:cs="Times New Roman"/>
          <w:lang w:eastAsia="pl-PL"/>
        </w:rPr>
      </w:pPr>
      <w:r w:rsidRPr="00AE567B">
        <w:rPr>
          <w:rFonts w:ascii="Times New Roman" w:eastAsia="Times New Roman" w:hAnsi="Times New Roman" w:cs="Times New Roman"/>
          <w:lang w:eastAsia="pl-PL"/>
        </w:rPr>
        <w:t>Informacje o powierzchni, wysokości i liczbie kondygnacji</w:t>
      </w:r>
    </w:p>
    <w:p w:rsidR="002E07EC" w:rsidRPr="00AE567B" w:rsidRDefault="002E07EC" w:rsidP="002E07EC">
      <w:pPr>
        <w:pStyle w:val="Akapitzlist"/>
        <w:numPr>
          <w:ilvl w:val="0"/>
          <w:numId w:val="1"/>
        </w:numPr>
        <w:spacing w:after="0" w:line="240" w:lineRule="auto"/>
        <w:jc w:val="both"/>
        <w:rPr>
          <w:rFonts w:ascii="Times New Roman" w:eastAsia="Times New Roman" w:hAnsi="Times New Roman" w:cs="Times New Roman"/>
          <w:lang w:eastAsia="pl-PL"/>
        </w:rPr>
      </w:pPr>
      <w:r w:rsidRPr="00AE567B">
        <w:rPr>
          <w:rFonts w:ascii="Times New Roman" w:eastAsia="Times New Roman" w:hAnsi="Times New Roman" w:cs="Times New Roman"/>
          <w:lang w:eastAsia="pl-PL"/>
        </w:rPr>
        <w:t xml:space="preserve">Charakterystykę zagrożenia pożarowego, w tym parametry pożarowe materiałów niebezpiecznych pożarowo, zagrożenia wynikające z procesów technologicznych oraz </w:t>
      </w:r>
      <w:r w:rsidR="00AE567B">
        <w:rPr>
          <w:rFonts w:ascii="Times New Roman" w:eastAsia="Times New Roman" w:hAnsi="Times New Roman" w:cs="Times New Roman"/>
          <w:lang w:eastAsia="pl-PL"/>
        </w:rPr>
        <w:t xml:space="preserve">                        </w:t>
      </w:r>
      <w:r w:rsidRPr="00AE567B">
        <w:rPr>
          <w:rFonts w:ascii="Times New Roman" w:eastAsia="Times New Roman" w:hAnsi="Times New Roman" w:cs="Times New Roman"/>
          <w:lang w:eastAsia="pl-PL"/>
        </w:rPr>
        <w:t>w zależności od potrzeb charakterystykę pożarów przyjętych do celów projektowych</w:t>
      </w:r>
    </w:p>
    <w:p w:rsidR="002E07EC" w:rsidRPr="00AE567B" w:rsidRDefault="002E07EC" w:rsidP="002E07EC">
      <w:pPr>
        <w:pStyle w:val="Akapitzlist"/>
        <w:numPr>
          <w:ilvl w:val="0"/>
          <w:numId w:val="1"/>
        </w:numPr>
        <w:spacing w:after="0" w:line="240" w:lineRule="auto"/>
        <w:jc w:val="both"/>
        <w:rPr>
          <w:rFonts w:ascii="Times New Roman" w:eastAsia="Times New Roman" w:hAnsi="Times New Roman" w:cs="Times New Roman"/>
          <w:lang w:eastAsia="pl-PL"/>
        </w:rPr>
      </w:pPr>
      <w:r w:rsidRPr="00AE567B">
        <w:rPr>
          <w:rFonts w:ascii="Times New Roman" w:eastAsia="Times New Roman" w:hAnsi="Times New Roman" w:cs="Times New Roman"/>
          <w:lang w:eastAsia="pl-PL"/>
        </w:rPr>
        <w:t>Informacje o kategorii zagrożenia ludzi oraz przewidywanej liczbie osób na każdej kondygnacji i w pomieszczeniach, których drzwi ewakuacyjne powinny otwierać się na zewnątrz pomieszczeń;</w:t>
      </w:r>
    </w:p>
    <w:p w:rsidR="002E07EC" w:rsidRPr="00AE567B" w:rsidRDefault="002E07EC" w:rsidP="002E07EC">
      <w:pPr>
        <w:pStyle w:val="Akapitzlist"/>
        <w:numPr>
          <w:ilvl w:val="0"/>
          <w:numId w:val="1"/>
        </w:numPr>
        <w:spacing w:after="0" w:line="240" w:lineRule="auto"/>
        <w:jc w:val="both"/>
        <w:rPr>
          <w:rFonts w:ascii="Times New Roman" w:eastAsia="Times New Roman" w:hAnsi="Times New Roman" w:cs="Times New Roman"/>
          <w:lang w:eastAsia="pl-PL"/>
        </w:rPr>
      </w:pPr>
      <w:r w:rsidRPr="00AE567B">
        <w:rPr>
          <w:rFonts w:ascii="Times New Roman" w:eastAsia="Times New Roman" w:hAnsi="Times New Roman" w:cs="Times New Roman"/>
          <w:lang w:eastAsia="pl-PL"/>
        </w:rPr>
        <w:t>Informacje o przewidywanej gęstości obciążenia ogniowego</w:t>
      </w:r>
    </w:p>
    <w:p w:rsidR="002E07EC" w:rsidRPr="00AE567B" w:rsidRDefault="002E07EC" w:rsidP="002E07EC">
      <w:pPr>
        <w:pStyle w:val="Akapitzlist"/>
        <w:numPr>
          <w:ilvl w:val="0"/>
          <w:numId w:val="1"/>
        </w:numPr>
        <w:spacing w:after="0" w:line="240" w:lineRule="auto"/>
        <w:jc w:val="both"/>
        <w:rPr>
          <w:rFonts w:ascii="Times New Roman" w:eastAsia="Times New Roman" w:hAnsi="Times New Roman" w:cs="Times New Roman"/>
          <w:lang w:eastAsia="pl-PL"/>
        </w:rPr>
      </w:pPr>
      <w:r w:rsidRPr="00AE567B">
        <w:rPr>
          <w:rFonts w:ascii="Times New Roman" w:eastAsia="Times New Roman" w:hAnsi="Times New Roman" w:cs="Times New Roman"/>
          <w:lang w:eastAsia="pl-PL"/>
        </w:rPr>
        <w:t>Ocenę zagrożenia wybuchem pomieszczeń oraz przestrzeni zewnętrznych</w:t>
      </w:r>
    </w:p>
    <w:p w:rsidR="002E07EC" w:rsidRPr="00AE567B" w:rsidRDefault="002E07EC" w:rsidP="002E07EC">
      <w:pPr>
        <w:pStyle w:val="Akapitzlist"/>
        <w:numPr>
          <w:ilvl w:val="0"/>
          <w:numId w:val="1"/>
        </w:numPr>
        <w:spacing w:after="0" w:line="240" w:lineRule="auto"/>
        <w:jc w:val="both"/>
        <w:rPr>
          <w:rFonts w:ascii="Times New Roman" w:eastAsia="Times New Roman" w:hAnsi="Times New Roman" w:cs="Times New Roman"/>
          <w:lang w:eastAsia="pl-PL"/>
        </w:rPr>
      </w:pPr>
      <w:r w:rsidRPr="00AE567B">
        <w:rPr>
          <w:rFonts w:ascii="Times New Roman" w:eastAsia="Times New Roman" w:hAnsi="Times New Roman" w:cs="Times New Roman"/>
          <w:lang w:eastAsia="pl-PL"/>
        </w:rPr>
        <w:t>Informacje o klasie odporności pożarowej oraz klasie odporności ogniowej i stopniu rozprzestrzeniania ognia elementów budowlanych</w:t>
      </w:r>
    </w:p>
    <w:p w:rsidR="002E07EC" w:rsidRPr="00AE567B" w:rsidRDefault="002E07EC" w:rsidP="002E07EC">
      <w:pPr>
        <w:pStyle w:val="Akapitzlist"/>
        <w:numPr>
          <w:ilvl w:val="0"/>
          <w:numId w:val="1"/>
        </w:numPr>
        <w:spacing w:after="0" w:line="240" w:lineRule="auto"/>
        <w:jc w:val="both"/>
        <w:rPr>
          <w:rFonts w:ascii="Times New Roman" w:eastAsia="Times New Roman" w:hAnsi="Times New Roman" w:cs="Times New Roman"/>
          <w:lang w:eastAsia="pl-PL"/>
        </w:rPr>
      </w:pPr>
      <w:r w:rsidRPr="00AE567B">
        <w:rPr>
          <w:rFonts w:ascii="Times New Roman" w:eastAsia="Times New Roman" w:hAnsi="Times New Roman" w:cs="Times New Roman"/>
          <w:lang w:eastAsia="pl-PL"/>
        </w:rPr>
        <w:t>Informacje o podziale na strefy pożarowe oraz strefy dymowe</w:t>
      </w:r>
    </w:p>
    <w:p w:rsidR="002E07EC" w:rsidRPr="00AE567B" w:rsidRDefault="002E07EC" w:rsidP="002E07EC">
      <w:pPr>
        <w:pStyle w:val="Akapitzlist"/>
        <w:numPr>
          <w:ilvl w:val="0"/>
          <w:numId w:val="1"/>
        </w:numPr>
        <w:spacing w:after="0" w:line="240" w:lineRule="auto"/>
        <w:jc w:val="both"/>
        <w:rPr>
          <w:rFonts w:ascii="Times New Roman" w:eastAsia="Times New Roman" w:hAnsi="Times New Roman" w:cs="Times New Roman"/>
          <w:lang w:eastAsia="pl-PL"/>
        </w:rPr>
      </w:pPr>
      <w:r w:rsidRPr="00AE567B">
        <w:rPr>
          <w:rFonts w:ascii="Times New Roman" w:eastAsia="Times New Roman" w:hAnsi="Times New Roman" w:cs="Times New Roman"/>
          <w:lang w:eastAsia="pl-PL"/>
        </w:rPr>
        <w:t>Informacje o usytuowaniu z uwagi na bezpieczeństwo pożarowe, w tym o odległości od obiektów sąsiadujących</w:t>
      </w:r>
    </w:p>
    <w:p w:rsidR="002E07EC" w:rsidRPr="00AE567B" w:rsidRDefault="002E07EC" w:rsidP="002E07EC">
      <w:pPr>
        <w:pStyle w:val="Akapitzlist"/>
        <w:numPr>
          <w:ilvl w:val="0"/>
          <w:numId w:val="1"/>
        </w:numPr>
        <w:spacing w:after="0" w:line="240" w:lineRule="auto"/>
        <w:jc w:val="both"/>
        <w:rPr>
          <w:rFonts w:ascii="Times New Roman" w:eastAsia="Times New Roman" w:hAnsi="Times New Roman" w:cs="Times New Roman"/>
          <w:lang w:eastAsia="pl-PL"/>
        </w:rPr>
      </w:pPr>
      <w:r w:rsidRPr="00AE567B">
        <w:rPr>
          <w:rFonts w:ascii="Times New Roman" w:eastAsia="Times New Roman" w:hAnsi="Times New Roman" w:cs="Times New Roman"/>
          <w:lang w:eastAsia="pl-PL"/>
        </w:rPr>
        <w:t>Informacje o warunkach i strategii ewakuacji ludzi lub ich uratowania w inny sposób</w:t>
      </w:r>
    </w:p>
    <w:p w:rsidR="002E07EC" w:rsidRPr="00AE567B" w:rsidRDefault="002E07EC" w:rsidP="002E07EC">
      <w:pPr>
        <w:pStyle w:val="Akapitzlist"/>
        <w:numPr>
          <w:ilvl w:val="0"/>
          <w:numId w:val="1"/>
        </w:numPr>
        <w:spacing w:after="0" w:line="240" w:lineRule="auto"/>
        <w:jc w:val="both"/>
        <w:rPr>
          <w:rFonts w:ascii="Times New Roman" w:eastAsia="Times New Roman" w:hAnsi="Times New Roman" w:cs="Times New Roman"/>
          <w:lang w:eastAsia="pl-PL"/>
        </w:rPr>
      </w:pPr>
      <w:r w:rsidRPr="00AE567B">
        <w:rPr>
          <w:rFonts w:ascii="Times New Roman" w:eastAsia="Times New Roman" w:hAnsi="Times New Roman" w:cs="Times New Roman"/>
          <w:lang w:eastAsia="pl-PL"/>
        </w:rPr>
        <w:t>Informacje o sposobie zabezpieczenia przeciwpożarowego in</w:t>
      </w:r>
      <w:r w:rsidR="00AE567B">
        <w:rPr>
          <w:rFonts w:ascii="Times New Roman" w:eastAsia="Times New Roman" w:hAnsi="Times New Roman" w:cs="Times New Roman"/>
          <w:lang w:eastAsia="pl-PL"/>
        </w:rPr>
        <w:t xml:space="preserve">stalacji użytkowych,                                  </w:t>
      </w:r>
      <w:r w:rsidRPr="00AE567B">
        <w:rPr>
          <w:rFonts w:ascii="Times New Roman" w:eastAsia="Times New Roman" w:hAnsi="Times New Roman" w:cs="Times New Roman"/>
          <w:lang w:eastAsia="pl-PL"/>
        </w:rPr>
        <w:t xml:space="preserve"> a w szczególności wentylacyjnej, ogrzewczej, gazowej, elektrycznej, teletechnicznej           </w:t>
      </w:r>
      <w:r w:rsidR="00AE567B">
        <w:rPr>
          <w:rFonts w:ascii="Times New Roman" w:eastAsia="Times New Roman" w:hAnsi="Times New Roman" w:cs="Times New Roman"/>
          <w:lang w:eastAsia="pl-PL"/>
        </w:rPr>
        <w:t xml:space="preserve">                   </w:t>
      </w:r>
      <w:r w:rsidRPr="00AE567B">
        <w:rPr>
          <w:rFonts w:ascii="Times New Roman" w:eastAsia="Times New Roman" w:hAnsi="Times New Roman" w:cs="Times New Roman"/>
          <w:lang w:eastAsia="pl-PL"/>
        </w:rPr>
        <w:t xml:space="preserve"> i piorunochronnej</w:t>
      </w:r>
    </w:p>
    <w:p w:rsidR="002E07EC" w:rsidRPr="00AE567B" w:rsidRDefault="002E07EC" w:rsidP="002E07EC">
      <w:pPr>
        <w:pStyle w:val="Akapitzlist"/>
        <w:numPr>
          <w:ilvl w:val="0"/>
          <w:numId w:val="1"/>
        </w:numPr>
        <w:spacing w:after="0" w:line="240" w:lineRule="auto"/>
        <w:jc w:val="both"/>
        <w:rPr>
          <w:rFonts w:ascii="Times New Roman" w:eastAsia="Times New Roman" w:hAnsi="Times New Roman" w:cs="Times New Roman"/>
          <w:lang w:eastAsia="pl-PL"/>
        </w:rPr>
      </w:pPr>
      <w:r w:rsidRPr="00AE567B">
        <w:rPr>
          <w:rFonts w:ascii="Times New Roman" w:eastAsia="Times New Roman" w:hAnsi="Times New Roman" w:cs="Times New Roman"/>
          <w:lang w:eastAsia="pl-PL"/>
        </w:rPr>
        <w:t>Informacje o doborze urządzeń przeciwpożarowych i innych urządzeń służących bezpieczeństwu pożarowemu, dostosowanym do wymagań wynikających z przepisów dotyczących ochrony przeciwpożarowej i przyjętych scenariuszy pożarowych, z podstawową charakterystyką tych urządzeń</w:t>
      </w:r>
    </w:p>
    <w:p w:rsidR="002E07EC" w:rsidRPr="00AE567B" w:rsidRDefault="002E07EC" w:rsidP="002E07EC">
      <w:pPr>
        <w:pStyle w:val="Akapitzlist"/>
        <w:numPr>
          <w:ilvl w:val="0"/>
          <w:numId w:val="1"/>
        </w:numPr>
        <w:spacing w:after="0" w:line="240" w:lineRule="auto"/>
        <w:jc w:val="both"/>
        <w:rPr>
          <w:rFonts w:ascii="Times New Roman" w:eastAsia="Times New Roman" w:hAnsi="Times New Roman" w:cs="Times New Roman"/>
          <w:lang w:eastAsia="pl-PL"/>
        </w:rPr>
      </w:pPr>
      <w:r w:rsidRPr="00AE567B">
        <w:rPr>
          <w:rFonts w:ascii="Times New Roman" w:eastAsia="Times New Roman" w:hAnsi="Times New Roman" w:cs="Times New Roman"/>
          <w:lang w:eastAsia="pl-PL"/>
        </w:rPr>
        <w:t>Informacje o wyposażeniu w gaśnice</w:t>
      </w:r>
    </w:p>
    <w:p w:rsidR="002E07EC" w:rsidRPr="00AE567B" w:rsidRDefault="002E07EC" w:rsidP="002E07EC">
      <w:pPr>
        <w:pStyle w:val="Akapitzlist"/>
        <w:numPr>
          <w:ilvl w:val="0"/>
          <w:numId w:val="1"/>
        </w:numPr>
        <w:spacing w:after="0" w:line="240" w:lineRule="auto"/>
        <w:jc w:val="both"/>
        <w:rPr>
          <w:rFonts w:ascii="Times New Roman" w:eastAsia="Times New Roman" w:hAnsi="Times New Roman" w:cs="Times New Roman"/>
          <w:lang w:eastAsia="pl-PL"/>
        </w:rPr>
      </w:pPr>
      <w:r w:rsidRPr="00AE567B">
        <w:rPr>
          <w:rFonts w:ascii="Times New Roman" w:eastAsia="Times New Roman" w:hAnsi="Times New Roman" w:cs="Times New Roman"/>
          <w:lang w:eastAsia="pl-PL"/>
        </w:rPr>
        <w:t>Informacje o przygotowaniu obiektu budowlanego i terenu do prowadzenia działań ratowniczo-gaśniczych, a szczególności informacje o drogach pożarowych, zaopatrzeniu w wodę do zewnętrznego gaszenia pożaru oraz osprzęcie służącym do tych działań</w:t>
      </w:r>
    </w:p>
    <w:p w:rsidR="002E07EC" w:rsidRPr="00AE567B" w:rsidRDefault="002E07EC" w:rsidP="002E07EC">
      <w:pPr>
        <w:pStyle w:val="Akapitzlist"/>
        <w:spacing w:after="0" w:line="240" w:lineRule="auto"/>
        <w:jc w:val="both"/>
        <w:rPr>
          <w:rFonts w:ascii="Times New Roman" w:eastAsia="Times New Roman" w:hAnsi="Times New Roman" w:cs="Times New Roman"/>
          <w:lang w:eastAsia="pl-PL"/>
        </w:rPr>
      </w:pPr>
    </w:p>
    <w:p w:rsidR="002E07EC" w:rsidRDefault="002E07EC" w:rsidP="002E07EC">
      <w:pPr>
        <w:spacing w:after="0" w:line="240" w:lineRule="auto"/>
        <w:jc w:val="both"/>
        <w:rPr>
          <w:rFonts w:ascii="Times New Roman" w:eastAsia="Times New Roman" w:hAnsi="Times New Roman" w:cs="Times New Roman"/>
          <w:lang w:eastAsia="pl-PL"/>
        </w:rPr>
      </w:pPr>
      <w:r w:rsidRPr="00AE567B">
        <w:rPr>
          <w:rFonts w:ascii="Times New Roman" w:eastAsia="Times New Roman" w:hAnsi="Times New Roman" w:cs="Times New Roman"/>
          <w:lang w:eastAsia="pl-PL"/>
        </w:rPr>
        <w:t xml:space="preserve">Dane dotyczące warunków ochrony przeciwpożarowej przedstawia się w projekcie budowlanym w całości lub w części, w zależności od rodzaju rozwiązania zasadniczych elementów wyposażenia budowlano-instalacyjnego i od zakresu ich występowania w obiekcie budowlanym. </w:t>
      </w:r>
    </w:p>
    <w:p w:rsidR="00AE567B" w:rsidRDefault="00AE567B" w:rsidP="002E07EC">
      <w:pPr>
        <w:spacing w:after="0" w:line="240" w:lineRule="auto"/>
        <w:jc w:val="both"/>
        <w:rPr>
          <w:rFonts w:ascii="Times New Roman" w:eastAsia="Times New Roman" w:hAnsi="Times New Roman" w:cs="Times New Roman"/>
          <w:lang w:eastAsia="pl-PL"/>
        </w:rPr>
      </w:pPr>
    </w:p>
    <w:p w:rsidR="00AE567B" w:rsidRPr="00AE567B" w:rsidRDefault="00AE567B" w:rsidP="002E07EC">
      <w:pPr>
        <w:spacing w:after="0" w:line="240" w:lineRule="auto"/>
        <w:jc w:val="both"/>
        <w:rPr>
          <w:rFonts w:ascii="Times New Roman" w:eastAsia="Times New Roman" w:hAnsi="Times New Roman" w:cs="Times New Roman"/>
          <w:lang w:eastAsia="pl-PL"/>
        </w:rPr>
      </w:pPr>
    </w:p>
    <w:p w:rsidR="00AE567B" w:rsidRPr="00AE567B" w:rsidRDefault="00AE567B" w:rsidP="00AE567B">
      <w:pPr>
        <w:spacing w:after="0" w:line="240" w:lineRule="auto"/>
        <w:ind w:firstLine="708"/>
        <w:jc w:val="both"/>
        <w:rPr>
          <w:rFonts w:ascii="Times New Roman" w:hAnsi="Times New Roman" w:cs="Times New Roman"/>
        </w:rPr>
      </w:pPr>
      <w:r w:rsidRPr="00AE567B">
        <w:rPr>
          <w:rFonts w:ascii="Times New Roman" w:eastAsia="Times New Roman" w:hAnsi="Times New Roman" w:cs="Times New Roman"/>
          <w:lang w:eastAsia="pl-PL"/>
        </w:rPr>
        <w:t xml:space="preserve">Ponadto zgodnie z </w:t>
      </w:r>
      <w:r w:rsidRPr="00AE567B">
        <w:rPr>
          <w:rFonts w:ascii="Times New Roman" w:eastAsia="Times New Roman" w:hAnsi="Times New Roman" w:cs="Times New Roman"/>
          <w:bCs/>
          <w:lang w:eastAsia="pl-PL"/>
        </w:rPr>
        <w:t>rozporządzenie</w:t>
      </w:r>
      <w:r w:rsidRPr="00AE567B">
        <w:rPr>
          <w:rFonts w:ascii="Times New Roman" w:eastAsia="Times New Roman" w:hAnsi="Times New Roman" w:cs="Times New Roman"/>
          <w:bCs/>
          <w:lang w:eastAsia="pl-PL"/>
        </w:rPr>
        <w:t>m</w:t>
      </w:r>
      <w:r w:rsidRPr="00AE567B">
        <w:rPr>
          <w:rFonts w:ascii="Times New Roman" w:eastAsia="Times New Roman" w:hAnsi="Times New Roman" w:cs="Times New Roman"/>
          <w:bCs/>
          <w:lang w:eastAsia="pl-PL"/>
        </w:rPr>
        <w:t xml:space="preserve"> Ministra Rozwoju z dnia 11 września 2020 r.  w sprawie szczegółowego zakresu i formy projektu budowlanego</w:t>
      </w:r>
      <w:r w:rsidRPr="00AE567B">
        <w:rPr>
          <w:rFonts w:ascii="Times New Roman" w:eastAsia="Times New Roman" w:hAnsi="Times New Roman" w:cs="Times New Roman"/>
          <w:bCs/>
          <w:lang w:eastAsia="pl-PL"/>
        </w:rPr>
        <w:t xml:space="preserve"> (Dz. U z 2020 r. poz. 1609)</w:t>
      </w:r>
      <w:r w:rsidRPr="00AE567B">
        <w:rPr>
          <w:rFonts w:ascii="Times New Roman" w:eastAsia="Times New Roman" w:hAnsi="Times New Roman" w:cs="Times New Roman"/>
          <w:bCs/>
          <w:lang w:eastAsia="pl-PL"/>
        </w:rPr>
        <w:t xml:space="preserve"> </w:t>
      </w:r>
      <w:r w:rsidRPr="00AE567B">
        <w:rPr>
          <w:rFonts w:ascii="Times New Roman" w:eastAsia="Times New Roman" w:hAnsi="Times New Roman" w:cs="Times New Roman"/>
          <w:bCs/>
          <w:lang w:eastAsia="pl-PL"/>
        </w:rPr>
        <w:t xml:space="preserve">wprowadzono </w:t>
      </w:r>
      <w:r w:rsidRPr="00AE567B">
        <w:rPr>
          <w:rFonts w:ascii="Times New Roman" w:eastAsia="Times New Roman" w:hAnsi="Times New Roman" w:cs="Times New Roman"/>
          <w:bCs/>
          <w:lang w:eastAsia="pl-PL"/>
        </w:rPr>
        <w:t xml:space="preserve"> obowiązek umieszczania w c</w:t>
      </w:r>
      <w:r w:rsidRPr="00AE567B">
        <w:rPr>
          <w:rFonts w:ascii="Times New Roman" w:hAnsi="Times New Roman" w:cs="Times New Roman"/>
        </w:rPr>
        <w:t>zęści rysunkowej projektu architektoniczno-budowlanego oraz technicznego oznaczenia klas odporności ogniowej lub dymoszczelności elementów oddzielenia przeciwpożarowego i innych elementów obiektu budowlanego,</w:t>
      </w:r>
      <w:bookmarkStart w:id="0" w:name="_GoBack"/>
      <w:bookmarkEnd w:id="0"/>
      <w:r w:rsidRPr="00AE567B">
        <w:rPr>
          <w:rFonts w:ascii="Times New Roman" w:hAnsi="Times New Roman" w:cs="Times New Roman"/>
        </w:rPr>
        <w:t xml:space="preserve">  </w:t>
      </w:r>
      <w:r w:rsidRPr="00AE567B">
        <w:rPr>
          <w:rFonts w:ascii="Times New Roman" w:hAnsi="Times New Roman" w:cs="Times New Roman"/>
        </w:rPr>
        <w:t>w których przejścia instalacyjne muszą być zabezpieczone pod względem przeciwpożarowym, a także drzwi, bram lub innych zamknięć przeciwpożarowych.</w:t>
      </w:r>
    </w:p>
    <w:p w:rsidR="00AE567B" w:rsidRPr="00AE567B" w:rsidRDefault="00AE567B" w:rsidP="002E07EC">
      <w:pPr>
        <w:spacing w:after="0" w:line="240" w:lineRule="auto"/>
        <w:jc w:val="both"/>
        <w:rPr>
          <w:rFonts w:ascii="Times New Roman" w:eastAsia="Times New Roman" w:hAnsi="Times New Roman" w:cs="Times New Roman"/>
          <w:lang w:eastAsia="pl-PL"/>
        </w:rPr>
      </w:pPr>
    </w:p>
    <w:p w:rsidR="00F61B6E" w:rsidRPr="00AE567B" w:rsidRDefault="00F61B6E" w:rsidP="002E07EC"/>
    <w:sectPr w:rsidR="00F61B6E" w:rsidRPr="00AE567B" w:rsidSect="00AE567B">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E3BFF"/>
    <w:multiLevelType w:val="hybridMultilevel"/>
    <w:tmpl w:val="EF3EE320"/>
    <w:lvl w:ilvl="0" w:tplc="E52C660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D40634"/>
    <w:multiLevelType w:val="hybridMultilevel"/>
    <w:tmpl w:val="351E3E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7EC"/>
    <w:rsid w:val="002E07EC"/>
    <w:rsid w:val="00AE567B"/>
    <w:rsid w:val="00F61B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F741C-111D-4830-B231-2DBD4DA3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07EC"/>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0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521</Words>
  <Characters>3132</Characters>
  <Application>Microsoft Office Word</Application>
  <DocSecurity>0</DocSecurity>
  <Lines>26</Lines>
  <Paragraphs>7</Paragraphs>
  <ScaleCrop>false</ScaleCrop>
  <Company/>
  <LinksUpToDate>false</LinksUpToDate>
  <CharactersWithSpaces>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M.Klefas (KP Góra)</dc:creator>
  <cp:keywords/>
  <dc:description/>
  <cp:lastModifiedBy>M.Klefas (KP Góra)</cp:lastModifiedBy>
  <cp:revision>3</cp:revision>
  <dcterms:created xsi:type="dcterms:W3CDTF">2020-11-27T11:07:00Z</dcterms:created>
  <dcterms:modified xsi:type="dcterms:W3CDTF">2020-11-27T11:12:00Z</dcterms:modified>
</cp:coreProperties>
</file>