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7E0F97A" w14:textId="77777777" w:rsidR="000511D9" w:rsidRDefault="000511D9">
      <w:pPr>
        <w:jc w:val="right"/>
      </w:pPr>
      <w:r>
        <w:t>Zał. nr 5 do ZW 8/2020</w:t>
      </w:r>
    </w:p>
    <w:p w14:paraId="77E0F97B" w14:textId="77777777" w:rsidR="000511D9" w:rsidRDefault="000511D9">
      <w:pPr>
        <w:jc w:val="right"/>
      </w:pPr>
      <w:proofErr w:type="gramStart"/>
      <w:r>
        <w:t>Załącznik  nr</w:t>
      </w:r>
      <w:proofErr w:type="gramEnd"/>
      <w:r>
        <w:t xml:space="preserve"> …  do programu studiów 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0511D9" w14:paraId="77E0F986" w14:textId="77777777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7C" w14:textId="77777777" w:rsidR="000511D9" w:rsidRDefault="000511D9">
            <w:pPr>
              <w:widowControl w:val="0"/>
              <w:jc w:val="both"/>
            </w:pPr>
            <w:r>
              <w:t xml:space="preserve">WYDZIAŁ Elektroniki / STUDIUM……………… </w:t>
            </w:r>
          </w:p>
          <w:p w14:paraId="77E0F97D" w14:textId="77777777" w:rsidR="000511D9" w:rsidRDefault="000511D9">
            <w:pPr>
              <w:pStyle w:val="Nagwek2"/>
              <w:widowControl w:val="0"/>
              <w:numPr>
                <w:ilvl w:val="0"/>
                <w:numId w:val="0"/>
              </w:numPr>
              <w:snapToGrid w:val="0"/>
              <w:ind w:left="576" w:hanging="576"/>
              <w:jc w:val="both"/>
            </w:pPr>
            <w:r>
              <w:t>KARTA PRZEDMIOTU</w:t>
            </w:r>
          </w:p>
          <w:p w14:paraId="77E0F97E" w14:textId="77777777" w:rsidR="000511D9" w:rsidRDefault="000511D9">
            <w:pPr>
              <w:pStyle w:val="Nagwek2"/>
              <w:widowControl w:val="0"/>
              <w:numPr>
                <w:ilvl w:val="1"/>
                <w:numId w:val="2"/>
              </w:numPr>
              <w:tabs>
                <w:tab w:val="left" w:pos="4253"/>
              </w:tabs>
              <w:ind w:left="4186" w:hanging="4186"/>
              <w:jc w:val="both"/>
            </w:pPr>
            <w:r>
              <w:t>Nazwa przedmiotu w języku polskim:</w:t>
            </w:r>
            <w:r>
              <w:tab/>
              <w:t>Etyczne, prawne i socjalne aspekty w AI i </w:t>
            </w:r>
            <w:proofErr w:type="spellStart"/>
            <w:r>
              <w:t>Cyberbezpieczeństwie</w:t>
            </w:r>
            <w:proofErr w:type="spellEnd"/>
          </w:p>
          <w:p w14:paraId="77E0F97F" w14:textId="77904A4E" w:rsidR="000511D9" w:rsidRPr="006020D8" w:rsidRDefault="000511D9">
            <w:pPr>
              <w:pStyle w:val="Nagwek2"/>
              <w:widowControl w:val="0"/>
              <w:numPr>
                <w:ilvl w:val="1"/>
                <w:numId w:val="2"/>
              </w:numPr>
              <w:tabs>
                <w:tab w:val="left" w:pos="4253"/>
              </w:tabs>
              <w:ind w:left="4253" w:hanging="4253"/>
              <w:jc w:val="both"/>
              <w:rPr>
                <w:lang w:val="en-GB"/>
              </w:rPr>
            </w:pPr>
            <w:proofErr w:type="spellStart"/>
            <w:r w:rsidRPr="006020D8">
              <w:rPr>
                <w:lang w:val="en-GB"/>
              </w:rPr>
              <w:t>Nazwa</w:t>
            </w:r>
            <w:proofErr w:type="spellEnd"/>
            <w:r w:rsidRPr="006020D8">
              <w:rPr>
                <w:lang w:val="en-GB"/>
              </w:rPr>
              <w:t xml:space="preserve"> </w:t>
            </w:r>
            <w:proofErr w:type="spellStart"/>
            <w:r w:rsidRPr="006020D8">
              <w:rPr>
                <w:lang w:val="en-GB"/>
              </w:rPr>
              <w:t>przedmiotu</w:t>
            </w:r>
            <w:proofErr w:type="spellEnd"/>
            <w:r w:rsidRPr="006020D8">
              <w:rPr>
                <w:lang w:val="en-GB"/>
              </w:rPr>
              <w:t xml:space="preserve"> w </w:t>
            </w:r>
            <w:proofErr w:type="spellStart"/>
            <w:r w:rsidRPr="006020D8">
              <w:rPr>
                <w:lang w:val="en-GB"/>
              </w:rPr>
              <w:t>języku</w:t>
            </w:r>
            <w:proofErr w:type="spellEnd"/>
            <w:r w:rsidRPr="006020D8">
              <w:rPr>
                <w:lang w:val="en-GB"/>
              </w:rPr>
              <w:t xml:space="preserve"> </w:t>
            </w:r>
            <w:proofErr w:type="spellStart"/>
            <w:r w:rsidRPr="006020D8">
              <w:rPr>
                <w:lang w:val="en-GB"/>
              </w:rPr>
              <w:t>angielskim</w:t>
            </w:r>
            <w:proofErr w:type="spellEnd"/>
            <w:r w:rsidRPr="006020D8">
              <w:rPr>
                <w:lang w:val="en-GB"/>
              </w:rPr>
              <w:t>:</w:t>
            </w:r>
            <w:r w:rsidRPr="006020D8">
              <w:rPr>
                <w:lang w:val="en-GB"/>
              </w:rPr>
              <w:tab/>
            </w:r>
            <w:r w:rsidR="006020D8" w:rsidRPr="007A635F">
              <w:rPr>
                <w:lang w:val="en-GB"/>
              </w:rPr>
              <w:t xml:space="preserve">Ethical, </w:t>
            </w:r>
            <w:proofErr w:type="gramStart"/>
            <w:r w:rsidR="006020D8" w:rsidRPr="007A635F">
              <w:rPr>
                <w:lang w:val="en-GB"/>
              </w:rPr>
              <w:t>legal</w:t>
            </w:r>
            <w:proofErr w:type="gramEnd"/>
            <w:r w:rsidR="006020D8" w:rsidRPr="007A635F">
              <w:rPr>
                <w:lang w:val="en-GB"/>
              </w:rPr>
              <w:t xml:space="preserve"> and social aspects in AI and Cybersecurity</w:t>
            </w:r>
          </w:p>
          <w:p w14:paraId="77E0F980" w14:textId="77777777" w:rsidR="000511D9" w:rsidRDefault="000511D9">
            <w:pPr>
              <w:pStyle w:val="Nagwek2"/>
              <w:widowControl w:val="0"/>
              <w:numPr>
                <w:ilvl w:val="1"/>
                <w:numId w:val="2"/>
              </w:numPr>
              <w:tabs>
                <w:tab w:val="left" w:pos="4253"/>
              </w:tabs>
              <w:ind w:left="4253" w:hanging="4253"/>
              <w:jc w:val="both"/>
            </w:pPr>
            <w:r>
              <w:t xml:space="preserve">Kierunek studiów (jeśli dotyczy): </w:t>
            </w:r>
            <w:r>
              <w:tab/>
              <w:t xml:space="preserve">Zaufane systemy sztucznej inteligencji </w:t>
            </w:r>
          </w:p>
          <w:p w14:paraId="77E0F981" w14:textId="77777777" w:rsidR="000511D9" w:rsidRDefault="000511D9">
            <w:pPr>
              <w:pStyle w:val="Nagwek2"/>
              <w:widowControl w:val="0"/>
              <w:numPr>
                <w:ilvl w:val="1"/>
                <w:numId w:val="2"/>
              </w:numPr>
              <w:jc w:val="both"/>
            </w:pPr>
            <w:r>
              <w:t>Specjalność (jeśli dotyczy): 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77E0F982" w14:textId="77777777" w:rsidR="000511D9" w:rsidRDefault="000511D9">
            <w:pPr>
              <w:pStyle w:val="Nagwek2"/>
              <w:widowControl w:val="0"/>
              <w:numPr>
                <w:ilvl w:val="1"/>
                <w:numId w:val="2"/>
              </w:numPr>
              <w:tabs>
                <w:tab w:val="left" w:pos="4253"/>
              </w:tabs>
              <w:ind w:left="2835" w:hanging="2835"/>
              <w:jc w:val="both"/>
            </w:pPr>
            <w:r>
              <w:t>Poziom i forma studiów:</w:t>
            </w:r>
            <w:r>
              <w:tab/>
            </w:r>
            <w:r>
              <w:rPr>
                <w:strike/>
              </w:rPr>
              <w:t>I</w:t>
            </w:r>
            <w:r>
              <w:t xml:space="preserve"> / II stopień / </w:t>
            </w:r>
            <w:r>
              <w:rPr>
                <w:strike/>
              </w:rPr>
              <w:t>jednolite studia magisterskie</w:t>
            </w:r>
            <w:r>
              <w:t xml:space="preserve">*, stacjonarna /   </w:t>
            </w:r>
            <w:r>
              <w:rPr>
                <w:strike/>
              </w:rPr>
              <w:t>niestacjonarna</w:t>
            </w:r>
            <w:r>
              <w:t>*</w:t>
            </w:r>
          </w:p>
          <w:p w14:paraId="77E0F983" w14:textId="77777777" w:rsidR="000511D9" w:rsidRDefault="000511D9">
            <w:pPr>
              <w:widowControl w:val="0"/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trike/>
              </w:rPr>
              <w:t>obowiązkowy /</w:t>
            </w:r>
            <w:r>
              <w:rPr>
                <w:b/>
                <w:bCs/>
              </w:rPr>
              <w:t xml:space="preserve"> wybieralny / </w:t>
            </w:r>
            <w:r>
              <w:rPr>
                <w:b/>
                <w:bCs/>
                <w:strike/>
              </w:rPr>
              <w:t xml:space="preserve">ogólnouczelniany </w:t>
            </w:r>
            <w:r>
              <w:rPr>
                <w:b/>
                <w:bCs/>
              </w:rPr>
              <w:t>*</w:t>
            </w:r>
          </w:p>
          <w:p w14:paraId="77E0F984" w14:textId="77777777" w:rsidR="000511D9" w:rsidRDefault="000511D9">
            <w:pPr>
              <w:widowControl w:val="0"/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…………….</w:t>
            </w:r>
          </w:p>
          <w:p w14:paraId="77E0F985" w14:textId="77777777" w:rsidR="000511D9" w:rsidRDefault="000511D9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Grupa kursów                      TAK / </w:t>
            </w:r>
            <w:r>
              <w:rPr>
                <w:b/>
                <w:bCs/>
                <w:strike/>
              </w:rPr>
              <w:t>NIE</w:t>
            </w:r>
            <w:r>
              <w:rPr>
                <w:b/>
                <w:bCs/>
              </w:rPr>
              <w:t>*</w:t>
            </w:r>
          </w:p>
        </w:tc>
      </w:tr>
      <w:tr w:rsidR="000511D9" w14:paraId="77E0F988" w14:textId="77777777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87" w14:textId="77777777" w:rsidR="000511D9" w:rsidRDefault="000511D9">
            <w:pPr>
              <w:widowControl w:val="0"/>
            </w:pPr>
          </w:p>
        </w:tc>
      </w:tr>
    </w:tbl>
    <w:p w14:paraId="77E0F989" w14:textId="77777777" w:rsidR="000511D9" w:rsidRDefault="000511D9">
      <w:pPr>
        <w:rPr>
          <w:sz w:val="12"/>
          <w:szCs w:val="12"/>
        </w:rPr>
      </w:pPr>
    </w:p>
    <w:p w14:paraId="77E0F98A" w14:textId="77777777" w:rsidR="000511D9" w:rsidRDefault="000511D9">
      <w:pPr>
        <w:rPr>
          <w:sz w:val="12"/>
          <w:szCs w:val="12"/>
        </w:rPr>
      </w:pPr>
    </w:p>
    <w:p w14:paraId="77E0F98B" w14:textId="77777777" w:rsidR="000511D9" w:rsidRDefault="000511D9">
      <w:pPr>
        <w:rPr>
          <w:sz w:val="12"/>
          <w:szCs w:val="12"/>
        </w:rPr>
      </w:pPr>
    </w:p>
    <w:tbl>
      <w:tblPr>
        <w:tblW w:w="9188" w:type="dxa"/>
        <w:tblLayout w:type="fixed"/>
        <w:tblLook w:val="01E0" w:firstRow="1" w:lastRow="1" w:firstColumn="1" w:lastColumn="1" w:noHBand="0" w:noVBand="0"/>
      </w:tblPr>
      <w:tblGrid>
        <w:gridCol w:w="2784"/>
        <w:gridCol w:w="1182"/>
        <w:gridCol w:w="1190"/>
        <w:gridCol w:w="1426"/>
        <w:gridCol w:w="1247"/>
        <w:gridCol w:w="1359"/>
      </w:tblGrid>
      <w:tr w:rsidR="000511D9" w14:paraId="77E0F992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8C" w14:textId="77777777" w:rsidR="000511D9" w:rsidRDefault="000511D9">
            <w:pPr>
              <w:widowControl w:val="0"/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8D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8E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8F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90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91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Seminarium</w:t>
            </w:r>
          </w:p>
        </w:tc>
      </w:tr>
      <w:tr w:rsidR="000511D9" w14:paraId="77E0F999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93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4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5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6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7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8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9A0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9A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B" w14:textId="47CD1683" w:rsidR="000511D9" w:rsidRDefault="007A635F" w:rsidP="007A635F">
            <w:pPr>
              <w:widowControl w:val="0"/>
              <w:jc w:val="center"/>
            </w:pPr>
            <w:r>
              <w:t>60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C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D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E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9F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9A7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1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Forma zaliczenia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A2" w14:textId="77777777" w:rsidR="000511D9" w:rsidRDefault="000511D9">
            <w:pPr>
              <w:widowControl w:val="0"/>
              <w:rPr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Egzamin /</w:t>
            </w:r>
            <w:r>
              <w:rPr>
                <w:sz w:val="20"/>
                <w:szCs w:val="20"/>
              </w:rPr>
              <w:t xml:space="preserve"> zaliczenie na ocenę*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3" w14:textId="77777777" w:rsidR="000511D9" w:rsidRDefault="000511D9">
            <w:pPr>
              <w:widowControl w:val="0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Egzamin / zaliczenie na ocenę*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4" w14:textId="77777777" w:rsidR="000511D9" w:rsidRDefault="000511D9">
            <w:pPr>
              <w:widowControl w:val="0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Egzamin / zaliczenie na ocenę*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5" w14:textId="77777777" w:rsidR="000511D9" w:rsidRDefault="000511D9">
            <w:pPr>
              <w:widowControl w:val="0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Egzamin / </w:t>
            </w:r>
            <w:r>
              <w:rPr>
                <w:sz w:val="20"/>
                <w:szCs w:val="20"/>
              </w:rPr>
              <w:t>zaliczenie na ocenę*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6" w14:textId="77777777" w:rsidR="000511D9" w:rsidRDefault="000511D9">
            <w:pPr>
              <w:widowControl w:val="0"/>
              <w:rPr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Egzamin /</w:t>
            </w:r>
            <w:r>
              <w:rPr>
                <w:sz w:val="20"/>
                <w:szCs w:val="20"/>
              </w:rPr>
              <w:t xml:space="preserve"> zaliczenie na ocenę*</w:t>
            </w:r>
          </w:p>
        </w:tc>
      </w:tr>
      <w:tr w:rsidR="000511D9" w14:paraId="77E0F9AE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8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A9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A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B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C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D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9B5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AF" w14:textId="77777777" w:rsidR="000511D9" w:rsidRDefault="000511D9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punktów ECTS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0" w14:textId="01FE403F" w:rsidR="000511D9" w:rsidRDefault="0000676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1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2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3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4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9BD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6" w14:textId="77777777" w:rsidR="000511D9" w:rsidRDefault="000511D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14:paraId="77E0F9B7" w14:textId="77777777" w:rsidR="000511D9" w:rsidRDefault="000511D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8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9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A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B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C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9C4" w14:textId="77777777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E" w14:textId="77777777" w:rsidR="000511D9" w:rsidRDefault="000511D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ECTS odpowiadająca zajęciom wymagającym bezpośredniego udziału nauczycieli lub innych osób prowadzących </w:t>
            </w:r>
            <w:proofErr w:type="gramStart"/>
            <w:r>
              <w:rPr>
                <w:sz w:val="20"/>
                <w:szCs w:val="20"/>
              </w:rPr>
              <w:t>zajęcia  (</w:t>
            </w:r>
            <w:proofErr w:type="gramEnd"/>
            <w:r>
              <w:rPr>
                <w:sz w:val="20"/>
                <w:szCs w:val="20"/>
              </w:rPr>
              <w:t>BU)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BF" w14:textId="11F3559B" w:rsidR="000511D9" w:rsidRDefault="0000676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0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1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2" w14:textId="77777777" w:rsidR="000511D9" w:rsidRDefault="000511D9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3" w14:textId="77777777" w:rsidR="000511D9" w:rsidRDefault="000511D9">
            <w:pPr>
              <w:widowControl w:val="0"/>
              <w:jc w:val="center"/>
            </w:pPr>
          </w:p>
        </w:tc>
      </w:tr>
    </w:tbl>
    <w:p w14:paraId="77E0F9C5" w14:textId="77777777" w:rsidR="000511D9" w:rsidRDefault="000511D9">
      <w:pPr>
        <w:rPr>
          <w:sz w:val="12"/>
          <w:szCs w:val="12"/>
        </w:rPr>
      </w:pPr>
    </w:p>
    <w:p w14:paraId="77E0F9C6" w14:textId="77777777" w:rsidR="000511D9" w:rsidRDefault="000511D9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14:paraId="77E0F9C7" w14:textId="77777777" w:rsidR="000511D9" w:rsidRDefault="000511D9">
      <w:pPr>
        <w:rPr>
          <w:sz w:val="12"/>
          <w:szCs w:val="12"/>
        </w:rPr>
      </w:pPr>
    </w:p>
    <w:p w14:paraId="77E0F9C8" w14:textId="77777777" w:rsidR="000511D9" w:rsidRDefault="000511D9">
      <w:pPr>
        <w:rPr>
          <w:sz w:val="12"/>
          <w:szCs w:val="12"/>
        </w:rPr>
      </w:pPr>
    </w:p>
    <w:tbl>
      <w:tblPr>
        <w:tblW w:w="924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1"/>
      </w:tblGrid>
      <w:tr w:rsidR="000511D9" w14:paraId="77E0F9CC" w14:textId="77777777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9" w14:textId="77777777" w:rsidR="000511D9" w:rsidRDefault="000511D9">
            <w:pPr>
              <w:pStyle w:val="Tekstpodstawowy"/>
              <w:widowControl w:val="0"/>
              <w:snapToGrid w:val="0"/>
              <w:spacing w:before="60" w:after="2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WYMAGANIA WSTĘPNE W ZAKRESIE WIEDZY, UMIEJĘTNOŚCI I KOMPETENCJI SPOŁECZNYCH</w:t>
            </w:r>
          </w:p>
          <w:p w14:paraId="77E0F9CA" w14:textId="77777777" w:rsidR="000511D9" w:rsidRDefault="000511D9" w:rsidP="00F222C8">
            <w:pPr>
              <w:widowControl w:val="0"/>
              <w:numPr>
                <w:ilvl w:val="0"/>
                <w:numId w:val="3"/>
              </w:numPr>
              <w:ind w:left="567" w:hanging="567"/>
            </w:pPr>
            <w:r>
              <w:rPr>
                <w:szCs w:val="22"/>
              </w:rPr>
              <w:t>Student ma podstawową wiedzę na temat sieci teleinformatycznych.</w:t>
            </w:r>
          </w:p>
          <w:p w14:paraId="77E0F9CB" w14:textId="77777777" w:rsidR="000511D9" w:rsidRDefault="000511D9" w:rsidP="00F222C8">
            <w:pPr>
              <w:widowControl w:val="0"/>
              <w:numPr>
                <w:ilvl w:val="0"/>
                <w:numId w:val="3"/>
              </w:numPr>
              <w:ind w:left="567" w:hanging="567"/>
            </w:pPr>
            <w:r>
              <w:rPr>
                <w:szCs w:val="22"/>
              </w:rPr>
              <w:t>Student ma wiedzę z zakresu zagadnień sieci komputerowych</w:t>
            </w:r>
          </w:p>
        </w:tc>
      </w:tr>
    </w:tbl>
    <w:p w14:paraId="77E0F9CD" w14:textId="77777777" w:rsidR="000511D9" w:rsidRDefault="000511D9">
      <w:pPr>
        <w:rPr>
          <w:sz w:val="12"/>
          <w:szCs w:val="12"/>
        </w:rPr>
      </w:pPr>
    </w:p>
    <w:tbl>
      <w:tblPr>
        <w:tblW w:w="9241" w:type="dxa"/>
        <w:tblLayout w:type="fixed"/>
        <w:tblLook w:val="00A0" w:firstRow="1" w:lastRow="0" w:firstColumn="1" w:lastColumn="0" w:noHBand="0" w:noVBand="0"/>
      </w:tblPr>
      <w:tblGrid>
        <w:gridCol w:w="9241"/>
      </w:tblGrid>
      <w:tr w:rsidR="000511D9" w14:paraId="77E0F9D2" w14:textId="77777777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CE" w14:textId="77777777" w:rsidR="000511D9" w:rsidRDefault="000511D9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CELE PRZEDMIOTU</w:t>
            </w:r>
          </w:p>
          <w:p w14:paraId="77E0F9CF" w14:textId="77777777" w:rsidR="000511D9" w:rsidRDefault="000511D9" w:rsidP="00F222C8">
            <w:pPr>
              <w:widowControl w:val="0"/>
              <w:ind w:left="567" w:hanging="567"/>
              <w:jc w:val="both"/>
            </w:pPr>
            <w:r>
              <w:t>C1</w:t>
            </w:r>
            <w:r>
              <w:tab/>
              <w:t xml:space="preserve">Zdobycie podstawowej wiedzy związanej z aspektami prawnymi i etycznymi w obszarze bezpieczeństwa zasobów sieci teleinformatycznych. </w:t>
            </w:r>
          </w:p>
          <w:p w14:paraId="77E0F9D0" w14:textId="77777777" w:rsidR="000511D9" w:rsidRDefault="000511D9" w:rsidP="00F222C8">
            <w:pPr>
              <w:widowControl w:val="0"/>
              <w:ind w:left="567" w:hanging="567"/>
              <w:jc w:val="both"/>
            </w:pPr>
            <w:r>
              <w:t xml:space="preserve">C2 </w:t>
            </w:r>
            <w:r>
              <w:tab/>
              <w:t>Zdobycie ogólnej wiedzy o etycznych i psychologicznych aspektach zapewniania bezpieczeństwa informacji</w:t>
            </w:r>
          </w:p>
          <w:p w14:paraId="77E0F9D1" w14:textId="77777777" w:rsidR="000511D9" w:rsidRDefault="000511D9">
            <w:pPr>
              <w:widowControl w:val="0"/>
              <w:jc w:val="center"/>
              <w:rPr>
                <w:sz w:val="12"/>
                <w:szCs w:val="12"/>
              </w:rPr>
            </w:pPr>
          </w:p>
        </w:tc>
      </w:tr>
    </w:tbl>
    <w:p w14:paraId="77E0F9D3" w14:textId="77777777" w:rsidR="000511D9" w:rsidRDefault="000511D9">
      <w:pPr>
        <w:rPr>
          <w:sz w:val="12"/>
          <w:szCs w:val="12"/>
        </w:rPr>
      </w:pPr>
    </w:p>
    <w:p w14:paraId="77E0F9D4" w14:textId="77777777" w:rsidR="000511D9" w:rsidRDefault="000511D9">
      <w:pPr>
        <w:rPr>
          <w:sz w:val="12"/>
          <w:szCs w:val="12"/>
        </w:rPr>
      </w:pPr>
      <w:r>
        <w:br w:type="page"/>
      </w:r>
    </w:p>
    <w:p w14:paraId="77E0F9D5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8"/>
      </w:tblGrid>
      <w:tr w:rsidR="000511D9" w14:paraId="77E0F9E1" w14:textId="77777777" w:rsidTr="00F222C8">
        <w:trPr>
          <w:trHeight w:val="3417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D6" w14:textId="77777777" w:rsidR="000511D9" w:rsidRDefault="000511D9">
            <w:pPr>
              <w:pStyle w:val="Nagwek4"/>
              <w:keepNext w:val="0"/>
              <w:widowControl w:val="0"/>
              <w:numPr>
                <w:ilvl w:val="3"/>
                <w:numId w:val="2"/>
              </w:numPr>
              <w:snapToGrid w:val="0"/>
              <w:spacing w:before="60" w:after="20"/>
              <w:ind w:left="862" w:hanging="862"/>
            </w:pPr>
            <w:r>
              <w:t>PRZEDMIOTOWE EFEKTY UCZENIA SIĘ</w:t>
            </w:r>
          </w:p>
          <w:p w14:paraId="77E0F9D7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  <w:rPr>
                <w:b/>
              </w:rPr>
            </w:pPr>
            <w:r>
              <w:rPr>
                <w:b/>
              </w:rPr>
              <w:t>Z zakresu wiedzy:</w:t>
            </w:r>
          </w:p>
          <w:p w14:paraId="77E0F9D8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  <w:rPr>
                <w:sz w:val="10"/>
                <w:szCs w:val="12"/>
              </w:rPr>
            </w:pPr>
            <w:r w:rsidRPr="00F222C8">
              <w:rPr>
                <w:sz w:val="22"/>
              </w:rPr>
              <w:t>PEU_W01</w:t>
            </w:r>
            <w:r w:rsidRPr="00F222C8">
              <w:rPr>
                <w:sz w:val="10"/>
                <w:szCs w:val="12"/>
              </w:rPr>
              <w:tab/>
            </w:r>
            <w:r w:rsidRPr="00F222C8">
              <w:rPr>
                <w:sz w:val="22"/>
              </w:rPr>
              <w:t xml:space="preserve">Student ma </w:t>
            </w:r>
            <w:proofErr w:type="gramStart"/>
            <w:r w:rsidRPr="00F222C8">
              <w:rPr>
                <w:sz w:val="22"/>
              </w:rPr>
              <w:t>wiedzę  o</w:t>
            </w:r>
            <w:proofErr w:type="gramEnd"/>
            <w:r w:rsidRPr="00F222C8">
              <w:rPr>
                <w:sz w:val="22"/>
              </w:rPr>
              <w:t xml:space="preserve"> zakresie regulacji prawnych w obszarze bezpieczeństwa zasobów sieci teleinformatycznych</w:t>
            </w:r>
          </w:p>
          <w:p w14:paraId="77E0F9D9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</w:pPr>
            <w:r w:rsidRPr="00F222C8">
              <w:rPr>
                <w:sz w:val="22"/>
              </w:rPr>
              <w:t>PEU_W02</w:t>
            </w:r>
            <w:r w:rsidRPr="00F222C8">
              <w:rPr>
                <w:sz w:val="10"/>
                <w:szCs w:val="12"/>
              </w:rPr>
              <w:tab/>
            </w:r>
            <w:r w:rsidRPr="00F222C8">
              <w:rPr>
                <w:sz w:val="22"/>
              </w:rPr>
              <w:t>Student ma spójną wiedzę związaną z aspektami prawnymi</w:t>
            </w:r>
            <w:r>
              <w:rPr>
                <w:sz w:val="22"/>
              </w:rPr>
              <w:t xml:space="preserve">, </w:t>
            </w:r>
            <w:r w:rsidRPr="00F222C8">
              <w:rPr>
                <w:sz w:val="22"/>
              </w:rPr>
              <w:t>etycznymi</w:t>
            </w:r>
            <w:r>
              <w:rPr>
                <w:sz w:val="22"/>
              </w:rPr>
              <w:t xml:space="preserve"> i psychologicznymi</w:t>
            </w:r>
            <w:r w:rsidRPr="00F222C8">
              <w:rPr>
                <w:sz w:val="22"/>
              </w:rPr>
              <w:t xml:space="preserve"> w obszarze bezpieczeństwa zasobów sieci teleinformatycznych.</w:t>
            </w:r>
          </w:p>
          <w:p w14:paraId="77E0F9DA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  <w:rPr>
                <w:b/>
              </w:rPr>
            </w:pPr>
            <w:r>
              <w:rPr>
                <w:b/>
              </w:rPr>
              <w:t>Z zakresu umiejętności:</w:t>
            </w:r>
          </w:p>
          <w:p w14:paraId="77E0F9DB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</w:pPr>
            <w:r w:rsidRPr="00F222C8">
              <w:rPr>
                <w:sz w:val="22"/>
              </w:rPr>
              <w:t>PEU_U01</w:t>
            </w:r>
            <w:r w:rsidRPr="00F222C8">
              <w:rPr>
                <w:sz w:val="22"/>
              </w:rPr>
              <w:tab/>
              <w:t>Student potrafi odnaleźć i przeanalizować regulacje prawne w obszarze bezpieczeństwa zasobów sieci teleinformatycznych</w:t>
            </w:r>
          </w:p>
          <w:p w14:paraId="77E0F9DC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</w:pPr>
            <w:r w:rsidRPr="00F222C8">
              <w:rPr>
                <w:sz w:val="22"/>
              </w:rPr>
              <w:t>PEU_U01</w:t>
            </w:r>
            <w:r w:rsidRPr="00F222C8">
              <w:rPr>
                <w:sz w:val="22"/>
              </w:rPr>
              <w:tab/>
              <w:t>Student potrafi określić konsekwencje etyczne związane z działaniami w obszarze bezpieczeństwa zasobów sieci teleinformatycznych.</w:t>
            </w:r>
          </w:p>
          <w:p w14:paraId="77E0F9DD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  <w:rPr>
                <w:b/>
              </w:rPr>
            </w:pPr>
            <w:r>
              <w:rPr>
                <w:b/>
              </w:rPr>
              <w:t>Z zakresu kompetencji społecznych:</w:t>
            </w:r>
          </w:p>
          <w:p w14:paraId="77E0F9DE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</w:pPr>
            <w:r w:rsidRPr="00F222C8">
              <w:rPr>
                <w:sz w:val="22"/>
              </w:rPr>
              <w:t>PEU_K01</w:t>
            </w:r>
            <w:r w:rsidRPr="00F222C8">
              <w:rPr>
                <w:sz w:val="22"/>
              </w:rPr>
              <w:tab/>
            </w:r>
            <w:proofErr w:type="gramStart"/>
            <w:r w:rsidRPr="00F222C8">
              <w:rPr>
                <w:sz w:val="22"/>
              </w:rPr>
              <w:t>Rozumie  konieczność</w:t>
            </w:r>
            <w:proofErr w:type="gramEnd"/>
            <w:r w:rsidRPr="00F222C8">
              <w:rPr>
                <w:sz w:val="22"/>
              </w:rPr>
              <w:t xml:space="preserve">  samokształcenia  oraz  rozwijania  zdolności  do  samodzielnego stosowania posiadanej wiedzy i umiejętności. </w:t>
            </w:r>
          </w:p>
          <w:p w14:paraId="77E0F9DF" w14:textId="77777777" w:rsidR="000511D9" w:rsidRPr="00F222C8" w:rsidRDefault="000511D9">
            <w:pPr>
              <w:widowControl w:val="0"/>
              <w:spacing w:line="276" w:lineRule="auto"/>
              <w:ind w:left="1450" w:hanging="1450"/>
              <w:jc w:val="both"/>
            </w:pPr>
            <w:r w:rsidRPr="00F222C8">
              <w:rPr>
                <w:sz w:val="22"/>
              </w:rPr>
              <w:t>PEU_K02</w:t>
            </w:r>
            <w:r w:rsidRPr="00F222C8">
              <w:rPr>
                <w:sz w:val="22"/>
              </w:rPr>
              <w:tab/>
              <w:t>Potrafi przedstawić efekty swojej pracy w zrozumiałej formie.</w:t>
            </w:r>
          </w:p>
          <w:p w14:paraId="77E0F9E0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</w:pPr>
          </w:p>
        </w:tc>
      </w:tr>
    </w:tbl>
    <w:p w14:paraId="77E0F9E2" w14:textId="77777777" w:rsidR="000511D9" w:rsidRDefault="000511D9">
      <w:pPr>
        <w:rPr>
          <w:sz w:val="20"/>
          <w:szCs w:val="20"/>
          <w:vertAlign w:val="superscript"/>
        </w:rPr>
      </w:pPr>
    </w:p>
    <w:p w14:paraId="77E0F9E3" w14:textId="77777777" w:rsidR="000511D9" w:rsidRDefault="000511D9">
      <w:pPr>
        <w:rPr>
          <w:sz w:val="20"/>
          <w:szCs w:val="20"/>
          <w:vertAlign w:val="superscript"/>
        </w:rPr>
      </w:pPr>
    </w:p>
    <w:tbl>
      <w:tblPr>
        <w:tblW w:w="929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7074"/>
        <w:gridCol w:w="1417"/>
      </w:tblGrid>
      <w:tr w:rsidR="000511D9" w14:paraId="77E0F9E5" w14:textId="77777777">
        <w:trPr>
          <w:trHeight w:val="336"/>
        </w:trPr>
        <w:tc>
          <w:tcPr>
            <w:tcW w:w="9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E4" w14:textId="77777777" w:rsidR="000511D9" w:rsidRDefault="000511D9">
            <w:pPr>
              <w:widowControl w:val="0"/>
              <w:snapToGrid w:val="0"/>
              <w:spacing w:before="6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0511D9" w14:paraId="77E0F9E8" w14:textId="77777777">
        <w:trPr>
          <w:trHeight w:val="20"/>
        </w:trPr>
        <w:tc>
          <w:tcPr>
            <w:tcW w:w="7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0F9E6" w14:textId="77777777" w:rsidR="000511D9" w:rsidRDefault="000511D9">
            <w:pPr>
              <w:pStyle w:val="Nagwek3"/>
              <w:widowControl w:val="0"/>
              <w:numPr>
                <w:ilvl w:val="2"/>
                <w:numId w:val="2"/>
              </w:numPr>
              <w:snapToGrid w:val="0"/>
              <w:jc w:val="left"/>
            </w:pPr>
            <w:r>
              <w:rPr>
                <w:sz w:val="22"/>
              </w:rPr>
              <w:t>Forma zajęć - wykład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9E7" w14:textId="77777777" w:rsidR="000511D9" w:rsidRDefault="000511D9">
            <w:pPr>
              <w:pStyle w:val="Nagwek5"/>
              <w:widowControl w:val="0"/>
              <w:numPr>
                <w:ilvl w:val="4"/>
                <w:numId w:val="2"/>
              </w:numPr>
              <w:snapToGrid w:val="0"/>
              <w:jc w:val="center"/>
            </w:pPr>
          </w:p>
        </w:tc>
      </w:tr>
      <w:tr w:rsidR="000511D9" w14:paraId="77E0F9EC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E9" w14:textId="77777777" w:rsidR="000511D9" w:rsidRDefault="000511D9">
            <w:pPr>
              <w:widowControl w:val="0"/>
              <w:suppressAutoHyphens w:val="0"/>
              <w:snapToGrid w:val="0"/>
              <w:ind w:left="57"/>
              <w:rPr>
                <w:bCs/>
              </w:rPr>
            </w:pPr>
            <w:r>
              <w:rPr>
                <w:sz w:val="22"/>
                <w:szCs w:val="22"/>
              </w:rPr>
              <w:t>Wy1-Wy2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EA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>Źródła praw dotyczące ochrony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EB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4</w:t>
            </w:r>
          </w:p>
        </w:tc>
      </w:tr>
      <w:tr w:rsidR="000511D9" w14:paraId="77E0F9F0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ED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Wy3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EE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>Podstawowe pojęcia systemu bezpieczeństwa informacji oraz podstawowe podmioty odpowiedzialne za bezpieczeństwo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EF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2</w:t>
            </w:r>
          </w:p>
        </w:tc>
      </w:tr>
      <w:tr w:rsidR="000511D9" w14:paraId="77E0F9F4" w14:textId="77777777">
        <w:trPr>
          <w:trHeight w:val="1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1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Wy4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2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 xml:space="preserve">Modele ochrony danych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F3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4</w:t>
            </w:r>
          </w:p>
        </w:tc>
      </w:tr>
      <w:tr w:rsidR="000511D9" w14:paraId="77E0F9F8" w14:textId="77777777">
        <w:trPr>
          <w:trHeight w:val="10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</w:tcPr>
          <w:p w14:paraId="77E0F9F5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Wy5</w:t>
            </w:r>
          </w:p>
        </w:tc>
        <w:tc>
          <w:tcPr>
            <w:tcW w:w="7074" w:type="dxa"/>
            <w:tcBorders>
              <w:left w:val="single" w:sz="4" w:space="0" w:color="000000"/>
              <w:bottom w:val="single" w:sz="4" w:space="0" w:color="000000"/>
            </w:tcBorders>
          </w:tcPr>
          <w:p w14:paraId="77E0F9F6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 xml:space="preserve">Odpowiedzialność za naruszenie przepisów o ochronie informacji w zakresie karnym, cywilnym, pracowniczym, administracyjnym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F7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</w:rPr>
              <w:t>2</w:t>
            </w:r>
          </w:p>
        </w:tc>
      </w:tr>
      <w:tr w:rsidR="000511D9" w14:paraId="77E0F9FC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9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Wy6-Wy8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A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>Dokumenty normatywne w obszarze bezpieczeństwa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FB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4</w:t>
            </w:r>
          </w:p>
        </w:tc>
      </w:tr>
      <w:tr w:rsidR="000511D9" w14:paraId="77E0FA00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D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Wy9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9FE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 xml:space="preserve">Anonimowość w Internecie. Zastosowanie i konsekwencje. Sieć </w:t>
            </w:r>
            <w:proofErr w:type="spellStart"/>
            <w:r w:rsidRPr="00F222C8">
              <w:rPr>
                <w:sz w:val="22"/>
              </w:rPr>
              <w:t>Darknet</w:t>
            </w:r>
            <w:proofErr w:type="spellEnd"/>
            <w:r w:rsidRPr="00F222C8">
              <w:rPr>
                <w:sz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9FF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</w:rPr>
              <w:t>2</w:t>
            </w:r>
          </w:p>
        </w:tc>
      </w:tr>
      <w:tr w:rsidR="000511D9" w14:paraId="77E0FA04" w14:textId="77777777">
        <w:trPr>
          <w:trHeight w:val="1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1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Wy10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2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 xml:space="preserve"> Etyczne aspekty analizy bezpieczeństwa systemów IT, wyszukiwania, raportowania i ujawniania podatności.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03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</w:rPr>
              <w:t>2</w:t>
            </w:r>
          </w:p>
        </w:tc>
      </w:tr>
      <w:tr w:rsidR="000511D9" w14:paraId="77E0FA08" w14:textId="77777777">
        <w:trPr>
          <w:trHeight w:val="10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</w:tcPr>
          <w:p w14:paraId="77E0FA05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Wy11-Wy12</w:t>
            </w:r>
          </w:p>
        </w:tc>
        <w:tc>
          <w:tcPr>
            <w:tcW w:w="7074" w:type="dxa"/>
            <w:tcBorders>
              <w:left w:val="single" w:sz="4" w:space="0" w:color="000000"/>
              <w:bottom w:val="single" w:sz="4" w:space="0" w:color="000000"/>
            </w:tcBorders>
          </w:tcPr>
          <w:p w14:paraId="77E0FA06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</w:pPr>
            <w:r w:rsidRPr="00F222C8">
              <w:rPr>
                <w:sz w:val="22"/>
              </w:rPr>
              <w:t xml:space="preserve">Zagrożenia i wyzwania związane ze sztuczną inteligencją.  Etyczne aspekty zastosowania algorytmów SI do podejmowania i wspomagania krytycznych decyzji.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07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</w:rPr>
              <w:t>4</w:t>
            </w:r>
          </w:p>
        </w:tc>
      </w:tr>
      <w:tr w:rsidR="000511D9" w14:paraId="77E0FA0C" w14:textId="77777777">
        <w:trPr>
          <w:trHeight w:val="1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9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Wy13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A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> Psychologiczne aspekty funkcjonowania specjalisty / administratora bezpieczeństwa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0B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</w:rPr>
              <w:t>2</w:t>
            </w:r>
          </w:p>
        </w:tc>
      </w:tr>
      <w:tr w:rsidR="000511D9" w14:paraId="77E0FA10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D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Wy14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0E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  <w:szCs w:val="23"/>
              </w:rPr>
              <w:t>Socjologiczne aspekty bezpieczeństwa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0F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2</w:t>
            </w:r>
          </w:p>
        </w:tc>
      </w:tr>
      <w:tr w:rsidR="000511D9" w14:paraId="77E0FA14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11" w14:textId="77777777" w:rsidR="000511D9" w:rsidRDefault="000511D9">
            <w:pPr>
              <w:widowControl w:val="0"/>
              <w:suppressAutoHyphens w:val="0"/>
              <w:snapToGrid w:val="0"/>
              <w:ind w:left="57"/>
            </w:pPr>
            <w:r>
              <w:rPr>
                <w:sz w:val="22"/>
                <w:szCs w:val="22"/>
              </w:rPr>
              <w:t>Wy15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12" w14:textId="77777777" w:rsidR="000511D9" w:rsidRPr="00F222C8" w:rsidRDefault="000511D9" w:rsidP="00F222C8">
            <w:pPr>
              <w:widowControl w:val="0"/>
              <w:snapToGrid w:val="0"/>
              <w:spacing w:before="20" w:after="20"/>
              <w:jc w:val="both"/>
              <w:rPr>
                <w:szCs w:val="23"/>
              </w:rPr>
            </w:pPr>
            <w:r w:rsidRPr="00F222C8">
              <w:rPr>
                <w:sz w:val="22"/>
              </w:rPr>
              <w:t>Kolokwium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13" w14:textId="77777777" w:rsidR="000511D9" w:rsidRPr="00F222C8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 w:rsidRPr="00F222C8">
              <w:rPr>
                <w:sz w:val="22"/>
              </w:rPr>
              <w:t>2</w:t>
            </w:r>
          </w:p>
        </w:tc>
      </w:tr>
      <w:tr w:rsidR="000511D9" w14:paraId="77E0FA18" w14:textId="77777777">
        <w:trPr>
          <w:trHeight w:val="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0FA15" w14:textId="77777777" w:rsidR="000511D9" w:rsidRDefault="000511D9">
            <w:pPr>
              <w:widowControl w:val="0"/>
              <w:snapToGrid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0FA16" w14:textId="77777777" w:rsidR="000511D9" w:rsidRDefault="000511D9">
            <w:pPr>
              <w:widowControl w:val="0"/>
              <w:snapToGrid w:val="0"/>
              <w:spacing w:before="20" w:after="20"/>
              <w:rPr>
                <w:szCs w:val="23"/>
              </w:rPr>
            </w:pPr>
            <w:r>
              <w:rPr>
                <w:szCs w:val="23"/>
              </w:rPr>
              <w:t>Suma godzin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17" w14:textId="77777777" w:rsidR="000511D9" w:rsidRDefault="00FB312E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0511D9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p>
        </w:tc>
      </w:tr>
    </w:tbl>
    <w:p w14:paraId="77E0FA19" w14:textId="77777777" w:rsidR="000511D9" w:rsidRDefault="000511D9">
      <w:pPr>
        <w:rPr>
          <w:sz w:val="12"/>
          <w:szCs w:val="12"/>
        </w:rPr>
      </w:pPr>
    </w:p>
    <w:p w14:paraId="77E0FA1A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Layout w:type="fixed"/>
        <w:tblLook w:val="01E0" w:firstRow="1" w:lastRow="1" w:firstColumn="1" w:lastColumn="1" w:noHBand="0" w:noVBand="0"/>
      </w:tblPr>
      <w:tblGrid>
        <w:gridCol w:w="794"/>
        <w:gridCol w:w="7086"/>
        <w:gridCol w:w="1418"/>
      </w:tblGrid>
      <w:tr w:rsidR="000511D9" w14:paraId="77E0FA1D" w14:textId="77777777">
        <w:tc>
          <w:tcPr>
            <w:tcW w:w="7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1B" w14:textId="77777777" w:rsidR="000511D9" w:rsidRDefault="000511D9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Forma zajęć - ćwiczenia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1C" w14:textId="77777777" w:rsidR="000511D9" w:rsidRDefault="000511D9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godzin</w:t>
            </w:r>
          </w:p>
        </w:tc>
      </w:tr>
      <w:tr w:rsidR="000511D9" w14:paraId="77E0FA21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1E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Ćw1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1F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0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25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2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Ćw2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3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4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29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6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Ćw3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7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8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2D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A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Ćw4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B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C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31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E" w14:textId="77777777" w:rsidR="000511D9" w:rsidRDefault="000511D9">
            <w:pPr>
              <w:widowControl w:val="0"/>
            </w:pPr>
            <w:r>
              <w:t>..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2F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0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A35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2" w14:textId="77777777" w:rsidR="000511D9" w:rsidRDefault="000511D9">
            <w:pPr>
              <w:widowControl w:val="0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3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Suma godzin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4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</w:tr>
    </w:tbl>
    <w:p w14:paraId="77E0FA36" w14:textId="77777777" w:rsidR="000511D9" w:rsidRDefault="000511D9">
      <w:pPr>
        <w:rPr>
          <w:sz w:val="22"/>
          <w:szCs w:val="22"/>
        </w:rPr>
      </w:pPr>
    </w:p>
    <w:p w14:paraId="77E0FA37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Layout w:type="fixed"/>
        <w:tblLook w:val="01E0" w:firstRow="1" w:lastRow="1" w:firstColumn="1" w:lastColumn="1" w:noHBand="0" w:noVBand="0"/>
      </w:tblPr>
      <w:tblGrid>
        <w:gridCol w:w="794"/>
        <w:gridCol w:w="7086"/>
        <w:gridCol w:w="1418"/>
      </w:tblGrid>
      <w:tr w:rsidR="000511D9" w14:paraId="77E0FA3A" w14:textId="77777777">
        <w:tc>
          <w:tcPr>
            <w:tcW w:w="7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8" w14:textId="77777777" w:rsidR="000511D9" w:rsidRDefault="000511D9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Forma zajęć - laboratorium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9" w14:textId="77777777" w:rsidR="000511D9" w:rsidRDefault="000511D9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godzin</w:t>
            </w:r>
          </w:p>
        </w:tc>
      </w:tr>
      <w:tr w:rsidR="000511D9" w14:paraId="77E0FA3E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B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C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D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42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3F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0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1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46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3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4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5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4A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7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La4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8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9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4E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B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La5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C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D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52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4F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0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1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A56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3" w14:textId="77777777" w:rsidR="000511D9" w:rsidRDefault="000511D9">
            <w:pPr>
              <w:widowControl w:val="0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4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Suma godzin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5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</w:tbl>
    <w:p w14:paraId="77E0FA57" w14:textId="77777777" w:rsidR="000511D9" w:rsidRDefault="000511D9">
      <w:pPr>
        <w:rPr>
          <w:sz w:val="12"/>
          <w:szCs w:val="12"/>
        </w:rPr>
      </w:pPr>
    </w:p>
    <w:p w14:paraId="77E0FA58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Layout w:type="fixed"/>
        <w:tblLook w:val="01E0" w:firstRow="1" w:lastRow="1" w:firstColumn="1" w:lastColumn="1" w:noHBand="0" w:noVBand="0"/>
      </w:tblPr>
      <w:tblGrid>
        <w:gridCol w:w="794"/>
        <w:gridCol w:w="7086"/>
        <w:gridCol w:w="1418"/>
      </w:tblGrid>
      <w:tr w:rsidR="000511D9" w14:paraId="77E0FA5B" w14:textId="77777777">
        <w:tc>
          <w:tcPr>
            <w:tcW w:w="7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9" w14:textId="77777777" w:rsidR="000511D9" w:rsidRDefault="000511D9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Forma zajęć - projekt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A" w14:textId="77777777" w:rsidR="000511D9" w:rsidRDefault="000511D9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godzin</w:t>
            </w:r>
          </w:p>
        </w:tc>
      </w:tr>
      <w:tr w:rsidR="000511D9" w14:paraId="77E0FA5F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C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D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5E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63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0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 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1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2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67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4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 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5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6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6B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8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 4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9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A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6F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C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Pr 5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D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6E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73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0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1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2" w14:textId="77777777" w:rsidR="000511D9" w:rsidRDefault="000511D9">
            <w:pPr>
              <w:widowControl w:val="0"/>
              <w:jc w:val="center"/>
            </w:pPr>
          </w:p>
        </w:tc>
      </w:tr>
      <w:tr w:rsidR="000511D9" w14:paraId="77E0FA77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4" w14:textId="77777777" w:rsidR="000511D9" w:rsidRDefault="000511D9">
            <w:pPr>
              <w:widowControl w:val="0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5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Suma godzin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6" w14:textId="77777777" w:rsidR="000511D9" w:rsidRDefault="000511D9">
            <w:pPr>
              <w:widowControl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</w:tbl>
    <w:p w14:paraId="77E0FA78" w14:textId="77777777" w:rsidR="000511D9" w:rsidRDefault="000511D9">
      <w:pPr>
        <w:rPr>
          <w:sz w:val="12"/>
          <w:szCs w:val="12"/>
        </w:rPr>
      </w:pPr>
    </w:p>
    <w:p w14:paraId="77E0FA79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Layout w:type="fixed"/>
        <w:tblLook w:val="01E0" w:firstRow="1" w:lastRow="1" w:firstColumn="1" w:lastColumn="1" w:noHBand="0" w:noVBand="0"/>
      </w:tblPr>
      <w:tblGrid>
        <w:gridCol w:w="794"/>
        <w:gridCol w:w="7086"/>
        <w:gridCol w:w="1418"/>
      </w:tblGrid>
      <w:tr w:rsidR="000511D9" w14:paraId="77E0FA7C" w14:textId="77777777">
        <w:tc>
          <w:tcPr>
            <w:tcW w:w="7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A" w14:textId="77777777" w:rsidR="000511D9" w:rsidRDefault="000511D9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Forma zajęć - seminarium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B" w14:textId="77777777" w:rsidR="000511D9" w:rsidRDefault="000511D9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godzin</w:t>
            </w:r>
          </w:p>
        </w:tc>
      </w:tr>
      <w:tr w:rsidR="000511D9" w14:paraId="77E0FA80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D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Se1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E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7F" w14:textId="77777777" w:rsidR="000511D9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84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1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 xml:space="preserve">Se2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2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3" w14:textId="77777777" w:rsidR="000511D9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88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5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Se3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6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7" w14:textId="77777777" w:rsidR="000511D9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rPr>
                <w:sz w:val="22"/>
                <w:szCs w:val="22"/>
              </w:rPr>
              <w:t>---</w:t>
            </w:r>
          </w:p>
        </w:tc>
      </w:tr>
      <w:tr w:rsidR="000511D9" w14:paraId="77E0FA8C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9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A" w14:textId="77777777" w:rsidR="000511D9" w:rsidRDefault="000511D9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8B" w14:textId="77777777" w:rsidR="000511D9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</w:p>
        </w:tc>
      </w:tr>
      <w:tr w:rsidR="000511D9" w14:paraId="77E0FA90" w14:textId="7777777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D" w14:textId="77777777" w:rsidR="000511D9" w:rsidRDefault="000511D9">
            <w:pPr>
              <w:widowControl w:val="0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8E" w14:textId="77777777" w:rsidR="000511D9" w:rsidRDefault="000511D9">
            <w:pPr>
              <w:widowControl w:val="0"/>
            </w:pPr>
            <w:r>
              <w:t>Suma godzin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FA8F" w14:textId="77777777" w:rsidR="000511D9" w:rsidRDefault="000511D9">
            <w:pPr>
              <w:widowControl w:val="0"/>
              <w:snapToGrid w:val="0"/>
              <w:spacing w:before="20" w:after="20"/>
              <w:ind w:right="507"/>
              <w:jc w:val="right"/>
            </w:pPr>
            <w:r>
              <w:t>---</w:t>
            </w:r>
          </w:p>
        </w:tc>
      </w:tr>
    </w:tbl>
    <w:p w14:paraId="77E0FA91" w14:textId="77777777" w:rsidR="000511D9" w:rsidRDefault="000511D9">
      <w:pPr>
        <w:rPr>
          <w:sz w:val="12"/>
          <w:szCs w:val="12"/>
        </w:rPr>
      </w:pPr>
    </w:p>
    <w:p w14:paraId="77E0FA92" w14:textId="77777777" w:rsidR="000511D9" w:rsidRDefault="000511D9">
      <w:pPr>
        <w:rPr>
          <w:sz w:val="12"/>
          <w:szCs w:val="12"/>
        </w:rPr>
      </w:pPr>
    </w:p>
    <w:tbl>
      <w:tblPr>
        <w:tblW w:w="929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8"/>
      </w:tblGrid>
      <w:tr w:rsidR="000511D9" w14:paraId="77E0FA94" w14:textId="77777777">
        <w:trPr>
          <w:trHeight w:val="157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93" w14:textId="77777777" w:rsidR="000511D9" w:rsidRDefault="000511D9">
            <w:pPr>
              <w:pStyle w:val="Nagwek3"/>
              <w:widowControl w:val="0"/>
              <w:numPr>
                <w:ilvl w:val="2"/>
                <w:numId w:val="2"/>
              </w:numPr>
              <w:snapToGrid w:val="0"/>
              <w:spacing w:before="60" w:after="20"/>
            </w:pPr>
            <w:r>
              <w:t xml:space="preserve"> STOSOWANE NARZĘDZIA DYDAKTYCZNE</w:t>
            </w:r>
          </w:p>
        </w:tc>
      </w:tr>
      <w:tr w:rsidR="000511D9" w14:paraId="77E0FA9A" w14:textId="77777777">
        <w:trPr>
          <w:trHeight w:val="567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95" w14:textId="77777777" w:rsidR="000511D9" w:rsidRDefault="000511D9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567" w:hanging="567"/>
            </w:pPr>
            <w:r>
              <w:t>Wykład problemowy</w:t>
            </w:r>
          </w:p>
          <w:p w14:paraId="77E0FA96" w14:textId="77777777" w:rsidR="000511D9" w:rsidRDefault="000511D9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567" w:hanging="567"/>
            </w:pPr>
            <w:r>
              <w:t>Studia literaturowe</w:t>
            </w:r>
          </w:p>
          <w:p w14:paraId="77E0FA97" w14:textId="77777777" w:rsidR="000511D9" w:rsidRDefault="000511D9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567" w:hanging="567"/>
            </w:pPr>
            <w:r>
              <w:t>Opracowanie pisemne</w:t>
            </w:r>
          </w:p>
          <w:p w14:paraId="77E0FA98" w14:textId="77777777" w:rsidR="000511D9" w:rsidRDefault="000511D9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567" w:hanging="567"/>
            </w:pPr>
            <w:r>
              <w:t>Praca własna</w:t>
            </w:r>
          </w:p>
          <w:p w14:paraId="77E0FA99" w14:textId="77777777" w:rsidR="000511D9" w:rsidRDefault="000511D9">
            <w:pPr>
              <w:widowControl w:val="0"/>
            </w:pPr>
          </w:p>
        </w:tc>
      </w:tr>
    </w:tbl>
    <w:p w14:paraId="77E0FA9B" w14:textId="77777777" w:rsidR="000511D9" w:rsidRDefault="000511D9">
      <w:pPr>
        <w:rPr>
          <w:sz w:val="12"/>
          <w:szCs w:val="12"/>
        </w:rPr>
      </w:pPr>
    </w:p>
    <w:p w14:paraId="77E0FA9C" w14:textId="77777777" w:rsidR="000511D9" w:rsidRDefault="000511D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OCENA OSIĄGNIĘCIA PRZEDMIOTOWYCH EFEKTÓW UCZENIA SIĘ</w:t>
      </w:r>
    </w:p>
    <w:p w14:paraId="77E0FA9D" w14:textId="77777777" w:rsidR="000511D9" w:rsidRDefault="000511D9">
      <w:pPr>
        <w:jc w:val="center"/>
        <w:rPr>
          <w:b/>
          <w:sz w:val="22"/>
          <w:szCs w:val="22"/>
        </w:rPr>
      </w:pPr>
    </w:p>
    <w:tbl>
      <w:tblPr>
        <w:tblW w:w="9298" w:type="dxa"/>
        <w:tblLayout w:type="fixed"/>
        <w:tblLook w:val="01E0" w:firstRow="1" w:lastRow="1" w:firstColumn="1" w:lastColumn="1" w:noHBand="0" w:noVBand="0"/>
      </w:tblPr>
      <w:tblGrid>
        <w:gridCol w:w="2551"/>
        <w:gridCol w:w="1928"/>
        <w:gridCol w:w="4819"/>
      </w:tblGrid>
      <w:tr w:rsidR="000511D9" w14:paraId="77E0FAA1" w14:textId="77777777" w:rsidTr="00F222C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9E" w14:textId="77777777" w:rsidR="000511D9" w:rsidRDefault="000511D9">
            <w:pPr>
              <w:widowControl w:val="0"/>
            </w:pPr>
            <w:r>
              <w:rPr>
                <w:b/>
                <w:sz w:val="22"/>
                <w:szCs w:val="22"/>
              </w:rPr>
              <w:t>Oceny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9F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Numer efektu uczenia się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0" w14:textId="77777777" w:rsidR="000511D9" w:rsidRDefault="000511D9">
            <w:pPr>
              <w:widowControl w:val="0"/>
            </w:pPr>
            <w:r>
              <w:rPr>
                <w:sz w:val="22"/>
                <w:szCs w:val="22"/>
              </w:rPr>
              <w:t>Sposób oceny osiągnięcia efektu uczenia się</w:t>
            </w:r>
          </w:p>
        </w:tc>
      </w:tr>
      <w:tr w:rsidR="000511D9" w14:paraId="77E0FAA6" w14:textId="77777777" w:rsidTr="00F222C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2" w14:textId="77777777" w:rsidR="000511D9" w:rsidRDefault="000511D9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F1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3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</w:pPr>
            <w:r>
              <w:rPr>
                <w:sz w:val="22"/>
                <w:szCs w:val="22"/>
              </w:rPr>
              <w:t xml:space="preserve">PEU_W01 </w:t>
            </w:r>
          </w:p>
          <w:p w14:paraId="77E0FAA4" w14:textId="77777777" w:rsidR="000511D9" w:rsidRDefault="000511D9">
            <w:pPr>
              <w:widowControl w:val="0"/>
              <w:tabs>
                <w:tab w:val="left" w:pos="719"/>
              </w:tabs>
              <w:ind w:left="719" w:hanging="719"/>
            </w:pPr>
            <w:r>
              <w:rPr>
                <w:sz w:val="22"/>
                <w:szCs w:val="22"/>
              </w:rPr>
              <w:t xml:space="preserve">PEU_W02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5" w14:textId="77777777" w:rsidR="000511D9" w:rsidRDefault="000511D9">
            <w:pPr>
              <w:widowControl w:val="0"/>
              <w:numPr>
                <w:ilvl w:val="0"/>
                <w:numId w:val="5"/>
              </w:numPr>
              <w:snapToGrid w:val="0"/>
              <w:ind w:left="284" w:hanging="284"/>
            </w:pPr>
            <w:r>
              <w:rPr>
                <w:sz w:val="22"/>
                <w:szCs w:val="22"/>
              </w:rPr>
              <w:t>Pisemne zaliczenie.</w:t>
            </w:r>
          </w:p>
        </w:tc>
      </w:tr>
      <w:tr w:rsidR="000511D9" w14:paraId="77E0FAAB" w14:textId="77777777" w:rsidTr="00F222C8">
        <w:tc>
          <w:tcPr>
            <w:tcW w:w="9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7" w14:textId="77777777" w:rsidR="000511D9" w:rsidRDefault="000511D9">
            <w:pPr>
              <w:widowControl w:val="0"/>
              <w:snapToGrid w:val="0"/>
            </w:pPr>
          </w:p>
          <w:p w14:paraId="77E0FAA8" w14:textId="77777777" w:rsidR="000511D9" w:rsidRDefault="000511D9">
            <w:pPr>
              <w:widowControl w:val="0"/>
              <w:snapToGrid w:val="0"/>
            </w:pPr>
            <w:r>
              <w:t>P=1*F1</w:t>
            </w:r>
          </w:p>
          <w:p w14:paraId="77E0FAA9" w14:textId="77777777" w:rsidR="000511D9" w:rsidRDefault="000511D9">
            <w:pPr>
              <w:widowControl w:val="0"/>
              <w:snapToGrid w:val="0"/>
            </w:pPr>
          </w:p>
          <w:p w14:paraId="77E0FAAA" w14:textId="77777777" w:rsidR="000511D9" w:rsidRDefault="000511D9">
            <w:pPr>
              <w:widowControl w:val="0"/>
              <w:snapToGrid w:val="0"/>
            </w:pPr>
            <w:r>
              <w:t>Warunkiem uzyskania pozytywnej oceny podsumowującej jest uzyskanie pozytywnej oceny z formy: wykład.</w:t>
            </w:r>
          </w:p>
        </w:tc>
      </w:tr>
    </w:tbl>
    <w:p w14:paraId="77E0FAAC" w14:textId="77777777" w:rsidR="000511D9" w:rsidRDefault="000511D9">
      <w:pPr>
        <w:rPr>
          <w:sz w:val="12"/>
          <w:szCs w:val="12"/>
        </w:rPr>
      </w:pPr>
    </w:p>
    <w:p w14:paraId="77E0FAAD" w14:textId="77777777" w:rsidR="000511D9" w:rsidRDefault="000511D9">
      <w:pPr>
        <w:rPr>
          <w:sz w:val="12"/>
          <w:szCs w:val="12"/>
        </w:rPr>
      </w:pPr>
    </w:p>
    <w:p w14:paraId="77E0FAAE" w14:textId="77777777" w:rsidR="000511D9" w:rsidRDefault="000511D9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0511D9" w14:paraId="77E0FAB0" w14:textId="77777777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AF" w14:textId="77777777" w:rsidR="000511D9" w:rsidRDefault="000511D9">
            <w:pPr>
              <w:keepNext/>
              <w:widowControl w:val="0"/>
              <w:snapToGrid w:val="0"/>
              <w:spacing w:before="6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LITERATURA PODSTAWOWA I UZUPEŁNIAJĄCA</w:t>
            </w:r>
          </w:p>
        </w:tc>
      </w:tr>
      <w:tr w:rsidR="000511D9" w14:paraId="77E0FAC2" w14:textId="77777777">
        <w:trPr>
          <w:trHeight w:val="381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B1" w14:textId="77777777" w:rsidR="000511D9" w:rsidRDefault="000511D9">
            <w:pPr>
              <w:widowControl w:val="0"/>
              <w:snapToGrid w:val="0"/>
              <w:spacing w:after="60"/>
              <w:jc w:val="both"/>
              <w:rPr>
                <w:b/>
                <w:bCs/>
                <w:caps/>
                <w:szCs w:val="18"/>
                <w:u w:val="single"/>
              </w:rPr>
            </w:pPr>
          </w:p>
          <w:p w14:paraId="77E0FAB2" w14:textId="77777777" w:rsidR="000511D9" w:rsidRDefault="000511D9">
            <w:pPr>
              <w:widowControl w:val="0"/>
              <w:snapToGrid w:val="0"/>
              <w:spacing w:after="60"/>
              <w:jc w:val="both"/>
              <w:rPr>
                <w:b/>
                <w:bCs/>
                <w:caps/>
                <w:szCs w:val="18"/>
                <w:u w:val="single"/>
              </w:rPr>
            </w:pPr>
            <w:r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77E0FAB3" w14:textId="77777777" w:rsidR="000511D9" w:rsidRDefault="000511D9">
            <w:pPr>
              <w:widowControl w:val="0"/>
              <w:numPr>
                <w:ilvl w:val="0"/>
                <w:numId w:val="6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 xml:space="preserve">Bezpieczeństwo </w:t>
            </w:r>
            <w:proofErr w:type="gramStart"/>
            <w:r>
              <w:rPr>
                <w:color w:val="00000A"/>
                <w:lang w:eastAsia="zh-CN"/>
              </w:rPr>
              <w:t>informacyjne :</w:t>
            </w:r>
            <w:proofErr w:type="gramEnd"/>
            <w:r>
              <w:rPr>
                <w:color w:val="00000A"/>
                <w:lang w:eastAsia="zh-CN"/>
              </w:rPr>
              <w:t xml:space="preserve"> nowe wyzwania. Krzysztof </w:t>
            </w:r>
            <w:proofErr w:type="spellStart"/>
            <w:r>
              <w:rPr>
                <w:color w:val="00000A"/>
                <w:lang w:eastAsia="zh-CN"/>
              </w:rPr>
              <w:t>Liderman</w:t>
            </w:r>
            <w:proofErr w:type="spellEnd"/>
            <w:r>
              <w:rPr>
                <w:color w:val="00000A"/>
                <w:lang w:eastAsia="zh-CN"/>
              </w:rPr>
              <w:t>. – Państwowe Wydawnictwo Naukowe, Wyd. 2. – Warszawa, 2017</w:t>
            </w:r>
          </w:p>
          <w:p w14:paraId="77E0FAB4" w14:textId="77777777" w:rsidR="000511D9" w:rsidRDefault="000511D9">
            <w:pPr>
              <w:pStyle w:val="Tretekstu"/>
              <w:widowControl w:val="0"/>
              <w:numPr>
                <w:ilvl w:val="0"/>
                <w:numId w:val="6"/>
              </w:numPr>
              <w:ind w:left="567" w:hanging="567"/>
              <w:jc w:val="left"/>
            </w:pPr>
            <w:r>
              <w:rPr>
                <w:rStyle w:val="wrtext"/>
              </w:rPr>
              <w:t>Mikołaj Karpiński oraz zespół, „Bezpieczeństwo Informacji”, PAK 2012</w:t>
            </w:r>
          </w:p>
          <w:p w14:paraId="77E0FAB5" w14:textId="77777777" w:rsidR="000511D9" w:rsidRDefault="000511D9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 w:val="0"/>
              <w:ind w:left="567" w:right="480" w:hanging="567"/>
              <w:rPr>
                <w:color w:val="333333"/>
                <w:szCs w:val="20"/>
                <w:lang w:eastAsia="pl-PL"/>
              </w:rPr>
            </w:pPr>
            <w:r>
              <w:rPr>
                <w:color w:val="333333"/>
                <w:szCs w:val="20"/>
                <w:lang w:eastAsia="pl-PL"/>
              </w:rPr>
              <w:t xml:space="preserve">Podręcznik Administratora Bezpieczeństwa Informacji, </w:t>
            </w:r>
            <w:proofErr w:type="spellStart"/>
            <w:r>
              <w:rPr>
                <w:color w:val="333333"/>
                <w:szCs w:val="20"/>
                <w:lang w:eastAsia="pl-PL"/>
              </w:rPr>
              <w:t>Presscom</w:t>
            </w:r>
            <w:proofErr w:type="spellEnd"/>
            <w:r>
              <w:rPr>
                <w:color w:val="333333"/>
                <w:szCs w:val="20"/>
                <w:lang w:eastAsia="pl-PL"/>
              </w:rPr>
              <w:t xml:space="preserve"> 2016</w:t>
            </w:r>
          </w:p>
          <w:p w14:paraId="77E0FAB6" w14:textId="77777777" w:rsidR="000511D9" w:rsidRDefault="000511D9">
            <w:pPr>
              <w:widowControl w:val="0"/>
              <w:jc w:val="both"/>
            </w:pPr>
          </w:p>
          <w:p w14:paraId="77E0FAB7" w14:textId="77777777" w:rsidR="000511D9" w:rsidRDefault="000511D9">
            <w:pPr>
              <w:widowControl w:val="0"/>
              <w:spacing w:after="60"/>
              <w:jc w:val="both"/>
              <w:rPr>
                <w:b/>
                <w:bCs/>
                <w:caps/>
                <w:szCs w:val="18"/>
                <w:u w:val="single"/>
              </w:rPr>
            </w:pPr>
            <w:r>
              <w:rPr>
                <w:b/>
                <w:bCs/>
                <w:caps/>
                <w:szCs w:val="18"/>
                <w:u w:val="single"/>
              </w:rPr>
              <w:t>literatura UZUPEŁNIAJĄCA:</w:t>
            </w:r>
          </w:p>
          <w:p w14:paraId="77E0FAB8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>KODEKS ETYKI ZAWODOWEJ ADMINISTRATORÓW BEZPIECZEŃSTWA INFORMACJI z dnia 19 czerwca 2008 r</w:t>
            </w:r>
          </w:p>
          <w:p w14:paraId="77E0FAB9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>Normy ISO rodziny 27000, PKN 2014 lub późniejsze</w:t>
            </w:r>
          </w:p>
          <w:p w14:paraId="77E0FABA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>Zarządzanie bezpieczeństwem informacji - standard BS 7799 i normy serii ISOAEC 2700x</w:t>
            </w:r>
          </w:p>
          <w:p w14:paraId="77E0FABB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val="en-US" w:eastAsia="zh-CN"/>
              </w:rPr>
            </w:pPr>
            <w:r>
              <w:rPr>
                <w:color w:val="00000A"/>
                <w:lang w:val="en-US" w:eastAsia="zh-CN"/>
              </w:rPr>
              <w:t xml:space="preserve">Common Criteria </w:t>
            </w:r>
            <w:proofErr w:type="spellStart"/>
            <w:r>
              <w:rPr>
                <w:color w:val="00000A"/>
                <w:lang w:val="en-US" w:eastAsia="zh-CN"/>
              </w:rPr>
              <w:t>i</w:t>
            </w:r>
            <w:proofErr w:type="spellEnd"/>
            <w:r>
              <w:rPr>
                <w:color w:val="00000A"/>
                <w:lang w:val="en-US" w:eastAsia="zh-CN"/>
              </w:rPr>
              <w:t xml:space="preserve"> </w:t>
            </w:r>
            <w:proofErr w:type="spellStart"/>
            <w:r>
              <w:rPr>
                <w:color w:val="00000A"/>
                <w:lang w:val="en-US" w:eastAsia="zh-CN"/>
              </w:rPr>
              <w:t>norma</w:t>
            </w:r>
            <w:proofErr w:type="spellEnd"/>
            <w:r>
              <w:rPr>
                <w:color w:val="00000A"/>
                <w:lang w:val="en-US" w:eastAsia="zh-CN"/>
              </w:rPr>
              <w:t xml:space="preserve"> ISO/IEC 15408 320 </w:t>
            </w:r>
          </w:p>
          <w:p w14:paraId="77E0FABC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 xml:space="preserve">Publikacje specjalne NIST serii 800 331 6.1.3. </w:t>
            </w:r>
          </w:p>
          <w:p w14:paraId="77E0FABD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 xml:space="preserve">CIS Critical Security Controls </w:t>
            </w:r>
          </w:p>
          <w:p w14:paraId="77E0FABE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 xml:space="preserve">Standardy i normy wspierające zarządzanie bezpieczeństwem informacji </w:t>
            </w:r>
          </w:p>
          <w:p w14:paraId="77E0FABF" w14:textId="77777777" w:rsidR="000511D9" w:rsidRDefault="000511D9">
            <w:pPr>
              <w:widowControl w:val="0"/>
              <w:numPr>
                <w:ilvl w:val="0"/>
                <w:numId w:val="7"/>
              </w:numPr>
              <w:ind w:left="567" w:hanging="567"/>
              <w:jc w:val="both"/>
              <w:rPr>
                <w:color w:val="00000A"/>
                <w:lang w:eastAsia="zh-CN"/>
              </w:rPr>
            </w:pPr>
            <w:r>
              <w:rPr>
                <w:color w:val="00000A"/>
                <w:lang w:eastAsia="zh-CN"/>
              </w:rPr>
              <w:t xml:space="preserve">COBIT™ - dobre praktyki w zakresie ładu informatycznego </w:t>
            </w:r>
          </w:p>
          <w:p w14:paraId="77E0FAC0" w14:textId="77777777" w:rsidR="000511D9" w:rsidRDefault="000511D9">
            <w:pPr>
              <w:widowControl w:val="0"/>
              <w:jc w:val="both"/>
              <w:rPr>
                <w:color w:val="00000A"/>
                <w:lang w:eastAsia="zh-CN"/>
              </w:rPr>
            </w:pPr>
          </w:p>
          <w:p w14:paraId="77E0FAC1" w14:textId="77777777" w:rsidR="000511D9" w:rsidRDefault="000511D9">
            <w:pPr>
              <w:widowControl w:val="0"/>
              <w:jc w:val="both"/>
            </w:pPr>
          </w:p>
        </w:tc>
      </w:tr>
      <w:tr w:rsidR="000511D9" w14:paraId="77E0FAC4" w14:textId="77777777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C3" w14:textId="77777777" w:rsidR="000511D9" w:rsidRDefault="000511D9">
            <w:pPr>
              <w:widowControl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OPIEKUN PRZEDMIOTU (IMIĘ, NAZWISKO, ADRES E-MAIL)</w:t>
            </w:r>
          </w:p>
        </w:tc>
      </w:tr>
      <w:tr w:rsidR="000511D9" w14:paraId="77E0FAC6" w14:textId="77777777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AC5" w14:textId="77777777" w:rsidR="000511D9" w:rsidRDefault="000511D9">
            <w:pPr>
              <w:widowControl w:val="0"/>
              <w:snapToGrid w:val="0"/>
              <w:ind w:left="360"/>
              <w:rPr>
                <w:b/>
                <w:bCs/>
              </w:rPr>
            </w:pPr>
          </w:p>
        </w:tc>
      </w:tr>
    </w:tbl>
    <w:p w14:paraId="77E0FAC7" w14:textId="77777777" w:rsidR="000511D9" w:rsidRDefault="000511D9">
      <w:pPr>
        <w:pStyle w:val="Nagwek3"/>
        <w:numPr>
          <w:ilvl w:val="0"/>
          <w:numId w:val="0"/>
        </w:numPr>
        <w:jc w:val="left"/>
      </w:pPr>
    </w:p>
    <w:sectPr w:rsidR="000511D9" w:rsidSect="005C2C4E">
      <w:footerReference w:type="default" r:id="rId7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035E1" w14:textId="77777777" w:rsidR="00FB312E" w:rsidRDefault="00FB312E">
      <w:r>
        <w:separator/>
      </w:r>
    </w:p>
  </w:endnote>
  <w:endnote w:type="continuationSeparator" w:id="0">
    <w:p w14:paraId="670588B7" w14:textId="77777777" w:rsidR="00FB312E" w:rsidRDefault="00FB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0FACC" w14:textId="77777777" w:rsidR="000511D9" w:rsidRDefault="000511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4A442" w14:textId="77777777" w:rsidR="00FB312E" w:rsidRDefault="00FB312E">
      <w:r>
        <w:separator/>
      </w:r>
    </w:p>
  </w:footnote>
  <w:footnote w:type="continuationSeparator" w:id="0">
    <w:p w14:paraId="1A8341EA" w14:textId="77777777" w:rsidR="00FB312E" w:rsidRDefault="00FB3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74B2B"/>
    <w:multiLevelType w:val="multilevel"/>
    <w:tmpl w:val="EB164AF6"/>
    <w:lvl w:ilvl="0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212821C7"/>
    <w:multiLevelType w:val="multilevel"/>
    <w:tmpl w:val="1EE8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3171038A"/>
    <w:multiLevelType w:val="multilevel"/>
    <w:tmpl w:val="08E200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44A77EBB"/>
    <w:multiLevelType w:val="multilevel"/>
    <w:tmpl w:val="513242B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4FFD5CDC"/>
    <w:multiLevelType w:val="multilevel"/>
    <w:tmpl w:val="4EC8AE62"/>
    <w:lvl w:ilvl="0">
      <w:start w:val="1"/>
      <w:numFmt w:val="decimal"/>
      <w:lvlText w:val="N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44084C"/>
    <w:multiLevelType w:val="multilevel"/>
    <w:tmpl w:val="E71CD1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75A57B00"/>
    <w:multiLevelType w:val="multilevel"/>
    <w:tmpl w:val="21D2F08E"/>
    <w:lvl w:ilvl="0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oNotTrackMov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7006"/>
    <w:rsid w:val="00006767"/>
    <w:rsid w:val="000511D9"/>
    <w:rsid w:val="004446EB"/>
    <w:rsid w:val="005C2C4E"/>
    <w:rsid w:val="006020D8"/>
    <w:rsid w:val="007A635F"/>
    <w:rsid w:val="00940FD3"/>
    <w:rsid w:val="009720C8"/>
    <w:rsid w:val="009B4FC6"/>
    <w:rsid w:val="00A05202"/>
    <w:rsid w:val="00BB53C8"/>
    <w:rsid w:val="00BC7006"/>
    <w:rsid w:val="00D72300"/>
    <w:rsid w:val="00F222C8"/>
    <w:rsid w:val="00FB312E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0F97A"/>
  <w15:docId w15:val="{C7ACF5DD-AC91-4108-8D5B-CB210FAC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locked="1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uiPriority="0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C4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C4E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2C4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2C4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2C4E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2C4E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2C4E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2C4E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E0DF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semiHidden/>
    <w:rsid w:val="00FE0DF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semiHidden/>
    <w:rsid w:val="00FE0DF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FE0DF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FE0DF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uiPriority w:val="9"/>
    <w:semiHidden/>
    <w:rsid w:val="00FE0DF5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link w:val="Nagwek7"/>
    <w:uiPriority w:val="9"/>
    <w:semiHidden/>
    <w:rsid w:val="00FE0DF5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uiPriority w:val="99"/>
    <w:rsid w:val="005C2C4E"/>
  </w:style>
  <w:style w:type="character" w:customStyle="1" w:styleId="WW8Num3z1">
    <w:name w:val="WW8Num3z1"/>
    <w:uiPriority w:val="99"/>
    <w:rsid w:val="005C2C4E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5C2C4E"/>
  </w:style>
  <w:style w:type="character" w:styleId="Hipercze">
    <w:name w:val="Hyperlink"/>
    <w:uiPriority w:val="99"/>
    <w:rsid w:val="005C2C4E"/>
    <w:rPr>
      <w:rFonts w:cs="Times New Roman"/>
      <w:color w:val="0000FF"/>
      <w:u w:val="single"/>
    </w:rPr>
  </w:style>
  <w:style w:type="character" w:styleId="Numerstrony">
    <w:name w:val="page number"/>
    <w:uiPriority w:val="99"/>
    <w:rsid w:val="005C2C4E"/>
    <w:rPr>
      <w:rFonts w:cs="Times New Roman"/>
    </w:rPr>
  </w:style>
  <w:style w:type="character" w:styleId="UyteHipercze">
    <w:name w:val="FollowedHyperlink"/>
    <w:uiPriority w:val="99"/>
    <w:rsid w:val="005C2C4E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lang w:eastAsia="ar-SA" w:bidi="ar-SA"/>
    </w:rPr>
  </w:style>
  <w:style w:type="character" w:customStyle="1" w:styleId="TematkomentarzaZnak">
    <w:name w:val="Temat komentarza Znak"/>
    <w:link w:val="Tematkomentarza"/>
    <w:uiPriority w:val="99"/>
    <w:locked/>
    <w:rPr>
      <w:b/>
      <w:lang w:eastAsia="ar-SA" w:bidi="ar-SA"/>
    </w:rPr>
  </w:style>
  <w:style w:type="character" w:customStyle="1" w:styleId="TekstdymkaZnak">
    <w:name w:val="Tekst dymka Znak"/>
    <w:link w:val="Tekstdymka"/>
    <w:uiPriority w:val="99"/>
    <w:locked/>
    <w:rPr>
      <w:rFonts w:ascii="Tahoma" w:hAnsi="Tahoma"/>
      <w:sz w:val="16"/>
      <w:lang w:eastAsia="ar-SA" w:bidi="ar-SA"/>
    </w:rPr>
  </w:style>
  <w:style w:type="character" w:customStyle="1" w:styleId="wrtext">
    <w:name w:val="wrtext"/>
    <w:uiPriority w:val="99"/>
  </w:style>
  <w:style w:type="paragraph" w:customStyle="1" w:styleId="Heading">
    <w:name w:val="Heading"/>
    <w:basedOn w:val="Normalny"/>
    <w:next w:val="Tekstpodstawowy"/>
    <w:uiPriority w:val="99"/>
    <w:rsid w:val="005C2C4E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C2C4E"/>
    <w:pPr>
      <w:jc w:val="center"/>
    </w:pPr>
  </w:style>
  <w:style w:type="character" w:customStyle="1" w:styleId="TekstpodstawowyZnak">
    <w:name w:val="Tekst podstawowy Znak"/>
    <w:link w:val="Tekstpodstawowy"/>
    <w:uiPriority w:val="99"/>
    <w:semiHidden/>
    <w:rsid w:val="00FE0DF5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5C2C4E"/>
    <w:rPr>
      <w:rFonts w:cs="Mangal"/>
    </w:rPr>
  </w:style>
  <w:style w:type="paragraph" w:styleId="Legenda">
    <w:name w:val="caption"/>
    <w:basedOn w:val="Normalny"/>
    <w:uiPriority w:val="99"/>
    <w:qFormat/>
    <w:rsid w:val="005C2C4E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uiPriority w:val="99"/>
    <w:rsid w:val="005C2C4E"/>
    <w:pPr>
      <w:suppressLineNumbers/>
    </w:pPr>
    <w:rPr>
      <w:rFonts w:cs="FreeSans"/>
    </w:rPr>
  </w:style>
  <w:style w:type="paragraph" w:customStyle="1" w:styleId="Nagwek20">
    <w:name w:val="Nagłówek2"/>
    <w:basedOn w:val="Normalny"/>
    <w:next w:val="Tekstpodstawowy"/>
    <w:uiPriority w:val="99"/>
    <w:rsid w:val="005C2C4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5C2C4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5C2C4E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5C2C4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5C2C4E"/>
    <w:pPr>
      <w:suppressLineNumbers/>
      <w:spacing w:before="120" w:after="120"/>
    </w:pPr>
    <w:rPr>
      <w:rFonts w:cs="Mangal"/>
      <w:i/>
      <w:iCs/>
    </w:rPr>
  </w:style>
  <w:style w:type="paragraph" w:customStyle="1" w:styleId="HeaderandFooter">
    <w:name w:val="Header and Footer"/>
    <w:basedOn w:val="Normalny"/>
    <w:uiPriority w:val="99"/>
    <w:rsid w:val="005C2C4E"/>
  </w:style>
  <w:style w:type="paragraph" w:styleId="Stopka">
    <w:name w:val="footer"/>
    <w:basedOn w:val="Normalny"/>
    <w:link w:val="StopkaZnak"/>
    <w:uiPriority w:val="99"/>
    <w:rsid w:val="005C2C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FE0DF5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5C2C4E"/>
    <w:rPr>
      <w:sz w:val="22"/>
    </w:rPr>
  </w:style>
  <w:style w:type="paragraph" w:styleId="Nagwek">
    <w:name w:val="header"/>
    <w:basedOn w:val="Normalny"/>
    <w:link w:val="NagwekZnak"/>
    <w:uiPriority w:val="99"/>
    <w:rsid w:val="005C2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E0DF5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5C2C4E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2C4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5C2C4E"/>
  </w:style>
  <w:style w:type="paragraph" w:styleId="Akapitzlist">
    <w:name w:val="List Paragraph"/>
    <w:basedOn w:val="Normalny"/>
    <w:uiPriority w:val="99"/>
    <w:qFormat/>
    <w:pPr>
      <w:suppressAutoHyphens w:val="0"/>
      <w:ind w:left="720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FE0DF5"/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CommentSubjectChar1">
    <w:name w:val="Comment Subject Char1"/>
    <w:uiPriority w:val="99"/>
    <w:semiHidden/>
    <w:rsid w:val="00FE0DF5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FE0DF5"/>
    <w:rPr>
      <w:sz w:val="0"/>
      <w:szCs w:val="0"/>
      <w:lang w:eastAsia="ar-SA"/>
    </w:rPr>
  </w:style>
  <w:style w:type="paragraph" w:styleId="NormalnyWeb">
    <w:name w:val="Normal (Web)"/>
    <w:basedOn w:val="Normalny"/>
    <w:uiPriority w:val="99"/>
    <w:pPr>
      <w:suppressAutoHyphens w:val="0"/>
      <w:spacing w:beforeAutospacing="1" w:afterAutospacing="1"/>
    </w:pPr>
    <w:rPr>
      <w:lang w:eastAsia="pl-PL"/>
    </w:rPr>
  </w:style>
  <w:style w:type="paragraph" w:customStyle="1" w:styleId="Tretekstu">
    <w:name w:val="Treść tekstu"/>
    <w:basedOn w:val="Normalny"/>
    <w:uiPriority w:val="99"/>
    <w:pPr>
      <w:jc w:val="center"/>
    </w:pPr>
    <w:rPr>
      <w:color w:val="00000A"/>
      <w:lang w:eastAsia="zh-CN"/>
    </w:rPr>
  </w:style>
  <w:style w:type="paragraph" w:customStyle="1" w:styleId="TableContents">
    <w:name w:val="Table Contents"/>
    <w:basedOn w:val="Normalny"/>
    <w:uiPriority w:val="99"/>
    <w:rsid w:val="005C2C4E"/>
    <w:pPr>
      <w:widowControl w:val="0"/>
      <w:suppressLineNumbers/>
    </w:pPr>
  </w:style>
  <w:style w:type="paragraph" w:customStyle="1" w:styleId="TableHeading">
    <w:name w:val="Table Heading"/>
    <w:basedOn w:val="TableContents"/>
    <w:uiPriority w:val="99"/>
    <w:rsid w:val="005C2C4E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Props1.xml><?xml version="1.0" encoding="utf-8"?>
<ds:datastoreItem xmlns:ds="http://schemas.openxmlformats.org/officeDocument/2006/customXml" ds:itemID="{1C20CD00-770E-4BDC-BB4C-7D8500B05449}"/>
</file>

<file path=customXml/itemProps2.xml><?xml version="1.0" encoding="utf-8"?>
<ds:datastoreItem xmlns:ds="http://schemas.openxmlformats.org/officeDocument/2006/customXml" ds:itemID="{D5FD7C96-4F07-4F0F-9420-2AD6C44DA473}"/>
</file>

<file path=customXml/itemProps3.xml><?xml version="1.0" encoding="utf-8"?>
<ds:datastoreItem xmlns:ds="http://schemas.openxmlformats.org/officeDocument/2006/customXml" ds:itemID="{0604FFD7-4454-466A-BD5D-EB845F3E49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791</Words>
  <Characters>4752</Characters>
  <Application>Microsoft Office Word</Application>
  <DocSecurity>0</DocSecurity>
  <Lines>39</Lines>
  <Paragraphs>11</Paragraphs>
  <ScaleCrop>false</ScaleCrop>
  <Company>GB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subject/>
  <dc:creator>Hanna Helman</dc:creator>
  <cp:keywords/>
  <dc:description/>
  <cp:lastModifiedBy>Piotr Piotrowski</cp:lastModifiedBy>
  <cp:revision>6</cp:revision>
  <cp:lastPrinted>2019-01-14T10:42:00Z</cp:lastPrinted>
  <dcterms:created xsi:type="dcterms:W3CDTF">2020-09-11T15:45:00Z</dcterms:created>
  <dcterms:modified xsi:type="dcterms:W3CDTF">2020-09-25T10:45:00Z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0x010100C6061755D9DE4A47B017FC22C0AFB557</vt:lpwstr>
  </property>
  <property fmtid="{D5CDD505-2E9C-101B-9397-08002B2CF9AE}" pid="10" name="Order">
    <vt:r8>836000</vt:r8>
  </property>
  <property fmtid="{D5CDD505-2E9C-101B-9397-08002B2CF9AE}" pid="11" name="MediaServiceImageTags">
    <vt:lpwstr/>
  </property>
</Properties>
</file>