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640B5B" w:rsidRDefault="00922632" w:rsidP="00640B5B">
      <w:pPr>
        <w:rPr>
          <w:rFonts w:ascii="Lato" w:hAnsi="Lato" w:cs="Calibri"/>
          <w:b/>
          <w:sz w:val="23"/>
          <w:szCs w:val="23"/>
          <w:u w:val="single"/>
        </w:rPr>
      </w:pPr>
      <w:bookmarkStart w:id="0" w:name="_GoBack"/>
      <w:bookmarkEnd w:id="0"/>
      <w:r w:rsidRPr="00640B5B">
        <w:rPr>
          <w:rFonts w:ascii="Lato" w:hAnsi="Lato" w:cs="Calibri"/>
          <w:b/>
          <w:sz w:val="23"/>
          <w:szCs w:val="23"/>
          <w:u w:val="single"/>
        </w:rPr>
        <w:t xml:space="preserve">Załącznik do </w:t>
      </w:r>
      <w:r w:rsidR="003B59C7" w:rsidRPr="00640B5B">
        <w:rPr>
          <w:rFonts w:ascii="Lato" w:hAnsi="Lato" w:cs="Calibri"/>
          <w:b/>
          <w:sz w:val="23"/>
          <w:szCs w:val="23"/>
          <w:u w:val="single"/>
        </w:rPr>
        <w:t xml:space="preserve">zawiadomienia o przetargu nr 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>DAG9</w:t>
      </w:r>
      <w:r w:rsidRPr="00640B5B">
        <w:rPr>
          <w:rFonts w:ascii="Lato" w:hAnsi="Lato" w:cs="Calibri"/>
          <w:b/>
          <w:sz w:val="23"/>
          <w:szCs w:val="23"/>
          <w:u w:val="single"/>
        </w:rPr>
        <w:t>.683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8</w:t>
      </w:r>
      <w:r w:rsidRPr="00640B5B">
        <w:rPr>
          <w:rFonts w:ascii="Lato" w:hAnsi="Lato" w:cs="Calibri"/>
          <w:b/>
          <w:sz w:val="23"/>
          <w:szCs w:val="23"/>
          <w:u w:val="single"/>
        </w:rPr>
        <w:t>.</w:t>
      </w:r>
      <w:r w:rsidR="00533000">
        <w:rPr>
          <w:rFonts w:ascii="Lato" w:hAnsi="Lato" w:cs="Calibri"/>
          <w:b/>
          <w:sz w:val="23"/>
          <w:szCs w:val="23"/>
          <w:u w:val="single"/>
        </w:rPr>
        <w:t>6.</w:t>
      </w:r>
      <w:r w:rsidRPr="00640B5B">
        <w:rPr>
          <w:rFonts w:ascii="Lato" w:hAnsi="Lato" w:cs="Calibri"/>
          <w:b/>
          <w:sz w:val="23"/>
          <w:szCs w:val="23"/>
          <w:u w:val="single"/>
        </w:rPr>
        <w:t>20</w:t>
      </w:r>
      <w:r w:rsidR="003076BB" w:rsidRPr="00640B5B">
        <w:rPr>
          <w:rFonts w:ascii="Lato" w:hAnsi="Lato" w:cs="Calibri"/>
          <w:b/>
          <w:sz w:val="23"/>
          <w:szCs w:val="23"/>
          <w:u w:val="single"/>
        </w:rPr>
        <w:t>2</w:t>
      </w:r>
      <w:r w:rsidR="00640B5B" w:rsidRPr="00640B5B">
        <w:rPr>
          <w:rFonts w:ascii="Lato" w:hAnsi="Lato" w:cs="Calibri"/>
          <w:b/>
          <w:sz w:val="23"/>
          <w:szCs w:val="23"/>
          <w:u w:val="single"/>
        </w:rPr>
        <w:t xml:space="preserve">3 </w:t>
      </w:r>
      <w:r w:rsidR="001D0741" w:rsidRPr="00640B5B">
        <w:rPr>
          <w:rFonts w:ascii="Lato" w:hAnsi="Lato" w:cs="Calibri"/>
          <w:b/>
          <w:sz w:val="23"/>
          <w:szCs w:val="23"/>
          <w:u w:val="single"/>
        </w:rPr>
        <w:t xml:space="preserve">z </w:t>
      </w:r>
      <w:r w:rsidR="001D0741" w:rsidRPr="00504231">
        <w:rPr>
          <w:rFonts w:ascii="Lato" w:hAnsi="Lato" w:cs="Calibri"/>
          <w:b/>
          <w:sz w:val="23"/>
          <w:szCs w:val="23"/>
          <w:u w:val="single"/>
        </w:rPr>
        <w:t>dnia</w:t>
      </w:r>
      <w:r w:rsidR="00E40FD0" w:rsidRPr="00504231">
        <w:rPr>
          <w:rFonts w:ascii="Lato" w:hAnsi="Lato" w:cs="Calibri"/>
          <w:b/>
          <w:sz w:val="23"/>
          <w:szCs w:val="23"/>
          <w:u w:val="single"/>
        </w:rPr>
        <w:t xml:space="preserve"> </w:t>
      </w:r>
      <w:r w:rsidR="006422FC">
        <w:rPr>
          <w:rFonts w:ascii="Lato" w:hAnsi="Lato" w:cs="Calibri"/>
          <w:b/>
          <w:sz w:val="23"/>
          <w:szCs w:val="23"/>
          <w:u w:val="single"/>
        </w:rPr>
        <w:t xml:space="preserve"> 28 września</w:t>
      </w:r>
      <w:r w:rsidR="003076BB" w:rsidRPr="00504231">
        <w:rPr>
          <w:rFonts w:ascii="Lato" w:hAnsi="Lato" w:cs="Calibri"/>
          <w:b/>
          <w:sz w:val="23"/>
          <w:szCs w:val="23"/>
          <w:u w:val="single"/>
        </w:rPr>
        <w:t xml:space="preserve"> 202</w:t>
      </w:r>
      <w:r w:rsidR="00640B5B" w:rsidRPr="00504231">
        <w:rPr>
          <w:rFonts w:ascii="Lato" w:hAnsi="Lato" w:cs="Calibri"/>
          <w:b/>
          <w:sz w:val="23"/>
          <w:szCs w:val="23"/>
          <w:u w:val="single"/>
        </w:rPr>
        <w:t>3</w:t>
      </w:r>
      <w:r w:rsidRPr="00504231">
        <w:rPr>
          <w:rFonts w:ascii="Lato" w:hAnsi="Lato" w:cs="Calibri"/>
          <w:b/>
          <w:sz w:val="23"/>
          <w:szCs w:val="23"/>
          <w:u w:val="single"/>
        </w:rPr>
        <w:t xml:space="preserve"> r.</w:t>
      </w:r>
    </w:p>
    <w:p w:rsidR="00922632" w:rsidRPr="00640B5B" w:rsidRDefault="00922632" w:rsidP="00640B5B">
      <w:pPr>
        <w:spacing w:before="120"/>
        <w:rPr>
          <w:rFonts w:ascii="Lato" w:hAnsi="Lato" w:cs="Calibri"/>
          <w:b/>
          <w:sz w:val="23"/>
          <w:szCs w:val="23"/>
        </w:rPr>
      </w:pPr>
      <w:r w:rsidRPr="00640B5B">
        <w:rPr>
          <w:rFonts w:ascii="Lato" w:hAnsi="Lato" w:cs="Calibri"/>
          <w:b/>
          <w:sz w:val="23"/>
          <w:szCs w:val="23"/>
        </w:rPr>
        <w:t>Kryteria i sposób oceny ofert przetargowych</w:t>
      </w:r>
    </w:p>
    <w:p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1. Atrakcyjność proponowanej lokalizacji kasyna gry: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lokalizacja budynku: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1 pkt – w centrum miasta,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1 pkt – przy ruchliwym ciągu komunikacyjnym,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obrębie lub bezpośrednim sąsiedztwie centrum rozrywki;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standard budynku: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5 pkt – hotel kategorii cztery albo pięć gwiazdek,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4 pkt – budynek zabytkowy,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3 pkt – budynek nowy,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 xml:space="preserve">3 pkt – hotel kategorii trzy gwiazdki. 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2. Planowany termin rozpoczęcia działalności kasyna gry:</w:t>
      </w:r>
    </w:p>
    <w:p w:rsidR="00530EE3" w:rsidRPr="00640B5B" w:rsidRDefault="00530EE3" w:rsidP="00C61A1E">
      <w:pPr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640B5B">
        <w:rPr>
          <w:rFonts w:ascii="Lato" w:hAnsi="Lato" w:cs="Calibri"/>
          <w:sz w:val="23"/>
          <w:szCs w:val="23"/>
        </w:rPr>
        <w:br/>
        <w:t>6 miesięcy od dnia udzielenia koncesji;</w:t>
      </w:r>
    </w:p>
    <w:p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640B5B">
        <w:rPr>
          <w:rFonts w:ascii="Lato" w:hAnsi="Lato" w:cs="Calibri"/>
          <w:sz w:val="23"/>
          <w:szCs w:val="23"/>
        </w:rPr>
        <w:br/>
        <w:t>12 miesięcy od dnia udzielenia koncesji;</w:t>
      </w:r>
    </w:p>
    <w:p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3. Planowane godziny otwarcia kasyna gry:</w:t>
      </w:r>
    </w:p>
    <w:p w:rsidR="00530EE3" w:rsidRPr="00640B5B" w:rsidRDefault="00530EE3" w:rsidP="00C61A1E">
      <w:pPr>
        <w:tabs>
          <w:tab w:val="right" w:pos="284"/>
          <w:tab w:val="left" w:pos="408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1) </w:t>
      </w:r>
      <w:r w:rsidRPr="00640B5B">
        <w:rPr>
          <w:rFonts w:ascii="Lato" w:hAnsi="Lato" w:cs="Calibri"/>
          <w:sz w:val="23"/>
          <w:szCs w:val="23"/>
        </w:rPr>
        <w:tab/>
        <w:t>1 pkt – w przypadku gdy obiekt będzie otwarty dłużej niż 12 godzin na dobę;</w:t>
      </w:r>
    </w:p>
    <w:p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 xml:space="preserve"> 0,5 pkt – w przypadku gdy obiekt będzie otwarty od 8 do 12 godzin na dobę;</w:t>
      </w:r>
    </w:p>
    <w:p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3) </w:t>
      </w:r>
      <w:r w:rsidRPr="00640B5B">
        <w:rPr>
          <w:rFonts w:ascii="Lato" w:hAnsi="Lato" w:cs="Calibri"/>
          <w:sz w:val="23"/>
          <w:szCs w:val="23"/>
        </w:rPr>
        <w:tab/>
        <w:t>0 pkt – w przypadku gdy obiekt będzie otwarty krócej niż 8 godzin na dobę.</w:t>
      </w:r>
    </w:p>
    <w:p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3a. Deklarowana podstawa opodatkowania podatkiem od gier, jaką podmiot ubiegający się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 xml:space="preserve">o udzielenie koncesji planuje osiągnąć w działalności prowadzonej na podstawie koncesji </w:t>
      </w:r>
      <w:r w:rsidRPr="00640B5B">
        <w:rPr>
          <w:rFonts w:ascii="Lato" w:hAnsi="Lato" w:cs="Calibri"/>
          <w:b/>
          <w:bCs/>
          <w:color w:val="auto"/>
          <w:sz w:val="23"/>
          <w:szCs w:val="23"/>
        </w:rPr>
        <w:br/>
        <w:t>w kasynie gry, którego dotyczy złożona oferta:</w:t>
      </w:r>
    </w:p>
    <w:p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1) 3 pkt – w przypadku zadeklarowania najwyższej podstawy opodatkowania podatkiem od gier przez podmiot bądź podmioty ubiegające się o udzielenie koncesji;</w:t>
      </w: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2) 2 pkt – w przypadku zadeklarowania drugiej pod względem wysokości podstawy opodatkowania podatkiem od gier przez podmiot bądź podmioty ubiegające się o udzielenie koncesji;</w:t>
      </w: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lastRenderedPageBreak/>
        <w:t>3) 1 pkt – w przypadku zadeklarowania trzeciej i kolejnej pod względem wysokości podstawy opodatkowania podatkiem od gier przez podmiot bądź podmioty ubiegające się o udzielenie koncesji.</w:t>
      </w:r>
    </w:p>
    <w:p w:rsidR="00530EE3" w:rsidRPr="00640B5B" w:rsidRDefault="00530EE3" w:rsidP="00C61A1E">
      <w:pPr>
        <w:pStyle w:val="Default"/>
        <w:jc w:val="both"/>
        <w:rPr>
          <w:rFonts w:ascii="Lato" w:hAnsi="Lato" w:cs="Calibri"/>
          <w:color w:val="auto"/>
          <w:sz w:val="23"/>
          <w:szCs w:val="23"/>
        </w:rPr>
      </w:pP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 xml:space="preserve">3b. Wielkość powierzchni kasyna gry przeznaczonej bezpośrednio na prowadzenie gier hazardowych: </w:t>
      </w:r>
    </w:p>
    <w:p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 xml:space="preserve">1) 3 pkt – w przypadku zadeklarowania największej powierzchni przeznaczonej bezpośrednio </w:t>
      </w:r>
      <w:r w:rsidRPr="00640B5B">
        <w:rPr>
          <w:rFonts w:ascii="Lato" w:hAnsi="Lato" w:cs="Calibri"/>
          <w:color w:val="auto"/>
          <w:sz w:val="23"/>
          <w:szCs w:val="23"/>
        </w:rPr>
        <w:br/>
        <w:t>na prowadzenie gier hazardowych przez podmiot bądź podmioty ubiegające się o udzielenie koncesji;</w:t>
      </w: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2) 2 pkt – w przypadku zadeklarowania drugiej pod względem wielkości powierzchni przeznaczonej bezpośrednio na prowadzenie gier hazardowych przez podmiot bądź podmioty ubiegające się o udzielenie koncesji;</w:t>
      </w: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color w:val="auto"/>
          <w:sz w:val="23"/>
          <w:szCs w:val="23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530EE3" w:rsidRPr="00640B5B" w:rsidRDefault="00530EE3" w:rsidP="00C61A1E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 xml:space="preserve">3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3 pkt – w przypadku otwarcia w zadeklarowanym terminie od 100 % do 75 % ośrodków,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2 pkt – w przypadku otwarcia w zadeklarowanym terminie poniżej 75 % do 50 % ośrodków,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1 pkt – w przypadku otwarcia w zadeklarowanym terminie poniżej 50 % do 25 % ośrodków,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d)</w:t>
      </w:r>
      <w:r w:rsidRPr="00640B5B">
        <w:rPr>
          <w:rFonts w:ascii="Lato" w:hAnsi="Lato" w:cs="Calibri"/>
          <w:sz w:val="23"/>
          <w:szCs w:val="23"/>
        </w:rPr>
        <w:tab/>
        <w:t>0 pkt – w przypadku otwarcia w zadeklarowanym terminie poniżej 25 % ośrodków;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podmiotu ubiegającego się o udzielenie koncesji lub zezwolenia, który: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dotychczas nie uzyskał koncesji lub zezwolenia w wyniku przetargu, w tym dotychczas nie przystępował do przetargu,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uzyskał koncesję lub zezwolenie w wyniku przetargu w innym okresie,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c)</w:t>
      </w:r>
      <w:r w:rsidRPr="00640B5B">
        <w:rPr>
          <w:rFonts w:ascii="Lato" w:hAnsi="Lato" w:cs="Calibri"/>
          <w:sz w:val="23"/>
          <w:szCs w:val="23"/>
        </w:rPr>
        <w:tab/>
        <w:t>nie może być poddany ocenie ze względu na fakt, że deklarowany termin rozpoczęcia działalności jeszcze nie upłynął;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 xml:space="preserve">0 pkt – w przypadku gdy podmiot ubiegający się o udzielenie koncesji lub zezwolenia uzyskał </w:t>
      </w:r>
      <w:r w:rsidRPr="00640B5B">
        <w:rPr>
          <w:rFonts w:ascii="Lato" w:hAnsi="Lato" w:cs="Calibri"/>
          <w:sz w:val="23"/>
          <w:szCs w:val="23"/>
        </w:rPr>
        <w:br/>
        <w:t xml:space="preserve">w tym okresie koncesję lub zezwolenie w wyniku przetargu, lecz nie rozpoczął działalności </w:t>
      </w:r>
      <w:r w:rsidRPr="00640B5B">
        <w:rPr>
          <w:rFonts w:ascii="Lato" w:hAnsi="Lato" w:cs="Calibri"/>
          <w:sz w:val="23"/>
          <w:szCs w:val="23"/>
        </w:rPr>
        <w:br/>
        <w:t>w zadeklarowanym w ofercie terminie.</w:t>
      </w:r>
    </w:p>
    <w:p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lastRenderedPageBreak/>
        <w:t xml:space="preserve">5. Zgodność wysokości podstawy opodatkowania podatkiem od gier uprzednio deklarowanej przez podmiot, który uzyskał koncesję lub zezwolenie w wyniku przetargu, z realnie uzyskaną </w:t>
      </w:r>
      <w:r w:rsidRPr="00640B5B">
        <w:rPr>
          <w:rFonts w:ascii="Lato" w:hAnsi="Lato" w:cs="Calibri"/>
          <w:b/>
          <w:bCs/>
          <w:sz w:val="23"/>
          <w:szCs w:val="23"/>
        </w:rPr>
        <w:br/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4 pkt – w przypadku gdy zgodność pomiędzy deklarowaną a realnie uzyskaną podstawą opodatkowania występuje w przedziale powyżej 75 % do 100%,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2 pkt – w przypadku gdy zgodność pomiędzy deklarowaną a realnie uzyskaną podstawą opodatkowania występuje w przedziale od 50 % do 75 %,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530EE3" w:rsidRPr="00640B5B" w:rsidRDefault="00530EE3" w:rsidP="00C61A1E">
      <w:pPr>
        <w:tabs>
          <w:tab w:val="left" w:pos="284"/>
        </w:tabs>
        <w:overflowPunct/>
        <w:spacing w:before="6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4)</w:t>
      </w:r>
      <w:r w:rsidRPr="00640B5B">
        <w:rPr>
          <w:rFonts w:ascii="Lato" w:hAnsi="Lato" w:cs="Calibri"/>
          <w:sz w:val="23"/>
          <w:szCs w:val="23"/>
        </w:rPr>
        <w:tab/>
        <w:t>0 pkt – w przypadku gdy zgodność pomiędzy deklarowaną a realnie uzyskaną podstawą opodatkowania podatkiem od gier wynosi poniżej 50 %</w:t>
      </w:r>
    </w:p>
    <w:p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 xml:space="preserve">- przy czym w przypadku podmiotu, który w okresie ostatnich trzech lat kalendarzowych poprzedzających rok, w którym zostało ogłoszone zawiadomienie o przetargu, uzyskał więcej </w:t>
      </w:r>
      <w:r w:rsidRPr="00640B5B">
        <w:rPr>
          <w:rFonts w:ascii="Lato" w:hAnsi="Lato" w:cs="Calibri"/>
          <w:sz w:val="23"/>
          <w:szCs w:val="23"/>
        </w:rPr>
        <w:br/>
        <w:t>niż jedną koncesję lub zezwolenie w wyniku przetargu, bierze się pod uwagę średnią kwot podstawy opodatkowania deklarowanych i uzyskanych.</w:t>
      </w:r>
    </w:p>
    <w:p w:rsidR="00530EE3" w:rsidRPr="00640B5B" w:rsidRDefault="00530EE3" w:rsidP="00C61A1E">
      <w:pPr>
        <w:overflowPunct/>
        <w:spacing w:before="20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podmiotu: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a)</w:t>
      </w:r>
      <w:r w:rsidRPr="00640B5B">
        <w:rPr>
          <w:rFonts w:ascii="Lato" w:hAnsi="Lato" w:cs="Calibri"/>
          <w:sz w:val="23"/>
          <w:szCs w:val="23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530EE3" w:rsidRPr="00640B5B" w:rsidRDefault="00530EE3" w:rsidP="00C61A1E">
      <w:pPr>
        <w:tabs>
          <w:tab w:val="left" w:pos="680"/>
        </w:tabs>
        <w:overflowPunct/>
        <w:ind w:left="284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b)</w:t>
      </w:r>
      <w:r w:rsidRPr="00640B5B">
        <w:rPr>
          <w:rFonts w:ascii="Lato" w:hAnsi="Lato" w:cs="Calibri"/>
          <w:sz w:val="23"/>
          <w:szCs w:val="23"/>
        </w:rPr>
        <w:tab/>
        <w:t>który nie prowadził w tym okresie działalności w zakresie gier hazardowych;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lastRenderedPageBreak/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stwierdzono uchybienia, które w tym okresie zostały potwierdzone.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b/>
          <w:bCs/>
          <w:sz w:val="23"/>
          <w:szCs w:val="23"/>
        </w:rPr>
        <w:t>8. Rentowność (wynik netto w każdym z ostatnich trzech lat działalności):</w:t>
      </w:r>
    </w:p>
    <w:p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2 pkt – w przypadku wyniku dodatniego;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1 pkt – w przypadku podmiotów, co do których nie można ustalić wyniku netto w trzech ostatnich latach działalności;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3)</w:t>
      </w:r>
      <w:r w:rsidRPr="00640B5B">
        <w:rPr>
          <w:rFonts w:ascii="Lato" w:hAnsi="Lato" w:cs="Calibri"/>
          <w:sz w:val="23"/>
          <w:szCs w:val="23"/>
        </w:rPr>
        <w:tab/>
        <w:t>0 pkt – w przypadku wyniku ujemnego.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color w:val="auto"/>
          <w:sz w:val="23"/>
          <w:szCs w:val="23"/>
        </w:rPr>
      </w:pPr>
      <w:r w:rsidRPr="00640B5B">
        <w:rPr>
          <w:rFonts w:ascii="Lato" w:hAnsi="Lato" w:cs="Calibri"/>
          <w:b/>
          <w:color w:val="auto"/>
          <w:sz w:val="23"/>
          <w:szCs w:val="23"/>
        </w:rPr>
        <w:t>9. Doświadczenie na rynku gier hazardowych:</w:t>
      </w:r>
    </w:p>
    <w:p w:rsidR="00530EE3" w:rsidRPr="00640B5B" w:rsidRDefault="00530EE3" w:rsidP="00C61A1E">
      <w:pPr>
        <w:tabs>
          <w:tab w:val="left" w:pos="284"/>
        </w:tabs>
        <w:overflowPunct/>
        <w:spacing w:before="120"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1)</w:t>
      </w:r>
      <w:r w:rsidRPr="00640B5B">
        <w:rPr>
          <w:rFonts w:ascii="Lato" w:hAnsi="Lato" w:cs="Calibri"/>
          <w:sz w:val="23"/>
          <w:szCs w:val="23"/>
        </w:rPr>
        <w:tab/>
        <w:t>1 pkt – w przypadku gdy podmiot posiada doświadczenie na rynku gier hazardowych;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  <w:r w:rsidRPr="00640B5B">
        <w:rPr>
          <w:rFonts w:ascii="Lato" w:hAnsi="Lato" w:cs="Calibri"/>
          <w:sz w:val="23"/>
          <w:szCs w:val="23"/>
        </w:rPr>
        <w:t>2)</w:t>
      </w:r>
      <w:r w:rsidRPr="00640B5B">
        <w:rPr>
          <w:rFonts w:ascii="Lato" w:hAnsi="Lato" w:cs="Calibri"/>
          <w:sz w:val="23"/>
          <w:szCs w:val="23"/>
        </w:rPr>
        <w:tab/>
        <w:t>0 pkt – w przypadku gdy podmiot nie posiada doświadczenia na rynku gier hazardowych.</w:t>
      </w:r>
    </w:p>
    <w:p w:rsidR="00530EE3" w:rsidRPr="00640B5B" w:rsidRDefault="00530EE3" w:rsidP="00C61A1E">
      <w:pPr>
        <w:tabs>
          <w:tab w:val="left" w:pos="284"/>
        </w:tabs>
        <w:overflowPunct/>
        <w:jc w:val="both"/>
        <w:textAlignment w:val="auto"/>
        <w:rPr>
          <w:rFonts w:ascii="Lato" w:hAnsi="Lato" w:cs="Calibri"/>
          <w:sz w:val="23"/>
          <w:szCs w:val="23"/>
        </w:rPr>
      </w:pP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/>
          <w:bCs/>
          <w:color w:val="auto"/>
          <w:sz w:val="23"/>
          <w:szCs w:val="23"/>
        </w:rPr>
      </w:pPr>
      <w:r w:rsidRPr="00640B5B">
        <w:rPr>
          <w:rFonts w:ascii="Lato" w:hAnsi="Lato" w:cs="Calibri"/>
          <w:b/>
          <w:bCs/>
          <w:color w:val="auto"/>
          <w:sz w:val="23"/>
          <w:szCs w:val="23"/>
        </w:rPr>
        <w:t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w wyniku przetargu, w okresie trzech lat od uzyskania koncesji lub zezwolenia, przy czym stwierdzone niedotrzymanie warunków deklarowanych w ofercie bierze się pod uwagę w przetargach ogłoszonych w okresie sześciu lat od uzyskania koncesji lub zezwolenia:</w:t>
      </w:r>
    </w:p>
    <w:p w:rsidR="00530EE3" w:rsidRPr="00640B5B" w:rsidRDefault="00530EE3" w:rsidP="00C61A1E">
      <w:pPr>
        <w:pStyle w:val="NormalnyWeb"/>
        <w:spacing w:before="120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1) 2 pkt – w przypadku gdy nie stwierdzono niedotrzymania warunków deklarowanych w ofercie przez podmiot bądź podmioty ubiegające się o udzielenie koncesji lub zezwolenia;</w:t>
      </w: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bCs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530EE3" w:rsidRPr="00640B5B" w:rsidRDefault="00530EE3" w:rsidP="00C61A1E">
      <w:pPr>
        <w:pStyle w:val="NormalnyWeb"/>
        <w:jc w:val="both"/>
        <w:rPr>
          <w:rFonts w:ascii="Lato" w:hAnsi="Lato" w:cs="Calibri"/>
          <w:color w:val="auto"/>
          <w:sz w:val="23"/>
          <w:szCs w:val="23"/>
        </w:rPr>
      </w:pPr>
      <w:r w:rsidRPr="00640B5B">
        <w:rPr>
          <w:rFonts w:ascii="Lato" w:hAnsi="Lato" w:cs="Calibri"/>
          <w:bCs/>
          <w:color w:val="auto"/>
          <w:sz w:val="23"/>
          <w:szCs w:val="23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Pr="00640B5B">
        <w:rPr>
          <w:rFonts w:ascii="Lato" w:hAnsi="Lato" w:cs="Calibri"/>
          <w:bCs/>
          <w:color w:val="auto"/>
          <w:sz w:val="23"/>
          <w:szCs w:val="23"/>
        </w:rPr>
        <w:br/>
        <w:t>lub zezwolenia</w:t>
      </w:r>
      <w:r w:rsidRPr="00640B5B">
        <w:rPr>
          <w:rFonts w:ascii="Lato" w:hAnsi="Lato" w:cs="Calibri"/>
          <w:color w:val="auto"/>
          <w:sz w:val="23"/>
          <w:szCs w:val="23"/>
        </w:rPr>
        <w:t>.</w:t>
      </w:r>
    </w:p>
    <w:p w:rsidR="00922632" w:rsidRPr="003076BB" w:rsidRDefault="00922632" w:rsidP="00C61A1E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0D" w:rsidRDefault="00D67A0D">
      <w:r>
        <w:separator/>
      </w:r>
    </w:p>
  </w:endnote>
  <w:endnote w:type="continuationSeparator" w:id="0">
    <w:p w:rsidR="00D67A0D" w:rsidRDefault="00D6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781890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0D" w:rsidRDefault="00D67A0D">
      <w:r>
        <w:separator/>
      </w:r>
    </w:p>
  </w:footnote>
  <w:footnote w:type="continuationSeparator" w:id="0">
    <w:p w:rsidR="00D67A0D" w:rsidRDefault="00D6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15E1D"/>
    <w:rsid w:val="000704A6"/>
    <w:rsid w:val="000A7AFB"/>
    <w:rsid w:val="000B4767"/>
    <w:rsid w:val="000E447E"/>
    <w:rsid w:val="00120F8C"/>
    <w:rsid w:val="00123281"/>
    <w:rsid w:val="00123D92"/>
    <w:rsid w:val="001D0741"/>
    <w:rsid w:val="00207411"/>
    <w:rsid w:val="002173ED"/>
    <w:rsid w:val="00224103"/>
    <w:rsid w:val="00275A4D"/>
    <w:rsid w:val="0029739E"/>
    <w:rsid w:val="002A0C41"/>
    <w:rsid w:val="002A31E7"/>
    <w:rsid w:val="00303572"/>
    <w:rsid w:val="003076BB"/>
    <w:rsid w:val="003331E5"/>
    <w:rsid w:val="003B324E"/>
    <w:rsid w:val="003B59C7"/>
    <w:rsid w:val="00444F23"/>
    <w:rsid w:val="004E7BEA"/>
    <w:rsid w:val="00504231"/>
    <w:rsid w:val="00530EE3"/>
    <w:rsid w:val="00533000"/>
    <w:rsid w:val="005A5F05"/>
    <w:rsid w:val="005F59CB"/>
    <w:rsid w:val="00640B5B"/>
    <w:rsid w:val="006422FC"/>
    <w:rsid w:val="00643908"/>
    <w:rsid w:val="00645033"/>
    <w:rsid w:val="006A6A66"/>
    <w:rsid w:val="00732C6F"/>
    <w:rsid w:val="007563FA"/>
    <w:rsid w:val="007601E0"/>
    <w:rsid w:val="00781890"/>
    <w:rsid w:val="007C6A41"/>
    <w:rsid w:val="007F7CEC"/>
    <w:rsid w:val="008C4DFC"/>
    <w:rsid w:val="008D1777"/>
    <w:rsid w:val="00922632"/>
    <w:rsid w:val="00931D6E"/>
    <w:rsid w:val="009738EC"/>
    <w:rsid w:val="00990F4C"/>
    <w:rsid w:val="009E0AE1"/>
    <w:rsid w:val="009E4EC8"/>
    <w:rsid w:val="00A01C33"/>
    <w:rsid w:val="00A026C4"/>
    <w:rsid w:val="00A97789"/>
    <w:rsid w:val="00AA26A5"/>
    <w:rsid w:val="00B17263"/>
    <w:rsid w:val="00B33DB3"/>
    <w:rsid w:val="00B54091"/>
    <w:rsid w:val="00BC2415"/>
    <w:rsid w:val="00C61A1E"/>
    <w:rsid w:val="00CA2441"/>
    <w:rsid w:val="00CF5CE4"/>
    <w:rsid w:val="00D02971"/>
    <w:rsid w:val="00D47C3A"/>
    <w:rsid w:val="00D53814"/>
    <w:rsid w:val="00D61C49"/>
    <w:rsid w:val="00D67A0D"/>
    <w:rsid w:val="00E07B38"/>
    <w:rsid w:val="00E252E0"/>
    <w:rsid w:val="00E40FD0"/>
    <w:rsid w:val="00E619C0"/>
    <w:rsid w:val="00EA1EFE"/>
    <w:rsid w:val="00F04B0B"/>
    <w:rsid w:val="00F25988"/>
    <w:rsid w:val="00FA29F3"/>
    <w:rsid w:val="00FB1216"/>
    <w:rsid w:val="00FC058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dcterms:created xsi:type="dcterms:W3CDTF">2023-09-28T10:23:00Z</dcterms:created>
  <dcterms:modified xsi:type="dcterms:W3CDTF">2023-09-28T10:23:00Z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UxC4dwLulzfINJ8nQH+xvX5LNGipWa4BRSZhPgxsCvmrcfRnzV/eJrEhhVif2fYeMvs8RH+u6XqtzX+/VbPTQw==</vt:lpwstr>
  </property>
  <property fmtid="{D5CDD505-2E9C-101B-9397-08002B2CF9AE}" pid="4" name="MFClassificationDate">
    <vt:lpwstr>2022-01-03T08:23:31.3307126+01:00</vt:lpwstr>
  </property>
  <property fmtid="{D5CDD505-2E9C-101B-9397-08002B2CF9AE}" pid="5" name="MFClassifiedBySID">
    <vt:lpwstr>UxC4dwLulzfINJ8nQH+xvX5LNGipWa4BRSZhPgxsCvm42mrIC/DSDv0ggS+FjUN/2v1BBotkLlY5aAiEhoi6uQtftaSKETGT6uLNmH71sgM+PQMbshdRaI31ITwrZ78x</vt:lpwstr>
  </property>
  <property fmtid="{D5CDD505-2E9C-101B-9397-08002B2CF9AE}" pid="6" name="MFGRNItemId">
    <vt:lpwstr>GRN-bd395448-4fba-41d0-a6cf-3007f56bb983</vt:lpwstr>
  </property>
  <property fmtid="{D5CDD505-2E9C-101B-9397-08002B2CF9AE}" pid="7" name="MFHash">
    <vt:lpwstr>8FxgpmYNM1Yl0id89tUk4LhmqpWFlDLCYXbKhSs7S90=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