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C" w:rsidRPr="00D17E92" w:rsidRDefault="0081030C" w:rsidP="00D12DBC">
      <w:pPr>
        <w:spacing w:line="276" w:lineRule="auto"/>
        <w:jc w:val="center"/>
        <w:rPr>
          <w:b/>
          <w:bCs/>
        </w:rPr>
      </w:pPr>
      <w:r w:rsidRPr="00D17E92">
        <w:rPr>
          <w:b/>
          <w:bCs/>
        </w:rPr>
        <w:t>Ambasada RP w Teheranie</w:t>
      </w:r>
      <w:r w:rsidR="00611CC5" w:rsidRPr="00D17E92">
        <w:rPr>
          <w:b/>
          <w:bCs/>
        </w:rPr>
        <w:t xml:space="preserve"> informuje o sprzedaży samochodu osobowego.</w:t>
      </w:r>
    </w:p>
    <w:p w:rsidR="009445C8" w:rsidRPr="00D17E92" w:rsidRDefault="009445C8" w:rsidP="00D12DBC">
      <w:pPr>
        <w:spacing w:line="276" w:lineRule="auto"/>
        <w:jc w:val="both"/>
        <w:rPr>
          <w:b/>
          <w:bCs/>
        </w:rPr>
      </w:pPr>
    </w:p>
    <w:p w:rsidR="00611CC5" w:rsidRPr="00D17E92" w:rsidRDefault="0081030C" w:rsidP="00D12DBC">
      <w:pPr>
        <w:spacing w:line="276" w:lineRule="auto"/>
        <w:jc w:val="both"/>
        <w:rPr>
          <w:b/>
          <w:bCs/>
        </w:rPr>
      </w:pPr>
      <w:r w:rsidRPr="00D17E92">
        <w:rPr>
          <w:b/>
          <w:bCs/>
        </w:rPr>
        <w:t>Ambasada RP</w:t>
      </w:r>
      <w:r w:rsidR="00611CC5" w:rsidRPr="00D17E92">
        <w:rPr>
          <w:b/>
          <w:bCs/>
        </w:rPr>
        <w:t xml:space="preserve"> w </w:t>
      </w:r>
      <w:r w:rsidRPr="00D17E92">
        <w:rPr>
          <w:b/>
          <w:bCs/>
        </w:rPr>
        <w:t>Teheranie</w:t>
      </w:r>
      <w:r w:rsidR="00611CC5" w:rsidRPr="00D17E92">
        <w:rPr>
          <w:b/>
          <w:bCs/>
        </w:rPr>
        <w:t xml:space="preserve"> ogłasza przetarg na sprzedaż składnika majątku ruchomego, tj. samochodu osobowego </w:t>
      </w:r>
      <w:r w:rsidRPr="00D17E92">
        <w:rPr>
          <w:b/>
          <w:bCs/>
        </w:rPr>
        <w:t xml:space="preserve">Toyota </w:t>
      </w:r>
      <w:proofErr w:type="spellStart"/>
      <w:r w:rsidRPr="00D17E92">
        <w:rPr>
          <w:b/>
          <w:bCs/>
        </w:rPr>
        <w:t>Landcruiser</w:t>
      </w:r>
      <w:proofErr w:type="spellEnd"/>
    </w:p>
    <w:p w:rsidR="00611CC5" w:rsidRPr="00D17E92" w:rsidRDefault="00611CC5" w:rsidP="00D12DBC">
      <w:pPr>
        <w:spacing w:line="276" w:lineRule="auto"/>
        <w:jc w:val="both"/>
      </w:pPr>
      <w:r w:rsidRPr="00D17E92">
        <w:rPr>
          <w:b/>
          <w:bCs/>
        </w:rPr>
        <w:t>NAZWA I SIEDZIBA SPRZEDAJĄCEGO:</w:t>
      </w:r>
    </w:p>
    <w:p w:rsidR="002B308E" w:rsidRPr="00D17E92" w:rsidRDefault="002B308E" w:rsidP="00D12DBC">
      <w:pPr>
        <w:spacing w:line="276" w:lineRule="auto"/>
        <w:jc w:val="both"/>
        <w:rPr>
          <w:lang w:val="en-US"/>
        </w:rPr>
      </w:pPr>
      <w:r w:rsidRPr="00D17E92">
        <w:rPr>
          <w:lang w:val="en-US"/>
        </w:rPr>
        <w:t xml:space="preserve">Ambasada RP w Teheranie, </w:t>
      </w:r>
      <w:hyperlink r:id="rId4" w:history="1"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 xml:space="preserve">No. 2,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Pirouz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 xml:space="preserve"> Alley, Nelson Mandela Boulevard (Africa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Blv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.), 1917663113 Teh</w:t>
        </w:r>
        <w:r w:rsidR="00446AD3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e</w:t>
        </w:r>
        <w:r w:rsidRPr="00D17E92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ran, Iran</w:t>
        </w:r>
      </w:hyperlink>
      <w:r w:rsidR="00D12DBC">
        <w:rPr>
          <w:lang w:val="en-US"/>
        </w:rPr>
        <w:t xml:space="preserve">, </w:t>
      </w:r>
      <w:r w:rsidR="00611CC5" w:rsidRPr="00D17E92">
        <w:rPr>
          <w:lang w:val="en-US"/>
        </w:rPr>
        <w:t xml:space="preserve">e-mail: </w:t>
      </w:r>
      <w:hyperlink r:id="rId5" w:history="1">
        <w:r w:rsidRPr="00D17E92">
          <w:rPr>
            <w:rStyle w:val="Hipercze"/>
            <w:color w:val="auto"/>
            <w:u w:val="none"/>
            <w:lang w:val="en-US"/>
          </w:rPr>
          <w:t>teheran.amb.sekretariat@msz.gov.pl</w:t>
        </w:r>
      </w:hyperlink>
    </w:p>
    <w:p w:rsidR="00611CC5" w:rsidRPr="00D17E92" w:rsidRDefault="00611CC5" w:rsidP="00D12DBC">
      <w:pPr>
        <w:spacing w:line="276" w:lineRule="auto"/>
        <w:jc w:val="both"/>
      </w:pPr>
      <w:r w:rsidRPr="00D17E92">
        <w:rPr>
          <w:b/>
          <w:bCs/>
        </w:rPr>
        <w:t>MIEJSCE I TERMIN PRZEPROWADZENIA PRZETARGU: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t xml:space="preserve">Otwarcie ofert nastąpi w siedzibie sprzedającego przez Komisję Przetargową </w:t>
      </w:r>
      <w:r w:rsidR="002B308E" w:rsidRPr="00D17E92">
        <w:t>w dniu 22.04.</w:t>
      </w:r>
      <w:r w:rsidRPr="00D17E92">
        <w:t>202</w:t>
      </w:r>
      <w:r w:rsidR="002B308E" w:rsidRPr="00D17E92">
        <w:t>1</w:t>
      </w:r>
      <w:r w:rsidRPr="00D17E92">
        <w:t xml:space="preserve"> r. </w:t>
      </w:r>
      <w:r w:rsidR="00D12DBC">
        <w:br/>
      </w:r>
      <w:r w:rsidRPr="00D17E92">
        <w:t xml:space="preserve">o godz. </w:t>
      </w:r>
      <w:r w:rsidR="002B308E" w:rsidRPr="00D17E92">
        <w:t xml:space="preserve">10:00 </w:t>
      </w:r>
      <w:r w:rsidRPr="00D17E92">
        <w:t>czasu lokalnego.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rPr>
          <w:b/>
          <w:bCs/>
        </w:rPr>
        <w:t>RODZAJ, TYP, ILOŚĆ SPRZEDAWAN</w:t>
      </w:r>
      <w:r w:rsidR="003F1E9C" w:rsidRPr="00D17E92">
        <w:rPr>
          <w:b/>
          <w:bCs/>
        </w:rPr>
        <w:t>YCH SKŁADNIKÓW MAJĄTKU RUCHOMEGO, BĘDĄCEGO PRZEDMIOTEM SPRZEDAŻY</w:t>
      </w:r>
      <w:r w:rsidRPr="00D17E92">
        <w:rPr>
          <w:b/>
          <w:bCs/>
        </w:rPr>
        <w:t>: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t>Przedmiotem sprzedaży jest samochód osobowy: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Marka: </w:t>
      </w:r>
      <w:r w:rsidR="002B308E" w:rsidRPr="00D17E92">
        <w:t xml:space="preserve">Toyota </w:t>
      </w:r>
      <w:proofErr w:type="spellStart"/>
      <w:r w:rsidR="002B308E" w:rsidRPr="00D17E92">
        <w:t>Landcruiser</w:t>
      </w:r>
      <w:proofErr w:type="spellEnd"/>
    </w:p>
    <w:p w:rsidR="00611CC5" w:rsidRPr="00D17E92" w:rsidRDefault="00611CC5" w:rsidP="00D12DBC">
      <w:pPr>
        <w:spacing w:after="0" w:line="276" w:lineRule="auto"/>
        <w:jc w:val="both"/>
      </w:pPr>
      <w:r w:rsidRPr="00D17E92">
        <w:t>Rok produkcji: 2011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Numer nadwozia: </w:t>
      </w:r>
      <w:bookmarkStart w:id="0" w:name="_GoBack"/>
      <w:r w:rsidR="003F1E9C" w:rsidRPr="00D17E92">
        <w:rPr>
          <w:rFonts w:eastAsia="Arial"/>
        </w:rPr>
        <w:t>JTMDU09J1B-4949611</w:t>
      </w:r>
      <w:bookmarkEnd w:id="0"/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Kolor zewnętrzny: </w:t>
      </w:r>
      <w:r w:rsidR="003F1E9C" w:rsidRPr="00D17E92">
        <w:t xml:space="preserve">srebrny </w:t>
      </w:r>
      <w:proofErr w:type="spellStart"/>
      <w:r w:rsidR="003F1E9C" w:rsidRPr="00D17E92">
        <w:t>metallic</w:t>
      </w:r>
      <w:proofErr w:type="spellEnd"/>
    </w:p>
    <w:p w:rsidR="00611CC5" w:rsidRPr="00D17E92" w:rsidRDefault="001A0A99" w:rsidP="00D12DBC">
      <w:pPr>
        <w:spacing w:after="0" w:line="276" w:lineRule="auto"/>
        <w:jc w:val="both"/>
      </w:pPr>
      <w:r w:rsidRPr="00D17E92">
        <w:t>Przebieg: 1</w:t>
      </w:r>
      <w:r w:rsidR="007542AF" w:rsidRPr="00D17E92">
        <w:t>9</w:t>
      </w:r>
      <w:r w:rsidR="003F1E9C" w:rsidRPr="00D17E92">
        <w:t>6</w:t>
      </w:r>
      <w:r w:rsidR="0011340F" w:rsidRPr="00D17E92">
        <w:t xml:space="preserve"> </w:t>
      </w:r>
      <w:r w:rsidR="003F1E9C" w:rsidRPr="00D17E92">
        <w:t>4</w:t>
      </w:r>
      <w:r w:rsidR="00611CC5" w:rsidRPr="00D17E92">
        <w:t>00 km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Moc silnika: </w:t>
      </w:r>
      <w:r w:rsidR="003F1E9C" w:rsidRPr="00D17E92">
        <w:t>19</w:t>
      </w:r>
      <w:r w:rsidRPr="00D17E92">
        <w:t xml:space="preserve">0KM 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Ilość cylindrów: </w:t>
      </w:r>
      <w:r w:rsidR="003F1E9C" w:rsidRPr="00D17E92">
        <w:t>6</w:t>
      </w:r>
      <w:r w:rsidRPr="00D17E92">
        <w:t xml:space="preserve"> 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Pojemność silnika: </w:t>
      </w:r>
      <w:r w:rsidR="003F1E9C" w:rsidRPr="00D17E92">
        <w:t>4000</w:t>
      </w:r>
      <w:r w:rsidRPr="00D17E92">
        <w:t xml:space="preserve"> cm3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Rodzaj paliwa: </w:t>
      </w:r>
      <w:r w:rsidR="003F1E9C" w:rsidRPr="00D17E92">
        <w:t>benzyna</w:t>
      </w:r>
    </w:p>
    <w:p w:rsidR="003F1E9C" w:rsidRPr="00D17E92" w:rsidRDefault="00611CC5" w:rsidP="00D12DBC">
      <w:pPr>
        <w:spacing w:after="0" w:line="276" w:lineRule="auto"/>
        <w:jc w:val="both"/>
      </w:pPr>
      <w:r w:rsidRPr="00D17E92">
        <w:t xml:space="preserve">Skrzynia biegów: automatyczna </w:t>
      </w:r>
    </w:p>
    <w:p w:rsidR="00611CC5" w:rsidRPr="00D17E92" w:rsidRDefault="00611CC5" w:rsidP="00D12DBC">
      <w:pPr>
        <w:spacing w:after="0" w:line="276" w:lineRule="auto"/>
        <w:jc w:val="both"/>
      </w:pPr>
      <w:r w:rsidRPr="00D17E92">
        <w:t xml:space="preserve">Wyposażenie: radio fabryczne, klimatyzacja, ABS, </w:t>
      </w:r>
      <w:r w:rsidR="003F1E9C" w:rsidRPr="00D17E92">
        <w:t>poduszki powietrzne i kurtyny powietrzne</w:t>
      </w:r>
    </w:p>
    <w:p w:rsidR="00611CC5" w:rsidRPr="00D17E92" w:rsidRDefault="00611CC5" w:rsidP="00D12DBC">
      <w:pPr>
        <w:spacing w:after="0" w:line="276" w:lineRule="auto"/>
        <w:jc w:val="both"/>
      </w:pPr>
    </w:p>
    <w:p w:rsidR="00611CC5" w:rsidRPr="00D17E92" w:rsidRDefault="00611CC5" w:rsidP="00D12DBC">
      <w:pPr>
        <w:spacing w:line="276" w:lineRule="auto"/>
        <w:jc w:val="both"/>
      </w:pPr>
      <w:r w:rsidRPr="00D17E92">
        <w:t>Uwagi: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t>- uszkodzenia blacharsko-lakiernicze, wynikające z eksploatacji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t>Samochód jest sprawny technicznie, serwisowany, stan dobry</w:t>
      </w:r>
      <w:r w:rsidR="003F1E9C" w:rsidRPr="00D17E92">
        <w:t>, adekwatny do wieku</w:t>
      </w:r>
      <w:r w:rsidRPr="00D17E92">
        <w:t>.</w:t>
      </w:r>
    </w:p>
    <w:p w:rsidR="003F1E9C" w:rsidRPr="00D17E92" w:rsidRDefault="003F1E9C" w:rsidP="00D12DBC">
      <w:pPr>
        <w:spacing w:line="276" w:lineRule="auto"/>
        <w:jc w:val="both"/>
      </w:pPr>
      <w:r w:rsidRPr="00D17E92">
        <w:rPr>
          <w:b/>
          <w:bCs/>
        </w:rPr>
        <w:t>MIEJSCE I TERMIN, W KTÓRYM MOŻNA OBEJRZEĆ SPRZEDAWANY SKŁADNIK MAJĄTKU RUCHOMEGO:</w:t>
      </w:r>
    </w:p>
    <w:p w:rsidR="009445C8" w:rsidRPr="00D17E92" w:rsidRDefault="003F1E9C" w:rsidP="00D12DBC">
      <w:pPr>
        <w:spacing w:line="276" w:lineRule="auto"/>
        <w:jc w:val="both"/>
      </w:pPr>
      <w:r w:rsidRPr="00D17E92">
        <w:t xml:space="preserve">Samochód będący przedmiotem przetargu można obejrzeć pod adresem </w:t>
      </w:r>
      <w:hyperlink r:id="rId6" w:history="1"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No. 2,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Pirouz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Alley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, Nelson Mandela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Boulevard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(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Africa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Blv</w:t>
        </w:r>
        <w:proofErr w:type="spellEnd"/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.), 1917663113 Teh</w:t>
        </w:r>
        <w:r w:rsidR="00446AD3">
          <w:rPr>
            <w:rStyle w:val="Hipercze"/>
            <w:rFonts w:cs="Arial"/>
            <w:color w:val="auto"/>
            <w:u w:val="none"/>
            <w:shd w:val="clear" w:color="auto" w:fill="FFFFFF"/>
          </w:rPr>
          <w:t>e</w:t>
        </w:r>
        <w:r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ran, Iran</w:t>
        </w:r>
      </w:hyperlink>
      <w:r w:rsidRPr="00D17E92">
        <w:t xml:space="preserve"> w niedziele, wtorki i środy, w dniach od 04.04.2021 do 21.04.2021 r., w godzinach 10.00-14.00, po wcześniejszym uzgodnieniu telefonicznym pod nr 0098 919 800 86 31. </w:t>
      </w:r>
    </w:p>
    <w:p w:rsidR="00611CC5" w:rsidRPr="00D17E92" w:rsidRDefault="00611CC5" w:rsidP="00D12DBC">
      <w:pPr>
        <w:spacing w:line="276" w:lineRule="auto"/>
        <w:jc w:val="both"/>
      </w:pPr>
      <w:r w:rsidRPr="00D17E92">
        <w:rPr>
          <w:b/>
          <w:bCs/>
        </w:rPr>
        <w:t>WYSOKOŚĆ WADIUM ORAZ TERMIN I MIEJSCE JEGO WNIESIENIA:</w:t>
      </w:r>
    </w:p>
    <w:p w:rsidR="00746FD2" w:rsidRPr="00D17E92" w:rsidRDefault="00611CC5" w:rsidP="00D12DBC">
      <w:pPr>
        <w:spacing w:line="276" w:lineRule="auto"/>
        <w:jc w:val="both"/>
      </w:pPr>
      <w:r w:rsidRPr="00D17E92">
        <w:t xml:space="preserve">Warunkiem przystąpienia do przetargu jest wniesienie wadium w wysokości 10% ceny wywoławczej sprzedawanego składnika rzeczowego majątku ruchomego, tj. </w:t>
      </w:r>
      <w:r w:rsidR="009445C8" w:rsidRPr="00D17E92">
        <w:t>1710</w:t>
      </w:r>
      <w:r w:rsidRPr="00D17E92">
        <w:t xml:space="preserve"> Euro. Złożoną ofertę potwierdza </w:t>
      </w:r>
      <w:r w:rsidRPr="00D17E92">
        <w:lastRenderedPageBreak/>
        <w:t xml:space="preserve">się niezwłocznie wpłaconym w gotówce wadium w kasie </w:t>
      </w:r>
      <w:r w:rsidR="009445C8" w:rsidRPr="00D17E92">
        <w:t xml:space="preserve">Ambasady RP w Teheranie pod adresem </w:t>
      </w:r>
      <w:hyperlink r:id="rId7" w:history="1"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No. 2, </w:t>
        </w:r>
        <w:proofErr w:type="spellStart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Pirouz</w:t>
        </w:r>
        <w:proofErr w:type="spellEnd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Alley</w:t>
        </w:r>
        <w:proofErr w:type="spellEnd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, Nelson Mandela </w:t>
        </w:r>
        <w:proofErr w:type="spellStart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Boulevard</w:t>
        </w:r>
        <w:proofErr w:type="spellEnd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(</w:t>
        </w:r>
        <w:proofErr w:type="spellStart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Africa</w:t>
        </w:r>
        <w:proofErr w:type="spellEnd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Blv</w:t>
        </w:r>
        <w:proofErr w:type="spellEnd"/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.), 1917663113 Teh</w:t>
        </w:r>
        <w:r w:rsidR="00446AD3">
          <w:rPr>
            <w:rStyle w:val="Hipercze"/>
            <w:rFonts w:cs="Arial"/>
            <w:color w:val="auto"/>
            <w:u w:val="none"/>
            <w:shd w:val="clear" w:color="auto" w:fill="FFFFFF"/>
          </w:rPr>
          <w:t>e</w:t>
        </w:r>
        <w:r w:rsidR="009445C8" w:rsidRPr="00D17E92">
          <w:rPr>
            <w:rStyle w:val="Hipercze"/>
            <w:rFonts w:cs="Arial"/>
            <w:color w:val="auto"/>
            <w:u w:val="none"/>
            <w:shd w:val="clear" w:color="auto" w:fill="FFFFFF"/>
          </w:rPr>
          <w:t>ran, Iran</w:t>
        </w:r>
      </w:hyperlink>
      <w:r w:rsidR="009445C8" w:rsidRPr="00D17E92">
        <w:t xml:space="preserve">. 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Brak wpłaty wadium powoduje odrzucenie oferty.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Wadium powinno być wniesione przed upływem terminu składania ofert. Wadium złożone przez oferentów, których oferty nie zostały wybrane lub zostały odrzucone, sprzedający zwróci w terminie 7 dni, odpowiednio od dnia dokonania wyboru lub odrzucenia oferty. Wadium złożone przez nabywcę zalicza się na poczet ceny. Wadium nie podlega zwrotowi w przypadku gdy oferent, który wygrał przetarg, uchylił się od zawarcia umowy sprzedaży.</w:t>
      </w:r>
    </w:p>
    <w:p w:rsidR="00CD3FC0" w:rsidRPr="00D17E92" w:rsidRDefault="00CD3FC0" w:rsidP="00D12DBC">
      <w:pPr>
        <w:spacing w:line="276" w:lineRule="auto"/>
        <w:jc w:val="both"/>
        <w:rPr>
          <w:b/>
          <w:bCs/>
        </w:rPr>
      </w:pPr>
      <w:r w:rsidRPr="00D17E92">
        <w:rPr>
          <w:b/>
          <w:bCs/>
        </w:rPr>
        <w:t>CENA WYWOŁAWCZA:</w:t>
      </w:r>
    </w:p>
    <w:p w:rsidR="00CD3FC0" w:rsidRPr="00D17E92" w:rsidRDefault="00CD3FC0" w:rsidP="00D12DBC">
      <w:pPr>
        <w:spacing w:line="276" w:lineRule="auto"/>
        <w:jc w:val="both"/>
        <w:rPr>
          <w:bCs/>
        </w:rPr>
      </w:pPr>
      <w:r w:rsidRPr="00D17E92">
        <w:rPr>
          <w:bCs/>
        </w:rPr>
        <w:t>Cena wywoławcza wynosi 17100,00 EUR (słownie: siedemnaście tysięcy sto, 00/100 E</w:t>
      </w:r>
      <w:r w:rsidR="00446AD3">
        <w:rPr>
          <w:bCs/>
        </w:rPr>
        <w:t>uro</w:t>
      </w:r>
      <w:r w:rsidRPr="00D17E92">
        <w:rPr>
          <w:bCs/>
        </w:rPr>
        <w:t>)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rPr>
          <w:b/>
          <w:bCs/>
        </w:rPr>
        <w:t>OFERTA POWINNA ZAWIERAĆ: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- imię, nazwisko i adres lub nazwę (firmę) i siedzibę oferenta, nr telefonu komórkowego i adres</w:t>
      </w:r>
      <w:r w:rsidRPr="00D17E92">
        <w:br/>
        <w:t> e- mailowy (według załączonego wzoru – załącznik nr 1)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- oferowaną cenę, nie niższą niż cena wywoławcza, i warunki jej zapłaty.</w:t>
      </w:r>
    </w:p>
    <w:p w:rsidR="00746FD2" w:rsidRPr="00D17E92" w:rsidRDefault="001070CB" w:rsidP="00D12DBC">
      <w:pPr>
        <w:spacing w:line="276" w:lineRule="auto"/>
        <w:jc w:val="both"/>
      </w:pPr>
      <w:r w:rsidRPr="00D17E92">
        <w:t>-</w:t>
      </w:r>
      <w:r w:rsidR="00746FD2" w:rsidRPr="00D17E92">
        <w:t>oświadczenie oferenta, że zapoznał się ze stanem przedmiotu przetargu lub</w:t>
      </w:r>
      <w:r w:rsidRPr="00D17E92">
        <w:t>,</w:t>
      </w:r>
      <w:r w:rsidR="00746FD2" w:rsidRPr="00D17E92">
        <w:t xml:space="preserve"> że ponosi odpowiedzialność za skutki wynikające z rezygnacji z oględzin.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-  oświadczenie dot. przetwarzania danych osobowych (RODO) na wzorze określonym w załączniku nr 2 dołączonym do niniejszego ogłoszenia oraz dokument potwierdzający opłatę wadium;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W przypadku przystąpienia do przetargu osoby prawnej należy do oferty dołączyć aktualny odpis z właściwego rejestru.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rPr>
          <w:b/>
          <w:bCs/>
        </w:rPr>
        <w:t>TERMIN MIEJSCE I TRYB ZŁOŻENIA OFERTY:</w:t>
      </w:r>
    </w:p>
    <w:p w:rsidR="00D12DBC" w:rsidRDefault="00746FD2" w:rsidP="00D12DBC">
      <w:pPr>
        <w:spacing w:line="276" w:lineRule="auto"/>
        <w:jc w:val="both"/>
        <w:rPr>
          <w:lang w:val="en-US"/>
        </w:rPr>
      </w:pPr>
      <w:r w:rsidRPr="00D17E92">
        <w:t xml:space="preserve">Ofertę wraz z wymaganymi dokumentami należy złożyć w zaklejonej kopercie pod adresem: </w:t>
      </w:r>
      <w:r w:rsidR="00D17E92" w:rsidRPr="00D17E92">
        <w:t>Ambasada RP</w:t>
      </w:r>
      <w:r w:rsidR="0095028B">
        <w:t xml:space="preserve"> </w:t>
      </w:r>
      <w:r w:rsidR="00D17E92" w:rsidRPr="00D17E92">
        <w:t xml:space="preserve">w Teheranie. </w:t>
      </w:r>
      <w:hyperlink r:id="rId8" w:history="1"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 xml:space="preserve">No. 2, </w:t>
        </w:r>
        <w:proofErr w:type="spellStart"/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Pirouz</w:t>
        </w:r>
        <w:proofErr w:type="spellEnd"/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 xml:space="preserve"> Alley, Nelson Mandela Boulevard (Africa </w:t>
        </w:r>
        <w:proofErr w:type="spellStart"/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Blv</w:t>
        </w:r>
        <w:proofErr w:type="spellEnd"/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.), 1917663113 Teh</w:t>
        </w:r>
        <w:r w:rsidR="00446AD3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e</w:t>
        </w:r>
        <w:r w:rsidR="00D17E92" w:rsidRPr="00D12DBC">
          <w:rPr>
            <w:rStyle w:val="Hipercze"/>
            <w:rFonts w:cs="Arial"/>
            <w:color w:val="auto"/>
            <w:u w:val="none"/>
            <w:shd w:val="clear" w:color="auto" w:fill="FFFFFF"/>
            <w:lang w:val="en-US"/>
          </w:rPr>
          <w:t>ran, Iran</w:t>
        </w:r>
      </w:hyperlink>
      <w:r w:rsidR="00D12DBC" w:rsidRPr="00D12DBC">
        <w:rPr>
          <w:lang w:val="en-US"/>
        </w:rPr>
        <w:t xml:space="preserve">. 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 xml:space="preserve">Na kopercie powinien znajdować się napis „Oferta w przetargu na sprzedaż samochodu </w:t>
      </w:r>
      <w:r w:rsidR="00D17E92" w:rsidRPr="00D17E92">
        <w:t xml:space="preserve">Toyota </w:t>
      </w:r>
      <w:proofErr w:type="spellStart"/>
      <w:r w:rsidR="00D17E92" w:rsidRPr="00D17E92">
        <w:t>Landcruiser</w:t>
      </w:r>
      <w:proofErr w:type="spellEnd"/>
      <w:r w:rsidRPr="00D17E92">
        <w:t xml:space="preserve">”. Oferty pisemne należy składać </w:t>
      </w:r>
      <w:r w:rsidR="001A0A99" w:rsidRPr="00D17E92">
        <w:t>od poniedziałku do czwartku</w:t>
      </w:r>
      <w:r w:rsidRPr="00D17E92">
        <w:t xml:space="preserve"> w godzinach </w:t>
      </w:r>
      <w:r w:rsidR="00D17E92" w:rsidRPr="00D17E92">
        <w:t>10</w:t>
      </w:r>
      <w:r w:rsidR="001A0A99" w:rsidRPr="00D17E92">
        <w:t>.00-</w:t>
      </w:r>
      <w:r w:rsidR="00D17E92" w:rsidRPr="00D17E92">
        <w:t>14</w:t>
      </w:r>
      <w:r w:rsidR="001A0A99" w:rsidRPr="00D17E92">
        <w:t>.00</w:t>
      </w:r>
      <w:r w:rsidRPr="00D17E92">
        <w:t xml:space="preserve">, nie później niż do </w:t>
      </w:r>
      <w:r w:rsidR="00D17E92" w:rsidRPr="00D17E92">
        <w:t>21.04.</w:t>
      </w:r>
      <w:r w:rsidRPr="00D17E92">
        <w:t>202</w:t>
      </w:r>
      <w:r w:rsidR="00D17E92" w:rsidRPr="00D17E92">
        <w:t>1</w:t>
      </w:r>
      <w:r w:rsidRPr="00D17E92">
        <w:t xml:space="preserve"> r. do godz. </w:t>
      </w:r>
      <w:r w:rsidR="00D17E92" w:rsidRPr="00D17E92">
        <w:t>14:00 u ochrony urzędu</w:t>
      </w:r>
      <w:r w:rsidRPr="00D17E92">
        <w:t>. Oferta jest wiążąca przez 14 dni. Ofertę potwierdza się niezwłocznie złożonym wadium. Niepełna lub niepodpisana oferta zostanie odrzucona. Brak wpłaty wadium jest powodem do odrzucenia oferty.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Organizatorowi przetargu przysługuje prawo zamknięcia przetargu bez wybrania którejkolwiek oferty i bez podania przyczyny.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rPr>
          <w:b/>
          <w:bCs/>
        </w:rPr>
        <w:t>ODRZUCENIE OFERT: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Komisja przetargowa odrzuca ofertę jeżeli: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- została złożona po wyznaczonym terminie, w niewłaściwym miejscu lub przez oferenta, który nie wniósł wadium.</w:t>
      </w:r>
    </w:p>
    <w:p w:rsidR="00CB5A7C" w:rsidRPr="00D17E92" w:rsidRDefault="00746FD2" w:rsidP="00D12DBC">
      <w:pPr>
        <w:spacing w:line="276" w:lineRule="auto"/>
        <w:jc w:val="both"/>
      </w:pPr>
      <w:r w:rsidRPr="00D17E92">
        <w:lastRenderedPageBreak/>
        <w:t xml:space="preserve">- nie zawiera danych i dokumentów, o których mowa </w:t>
      </w:r>
      <w:r w:rsidR="003327A8" w:rsidRPr="00D17E92">
        <w:t>w niniejszym ogłoszeniu</w:t>
      </w:r>
      <w:r w:rsidRPr="00D17E92">
        <w:t xml:space="preserve"> lub są one niekompletne lub budzą inne wątpliwości, zaś złożenie wyjaśnień mogłoby prowadzić do uznania jej za nową ofertę.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t>Po odrzuceniu oferty Komisja Przetargowa niezwłocznie zawiadamia oferenta.</w:t>
      </w:r>
    </w:p>
    <w:p w:rsidR="00746FD2" w:rsidRPr="00D17E92" w:rsidRDefault="00746FD2" w:rsidP="00D12DBC">
      <w:pPr>
        <w:spacing w:line="276" w:lineRule="auto"/>
        <w:jc w:val="both"/>
      </w:pPr>
      <w:r w:rsidRPr="00D17E92">
        <w:rPr>
          <w:b/>
          <w:bCs/>
        </w:rPr>
        <w:t>INNE INFORMACJE:</w:t>
      </w:r>
    </w:p>
    <w:p w:rsidR="00446AD3" w:rsidRDefault="00D17E92" w:rsidP="00446AD3">
      <w:pPr>
        <w:pStyle w:val="wordsection1"/>
        <w:spacing w:before="0" w:beforeAutospacing="0" w:after="0" w:afterAutospacing="0" w:line="276" w:lineRule="auto"/>
        <w:jc w:val="both"/>
        <w:rPr>
          <w:rFonts w:asciiTheme="minorHAnsi" w:hAnsiTheme="minorHAnsi"/>
          <w:bCs/>
          <w:i/>
          <w:iCs/>
        </w:rPr>
      </w:pPr>
      <w:r w:rsidRPr="00D17E92">
        <w:rPr>
          <w:rFonts w:asciiTheme="minorHAnsi" w:hAnsiTheme="minorHAnsi"/>
          <w:bCs/>
        </w:rPr>
        <w:t>P</w:t>
      </w:r>
      <w:r w:rsidRPr="00D17E92">
        <w:rPr>
          <w:rFonts w:asciiTheme="minorHAnsi" w:hAnsiTheme="minorHAnsi"/>
          <w:bCs/>
        </w:rPr>
        <w:t xml:space="preserve">rzed przystąpieniem do sprzedaży zbędnego lub zużytego składnika majątku ruchomego uwzględnia się, w pierwszej kolejności potrzeby innych organów administracji publicznej lub jednostek, zgodnie </w:t>
      </w:r>
      <w:r w:rsidR="00446AD3">
        <w:rPr>
          <w:rFonts w:asciiTheme="minorHAnsi" w:hAnsiTheme="minorHAnsi"/>
          <w:bCs/>
        </w:rPr>
        <w:br/>
      </w:r>
      <w:r w:rsidRPr="00D17E92">
        <w:rPr>
          <w:rFonts w:asciiTheme="minorHAnsi" w:hAnsiTheme="minorHAnsi"/>
          <w:bCs/>
        </w:rPr>
        <w:t xml:space="preserve">z paragrafem 7.2 rozporządzenia Rady Ministrów z dnia 21 października 2019 r. </w:t>
      </w:r>
      <w:r w:rsidRPr="00D17E92">
        <w:rPr>
          <w:rFonts w:asciiTheme="minorHAnsi" w:hAnsiTheme="minorHAnsi"/>
          <w:bCs/>
          <w:i/>
          <w:iCs/>
        </w:rPr>
        <w:t>w sprawie szczegółowego sposobu gospodarowania składnikami rzeczowymi majątku SP.</w:t>
      </w:r>
    </w:p>
    <w:p w:rsidR="00446AD3" w:rsidRDefault="00446AD3" w:rsidP="00446AD3">
      <w:pPr>
        <w:pStyle w:val="wordsection1"/>
        <w:spacing w:before="0" w:beforeAutospacing="0" w:after="0" w:afterAutospacing="0" w:line="276" w:lineRule="auto"/>
        <w:jc w:val="both"/>
        <w:rPr>
          <w:rFonts w:asciiTheme="minorHAnsi" w:hAnsiTheme="minorHAnsi"/>
          <w:bCs/>
          <w:i/>
          <w:iCs/>
        </w:rPr>
      </w:pPr>
    </w:p>
    <w:p w:rsidR="00746FD2" w:rsidRPr="00446AD3" w:rsidRDefault="00746FD2" w:rsidP="00446AD3">
      <w:pPr>
        <w:pStyle w:val="wordsection1"/>
        <w:spacing w:before="0" w:beforeAutospacing="0" w:after="0" w:afterAutospacing="0" w:line="276" w:lineRule="auto"/>
        <w:jc w:val="both"/>
        <w:rPr>
          <w:rFonts w:asciiTheme="minorHAnsi" w:hAnsiTheme="minorHAnsi"/>
          <w:bCs/>
          <w:i/>
          <w:iCs/>
        </w:rPr>
      </w:pPr>
      <w:r w:rsidRPr="00D17E92">
        <w:rPr>
          <w:rFonts w:asciiTheme="minorHAnsi" w:hAnsiTheme="minorHAnsi"/>
        </w:rPr>
        <w:t>Nabywca jest zobowiązany zapłacić cenę nabycia w terminie nie dłuższym niż w ciągu 7 dni od daty podpisania umowy kupna-sprzedaży.</w:t>
      </w:r>
    </w:p>
    <w:p w:rsidR="00746FD2" w:rsidRPr="00D17E92" w:rsidRDefault="00746FD2" w:rsidP="00446AD3">
      <w:pPr>
        <w:spacing w:line="276" w:lineRule="auto"/>
        <w:jc w:val="both"/>
      </w:pPr>
      <w:r w:rsidRPr="00D17E92">
        <w:t xml:space="preserve">Wydanie przedmiotu sprzedaży nastąpi niezwłocznie po zapłaceniu przez nabywcę ceny nabycia </w:t>
      </w:r>
      <w:r w:rsidR="00446AD3">
        <w:br/>
      </w:r>
      <w:r w:rsidRPr="00D17E92">
        <w:t>w terminie określonym przez sprzedającego.</w:t>
      </w:r>
    </w:p>
    <w:p w:rsidR="00746FD2" w:rsidRPr="00D17E92" w:rsidRDefault="00746FD2" w:rsidP="00446AD3">
      <w:pPr>
        <w:spacing w:line="276" w:lineRule="auto"/>
        <w:jc w:val="both"/>
      </w:pPr>
      <w:r w:rsidRPr="00D17E92">
        <w:t>Jeżeli nabywca nie wpłaci do kasy sprzedającego w wyznaczonym terminie zaoferowanej sumy traci tym samym prawo nabycia samochodu będącego przedmiotem przetargu, zaś Komisja Przetargowa zaproponuje kupno pojazdu następnemu oferentowi, który przedstawił następną najwyższą ofertę cenową.</w:t>
      </w:r>
      <w:r w:rsidR="00446AD3">
        <w:t xml:space="preserve"> Wpłacone wadium nie podlega w tym przypadku zwrotowi.</w:t>
      </w:r>
    </w:p>
    <w:p w:rsidR="00746FD2" w:rsidRPr="00D17E92" w:rsidRDefault="00746FD2" w:rsidP="00446AD3">
      <w:pPr>
        <w:spacing w:line="276" w:lineRule="auto"/>
        <w:jc w:val="both"/>
      </w:pPr>
      <w:r w:rsidRPr="00D17E92">
        <w:t xml:space="preserve">Wszelkie koszty, podatki i opłaty związane z zakupem przedmiotu przetargu ponosi nabywca. Nabywca przystępując do przetargu wyraża zgodę i zobowiązuje się do opłacenia wszelkich podatków i opłat wymaganych przez władze Polski lub innego kraju, do którego pojazd trafi po sprzedaży. </w:t>
      </w:r>
    </w:p>
    <w:p w:rsidR="00611CC5" w:rsidRPr="00D17E92" w:rsidRDefault="00611CC5" w:rsidP="00D12DBC">
      <w:pPr>
        <w:spacing w:line="276" w:lineRule="auto"/>
        <w:jc w:val="both"/>
      </w:pPr>
    </w:p>
    <w:p w:rsidR="00611CC5" w:rsidRPr="00D17E92" w:rsidRDefault="00611CC5" w:rsidP="00D12DBC">
      <w:pPr>
        <w:spacing w:line="276" w:lineRule="auto"/>
        <w:jc w:val="both"/>
      </w:pPr>
    </w:p>
    <w:p w:rsidR="00611CC5" w:rsidRPr="00D17E92" w:rsidRDefault="00611CC5" w:rsidP="00D12DBC">
      <w:pPr>
        <w:spacing w:line="276" w:lineRule="auto"/>
        <w:jc w:val="both"/>
      </w:pPr>
    </w:p>
    <w:p w:rsidR="00611CC5" w:rsidRPr="00D17E92" w:rsidRDefault="00611CC5" w:rsidP="00D12DBC">
      <w:pPr>
        <w:spacing w:line="276" w:lineRule="auto"/>
        <w:jc w:val="both"/>
      </w:pPr>
    </w:p>
    <w:sectPr w:rsidR="00611CC5" w:rsidRPr="00D1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5"/>
    <w:rsid w:val="001070CB"/>
    <w:rsid w:val="0011340F"/>
    <w:rsid w:val="001A0A99"/>
    <w:rsid w:val="002B308E"/>
    <w:rsid w:val="003327A8"/>
    <w:rsid w:val="003F1E9C"/>
    <w:rsid w:val="00446AD3"/>
    <w:rsid w:val="005D2416"/>
    <w:rsid w:val="00611CC5"/>
    <w:rsid w:val="00746FD2"/>
    <w:rsid w:val="007542AF"/>
    <w:rsid w:val="0081030C"/>
    <w:rsid w:val="0086328C"/>
    <w:rsid w:val="009445C8"/>
    <w:rsid w:val="0095028B"/>
    <w:rsid w:val="00C36C67"/>
    <w:rsid w:val="00CB5A7C"/>
    <w:rsid w:val="00CD3FC0"/>
    <w:rsid w:val="00D12DBC"/>
    <w:rsid w:val="00D17E92"/>
    <w:rsid w:val="00E11C46"/>
    <w:rsid w:val="00E37847"/>
    <w:rsid w:val="00F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7FF6"/>
  <w15:docId w15:val="{18908B29-16F6-420D-8CF6-2A689241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CC5"/>
    <w:rPr>
      <w:color w:val="0563C1" w:themeColor="hyperlink"/>
      <w:u w:val="single"/>
    </w:rPr>
  </w:style>
  <w:style w:type="paragraph" w:customStyle="1" w:styleId="wordsection1">
    <w:name w:val="wordsection1"/>
    <w:basedOn w:val="Normalny"/>
    <w:rsid w:val="00D17E92"/>
    <w:pPr>
      <w:spacing w:before="100" w:beforeAutospacing="1" w:after="100" w:afterAutospacing="1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5" Type="http://schemas.openxmlformats.org/officeDocument/2006/relationships/hyperlink" Target="mailto:teheran.amb.sekretariat@msz.gov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maps/place/Embassy+of+The+Republic+of+Poland/@35.765998,51.4173842,17z/data=!4m12!1m6!3m5!1s0x3f8e06901d42b303:0x8fe6736c04bb4e6e!2sEmbassy+of+The+Republic+of+Poland!8m2!3d35.7659937!4d51.4195729!3m4!1s0x3f8e06901d42b303:0x8fe6736c04bb4e6e!8m2!3d35.7659937!4d51.41957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Praktykant-Sofia</dc:creator>
  <cp:keywords/>
  <dc:description/>
  <cp:lastModifiedBy>Janicki Paweł</cp:lastModifiedBy>
  <cp:revision>2</cp:revision>
  <dcterms:created xsi:type="dcterms:W3CDTF">2021-03-25T07:43:00Z</dcterms:created>
  <dcterms:modified xsi:type="dcterms:W3CDTF">2021-03-25T07:43:00Z</dcterms:modified>
</cp:coreProperties>
</file>