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3558" w14:textId="2B6ED839" w:rsidR="00B92720" w:rsidRPr="00B80D9C" w:rsidRDefault="004D11A8" w:rsidP="00B80D9C">
      <w:pPr>
        <w:spacing w:after="0" w:line="288" w:lineRule="auto"/>
        <w:rPr>
          <w:b/>
          <w:sz w:val="24"/>
          <w:szCs w:val="24"/>
        </w:rPr>
      </w:pPr>
      <w:bookmarkStart w:id="0" w:name="_Hlk110250019"/>
      <w:r w:rsidRPr="00B80D9C">
        <w:rPr>
          <w:b/>
          <w:sz w:val="24"/>
          <w:szCs w:val="24"/>
        </w:rPr>
        <w:t xml:space="preserve">Załącznik </w:t>
      </w:r>
      <w:r w:rsidR="00E432AF" w:rsidRPr="00B80D9C">
        <w:rPr>
          <w:b/>
          <w:sz w:val="24"/>
          <w:szCs w:val="24"/>
        </w:rPr>
        <w:t>nr 5.</w:t>
      </w:r>
      <w:r w:rsidRPr="00B80D9C">
        <w:rPr>
          <w:b/>
          <w:sz w:val="24"/>
          <w:szCs w:val="24"/>
        </w:rPr>
        <w:t xml:space="preserve"> </w:t>
      </w:r>
      <w:r w:rsidR="00F5642D" w:rsidRPr="00B80D9C">
        <w:rPr>
          <w:b/>
          <w:sz w:val="24"/>
          <w:szCs w:val="24"/>
        </w:rPr>
        <w:t xml:space="preserve">Oświadczenie dotyczące zgodności </w:t>
      </w:r>
      <w:r w:rsidR="000020EF" w:rsidRPr="00B80D9C">
        <w:rPr>
          <w:b/>
          <w:sz w:val="24"/>
          <w:szCs w:val="24"/>
        </w:rPr>
        <w:t>przedsięwzięcia</w:t>
      </w:r>
      <w:r w:rsidR="00F5642D" w:rsidRPr="00B80D9C">
        <w:rPr>
          <w:b/>
          <w:sz w:val="24"/>
          <w:szCs w:val="24"/>
        </w:rPr>
        <w:t xml:space="preserve"> z zasadą „nie czyń poważnej szkody”</w:t>
      </w:r>
      <w:r w:rsidR="007A1FF6" w:rsidRPr="00B80D9C">
        <w:rPr>
          <w:rStyle w:val="Odwoanieprzypisudolnego"/>
          <w:b/>
          <w:sz w:val="24"/>
          <w:szCs w:val="24"/>
        </w:rPr>
        <w:footnoteReference w:id="1"/>
      </w:r>
    </w:p>
    <w:bookmarkEnd w:id="0"/>
    <w:p w14:paraId="3978628C" w14:textId="396972F2" w:rsidR="007A1FF6" w:rsidRPr="0083275A" w:rsidRDefault="00BA7462" w:rsidP="00417CD0">
      <w:pPr>
        <w:tabs>
          <w:tab w:val="left" w:leader="dot" w:pos="5954"/>
        </w:tabs>
        <w:spacing w:before="360" w:after="0" w:line="360" w:lineRule="auto"/>
        <w:rPr>
          <w:bCs/>
          <w:sz w:val="24"/>
          <w:szCs w:val="24"/>
        </w:rPr>
      </w:pPr>
      <w:r w:rsidRPr="0083275A">
        <w:rPr>
          <w:bCs/>
          <w:sz w:val="24"/>
          <w:szCs w:val="24"/>
        </w:rPr>
        <w:t xml:space="preserve">Nazwa </w:t>
      </w:r>
      <w:r w:rsidR="00650614" w:rsidRPr="0083275A">
        <w:rPr>
          <w:bCs/>
          <w:sz w:val="24"/>
          <w:szCs w:val="24"/>
        </w:rPr>
        <w:t>o</w:t>
      </w:r>
      <w:r w:rsidR="00E432AF" w:rsidRPr="0083275A">
        <w:rPr>
          <w:bCs/>
          <w:sz w:val="24"/>
          <w:szCs w:val="24"/>
        </w:rPr>
        <w:t>statecznego odbiorcy wsparcia</w:t>
      </w:r>
      <w:r w:rsidR="000E51D7" w:rsidRPr="0083275A">
        <w:rPr>
          <w:bCs/>
          <w:sz w:val="24"/>
          <w:szCs w:val="24"/>
        </w:rPr>
        <w:t>/</w:t>
      </w:r>
      <w:r w:rsidR="00650614" w:rsidRPr="0083275A">
        <w:rPr>
          <w:bCs/>
          <w:sz w:val="24"/>
          <w:szCs w:val="24"/>
        </w:rPr>
        <w:t>p</w:t>
      </w:r>
      <w:r w:rsidR="000E51D7" w:rsidRPr="0083275A">
        <w:rPr>
          <w:bCs/>
          <w:sz w:val="24"/>
          <w:szCs w:val="24"/>
        </w:rPr>
        <w:t>artnera</w:t>
      </w:r>
      <w:r w:rsidRPr="0083275A">
        <w:rPr>
          <w:bCs/>
          <w:sz w:val="24"/>
          <w:szCs w:val="24"/>
        </w:rPr>
        <w:t xml:space="preserve">: </w:t>
      </w:r>
      <w:r w:rsidR="00E609C1">
        <w:rPr>
          <w:bCs/>
          <w:sz w:val="24"/>
          <w:szCs w:val="24"/>
        </w:rPr>
        <w:tab/>
      </w:r>
    </w:p>
    <w:p w14:paraId="058500D8" w14:textId="0176261D" w:rsidR="00BA7462" w:rsidRPr="0083275A" w:rsidRDefault="00BA7462" w:rsidP="00417CD0">
      <w:pPr>
        <w:tabs>
          <w:tab w:val="left" w:leader="dot" w:pos="2977"/>
        </w:tabs>
        <w:spacing w:after="360" w:line="360" w:lineRule="auto"/>
        <w:rPr>
          <w:bCs/>
          <w:sz w:val="24"/>
          <w:szCs w:val="24"/>
        </w:rPr>
      </w:pPr>
      <w:r w:rsidRPr="0083275A">
        <w:rPr>
          <w:bCs/>
          <w:sz w:val="24"/>
          <w:szCs w:val="24"/>
        </w:rPr>
        <w:t>Tytuł pr</w:t>
      </w:r>
      <w:r w:rsidR="00E432AF" w:rsidRPr="0083275A">
        <w:rPr>
          <w:bCs/>
          <w:sz w:val="24"/>
          <w:szCs w:val="24"/>
        </w:rPr>
        <w:t>zedsięwzięcia</w:t>
      </w:r>
      <w:r w:rsidRPr="0083275A">
        <w:rPr>
          <w:bCs/>
          <w:sz w:val="24"/>
          <w:szCs w:val="24"/>
        </w:rPr>
        <w:t>:</w:t>
      </w:r>
      <w:r w:rsidR="00E609C1">
        <w:rPr>
          <w:bCs/>
          <w:sz w:val="24"/>
          <w:szCs w:val="24"/>
        </w:rPr>
        <w:t xml:space="preserve"> </w:t>
      </w:r>
      <w:r w:rsidR="00E609C1">
        <w:rPr>
          <w:bCs/>
          <w:sz w:val="24"/>
          <w:szCs w:val="24"/>
        </w:rPr>
        <w:tab/>
      </w:r>
    </w:p>
    <w:tbl>
      <w:tblPr>
        <w:tblW w:w="5238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1"/>
        <w:gridCol w:w="2836"/>
        <w:gridCol w:w="6244"/>
      </w:tblGrid>
      <w:tr w:rsidR="00F3503F" w:rsidRPr="00043721" w14:paraId="6AAE2421" w14:textId="77777777" w:rsidTr="00E70F5C">
        <w:trPr>
          <w:trHeight w:val="465"/>
          <w:tblHeader/>
          <w:jc w:val="center"/>
        </w:trPr>
        <w:tc>
          <w:tcPr>
            <w:tcW w:w="1762" w:type="pct"/>
            <w:gridSpan w:val="2"/>
            <w:shd w:val="clear" w:color="auto" w:fill="F2F2F2" w:themeFill="background1" w:themeFillShade="F2"/>
          </w:tcPr>
          <w:p w14:paraId="7DFDCA79" w14:textId="3B497966" w:rsidR="00F3503F" w:rsidRPr="00043721" w:rsidRDefault="00F3503F" w:rsidP="00990330">
            <w:pPr>
              <w:spacing w:before="60" w:after="0"/>
              <w:jc w:val="center"/>
              <w:rPr>
                <w:rFonts w:cs="Calibri Light"/>
                <w:sz w:val="24"/>
                <w:szCs w:val="24"/>
                <w:lang w:eastAsia="en-GB"/>
              </w:rPr>
            </w:pPr>
            <w:r w:rsidRPr="00043721">
              <w:rPr>
                <w:rFonts w:cs="Calibri Light"/>
                <w:sz w:val="24"/>
                <w:szCs w:val="24"/>
                <w:lang w:eastAsia="en-GB"/>
              </w:rPr>
              <w:t>CEL ŚRODOWISKOWY</w:t>
            </w:r>
          </w:p>
        </w:tc>
        <w:tc>
          <w:tcPr>
            <w:tcW w:w="3238" w:type="pct"/>
            <w:shd w:val="clear" w:color="auto" w:fill="F2F2F2" w:themeFill="background1" w:themeFillShade="F2"/>
            <w:vAlign w:val="center"/>
          </w:tcPr>
          <w:p w14:paraId="087424A3" w14:textId="6BCE3A90" w:rsidR="00F3503F" w:rsidRPr="00043721" w:rsidRDefault="00F3503F" w:rsidP="008E2098">
            <w:pPr>
              <w:spacing w:after="0"/>
              <w:jc w:val="center"/>
              <w:rPr>
                <w:rFonts w:cs="Calibri Light"/>
                <w:bCs/>
                <w:sz w:val="24"/>
                <w:szCs w:val="24"/>
              </w:rPr>
            </w:pPr>
            <w:r w:rsidRPr="00043721">
              <w:rPr>
                <w:rFonts w:cs="Calibri Light"/>
                <w:bCs/>
                <w:sz w:val="24"/>
                <w:szCs w:val="24"/>
              </w:rPr>
              <w:t xml:space="preserve">Oświadczam, że realizacja </w:t>
            </w:r>
            <w:r w:rsidR="00F5642D" w:rsidRPr="00043721">
              <w:rPr>
                <w:rFonts w:cs="Calibri Light"/>
                <w:bCs/>
                <w:sz w:val="24"/>
                <w:szCs w:val="24"/>
              </w:rPr>
              <w:t>pr</w:t>
            </w:r>
            <w:r w:rsidR="000020EF" w:rsidRPr="00043721">
              <w:rPr>
                <w:rFonts w:cs="Calibri Light"/>
                <w:bCs/>
                <w:sz w:val="24"/>
                <w:szCs w:val="24"/>
              </w:rPr>
              <w:t>zedsięwzięcia</w:t>
            </w:r>
            <w:r w:rsidR="0003154F" w:rsidRPr="00043721">
              <w:rPr>
                <w:rFonts w:cs="Calibri Light"/>
                <w:bCs/>
                <w:sz w:val="24"/>
                <w:szCs w:val="24"/>
              </w:rPr>
              <w:t>:</w:t>
            </w:r>
          </w:p>
        </w:tc>
      </w:tr>
      <w:tr w:rsidR="00F3503F" w:rsidRPr="00043721" w14:paraId="5DB30772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7767B91C" w14:textId="77777777" w:rsidR="00F3503F" w:rsidRPr="00043721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12C3BDA6" w14:textId="336CFE62" w:rsidR="00F3503F" w:rsidRPr="00043721" w:rsidRDefault="00F3503F" w:rsidP="00990330">
            <w:pPr>
              <w:spacing w:before="6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Łagodzenie zmian klimatu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4F933708" w14:textId="4A337C16" w:rsidR="00F3503F" w:rsidRPr="00043721" w:rsidRDefault="00F3503F" w:rsidP="00F3503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prowadzi do znaczących emisji gazów cieplarnianych</w:t>
            </w:r>
          </w:p>
        </w:tc>
      </w:tr>
      <w:tr w:rsidR="00F3503F" w:rsidRPr="00043721" w14:paraId="65C04E3E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56D4962E" w14:textId="77777777" w:rsidR="00F3503F" w:rsidRPr="00043721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166C2F35" w14:textId="61355A43" w:rsidR="00F3503F" w:rsidRPr="00043721" w:rsidRDefault="00F3503F" w:rsidP="00990330">
            <w:pPr>
              <w:spacing w:before="6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Adaptacja do zmian klimatu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47C82F03" w14:textId="6B54BA38" w:rsidR="00F3503F" w:rsidRPr="00043721" w:rsidRDefault="00F3503F" w:rsidP="00F3503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prowadzi do nasilenia niekorzystnych skutków obecnych i oczekiwanych, przyszłych warunków klimatycznych, wywieranych na t</w:t>
            </w:r>
            <w:r w:rsidR="00D53CA0" w:rsidRPr="00043721">
              <w:rPr>
                <w:rFonts w:asciiTheme="minorHAnsi" w:hAnsiTheme="minorHAnsi" w:cstheme="minorHAnsi"/>
                <w:sz w:val="24"/>
                <w:szCs w:val="24"/>
              </w:rPr>
              <w:t>o przedsięwzięcie</w:t>
            </w: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lub na ludzi, przyrodę lub aktywa</w:t>
            </w:r>
          </w:p>
        </w:tc>
      </w:tr>
      <w:tr w:rsidR="00F3503F" w:rsidRPr="00043721" w14:paraId="3A65DE6C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67F06CFD" w14:textId="77777777" w:rsidR="00F3503F" w:rsidRPr="00043721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0F8151A1" w14:textId="34923462" w:rsidR="00F3503F" w:rsidRPr="00043721" w:rsidRDefault="00F3503F" w:rsidP="001B4A70">
            <w:pPr>
              <w:spacing w:before="6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Zrównoważone wykorzystywanie i ochrona zasobów wodnych i morskich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1B291F1E" w14:textId="6A532EFA" w:rsidR="00F3503F" w:rsidRPr="00043721" w:rsidRDefault="00F3503F" w:rsidP="00F3503F">
            <w:pPr>
              <w:spacing w:after="0"/>
              <w:ind w:left="2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szkodzi:</w:t>
            </w:r>
          </w:p>
          <w:p w14:paraId="2988D8AD" w14:textId="03EB60E1" w:rsidR="00F3503F" w:rsidRPr="00043721" w:rsidRDefault="00F3503F" w:rsidP="00F3503F">
            <w:pPr>
              <w:pStyle w:val="Akapitzlist"/>
              <w:numPr>
                <w:ilvl w:val="1"/>
                <w:numId w:val="39"/>
              </w:numPr>
              <w:spacing w:after="0"/>
              <w:ind w:left="45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dobremu stanowi lub dobremu potencjałowi ekologicznemu jednolitych części wód, w tym wód powierzchniowych i wód podziemnych</w:t>
            </w:r>
            <w:r w:rsidR="00C4077F"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lub</w:t>
            </w:r>
            <w:r w:rsidR="0064370D" w:rsidRPr="0004372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174D6EB" w14:textId="765EAFBD" w:rsidR="00F3503F" w:rsidRPr="00043721" w:rsidRDefault="00F3503F" w:rsidP="00F3503F">
            <w:pPr>
              <w:pStyle w:val="Akapitzlist"/>
              <w:numPr>
                <w:ilvl w:val="1"/>
                <w:numId w:val="39"/>
              </w:numPr>
              <w:spacing w:after="0"/>
              <w:ind w:left="45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dobremu stanowi środowiska wód morskich</w:t>
            </w:r>
          </w:p>
        </w:tc>
      </w:tr>
      <w:tr w:rsidR="00F3503F" w:rsidRPr="00043721" w14:paraId="4EEBCDA2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390F6C41" w14:textId="77777777" w:rsidR="00F3503F" w:rsidRPr="00043721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06A6CDF6" w14:textId="4EB6A4A5" w:rsidR="00F3503F" w:rsidRPr="00043721" w:rsidRDefault="00F3503F" w:rsidP="00990330">
            <w:pPr>
              <w:spacing w:before="6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Gospodarka o obiegu zamkniętym, w tym zapobieganie powstawaniu odpadów i recykling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10B0B30C" w14:textId="143E20E3" w:rsidR="00F3503F" w:rsidRPr="00043721" w:rsidRDefault="00F3503F" w:rsidP="00F3503F">
            <w:pPr>
              <w:spacing w:before="60" w:after="0"/>
              <w:ind w:left="2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prowadzi do:</w:t>
            </w:r>
          </w:p>
          <w:p w14:paraId="65D188EE" w14:textId="4448E2F3" w:rsidR="00F3503F" w:rsidRPr="00043721" w:rsidRDefault="00F3503F" w:rsidP="00F3503F">
            <w:pPr>
              <w:pStyle w:val="Akapitzlist"/>
              <w:numPr>
                <w:ilvl w:val="0"/>
                <w:numId w:val="41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</w:t>
            </w:r>
            <w:r w:rsidR="00874EF4"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lub</w:t>
            </w:r>
            <w:r w:rsidR="0064370D" w:rsidRPr="0004372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56EBA1A" w14:textId="2FFC13A7" w:rsidR="00F3503F" w:rsidRPr="00043721" w:rsidRDefault="00F3503F" w:rsidP="001B587E">
            <w:pPr>
              <w:pStyle w:val="Akapitzlist"/>
              <w:numPr>
                <w:ilvl w:val="0"/>
                <w:numId w:val="41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znacznego zwiększenia wytwarzania, spalania lub unieszkodliwiania odpadów, z wyjątkiem spalania odpadów niebezpiecznych nienadających się do recyklingu</w:t>
            </w:r>
            <w:r w:rsidR="001D5359"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lub</w:t>
            </w:r>
            <w:r w:rsidR="0064370D" w:rsidRPr="0004372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E002600" w14:textId="2405124C" w:rsidR="00F3503F" w:rsidRPr="00043721" w:rsidRDefault="00F3503F" w:rsidP="001B587E">
            <w:pPr>
              <w:pStyle w:val="Akapitzlist"/>
              <w:numPr>
                <w:ilvl w:val="0"/>
                <w:numId w:val="41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długotrwałego składowania odpadów mogących wyrządzać poważne i długoterminowe szkody dla środowiska</w:t>
            </w:r>
          </w:p>
          <w:p w14:paraId="27965FF4" w14:textId="30192402" w:rsidR="004D26E5" w:rsidRPr="00043721" w:rsidRDefault="00030EE3" w:rsidP="004D26E5">
            <w:pPr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7D4EC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Przedsięwzięcie w ramach Inwestycji C</w:t>
            </w:r>
            <w:r w:rsidR="00C90C7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2</w:t>
            </w:r>
            <w:r w:rsidRPr="007D4EC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.1.1. będzie realizowało zasadę, że co najmniej 70% powstałych odpadów z budowy i rozbiórki zostanie ponownie wykorzystane lub poddane recyklingowi zgodnie z Wytycznymi technicznymi DNSH (2021/C</w:t>
            </w:r>
            <w:r w:rsidR="00915313" w:rsidRPr="007D4EC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7D4EC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58/01)</w:t>
            </w:r>
            <w:r w:rsidR="000B2309" w:rsidRPr="007D4EC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– jeśli dotyczy.</w:t>
            </w:r>
          </w:p>
        </w:tc>
      </w:tr>
      <w:tr w:rsidR="00F3503F" w:rsidRPr="00043721" w14:paraId="3900D0D4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0E8112BE" w14:textId="77777777" w:rsidR="00F3503F" w:rsidRPr="00043721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2A2BE624" w14:textId="691682C8" w:rsidR="00F3503F" w:rsidRPr="00043721" w:rsidRDefault="00F3503F" w:rsidP="001B4A70">
            <w:pPr>
              <w:spacing w:before="6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Zapobieganie zanieczyszczeniom </w:t>
            </w:r>
            <w:r w:rsidR="001172FC"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powietrza, wody</w:t>
            </w:r>
            <w:r w:rsidR="003D2FD9"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lub gleby i jego kontrola 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7E4505EA" w14:textId="2492B427" w:rsidR="00F3503F" w:rsidRPr="00043721" w:rsidRDefault="00F3503F" w:rsidP="001B587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prowadzi do znaczącego wzrostu emisji zanieczyszczeń do powietrza, wody lub ziemi w porównaniu z sytuacją</w:t>
            </w:r>
            <w:r w:rsidR="000D66B0" w:rsidRPr="0004372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5359" w:rsidRPr="00043721">
              <w:rPr>
                <w:rFonts w:asciiTheme="minorHAnsi" w:hAnsiTheme="minorHAnsi" w:cstheme="minorHAnsi"/>
                <w:sz w:val="24"/>
                <w:szCs w:val="24"/>
              </w:rPr>
              <w:t>która nie ma negatywnego wpływu na środowisko</w:t>
            </w:r>
          </w:p>
        </w:tc>
      </w:tr>
      <w:tr w:rsidR="004D26E5" w:rsidRPr="00043721" w14:paraId="6320BF60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1B8EACA5" w14:textId="77777777" w:rsidR="004D26E5" w:rsidRPr="00043721" w:rsidRDefault="004D26E5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4B81F987" w14:textId="350C312A" w:rsidR="004D26E5" w:rsidRPr="00043721" w:rsidRDefault="004D26E5" w:rsidP="001B4A70">
            <w:pPr>
              <w:spacing w:before="6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Ochrona i odbudowa bioróżnorodności i ekosystemów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071004EA" w14:textId="2C761670" w:rsidR="004D26E5" w:rsidRPr="00043721" w:rsidRDefault="004D26E5" w:rsidP="004D26E5">
            <w:pPr>
              <w:pStyle w:val="Akapitzlist"/>
              <w:numPr>
                <w:ilvl w:val="0"/>
                <w:numId w:val="42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szkodzi (w znacznym stopniu) dobremu stanowi i odporności ekosystemów</w:t>
            </w:r>
            <w:r w:rsidR="00055878"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lub,</w:t>
            </w:r>
          </w:p>
          <w:p w14:paraId="544E83BD" w14:textId="0C992FF2" w:rsidR="004D26E5" w:rsidRPr="00043721" w:rsidRDefault="004D26E5" w:rsidP="004D26E5">
            <w:pPr>
              <w:pStyle w:val="Akapitzlist"/>
              <w:numPr>
                <w:ilvl w:val="0"/>
                <w:numId w:val="42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jest szkodliwa dla stanu zachowania siedlisk i gatunków, w tym siedlisk i gatunków objętych zakresem zainteresowania Unii Europejskiej</w:t>
            </w:r>
          </w:p>
        </w:tc>
      </w:tr>
    </w:tbl>
    <w:p w14:paraId="23AE75D8" w14:textId="1D2C2796" w:rsidR="0083275A" w:rsidRPr="0083275A" w:rsidRDefault="006B22B3" w:rsidP="005A2FD1">
      <w:pPr>
        <w:tabs>
          <w:tab w:val="left" w:leader="dot" w:pos="9072"/>
        </w:tabs>
        <w:spacing w:before="720" w:after="0" w:line="288" w:lineRule="auto"/>
        <w:ind w:left="6662" w:hanging="11"/>
        <w:jc w:val="both"/>
        <w:rPr>
          <w:rFonts w:eastAsia="Trebuchet MS" w:cs="Calibri"/>
          <w:color w:val="000000"/>
          <w:sz w:val="24"/>
          <w:szCs w:val="24"/>
          <w:lang w:eastAsia="pl-PL"/>
        </w:rPr>
      </w:pPr>
      <w:r>
        <w:rPr>
          <w:rFonts w:eastAsia="Trebuchet MS" w:cs="Calibri"/>
          <w:color w:val="000000"/>
          <w:sz w:val="24"/>
          <w:szCs w:val="24"/>
          <w:lang w:eastAsia="pl-PL"/>
        </w:rPr>
        <w:tab/>
      </w:r>
      <w:r w:rsidR="00E609C1">
        <w:rPr>
          <w:rFonts w:eastAsia="Trebuchet MS" w:cs="Calibri"/>
          <w:color w:val="000000"/>
          <w:sz w:val="24"/>
          <w:szCs w:val="24"/>
          <w:lang w:eastAsia="pl-PL"/>
        </w:rPr>
        <w:tab/>
      </w:r>
    </w:p>
    <w:p w14:paraId="76EBB45C" w14:textId="77777777" w:rsidR="0083275A" w:rsidRPr="0083275A" w:rsidRDefault="0083275A" w:rsidP="0083275A">
      <w:pPr>
        <w:spacing w:after="0" w:line="288" w:lineRule="auto"/>
        <w:ind w:left="10" w:hanging="10"/>
        <w:jc w:val="right"/>
        <w:rPr>
          <w:rFonts w:eastAsia="Trebuchet MS" w:cs="Calibri"/>
          <w:color w:val="000000"/>
          <w:sz w:val="24"/>
          <w:szCs w:val="24"/>
          <w:lang w:eastAsia="pl-PL"/>
        </w:rPr>
      </w:pPr>
      <w:r w:rsidRPr="0083275A">
        <w:rPr>
          <w:rFonts w:eastAsia="Trebuchet MS" w:cs="Calibri"/>
          <w:color w:val="000000"/>
          <w:sz w:val="24"/>
          <w:szCs w:val="24"/>
          <w:lang w:eastAsia="pl-PL"/>
        </w:rPr>
        <w:t>/podpisano elektronicznie/</w:t>
      </w:r>
    </w:p>
    <w:p w14:paraId="0452D78F" w14:textId="6E951BB1" w:rsidR="008E2098" w:rsidRPr="005D3456" w:rsidRDefault="008E2098" w:rsidP="00050503">
      <w:pPr>
        <w:spacing w:before="600"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5D3456">
        <w:rPr>
          <w:rFonts w:asciiTheme="minorHAnsi" w:hAnsiTheme="minorHAnsi" w:cstheme="minorHAnsi"/>
          <w:b/>
          <w:iCs/>
          <w:sz w:val="24"/>
          <w:szCs w:val="24"/>
        </w:rPr>
        <w:t>WAŻNE</w:t>
      </w:r>
      <w:r w:rsidR="007D2E00" w:rsidRPr="005D3456">
        <w:rPr>
          <w:rFonts w:asciiTheme="minorHAnsi" w:hAnsiTheme="minorHAnsi" w:cstheme="minorHAnsi"/>
          <w:b/>
          <w:iCs/>
          <w:sz w:val="24"/>
          <w:szCs w:val="24"/>
        </w:rPr>
        <w:t>!</w:t>
      </w:r>
      <w:r w:rsidRPr="005D3456">
        <w:rPr>
          <w:rFonts w:asciiTheme="minorHAnsi" w:hAnsiTheme="minorHAnsi" w:cstheme="minorHAnsi"/>
          <w:b/>
          <w:iCs/>
          <w:sz w:val="24"/>
          <w:szCs w:val="24"/>
        </w:rPr>
        <w:t xml:space="preserve"> INSTRUKCJA WYPEŁNIENIA OŚ</w:t>
      </w:r>
      <w:r w:rsidR="00DD34E2" w:rsidRPr="005D3456">
        <w:rPr>
          <w:rFonts w:asciiTheme="minorHAnsi" w:hAnsiTheme="minorHAnsi" w:cstheme="minorHAnsi"/>
          <w:b/>
          <w:iCs/>
          <w:sz w:val="24"/>
          <w:szCs w:val="24"/>
        </w:rPr>
        <w:t>W</w:t>
      </w:r>
      <w:r w:rsidRPr="005D3456">
        <w:rPr>
          <w:rFonts w:asciiTheme="minorHAnsi" w:hAnsiTheme="minorHAnsi" w:cstheme="minorHAnsi"/>
          <w:b/>
          <w:iCs/>
          <w:sz w:val="24"/>
          <w:szCs w:val="24"/>
        </w:rPr>
        <w:t>IADCZENIA</w:t>
      </w:r>
    </w:p>
    <w:p w14:paraId="0E033745" w14:textId="4C9ED2C4" w:rsidR="00F3503F" w:rsidRPr="00050503" w:rsidRDefault="007C6863" w:rsidP="00050503">
      <w:pPr>
        <w:pStyle w:val="Akapitzlist"/>
        <w:numPr>
          <w:ilvl w:val="0"/>
          <w:numId w:val="38"/>
        </w:numPr>
        <w:spacing w:after="0"/>
        <w:ind w:hanging="218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Przed podpisaniem oświadczenia należy </w:t>
      </w:r>
      <w:r w:rsidR="00FB2DE8" w:rsidRPr="00050503">
        <w:rPr>
          <w:rFonts w:asciiTheme="minorHAnsi" w:hAnsiTheme="minorHAnsi" w:cstheme="minorHAnsi"/>
          <w:bCs/>
          <w:iCs/>
          <w:sz w:val="24"/>
          <w:szCs w:val="24"/>
        </w:rPr>
        <w:t>przeanalizować skutki planowane</w:t>
      </w:r>
      <w:r w:rsidR="0049798B" w:rsidRPr="00050503">
        <w:rPr>
          <w:rFonts w:asciiTheme="minorHAnsi" w:hAnsiTheme="minorHAnsi" w:cstheme="minorHAnsi"/>
          <w:bCs/>
          <w:iCs/>
          <w:sz w:val="24"/>
          <w:szCs w:val="24"/>
        </w:rPr>
        <w:t>go</w:t>
      </w:r>
      <w:r w:rsidR="00FB2DE8"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49798B" w:rsidRPr="00050503">
        <w:rPr>
          <w:rFonts w:asciiTheme="minorHAnsi" w:hAnsiTheme="minorHAnsi" w:cstheme="minorHAnsi"/>
          <w:bCs/>
          <w:iCs/>
          <w:sz w:val="24"/>
          <w:szCs w:val="24"/>
        </w:rPr>
        <w:t>przedsięwzięcia</w:t>
      </w:r>
      <w:r w:rsidR="00FB2DE8"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 dla środowiska we wszystkich sześciu wskazanych obszarach</w:t>
      </w:r>
      <w:r w:rsidR="009B4987"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 (cele środowiskowe)</w:t>
      </w:r>
      <w:r w:rsidR="00FB2DE8"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. </w:t>
      </w:r>
      <w:r w:rsidR="00F3503F"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Należy uwzględnić zarówno </w:t>
      </w:r>
      <w:r w:rsidR="00FB2DE8"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bezpośrednie </w:t>
      </w:r>
      <w:r w:rsidR="00F3503F" w:rsidRPr="00050503">
        <w:rPr>
          <w:rFonts w:asciiTheme="minorHAnsi" w:hAnsiTheme="minorHAnsi" w:cstheme="minorHAnsi"/>
          <w:bCs/>
          <w:iCs/>
          <w:sz w:val="24"/>
          <w:szCs w:val="24"/>
        </w:rPr>
        <w:t>skutki środowiskowe same</w:t>
      </w:r>
      <w:r w:rsidR="0049798B" w:rsidRPr="00050503">
        <w:rPr>
          <w:rFonts w:asciiTheme="minorHAnsi" w:hAnsiTheme="minorHAnsi" w:cstheme="minorHAnsi"/>
          <w:bCs/>
          <w:iCs/>
          <w:sz w:val="24"/>
          <w:szCs w:val="24"/>
        </w:rPr>
        <w:t>go</w:t>
      </w:r>
      <w:r w:rsidR="00F3503F"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49798B" w:rsidRPr="00050503">
        <w:rPr>
          <w:rFonts w:asciiTheme="minorHAnsi" w:hAnsiTheme="minorHAnsi" w:cstheme="minorHAnsi"/>
          <w:bCs/>
          <w:iCs/>
          <w:sz w:val="24"/>
          <w:szCs w:val="24"/>
        </w:rPr>
        <w:t>przedsięwzięcia</w:t>
      </w:r>
      <w:r w:rsidR="00F3503F"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, jak również wpływ, jaki na środowisko mają produkty dostarczane i usługi świadczone w ramach działalności, której dotyczy </w:t>
      </w:r>
      <w:r w:rsidR="0049798B" w:rsidRPr="00050503">
        <w:rPr>
          <w:rFonts w:asciiTheme="minorHAnsi" w:hAnsiTheme="minorHAnsi" w:cstheme="minorHAnsi"/>
          <w:bCs/>
          <w:iCs/>
          <w:sz w:val="24"/>
          <w:szCs w:val="24"/>
        </w:rPr>
        <w:t>przedsięwzięcie</w:t>
      </w:r>
      <w:r w:rsidR="00F3503F" w:rsidRPr="00050503">
        <w:rPr>
          <w:rFonts w:asciiTheme="minorHAnsi" w:hAnsiTheme="minorHAnsi" w:cstheme="minorHAnsi"/>
          <w:bCs/>
          <w:iCs/>
          <w:sz w:val="24"/>
          <w:szCs w:val="24"/>
        </w:rPr>
        <w:t>, przez cały cykl ich życia, szczególnie z uwzględnieniem wytwarzania, użytkowania i zakończenia cyklu życia tych produktów i usług</w:t>
      </w:r>
      <w:r w:rsidR="009B4987" w:rsidRPr="00050503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7960AB7A" w14:textId="370B6EDE" w:rsidR="00A56E9B" w:rsidRPr="00050503" w:rsidRDefault="00A60050" w:rsidP="00050503">
      <w:pPr>
        <w:pStyle w:val="Akapitzlist"/>
        <w:numPr>
          <w:ilvl w:val="0"/>
          <w:numId w:val="38"/>
        </w:numPr>
        <w:spacing w:after="0"/>
        <w:ind w:hanging="218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A56E9B" w:rsidRPr="00050503">
        <w:rPr>
          <w:rFonts w:asciiTheme="minorHAnsi" w:hAnsiTheme="minorHAnsi" w:cstheme="minorHAnsi"/>
          <w:bCs/>
          <w:iCs/>
          <w:sz w:val="24"/>
          <w:szCs w:val="24"/>
        </w:rPr>
        <w:t>Podstawą tej analizy powinny być dokumenty dotyczące zasady DNSH</w:t>
      </w:r>
      <w:r w:rsidR="0074623E" w:rsidRPr="00050503">
        <w:rPr>
          <w:rFonts w:asciiTheme="minorHAnsi" w:hAnsiTheme="minorHAnsi" w:cstheme="minorHAnsi"/>
          <w:bCs/>
          <w:iCs/>
          <w:sz w:val="24"/>
          <w:szCs w:val="24"/>
        </w:rPr>
        <w:t>, w szczególności</w:t>
      </w:r>
      <w:r w:rsidR="00A56E9B" w:rsidRPr="00050503"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14:paraId="69C09E9C" w14:textId="1045112A" w:rsidR="0074623E" w:rsidRPr="00050503" w:rsidRDefault="0074623E" w:rsidP="00050503">
      <w:pPr>
        <w:pStyle w:val="Akapitzlist"/>
        <w:numPr>
          <w:ilvl w:val="1"/>
          <w:numId w:val="38"/>
        </w:numPr>
        <w:spacing w:after="0"/>
        <w:ind w:left="567" w:hanging="283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050503">
        <w:rPr>
          <w:rFonts w:asciiTheme="minorHAnsi" w:hAnsiTheme="minorHAnsi" w:cstheme="minorHAnsi"/>
          <w:bCs/>
          <w:iCs/>
          <w:sz w:val="24"/>
          <w:szCs w:val="24"/>
        </w:rPr>
        <w:t>„Ocena DNSH reform i inwestycji (wiązek projektów) przedstawionych w KPO”</w:t>
      </w:r>
      <w:r w:rsidR="005B4DEC"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hyperlink r:id="rId8" w:history="1">
        <w:r w:rsidR="005B4DEC" w:rsidRPr="00050503">
          <w:rPr>
            <w:rStyle w:val="Hipercze"/>
            <w:rFonts w:asciiTheme="minorHAnsi" w:hAnsiTheme="minorHAnsi" w:cstheme="minorHAnsi"/>
            <w:bCs/>
            <w:iCs/>
            <w:sz w:val="24"/>
            <w:szCs w:val="24"/>
          </w:rPr>
          <w:t>https://www.gov.pl/attachment/035d99d8-c439-4c84-b77b-f2cb5d4772e8</w:t>
        </w:r>
      </w:hyperlink>
      <w:r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3F8AA07E" w14:textId="7B124C8F" w:rsidR="00A56E9B" w:rsidRPr="00050503" w:rsidRDefault="00A56E9B" w:rsidP="00050503">
      <w:pPr>
        <w:pStyle w:val="Akapitzlist"/>
        <w:numPr>
          <w:ilvl w:val="1"/>
          <w:numId w:val="38"/>
        </w:numPr>
        <w:spacing w:after="0"/>
        <w:ind w:left="567" w:hanging="283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Zawiadomienie </w:t>
      </w:r>
      <w:bookmarkStart w:id="1" w:name="_Hlk135814103"/>
      <w:r w:rsidRPr="00050503">
        <w:rPr>
          <w:rFonts w:asciiTheme="minorHAnsi" w:hAnsiTheme="minorHAnsi" w:cstheme="minorHAnsi"/>
          <w:bCs/>
          <w:iCs/>
          <w:sz w:val="24"/>
          <w:szCs w:val="24"/>
        </w:rPr>
        <w:t>Komisji Wytyczne techniczne dotyczące stosowania zasady „nie czyń poważnych szkód” na podstawie rozporządzenia ustanawiającego Instrument na rzecz Odbudowy i Zwiększania Odporności (2021/C 58/01)</w:t>
      </w:r>
      <w:bookmarkEnd w:id="1"/>
    </w:p>
    <w:p w14:paraId="68E42094" w14:textId="6F8C658E" w:rsidR="00563589" w:rsidRPr="00050503" w:rsidRDefault="00D83C08" w:rsidP="00050503">
      <w:pPr>
        <w:pStyle w:val="Akapitzlist"/>
        <w:numPr>
          <w:ilvl w:val="1"/>
          <w:numId w:val="38"/>
        </w:numPr>
        <w:spacing w:after="0"/>
        <w:ind w:left="567" w:hanging="283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Rozporządzenie Parlamentu Europejskiego </w:t>
      </w:r>
      <w:r w:rsidR="00EC228E" w:rsidRPr="00050503">
        <w:rPr>
          <w:rFonts w:asciiTheme="minorHAnsi" w:hAnsiTheme="minorHAnsi" w:cstheme="minorHAnsi"/>
          <w:bCs/>
          <w:iCs/>
          <w:sz w:val="24"/>
          <w:szCs w:val="24"/>
        </w:rPr>
        <w:t>i</w:t>
      </w:r>
      <w:r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 Rady (UE) 2020/852 z dnia 18 czerwca 2020 r. w sprawie ustanowienia ram ułatwiających zrównoważone inwestycje, zmieniające rozporządzenie (UE) 2019/2088</w:t>
      </w:r>
      <w:r w:rsidR="00EC228E" w:rsidRPr="0005050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2563D" w:rsidRPr="00050503">
        <w:rPr>
          <w:rFonts w:asciiTheme="minorHAnsi" w:hAnsiTheme="minorHAnsi" w:cstheme="minorHAnsi"/>
          <w:bCs/>
          <w:iCs/>
          <w:sz w:val="24"/>
          <w:szCs w:val="24"/>
        </w:rPr>
        <w:t>(Dz.U. L 198 z 22.6.2020, s. 13)</w:t>
      </w:r>
    </w:p>
    <w:p w14:paraId="7820DA11" w14:textId="393B7962" w:rsidR="00BA7CF1" w:rsidRPr="00050503" w:rsidRDefault="00BA7CF1" w:rsidP="00050503">
      <w:pPr>
        <w:pStyle w:val="Akapitzlist"/>
        <w:numPr>
          <w:ilvl w:val="1"/>
          <w:numId w:val="38"/>
        </w:numPr>
        <w:spacing w:after="0"/>
        <w:ind w:left="567" w:hanging="283"/>
        <w:contextualSpacing w:val="0"/>
        <w:rPr>
          <w:rFonts w:asciiTheme="minorHAnsi" w:hAnsiTheme="minorHAnsi" w:cstheme="minorHAnsi"/>
          <w:bCs/>
          <w:iCs/>
          <w:sz w:val="24"/>
          <w:szCs w:val="24"/>
          <w:lang w:val="it-IT"/>
        </w:rPr>
      </w:pPr>
      <w:r w:rsidRPr="00050503">
        <w:rPr>
          <w:rFonts w:asciiTheme="minorHAnsi" w:hAnsiTheme="minorHAnsi" w:cstheme="minorHAnsi"/>
          <w:bCs/>
          <w:iCs/>
          <w:sz w:val="24"/>
          <w:szCs w:val="24"/>
          <w:lang w:val="it-IT"/>
        </w:rPr>
        <w:t xml:space="preserve">Council Implementing Decision (CID) </w:t>
      </w:r>
      <w:hyperlink r:id="rId9" w:history="1">
        <w:r w:rsidRPr="00050503">
          <w:rPr>
            <w:rStyle w:val="Hipercze"/>
            <w:rFonts w:asciiTheme="minorHAnsi" w:hAnsiTheme="minorHAnsi" w:cstheme="minorHAnsi"/>
            <w:bCs/>
            <w:iCs/>
            <w:sz w:val="24"/>
            <w:szCs w:val="24"/>
            <w:lang w:val="it-IT"/>
          </w:rPr>
          <w:t>https://www.gov.pl/web/planodbudowy/o-kpo</w:t>
        </w:r>
      </w:hyperlink>
      <w:r w:rsidRPr="00050503">
        <w:rPr>
          <w:rFonts w:asciiTheme="minorHAnsi" w:hAnsiTheme="minorHAnsi" w:cstheme="minorHAnsi"/>
          <w:bCs/>
          <w:iCs/>
          <w:sz w:val="24"/>
          <w:szCs w:val="24"/>
          <w:lang w:val="it-IT"/>
        </w:rPr>
        <w:t xml:space="preserve"> </w:t>
      </w:r>
    </w:p>
    <w:sectPr w:rsidR="00BA7CF1" w:rsidRPr="00050503" w:rsidSect="005855DA">
      <w:head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D9E36" w14:textId="77777777" w:rsidR="00AB5DC7" w:rsidRDefault="00AB5DC7" w:rsidP="008B5116">
      <w:pPr>
        <w:spacing w:after="0" w:line="240" w:lineRule="auto"/>
      </w:pPr>
      <w:r>
        <w:separator/>
      </w:r>
    </w:p>
  </w:endnote>
  <w:endnote w:type="continuationSeparator" w:id="0">
    <w:p w14:paraId="1497BC5A" w14:textId="77777777" w:rsidR="00AB5DC7" w:rsidRDefault="00AB5DC7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79524" w14:textId="77777777" w:rsidR="00AB5DC7" w:rsidRDefault="00AB5DC7" w:rsidP="008B5116">
      <w:pPr>
        <w:spacing w:after="0" w:line="240" w:lineRule="auto"/>
      </w:pPr>
      <w:r>
        <w:separator/>
      </w:r>
    </w:p>
  </w:footnote>
  <w:footnote w:type="continuationSeparator" w:id="0">
    <w:p w14:paraId="7054C50F" w14:textId="77777777" w:rsidR="00AB5DC7" w:rsidRDefault="00AB5DC7" w:rsidP="008B5116">
      <w:pPr>
        <w:spacing w:after="0" w:line="240" w:lineRule="auto"/>
      </w:pPr>
      <w:r>
        <w:continuationSeparator/>
      </w:r>
    </w:p>
  </w:footnote>
  <w:footnote w:id="1">
    <w:p w14:paraId="103364FA" w14:textId="3E36BDF5" w:rsidR="007A1FF6" w:rsidRPr="005A2FD1" w:rsidRDefault="007A1FF6" w:rsidP="00CA1893">
      <w:pPr>
        <w:pStyle w:val="Default"/>
        <w:rPr>
          <w:rFonts w:asciiTheme="minorHAnsi" w:hAnsiTheme="minorHAnsi" w:cstheme="minorHAnsi"/>
        </w:rPr>
      </w:pPr>
      <w:r w:rsidRPr="005A2FD1">
        <w:rPr>
          <w:rStyle w:val="Odwoanieprzypisudolnego"/>
          <w:rFonts w:asciiTheme="minorHAnsi" w:hAnsiTheme="minorHAnsi" w:cstheme="minorHAnsi"/>
        </w:rPr>
        <w:footnoteRef/>
      </w:r>
      <w:r w:rsidRPr="005A2FD1">
        <w:rPr>
          <w:rFonts w:asciiTheme="minorHAnsi" w:hAnsiTheme="minorHAnsi" w:cstheme="minorHAnsi"/>
        </w:rPr>
        <w:t xml:space="preserve"> </w:t>
      </w:r>
      <w:r w:rsidR="00C94C7E" w:rsidRPr="005A2FD1">
        <w:rPr>
          <w:rFonts w:asciiTheme="minorHAnsi" w:hAnsiTheme="minorHAnsi" w:cstheme="minorHAnsi"/>
        </w:rPr>
        <w:t>W</w:t>
      </w:r>
      <w:r w:rsidR="00966950" w:rsidRPr="005A2FD1">
        <w:rPr>
          <w:rFonts w:asciiTheme="minorHAnsi" w:hAnsiTheme="minorHAnsi" w:cstheme="minorHAnsi"/>
        </w:rPr>
        <w:t xml:space="preserve"> rozumieniu art. 17 </w:t>
      </w:r>
      <w:r w:rsidR="00CA1893" w:rsidRPr="005A2FD1">
        <w:rPr>
          <w:rFonts w:asciiTheme="minorHAnsi" w:hAnsiTheme="minorHAnsi" w:cstheme="minorHAnsi"/>
        </w:rPr>
        <w:t>R</w:t>
      </w:r>
      <w:r w:rsidR="00966950" w:rsidRPr="005A2FD1">
        <w:rPr>
          <w:rFonts w:asciiTheme="minorHAnsi" w:hAnsiTheme="minorHAnsi" w:cstheme="minorHAnsi"/>
        </w:rPr>
        <w:t>ozporządzenia Parlamentu Europejskiego i Rady (</w:t>
      </w:r>
      <w:r w:rsidR="00CA1893" w:rsidRPr="005A2FD1">
        <w:rPr>
          <w:rFonts w:asciiTheme="minorHAnsi" w:hAnsiTheme="minorHAnsi" w:cstheme="minorHAnsi"/>
        </w:rPr>
        <w:t>UE</w:t>
      </w:r>
      <w:r w:rsidR="00966950" w:rsidRPr="005A2FD1">
        <w:rPr>
          <w:rFonts w:asciiTheme="minorHAnsi" w:hAnsiTheme="minorHAnsi" w:cstheme="minorHAnsi"/>
        </w:rPr>
        <w:t>) 2020/852 z dnia 18 czerwca 2020 r. w sprawie ustanowienia ram ułatwiających zrównoważone inwestycje, zmieniające</w:t>
      </w:r>
      <w:r w:rsidR="00C94C7E" w:rsidRPr="005A2FD1">
        <w:rPr>
          <w:rFonts w:asciiTheme="minorHAnsi" w:hAnsiTheme="minorHAnsi" w:cstheme="minorHAnsi"/>
        </w:rPr>
        <w:t>go</w:t>
      </w:r>
      <w:r w:rsidR="00966950" w:rsidRPr="005A2FD1">
        <w:rPr>
          <w:rFonts w:asciiTheme="minorHAnsi" w:hAnsiTheme="minorHAnsi" w:cstheme="minorHAnsi"/>
        </w:rPr>
        <w:t xml:space="preserve"> rozporządzenie (UE) 2019/2088</w:t>
      </w:r>
      <w:r w:rsidR="00060FCA" w:rsidRPr="005A2FD1">
        <w:rPr>
          <w:rFonts w:asciiTheme="minorHAnsi" w:hAnsiTheme="minorHAnsi" w:cstheme="minorHAnsi"/>
        </w:rPr>
        <w:t xml:space="preserve"> (Dz.U. L 198 z 22.6.2020, s. 13)</w:t>
      </w:r>
      <w:r w:rsidR="004E0790" w:rsidRPr="005A2FD1">
        <w:rPr>
          <w:rFonts w:asciiTheme="minorHAnsi" w:hAnsiTheme="minorHAnsi" w:cstheme="minorHAnsi"/>
        </w:rPr>
        <w:t xml:space="preserve"> oraz </w:t>
      </w:r>
      <w:r w:rsidR="00FF6403" w:rsidRPr="005A2FD1">
        <w:rPr>
          <w:rFonts w:asciiTheme="minorHAnsi" w:hAnsiTheme="minorHAnsi" w:cstheme="minorHAnsi"/>
        </w:rPr>
        <w:t>Zawiadomieni</w:t>
      </w:r>
      <w:r w:rsidR="00051364" w:rsidRPr="005A2FD1">
        <w:rPr>
          <w:rFonts w:asciiTheme="minorHAnsi" w:hAnsiTheme="minorHAnsi" w:cstheme="minorHAnsi"/>
        </w:rPr>
        <w:t>a</w:t>
      </w:r>
      <w:r w:rsidR="00FF6403" w:rsidRPr="005A2FD1">
        <w:rPr>
          <w:rFonts w:asciiTheme="minorHAnsi" w:hAnsiTheme="minorHAnsi" w:cstheme="minorHAnsi"/>
        </w:rPr>
        <w:t xml:space="preserve"> Komisji Wytyczne techniczne dotyczące stosowania zasady „nie czyń poważnych szkód” na podstawie rozporządzenia ustanawiającego Instrument na rzecz Odbudowy i Zwiększania Odporności (2021/C 58/01).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A5DAA" w14:textId="60670BB2" w:rsidR="00043721" w:rsidRDefault="00043721">
    <w:pPr>
      <w:pStyle w:val="Nagwek"/>
    </w:pPr>
    <w:r>
      <w:rPr>
        <w:noProof/>
      </w:rPr>
      <w:drawing>
        <wp:inline distT="0" distB="0" distL="0" distR="0" wp14:anchorId="6F5AE9B2" wp14:editId="4B93F300">
          <wp:extent cx="5758180" cy="344170"/>
          <wp:effectExtent l="0" t="0" r="0" b="0"/>
          <wp:docPr id="36044214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44214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9C6489"/>
    <w:multiLevelType w:val="hybridMultilevel"/>
    <w:tmpl w:val="8BBE79EA"/>
    <w:lvl w:ilvl="0" w:tplc="8E82BA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B4C"/>
    <w:multiLevelType w:val="hybridMultilevel"/>
    <w:tmpl w:val="B90EDE1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26E46"/>
    <w:multiLevelType w:val="hybridMultilevel"/>
    <w:tmpl w:val="A96ABE04"/>
    <w:lvl w:ilvl="0" w:tplc="EF8E9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05842"/>
    <w:multiLevelType w:val="hybridMultilevel"/>
    <w:tmpl w:val="0338EF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C18D2"/>
    <w:multiLevelType w:val="hybridMultilevel"/>
    <w:tmpl w:val="B90ED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54CC7"/>
    <w:multiLevelType w:val="hybridMultilevel"/>
    <w:tmpl w:val="4EB03D7A"/>
    <w:lvl w:ilvl="0" w:tplc="0F4421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74EB7"/>
    <w:multiLevelType w:val="hybridMultilevel"/>
    <w:tmpl w:val="1DCEE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72989">
    <w:abstractNumId w:val="40"/>
  </w:num>
  <w:num w:numId="2" w16cid:durableId="1926837197">
    <w:abstractNumId w:val="36"/>
  </w:num>
  <w:num w:numId="3" w16cid:durableId="685719664">
    <w:abstractNumId w:val="25"/>
  </w:num>
  <w:num w:numId="4" w16cid:durableId="1010528233">
    <w:abstractNumId w:val="42"/>
  </w:num>
  <w:num w:numId="5" w16cid:durableId="1316910888">
    <w:abstractNumId w:val="22"/>
  </w:num>
  <w:num w:numId="6" w16cid:durableId="564755442">
    <w:abstractNumId w:val="30"/>
  </w:num>
  <w:num w:numId="7" w16cid:durableId="1776095022">
    <w:abstractNumId w:val="39"/>
  </w:num>
  <w:num w:numId="8" w16cid:durableId="329335311">
    <w:abstractNumId w:val="10"/>
  </w:num>
  <w:num w:numId="9" w16cid:durableId="695348303">
    <w:abstractNumId w:val="4"/>
  </w:num>
  <w:num w:numId="10" w16cid:durableId="158010867">
    <w:abstractNumId w:val="26"/>
  </w:num>
  <w:num w:numId="11" w16cid:durableId="2061898274">
    <w:abstractNumId w:val="35"/>
  </w:num>
  <w:num w:numId="12" w16cid:durableId="713889521">
    <w:abstractNumId w:val="13"/>
  </w:num>
  <w:num w:numId="13" w16cid:durableId="477501058">
    <w:abstractNumId w:val="24"/>
  </w:num>
  <w:num w:numId="14" w16cid:durableId="669334825">
    <w:abstractNumId w:val="6"/>
  </w:num>
  <w:num w:numId="15" w16cid:durableId="81265832">
    <w:abstractNumId w:val="31"/>
  </w:num>
  <w:num w:numId="16" w16cid:durableId="1587950">
    <w:abstractNumId w:val="11"/>
  </w:num>
  <w:num w:numId="17" w16cid:durableId="707418944">
    <w:abstractNumId w:val="0"/>
  </w:num>
  <w:num w:numId="18" w16cid:durableId="184906830">
    <w:abstractNumId w:val="28"/>
  </w:num>
  <w:num w:numId="19" w16cid:durableId="1462650684">
    <w:abstractNumId w:val="37"/>
  </w:num>
  <w:num w:numId="20" w16cid:durableId="453910091">
    <w:abstractNumId w:val="20"/>
  </w:num>
  <w:num w:numId="21" w16cid:durableId="1338072930">
    <w:abstractNumId w:val="33"/>
  </w:num>
  <w:num w:numId="22" w16cid:durableId="821312873">
    <w:abstractNumId w:val="14"/>
  </w:num>
  <w:num w:numId="23" w16cid:durableId="206914493">
    <w:abstractNumId w:val="15"/>
  </w:num>
  <w:num w:numId="24" w16cid:durableId="2045325551">
    <w:abstractNumId w:val="38"/>
  </w:num>
  <w:num w:numId="25" w16cid:durableId="1822387276">
    <w:abstractNumId w:val="34"/>
  </w:num>
  <w:num w:numId="26" w16cid:durableId="1820807082">
    <w:abstractNumId w:val="5"/>
  </w:num>
  <w:num w:numId="27" w16cid:durableId="286005770">
    <w:abstractNumId w:val="27"/>
  </w:num>
  <w:num w:numId="28" w16cid:durableId="866676026">
    <w:abstractNumId w:val="41"/>
  </w:num>
  <w:num w:numId="29" w16cid:durableId="1080369690">
    <w:abstractNumId w:val="29"/>
  </w:num>
  <w:num w:numId="30" w16cid:durableId="1857302535">
    <w:abstractNumId w:val="17"/>
  </w:num>
  <w:num w:numId="31" w16cid:durableId="2062440304">
    <w:abstractNumId w:val="8"/>
  </w:num>
  <w:num w:numId="32" w16cid:durableId="1383214698">
    <w:abstractNumId w:val="3"/>
  </w:num>
  <w:num w:numId="33" w16cid:durableId="472909462">
    <w:abstractNumId w:val="16"/>
  </w:num>
  <w:num w:numId="34" w16cid:durableId="2127844947">
    <w:abstractNumId w:val="23"/>
  </w:num>
  <w:num w:numId="35" w16cid:durableId="1871142475">
    <w:abstractNumId w:val="18"/>
  </w:num>
  <w:num w:numId="36" w16cid:durableId="1985697997">
    <w:abstractNumId w:val="9"/>
  </w:num>
  <w:num w:numId="37" w16cid:durableId="575629178">
    <w:abstractNumId w:val="12"/>
  </w:num>
  <w:num w:numId="38" w16cid:durableId="382944974">
    <w:abstractNumId w:val="21"/>
  </w:num>
  <w:num w:numId="39" w16cid:durableId="558134540">
    <w:abstractNumId w:val="7"/>
  </w:num>
  <w:num w:numId="40" w16cid:durableId="751202647">
    <w:abstractNumId w:val="1"/>
  </w:num>
  <w:num w:numId="41" w16cid:durableId="106896176">
    <w:abstractNumId w:val="19"/>
  </w:num>
  <w:num w:numId="42" w16cid:durableId="1575236177">
    <w:abstractNumId w:val="2"/>
  </w:num>
  <w:num w:numId="43" w16cid:durableId="12662338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020EF"/>
    <w:rsid w:val="00017009"/>
    <w:rsid w:val="0002033D"/>
    <w:rsid w:val="000257D6"/>
    <w:rsid w:val="00030EE3"/>
    <w:rsid w:val="0003154F"/>
    <w:rsid w:val="00031ED9"/>
    <w:rsid w:val="00032C38"/>
    <w:rsid w:val="00043721"/>
    <w:rsid w:val="0004778D"/>
    <w:rsid w:val="00050503"/>
    <w:rsid w:val="00051364"/>
    <w:rsid w:val="0005520E"/>
    <w:rsid w:val="00055878"/>
    <w:rsid w:val="00060FCA"/>
    <w:rsid w:val="00061188"/>
    <w:rsid w:val="000661A0"/>
    <w:rsid w:val="000676BD"/>
    <w:rsid w:val="0007041A"/>
    <w:rsid w:val="00075BC7"/>
    <w:rsid w:val="000825BF"/>
    <w:rsid w:val="00093053"/>
    <w:rsid w:val="000A1701"/>
    <w:rsid w:val="000B2309"/>
    <w:rsid w:val="000C33EC"/>
    <w:rsid w:val="000C621F"/>
    <w:rsid w:val="000D504A"/>
    <w:rsid w:val="000D66B0"/>
    <w:rsid w:val="000E51D7"/>
    <w:rsid w:val="000E5A02"/>
    <w:rsid w:val="000E5BD2"/>
    <w:rsid w:val="000F089E"/>
    <w:rsid w:val="000F4BF0"/>
    <w:rsid w:val="001172FC"/>
    <w:rsid w:val="00125283"/>
    <w:rsid w:val="00141163"/>
    <w:rsid w:val="00151AEC"/>
    <w:rsid w:val="00167D5F"/>
    <w:rsid w:val="0017164E"/>
    <w:rsid w:val="00175B11"/>
    <w:rsid w:val="001863D0"/>
    <w:rsid w:val="00187C03"/>
    <w:rsid w:val="001A6285"/>
    <w:rsid w:val="001B4A70"/>
    <w:rsid w:val="001B587E"/>
    <w:rsid w:val="001C0BA8"/>
    <w:rsid w:val="001D5359"/>
    <w:rsid w:val="001D6269"/>
    <w:rsid w:val="001E7905"/>
    <w:rsid w:val="001E7B54"/>
    <w:rsid w:val="001F3024"/>
    <w:rsid w:val="00200CAE"/>
    <w:rsid w:val="00201C76"/>
    <w:rsid w:val="00241B11"/>
    <w:rsid w:val="00244F5E"/>
    <w:rsid w:val="0027063A"/>
    <w:rsid w:val="00277DB2"/>
    <w:rsid w:val="002A241C"/>
    <w:rsid w:val="002B122B"/>
    <w:rsid w:val="002B1FDD"/>
    <w:rsid w:val="002C241A"/>
    <w:rsid w:val="002C332A"/>
    <w:rsid w:val="002C6E8E"/>
    <w:rsid w:val="002F75CE"/>
    <w:rsid w:val="00300607"/>
    <w:rsid w:val="00301398"/>
    <w:rsid w:val="00322ACC"/>
    <w:rsid w:val="00323EEE"/>
    <w:rsid w:val="00327CB9"/>
    <w:rsid w:val="0033537A"/>
    <w:rsid w:val="003474BF"/>
    <w:rsid w:val="00365CD9"/>
    <w:rsid w:val="003730B9"/>
    <w:rsid w:val="0038703F"/>
    <w:rsid w:val="00387432"/>
    <w:rsid w:val="003A06E4"/>
    <w:rsid w:val="003B7BF1"/>
    <w:rsid w:val="003D18CA"/>
    <w:rsid w:val="003D29B3"/>
    <w:rsid w:val="003D2FD9"/>
    <w:rsid w:val="003D4876"/>
    <w:rsid w:val="003E1C5E"/>
    <w:rsid w:val="003F0D34"/>
    <w:rsid w:val="003F6539"/>
    <w:rsid w:val="003F69B2"/>
    <w:rsid w:val="0040072A"/>
    <w:rsid w:val="0040580C"/>
    <w:rsid w:val="00417CD0"/>
    <w:rsid w:val="00420A13"/>
    <w:rsid w:val="0044129D"/>
    <w:rsid w:val="00456ABE"/>
    <w:rsid w:val="004620B7"/>
    <w:rsid w:val="004674A9"/>
    <w:rsid w:val="004773A3"/>
    <w:rsid w:val="00477A93"/>
    <w:rsid w:val="004805AE"/>
    <w:rsid w:val="004930CA"/>
    <w:rsid w:val="004935A7"/>
    <w:rsid w:val="00493649"/>
    <w:rsid w:val="0049798B"/>
    <w:rsid w:val="004B0053"/>
    <w:rsid w:val="004B47D8"/>
    <w:rsid w:val="004C4682"/>
    <w:rsid w:val="004D11A8"/>
    <w:rsid w:val="004D26E5"/>
    <w:rsid w:val="004E0790"/>
    <w:rsid w:val="004F4DAB"/>
    <w:rsid w:val="00530E36"/>
    <w:rsid w:val="00533BE0"/>
    <w:rsid w:val="005415FF"/>
    <w:rsid w:val="00555E16"/>
    <w:rsid w:val="00563589"/>
    <w:rsid w:val="00565883"/>
    <w:rsid w:val="005723E5"/>
    <w:rsid w:val="005768AA"/>
    <w:rsid w:val="00585005"/>
    <w:rsid w:val="005855DA"/>
    <w:rsid w:val="005928B7"/>
    <w:rsid w:val="005A2FD1"/>
    <w:rsid w:val="005B0827"/>
    <w:rsid w:val="005B28EA"/>
    <w:rsid w:val="005B4DEC"/>
    <w:rsid w:val="005C39B4"/>
    <w:rsid w:val="005C791A"/>
    <w:rsid w:val="005C7B28"/>
    <w:rsid w:val="005D114C"/>
    <w:rsid w:val="005D3456"/>
    <w:rsid w:val="005E0A18"/>
    <w:rsid w:val="005E4688"/>
    <w:rsid w:val="005F6269"/>
    <w:rsid w:val="00600164"/>
    <w:rsid w:val="00611BB4"/>
    <w:rsid w:val="00614FB5"/>
    <w:rsid w:val="006244DF"/>
    <w:rsid w:val="00632C77"/>
    <w:rsid w:val="006360C0"/>
    <w:rsid w:val="00637F9F"/>
    <w:rsid w:val="0064370D"/>
    <w:rsid w:val="00647310"/>
    <w:rsid w:val="00650614"/>
    <w:rsid w:val="00655F5F"/>
    <w:rsid w:val="00676845"/>
    <w:rsid w:val="0067728E"/>
    <w:rsid w:val="00697487"/>
    <w:rsid w:val="00697F36"/>
    <w:rsid w:val="006A7817"/>
    <w:rsid w:val="006B02F6"/>
    <w:rsid w:val="006B17E7"/>
    <w:rsid w:val="006B22B3"/>
    <w:rsid w:val="006B366E"/>
    <w:rsid w:val="006D3AF6"/>
    <w:rsid w:val="006E76DA"/>
    <w:rsid w:val="00714C07"/>
    <w:rsid w:val="00724593"/>
    <w:rsid w:val="00725E37"/>
    <w:rsid w:val="0074623E"/>
    <w:rsid w:val="007608A7"/>
    <w:rsid w:val="00761CF2"/>
    <w:rsid w:val="00763687"/>
    <w:rsid w:val="00767A09"/>
    <w:rsid w:val="007717B2"/>
    <w:rsid w:val="00771DA0"/>
    <w:rsid w:val="007746EC"/>
    <w:rsid w:val="007A1FF6"/>
    <w:rsid w:val="007A5321"/>
    <w:rsid w:val="007A6B6B"/>
    <w:rsid w:val="007B04E3"/>
    <w:rsid w:val="007B05D7"/>
    <w:rsid w:val="007B146D"/>
    <w:rsid w:val="007B614D"/>
    <w:rsid w:val="007C0E39"/>
    <w:rsid w:val="007C1059"/>
    <w:rsid w:val="007C6863"/>
    <w:rsid w:val="007D2E00"/>
    <w:rsid w:val="007D34C6"/>
    <w:rsid w:val="007D4EC3"/>
    <w:rsid w:val="007F09A8"/>
    <w:rsid w:val="00811A9C"/>
    <w:rsid w:val="00824843"/>
    <w:rsid w:val="00831831"/>
    <w:rsid w:val="0083275A"/>
    <w:rsid w:val="00833FB9"/>
    <w:rsid w:val="00837F22"/>
    <w:rsid w:val="00845E2C"/>
    <w:rsid w:val="008578BB"/>
    <w:rsid w:val="008627E0"/>
    <w:rsid w:val="00864909"/>
    <w:rsid w:val="00866428"/>
    <w:rsid w:val="00873D56"/>
    <w:rsid w:val="00874EF4"/>
    <w:rsid w:val="00890A71"/>
    <w:rsid w:val="0089424D"/>
    <w:rsid w:val="008A12DE"/>
    <w:rsid w:val="008B5116"/>
    <w:rsid w:val="008B7569"/>
    <w:rsid w:val="008C24FB"/>
    <w:rsid w:val="008E2098"/>
    <w:rsid w:val="008E3E7C"/>
    <w:rsid w:val="0090663E"/>
    <w:rsid w:val="0091448C"/>
    <w:rsid w:val="00915313"/>
    <w:rsid w:val="009232B2"/>
    <w:rsid w:val="009310C1"/>
    <w:rsid w:val="00933F2C"/>
    <w:rsid w:val="00945273"/>
    <w:rsid w:val="00953B50"/>
    <w:rsid w:val="009616A1"/>
    <w:rsid w:val="00966950"/>
    <w:rsid w:val="00970196"/>
    <w:rsid w:val="00970E8B"/>
    <w:rsid w:val="00990330"/>
    <w:rsid w:val="00995DF2"/>
    <w:rsid w:val="009B1C76"/>
    <w:rsid w:val="009B36EF"/>
    <w:rsid w:val="009B4626"/>
    <w:rsid w:val="009B4987"/>
    <w:rsid w:val="009C00EC"/>
    <w:rsid w:val="009F4F10"/>
    <w:rsid w:val="009F4FA8"/>
    <w:rsid w:val="00A04D8D"/>
    <w:rsid w:val="00A12495"/>
    <w:rsid w:val="00A16218"/>
    <w:rsid w:val="00A16B15"/>
    <w:rsid w:val="00A35AE6"/>
    <w:rsid w:val="00A4416E"/>
    <w:rsid w:val="00A46C53"/>
    <w:rsid w:val="00A56E9B"/>
    <w:rsid w:val="00A60050"/>
    <w:rsid w:val="00A65F48"/>
    <w:rsid w:val="00A7470E"/>
    <w:rsid w:val="00A95E97"/>
    <w:rsid w:val="00AA4DE6"/>
    <w:rsid w:val="00AB5DC7"/>
    <w:rsid w:val="00AD6ADA"/>
    <w:rsid w:val="00AE6823"/>
    <w:rsid w:val="00B04444"/>
    <w:rsid w:val="00B1045F"/>
    <w:rsid w:val="00B12D63"/>
    <w:rsid w:val="00B13AD9"/>
    <w:rsid w:val="00B2478F"/>
    <w:rsid w:val="00B5042E"/>
    <w:rsid w:val="00B50DED"/>
    <w:rsid w:val="00B536C3"/>
    <w:rsid w:val="00B54141"/>
    <w:rsid w:val="00B57611"/>
    <w:rsid w:val="00B5762F"/>
    <w:rsid w:val="00B66CDE"/>
    <w:rsid w:val="00B80A61"/>
    <w:rsid w:val="00B80D9C"/>
    <w:rsid w:val="00B92720"/>
    <w:rsid w:val="00B952FD"/>
    <w:rsid w:val="00BA7462"/>
    <w:rsid w:val="00BA7CF1"/>
    <w:rsid w:val="00BB5660"/>
    <w:rsid w:val="00BB64E0"/>
    <w:rsid w:val="00BD772F"/>
    <w:rsid w:val="00BE2DDE"/>
    <w:rsid w:val="00BE4523"/>
    <w:rsid w:val="00BF4FBD"/>
    <w:rsid w:val="00C15681"/>
    <w:rsid w:val="00C311C1"/>
    <w:rsid w:val="00C4077F"/>
    <w:rsid w:val="00C44758"/>
    <w:rsid w:val="00C6459A"/>
    <w:rsid w:val="00C871A9"/>
    <w:rsid w:val="00C90C7E"/>
    <w:rsid w:val="00C94C7E"/>
    <w:rsid w:val="00C95C04"/>
    <w:rsid w:val="00CA1893"/>
    <w:rsid w:val="00CC08D4"/>
    <w:rsid w:val="00CD28E2"/>
    <w:rsid w:val="00CD5806"/>
    <w:rsid w:val="00CD70B7"/>
    <w:rsid w:val="00CE21B8"/>
    <w:rsid w:val="00CE3249"/>
    <w:rsid w:val="00CF61B0"/>
    <w:rsid w:val="00D228B3"/>
    <w:rsid w:val="00D24617"/>
    <w:rsid w:val="00D2563D"/>
    <w:rsid w:val="00D402EE"/>
    <w:rsid w:val="00D467AC"/>
    <w:rsid w:val="00D470D0"/>
    <w:rsid w:val="00D53CA0"/>
    <w:rsid w:val="00D62FD7"/>
    <w:rsid w:val="00D673F8"/>
    <w:rsid w:val="00D83C08"/>
    <w:rsid w:val="00D86B67"/>
    <w:rsid w:val="00D93394"/>
    <w:rsid w:val="00DA3D7C"/>
    <w:rsid w:val="00DC1B59"/>
    <w:rsid w:val="00DC75FB"/>
    <w:rsid w:val="00DD34E2"/>
    <w:rsid w:val="00DD715E"/>
    <w:rsid w:val="00DE2417"/>
    <w:rsid w:val="00DE4673"/>
    <w:rsid w:val="00DF68A6"/>
    <w:rsid w:val="00E02DDE"/>
    <w:rsid w:val="00E079F5"/>
    <w:rsid w:val="00E07C3A"/>
    <w:rsid w:val="00E16C3A"/>
    <w:rsid w:val="00E17423"/>
    <w:rsid w:val="00E21E7B"/>
    <w:rsid w:val="00E417E8"/>
    <w:rsid w:val="00E432AF"/>
    <w:rsid w:val="00E43BBC"/>
    <w:rsid w:val="00E4463F"/>
    <w:rsid w:val="00E5464F"/>
    <w:rsid w:val="00E609C1"/>
    <w:rsid w:val="00E6662E"/>
    <w:rsid w:val="00E70F5C"/>
    <w:rsid w:val="00E9171B"/>
    <w:rsid w:val="00EB30C7"/>
    <w:rsid w:val="00EC228E"/>
    <w:rsid w:val="00ED3112"/>
    <w:rsid w:val="00EE1C15"/>
    <w:rsid w:val="00EE2253"/>
    <w:rsid w:val="00EE6721"/>
    <w:rsid w:val="00EF1765"/>
    <w:rsid w:val="00F0063A"/>
    <w:rsid w:val="00F03FD4"/>
    <w:rsid w:val="00F04472"/>
    <w:rsid w:val="00F10731"/>
    <w:rsid w:val="00F10B11"/>
    <w:rsid w:val="00F3503F"/>
    <w:rsid w:val="00F5642D"/>
    <w:rsid w:val="00F60260"/>
    <w:rsid w:val="00F9025B"/>
    <w:rsid w:val="00FA5EB7"/>
    <w:rsid w:val="00FB2DE8"/>
    <w:rsid w:val="00FC786C"/>
    <w:rsid w:val="00FC7C1B"/>
    <w:rsid w:val="00FD272F"/>
    <w:rsid w:val="00FD5887"/>
    <w:rsid w:val="00FD5A5F"/>
    <w:rsid w:val="00FE4D29"/>
    <w:rsid w:val="00FE7761"/>
    <w:rsid w:val="00FF6403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EA022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E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5,Eko punkty,podpunkt,EPL lista punktowana z wyrózneniem,1st level - Bullet List Paragraph,Lettre d'introduction,Normal bullet 2,Bullet list,Listenabsatz,Wykres"/>
    <w:basedOn w:val="Normalny"/>
    <w:link w:val="AkapitzlistZnak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Eko punkty Znak,podpunkt Znak,EPL lista punktowana z wyrózneniem Znak,1st level - Bullet List Paragraph Znak,Lettre d'introduction Znak"/>
    <w:link w:val="Akapitzlist"/>
    <w:uiPriority w:val="34"/>
    <w:qFormat/>
    <w:locked/>
    <w:rsid w:val="007A1FF6"/>
    <w:rPr>
      <w:sz w:val="22"/>
      <w:szCs w:val="22"/>
      <w:lang w:eastAsia="en-US"/>
    </w:rPr>
  </w:style>
  <w:style w:type="paragraph" w:customStyle="1" w:styleId="Default">
    <w:name w:val="Default"/>
    <w:rsid w:val="0096695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04444"/>
    <w:rPr>
      <w:rFonts w:ascii="EU Albertina" w:hAnsi="EU 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04444"/>
    <w:rPr>
      <w:rFonts w:ascii="EU Albertina" w:hAnsi="EU 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04444"/>
    <w:rPr>
      <w:rFonts w:ascii="EU Albertina" w:hAnsi="EU Albertina"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A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A09"/>
    <w:rPr>
      <w:lang w:eastAsia="en-US"/>
    </w:rPr>
  </w:style>
  <w:style w:type="character" w:customStyle="1" w:styleId="markedcontent">
    <w:name w:val="markedcontent"/>
    <w:basedOn w:val="Domylnaczcionkaakapitu"/>
    <w:rsid w:val="00F9025B"/>
  </w:style>
  <w:style w:type="character" w:customStyle="1" w:styleId="highlight">
    <w:name w:val="highlight"/>
    <w:basedOn w:val="Domylnaczcionkaakapitu"/>
    <w:rsid w:val="00F9025B"/>
  </w:style>
  <w:style w:type="character" w:customStyle="1" w:styleId="ui-provider">
    <w:name w:val="ui-provider"/>
    <w:basedOn w:val="Domylnaczcionkaakapitu"/>
    <w:rsid w:val="0027063A"/>
  </w:style>
  <w:style w:type="paragraph" w:styleId="Bezodstpw">
    <w:name w:val="No Spacing"/>
    <w:uiPriority w:val="1"/>
    <w:qFormat/>
    <w:rsid w:val="0027063A"/>
    <w:pPr>
      <w:ind w:left="10" w:hanging="10"/>
      <w:jc w:val="both"/>
    </w:pPr>
    <w:rPr>
      <w:rFonts w:ascii="Trebuchet MS" w:eastAsia="Trebuchet MS" w:hAnsi="Trebuchet MS" w:cs="Trebuchet MS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2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6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035d99d8-c439-4c84-b77b-f2cb5d4772e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planodbudowy/o-kp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9034-2208-4AD1-BD7E-3E7E4A71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zgodności przedsięwzięcia z zasadą nie czyń poważnej szkody</dc:title>
  <dc:creator>Magdalena Dunikowska</dc:creator>
  <cp:lastModifiedBy>Łukasz Szojda</cp:lastModifiedBy>
  <cp:revision>19</cp:revision>
  <cp:lastPrinted>2015-07-22T09:05:00Z</cp:lastPrinted>
  <dcterms:created xsi:type="dcterms:W3CDTF">2024-04-22T05:54:00Z</dcterms:created>
  <dcterms:modified xsi:type="dcterms:W3CDTF">2024-06-20T11:17:00Z</dcterms:modified>
</cp:coreProperties>
</file>