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E7609A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3175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BE4" w:rsidRDefault="00E7609A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E7609A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54.5pt;height:5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" stroked="f">
                <v:textbox>
                  <w:txbxContent>
                    <w:p w:rsidR="00AB3BE4" w:rsidRDefault="00E7609A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RDefault="00E7609A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04 lutego 2022 r.</w:t>
      </w:r>
      <w:bookmarkEnd w:id="0"/>
    </w:p>
    <w:p w:rsidR="004824F3" w:rsidRPr="002C3898" w:rsidRDefault="00E7609A" w:rsidP="00691727">
      <w:pPr>
        <w:spacing w:before="840"/>
        <w:ind w:right="6660"/>
        <w:jc w:val="center"/>
        <w:rPr>
          <w:rFonts w:ascii="Calibri" w:hAnsi="Calibri" w:cs="Calibri"/>
          <w:b/>
        </w:rPr>
      </w:pPr>
      <w:bookmarkStart w:id="1" w:name="ezdSprawaZnak"/>
      <w:bookmarkStart w:id="2" w:name="_GoBack"/>
      <w:r w:rsidRPr="002C3898">
        <w:rPr>
          <w:rFonts w:ascii="Calibri" w:hAnsi="Calibri" w:cs="Calibri"/>
          <w:b/>
        </w:rPr>
        <w:t>WNP-R.4131.4.2022</w:t>
      </w:r>
      <w:bookmarkEnd w:id="1"/>
    </w:p>
    <w:bookmarkEnd w:id="2"/>
    <w:p w:rsidR="00BD79A8" w:rsidRPr="00257D84" w:rsidRDefault="00E7609A" w:rsidP="00BD79A8">
      <w:pPr>
        <w:spacing w:before="720" w:line="276" w:lineRule="auto"/>
        <w:ind w:left="5387"/>
        <w:rPr>
          <w:rFonts w:ascii="Calibri" w:hAnsi="Calibri" w:cs="Calibri"/>
          <w:b/>
        </w:rPr>
      </w:pPr>
      <w:r w:rsidRPr="00257D84">
        <w:rPr>
          <w:rFonts w:ascii="Calibri" w:hAnsi="Calibri" w:cs="Calibri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19050" t="0" r="889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D84">
        <w:rPr>
          <w:rFonts w:ascii="Calibri" w:hAnsi="Calibri" w:cs="Calibri"/>
          <w:b/>
        </w:rPr>
        <w:t xml:space="preserve">Rada Gminy w </w:t>
      </w:r>
      <w:r>
        <w:rPr>
          <w:rFonts w:ascii="Calibri" w:hAnsi="Calibri" w:cs="Calibri"/>
          <w:b/>
        </w:rPr>
        <w:t>Rzeczniowie</w:t>
      </w:r>
    </w:p>
    <w:p w:rsidR="00BD79A8" w:rsidRDefault="00E7609A" w:rsidP="00BD79A8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BD79A8" w:rsidRDefault="00E7609A" w:rsidP="00BD79A8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BD79A8" w:rsidRPr="00C170D6" w:rsidRDefault="00E7609A" w:rsidP="00BD79A8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C170D6">
        <w:rPr>
          <w:rFonts w:ascii="Calibri" w:hAnsi="Calibri" w:cs="Calibri"/>
          <w:b/>
          <w:bCs/>
        </w:rPr>
        <w:t>Rozstrzygnięcie nadzorcze</w:t>
      </w:r>
    </w:p>
    <w:p w:rsidR="00BD79A8" w:rsidRPr="00C170D6" w:rsidRDefault="00E7609A" w:rsidP="00BD79A8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BD79A8" w:rsidRPr="00475023" w:rsidRDefault="00E7609A" w:rsidP="00BD79A8">
      <w:pPr>
        <w:spacing w:line="360" w:lineRule="auto"/>
        <w:ind w:firstLine="708"/>
        <w:jc w:val="both"/>
        <w:rPr>
          <w:rFonts w:ascii="Calibri" w:hAnsi="Calibri" w:cs="Calibri"/>
        </w:rPr>
      </w:pPr>
      <w:r w:rsidRPr="00475023">
        <w:rPr>
          <w:rFonts w:asciiTheme="minorHAnsi" w:hAnsiTheme="minorHAnsi" w:cstheme="minorHAnsi"/>
        </w:rPr>
        <w:t xml:space="preserve">Na podstawie art. 91 ust. 1 </w:t>
      </w:r>
      <w:r w:rsidRPr="00475023">
        <w:rPr>
          <w:rFonts w:ascii="Calibri" w:hAnsi="Calibri" w:cs="Calibri"/>
        </w:rPr>
        <w:t xml:space="preserve">ustawy z dnia 8 marca 1990 r. o samorządzie gminnym </w:t>
      </w:r>
      <w:r>
        <w:rPr>
          <w:rFonts w:asciiTheme="minorHAnsi" w:hAnsiTheme="minorHAnsi" w:cstheme="minorHAnsi"/>
        </w:rPr>
        <w:br/>
      </w:r>
      <w:r w:rsidRPr="00475023">
        <w:rPr>
          <w:rFonts w:ascii="Calibri" w:hAnsi="Calibri" w:cs="Calibri"/>
        </w:rPr>
        <w:t xml:space="preserve">(Dz. U z </w:t>
      </w:r>
      <w:r>
        <w:rPr>
          <w:rFonts w:ascii="Calibri" w:hAnsi="Calibri" w:cs="Calibri"/>
        </w:rPr>
        <w:t>2021 r., poz. 1372, poz. 1834</w:t>
      </w:r>
      <w:r w:rsidRPr="00475023">
        <w:rPr>
          <w:rFonts w:ascii="Calibri" w:hAnsi="Calibri" w:cs="Calibri"/>
        </w:rPr>
        <w:t>)</w:t>
      </w:r>
    </w:p>
    <w:p w:rsidR="00BD79A8" w:rsidRPr="00C170D6" w:rsidRDefault="00E7609A" w:rsidP="00BD79A8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BD79A8" w:rsidRPr="00C170D6" w:rsidRDefault="00E7609A" w:rsidP="00BD79A8">
      <w:pPr>
        <w:pStyle w:val="Tekstpodstawowy"/>
        <w:jc w:val="center"/>
        <w:rPr>
          <w:rFonts w:ascii="Calibri" w:hAnsi="Calibri" w:cs="Calibri"/>
          <w:b/>
          <w:bCs/>
          <w:sz w:val="24"/>
        </w:rPr>
      </w:pPr>
      <w:r w:rsidRPr="00C170D6">
        <w:rPr>
          <w:rFonts w:ascii="Calibri" w:hAnsi="Calibri" w:cs="Calibri"/>
          <w:b/>
          <w:bCs/>
          <w:sz w:val="24"/>
        </w:rPr>
        <w:t>stwierdzam nieważność</w:t>
      </w:r>
    </w:p>
    <w:p w:rsidR="00BD79A8" w:rsidRPr="00C170D6" w:rsidRDefault="00E7609A" w:rsidP="00BD79A8">
      <w:pPr>
        <w:pStyle w:val="Tekstpodstawowy"/>
        <w:rPr>
          <w:rFonts w:ascii="Calibri" w:hAnsi="Calibri" w:cs="Calibri"/>
          <w:b/>
          <w:bCs/>
          <w:sz w:val="24"/>
        </w:rPr>
      </w:pPr>
    </w:p>
    <w:p w:rsidR="00BD79A8" w:rsidRDefault="00E7609A" w:rsidP="00BD79A8">
      <w:pPr>
        <w:pStyle w:val="Tekstpodstawowy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§ 3 uchwały Nr XXXVII.216.2021 Rady Gminy w Rzeczniowie z dnia 29 grudnia 2021 r. </w:t>
      </w:r>
      <w:r>
        <w:rPr>
          <w:rFonts w:ascii="Calibri" w:hAnsi="Calibri" w:cs="Calibri"/>
          <w:bCs/>
          <w:sz w:val="24"/>
        </w:rPr>
        <w:br/>
        <w:t>w sprawie ustalenia wynagrodzenia Wójta Gminy Rzeczniów.</w:t>
      </w:r>
    </w:p>
    <w:p w:rsidR="00BD79A8" w:rsidRPr="00C170D6" w:rsidRDefault="00E7609A" w:rsidP="00BD79A8">
      <w:pPr>
        <w:pStyle w:val="Tekstpodstawowy"/>
        <w:rPr>
          <w:rFonts w:ascii="Calibri" w:hAnsi="Calibri" w:cs="Calibri"/>
          <w:b/>
          <w:bCs/>
          <w:sz w:val="24"/>
        </w:rPr>
      </w:pPr>
    </w:p>
    <w:p w:rsidR="00BD79A8" w:rsidRPr="00C170D6" w:rsidRDefault="00E7609A" w:rsidP="00BD79A8">
      <w:pPr>
        <w:pStyle w:val="Tekstpodstawowy"/>
        <w:ind w:right="-1"/>
        <w:jc w:val="center"/>
        <w:rPr>
          <w:rFonts w:ascii="Calibri" w:hAnsi="Calibri" w:cs="Calibri"/>
          <w:b/>
          <w:sz w:val="24"/>
        </w:rPr>
      </w:pPr>
      <w:r w:rsidRPr="00C170D6">
        <w:rPr>
          <w:rFonts w:ascii="Calibri" w:hAnsi="Calibri" w:cs="Calibri"/>
          <w:b/>
          <w:sz w:val="24"/>
        </w:rPr>
        <w:t>Uzasadnienie</w:t>
      </w:r>
    </w:p>
    <w:p w:rsidR="00BD79A8" w:rsidRPr="00C170D6" w:rsidRDefault="00E7609A" w:rsidP="00BD79A8">
      <w:pPr>
        <w:pStyle w:val="Tekstpodstawowy"/>
        <w:ind w:right="-1"/>
        <w:rPr>
          <w:rFonts w:ascii="Calibri" w:hAnsi="Calibri" w:cs="Calibri"/>
          <w:b/>
          <w:sz w:val="24"/>
        </w:rPr>
      </w:pPr>
    </w:p>
    <w:p w:rsidR="00BD79A8" w:rsidRDefault="00E7609A" w:rsidP="00BD79A8">
      <w:pPr>
        <w:pStyle w:val="Tekstpodstawowy"/>
        <w:ind w:right="-1" w:firstLine="708"/>
        <w:rPr>
          <w:rFonts w:ascii="Calibri" w:hAnsi="Calibri" w:cs="Calibri"/>
          <w:sz w:val="24"/>
        </w:rPr>
      </w:pPr>
      <w:r w:rsidRPr="00C170D6">
        <w:rPr>
          <w:rFonts w:ascii="Calibri" w:hAnsi="Calibri" w:cs="Calibri"/>
          <w:sz w:val="24"/>
        </w:rPr>
        <w:t xml:space="preserve">Rada </w:t>
      </w:r>
      <w:r>
        <w:rPr>
          <w:rFonts w:ascii="Calibri" w:hAnsi="Calibri" w:cs="Calibri"/>
          <w:sz w:val="24"/>
        </w:rPr>
        <w:t xml:space="preserve">Gminy w Rzeczniowie podjęła uchwałę </w:t>
      </w:r>
      <w:r>
        <w:rPr>
          <w:rFonts w:ascii="Calibri" w:hAnsi="Calibri" w:cs="Calibri"/>
          <w:bCs/>
          <w:sz w:val="24"/>
        </w:rPr>
        <w:t xml:space="preserve">Nr XXXVII.216.2021 </w:t>
      </w:r>
      <w:r w:rsidRPr="00C170D6">
        <w:rPr>
          <w:rFonts w:ascii="Calibri" w:hAnsi="Calibri" w:cs="Calibri"/>
          <w:bCs/>
          <w:sz w:val="24"/>
        </w:rPr>
        <w:t>w sprawie</w:t>
      </w:r>
      <w:r>
        <w:rPr>
          <w:rFonts w:ascii="Calibri" w:hAnsi="Calibri" w:cs="Calibri"/>
          <w:bCs/>
          <w:sz w:val="24"/>
        </w:rPr>
        <w:t xml:space="preserve"> ustalenia wynagrodzenia Wójta Gminy Rzeczniów</w:t>
      </w:r>
      <w:r w:rsidRPr="00C170D6">
        <w:rPr>
          <w:rFonts w:ascii="Calibri" w:hAnsi="Calibri" w:cs="Calibri"/>
          <w:sz w:val="24"/>
        </w:rPr>
        <w:t xml:space="preserve">. Uchwała została doręczona organowi nadzoru w dniu </w:t>
      </w:r>
      <w:r>
        <w:rPr>
          <w:rFonts w:ascii="Calibri" w:hAnsi="Calibri" w:cs="Calibri"/>
          <w:sz w:val="24"/>
        </w:rPr>
        <w:br/>
        <w:t>10 stycznia</w:t>
      </w:r>
      <w:r w:rsidRPr="00C170D6">
        <w:rPr>
          <w:rFonts w:ascii="Calibri" w:hAnsi="Calibri" w:cs="Calibri"/>
          <w:sz w:val="24"/>
        </w:rPr>
        <w:t xml:space="preserve"> 202</w:t>
      </w:r>
      <w:r>
        <w:rPr>
          <w:rFonts w:ascii="Calibri" w:hAnsi="Calibri" w:cs="Calibri"/>
          <w:sz w:val="24"/>
        </w:rPr>
        <w:t>2</w:t>
      </w:r>
      <w:r w:rsidRPr="00C170D6">
        <w:rPr>
          <w:rFonts w:ascii="Calibri" w:hAnsi="Calibri" w:cs="Calibri"/>
          <w:sz w:val="24"/>
        </w:rPr>
        <w:t xml:space="preserve"> r.</w:t>
      </w:r>
    </w:p>
    <w:p w:rsidR="00BD79A8" w:rsidRDefault="00E7609A" w:rsidP="00BD79A8">
      <w:pPr>
        <w:pStyle w:val="Tekstpodstawowy"/>
        <w:ind w:right="-1" w:firstLine="708"/>
        <w:rPr>
          <w:rFonts w:ascii="Calibri" w:hAnsi="Calibri" w:cs="Calibri"/>
          <w:sz w:val="24"/>
        </w:rPr>
      </w:pPr>
    </w:p>
    <w:p w:rsidR="00BD79A8" w:rsidRDefault="00E7609A" w:rsidP="00BD79A8">
      <w:pPr>
        <w:pStyle w:val="Tekstpodstawowy"/>
        <w:ind w:right="-1"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</w:t>
      </w:r>
      <w:r w:rsidRPr="00D72615">
        <w:rPr>
          <w:rFonts w:ascii="Calibri" w:hAnsi="Calibri" w:cs="Calibri"/>
          <w:sz w:val="24"/>
        </w:rPr>
        <w:t xml:space="preserve"> § </w:t>
      </w:r>
      <w:r>
        <w:rPr>
          <w:rFonts w:ascii="Calibri" w:hAnsi="Calibri" w:cs="Calibri"/>
          <w:sz w:val="24"/>
        </w:rPr>
        <w:t>3</w:t>
      </w:r>
      <w:r w:rsidRPr="00D72615">
        <w:rPr>
          <w:rFonts w:ascii="Calibri" w:hAnsi="Calibri" w:cs="Calibri"/>
          <w:sz w:val="24"/>
        </w:rPr>
        <w:t xml:space="preserve"> ww. uchwały </w:t>
      </w:r>
      <w:r>
        <w:rPr>
          <w:rFonts w:ascii="Calibri" w:hAnsi="Calibri" w:cs="Calibri"/>
          <w:sz w:val="24"/>
        </w:rPr>
        <w:t xml:space="preserve">wprowadzono automatyzm zmiany wynagrodzenia wskazując, że ustalone w § 1 </w:t>
      </w:r>
      <w:r>
        <w:rPr>
          <w:rFonts w:ascii="Calibri" w:hAnsi="Calibri" w:cs="Calibri"/>
          <w:sz w:val="24"/>
        </w:rPr>
        <w:t>(</w:t>
      </w:r>
      <w:r>
        <w:rPr>
          <w:rFonts w:ascii="Calibri" w:hAnsi="Calibri" w:cs="Calibri"/>
          <w:sz w:val="24"/>
        </w:rPr>
        <w:t>procentowo</w:t>
      </w:r>
      <w:r>
        <w:rPr>
          <w:rFonts w:ascii="Calibri" w:hAnsi="Calibri" w:cs="Calibri"/>
          <w:sz w:val="24"/>
        </w:rPr>
        <w:t>)</w:t>
      </w:r>
      <w:r>
        <w:rPr>
          <w:rFonts w:ascii="Calibri" w:hAnsi="Calibri" w:cs="Calibri"/>
          <w:sz w:val="24"/>
        </w:rPr>
        <w:t xml:space="preserve"> wynagrodzenie Wójta Gminy Rzeczn</w:t>
      </w:r>
      <w:r>
        <w:rPr>
          <w:rFonts w:ascii="Calibri" w:hAnsi="Calibri" w:cs="Calibri"/>
          <w:sz w:val="24"/>
        </w:rPr>
        <w:t>iów będzie podlegało każdorazowej zmianie co do ostatecznej wysokości w przypadku zmiany przepisów w tym zakresie</w:t>
      </w:r>
      <w:r>
        <w:rPr>
          <w:rFonts w:ascii="Calibri" w:hAnsi="Calibri" w:cs="Calibri"/>
          <w:sz w:val="24"/>
        </w:rPr>
        <w:t>, z mocą obowiązującą</w:t>
      </w:r>
      <w:r>
        <w:rPr>
          <w:rFonts w:ascii="Calibri" w:hAnsi="Calibri" w:cs="Calibri"/>
          <w:sz w:val="24"/>
        </w:rPr>
        <w:t xml:space="preserve"> od dnia wejścia w życie nowych przepisów. Co więcej, wskazano dodatkowo, iż </w:t>
      </w:r>
      <w:r>
        <w:rPr>
          <w:rFonts w:ascii="Calibri" w:hAnsi="Calibri" w:cs="Calibri"/>
          <w:sz w:val="24"/>
        </w:rPr>
        <w:t>z</w:t>
      </w:r>
      <w:r>
        <w:rPr>
          <w:rFonts w:ascii="Calibri" w:hAnsi="Calibri" w:cs="Calibri"/>
          <w:sz w:val="24"/>
        </w:rPr>
        <w:t>miana taka nie wymaga podjęcia w tym przedmi</w:t>
      </w:r>
      <w:r>
        <w:rPr>
          <w:rFonts w:ascii="Calibri" w:hAnsi="Calibri" w:cs="Calibri"/>
          <w:sz w:val="24"/>
        </w:rPr>
        <w:t>ocie odrębnej uchwały Rady Gminy.</w:t>
      </w:r>
    </w:p>
    <w:p w:rsidR="00BD79A8" w:rsidRDefault="00E7609A" w:rsidP="00BD79A8">
      <w:pPr>
        <w:pStyle w:val="Tekstpodstawowy"/>
        <w:ind w:right="-1" w:firstLine="708"/>
        <w:rPr>
          <w:rFonts w:ascii="Calibri" w:hAnsi="Calibri" w:cs="Calibri"/>
          <w:sz w:val="24"/>
        </w:rPr>
      </w:pPr>
    </w:p>
    <w:p w:rsidR="00BD79A8" w:rsidRDefault="00E7609A" w:rsidP="00BD79A8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>
        <w:rPr>
          <w:rFonts w:ascii="Calibri" w:hAnsi="Calibri" w:cs="Calibri"/>
          <w:sz w:val="24"/>
        </w:rPr>
        <w:t>Należy wskazać, że w</w:t>
      </w:r>
      <w:r w:rsidRPr="006C4A3D">
        <w:rPr>
          <w:rFonts w:asciiTheme="minorHAnsi" w:hAnsiTheme="minorHAnsi" w:cstheme="minorHAnsi"/>
          <w:sz w:val="24"/>
        </w:rPr>
        <w:t xml:space="preserve"> wyniku nowelizacji </w:t>
      </w:r>
      <w:hyperlink r:id="rId7" w:anchor="/document/17506209?cm=DOCUMENT" w:history="1">
        <w:r w:rsidRPr="006C4A3D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ustawy</w:t>
        </w:r>
      </w:hyperlink>
      <w:r w:rsidRPr="006C4A3D">
        <w:rPr>
          <w:rFonts w:asciiTheme="minorHAnsi" w:hAnsiTheme="minorHAnsi" w:cstheme="minorHAnsi"/>
          <w:sz w:val="24"/>
        </w:rPr>
        <w:t xml:space="preserve"> z 21</w:t>
      </w:r>
      <w:r>
        <w:rPr>
          <w:rFonts w:asciiTheme="minorHAnsi" w:hAnsiTheme="minorHAnsi" w:cstheme="minorHAnsi"/>
          <w:sz w:val="24"/>
        </w:rPr>
        <w:t xml:space="preserve"> listopada </w:t>
      </w:r>
      <w:r w:rsidRPr="006C4A3D">
        <w:rPr>
          <w:rFonts w:asciiTheme="minorHAnsi" w:hAnsiTheme="minorHAnsi" w:cstheme="minorHAnsi"/>
          <w:sz w:val="24"/>
        </w:rPr>
        <w:t>2008 r. o pracownikach samorządowych (Dz.U. z 2019 r. poz. 1282 ze zm.) – dalej u.o.p.s</w:t>
      </w:r>
      <w:r w:rsidRPr="006C4A3D">
        <w:rPr>
          <w:rFonts w:asciiTheme="minorHAnsi" w:hAnsiTheme="minorHAnsi" w:cstheme="minorHAnsi"/>
          <w:sz w:val="24"/>
        </w:rPr>
        <w:t xml:space="preserve">., a konsekwencji wydania nowego </w:t>
      </w:r>
      <w:hyperlink r:id="rId8" w:anchor="/document/19158306?cm=DOCUMENT" w:history="1">
        <w:r w:rsidRPr="006C4A3D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rozporządzenia</w:t>
        </w:r>
      </w:hyperlink>
      <w:r w:rsidRPr="006C4A3D">
        <w:rPr>
          <w:rFonts w:asciiTheme="minorHAnsi" w:hAnsiTheme="minorHAnsi" w:cstheme="minorHAnsi"/>
          <w:sz w:val="24"/>
        </w:rPr>
        <w:t xml:space="preserve"> Rady Ministrów z 25</w:t>
      </w:r>
      <w:r>
        <w:rPr>
          <w:rFonts w:asciiTheme="minorHAnsi" w:hAnsiTheme="minorHAnsi" w:cstheme="minorHAnsi"/>
          <w:sz w:val="24"/>
        </w:rPr>
        <w:t xml:space="preserve"> października 2</w:t>
      </w:r>
      <w:r w:rsidRPr="006C4A3D">
        <w:rPr>
          <w:rFonts w:asciiTheme="minorHAnsi" w:hAnsiTheme="minorHAnsi" w:cstheme="minorHAnsi"/>
          <w:sz w:val="24"/>
        </w:rPr>
        <w:t>021 r. w sprawie wynagradzania pracowników samorządowych (Dz.U. z 2021 r., poz. 1960) – dalej r.w.p.s.</w:t>
      </w:r>
      <w:r w:rsidRPr="006C4A3D">
        <w:rPr>
          <w:rFonts w:asciiTheme="minorHAnsi" w:hAnsiTheme="minorHAnsi" w:cstheme="minorHAnsi"/>
          <w:sz w:val="24"/>
        </w:rPr>
        <w:t xml:space="preserve">, od 1 listopada 2021 r. podwyższone zostało wynagrodzenie pracowników zatrudnionych na podstawie wyboru. </w:t>
      </w:r>
      <w:r>
        <w:rPr>
          <w:rFonts w:asciiTheme="minorHAnsi" w:hAnsiTheme="minorHAnsi" w:cstheme="minorHAnsi"/>
          <w:sz w:val="24"/>
        </w:rPr>
        <w:t>Jak</w:t>
      </w:r>
      <w:r w:rsidRPr="006C4A3D">
        <w:rPr>
          <w:rFonts w:asciiTheme="minorHAnsi" w:hAnsiTheme="minorHAnsi" w:cstheme="minorHAnsi"/>
          <w:sz w:val="24"/>
        </w:rPr>
        <w:t xml:space="preserve"> wynika z </w:t>
      </w:r>
      <w:hyperlink r:id="rId9" w:anchor="/document/19153238?unitId=art(18)&amp;cm=DOCUMENT" w:history="1">
        <w:r w:rsidRPr="006C4A3D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art. 18</w:t>
        </w:r>
      </w:hyperlink>
      <w:r w:rsidRPr="006C4A3D">
        <w:rPr>
          <w:rFonts w:asciiTheme="minorHAnsi" w:hAnsiTheme="minorHAnsi" w:cstheme="minorHAnsi"/>
          <w:sz w:val="24"/>
        </w:rPr>
        <w:t xml:space="preserve"> ustawy z 17</w:t>
      </w:r>
      <w:r>
        <w:rPr>
          <w:rFonts w:asciiTheme="minorHAnsi" w:hAnsiTheme="minorHAnsi" w:cstheme="minorHAnsi"/>
          <w:sz w:val="24"/>
        </w:rPr>
        <w:t xml:space="preserve"> września </w:t>
      </w:r>
      <w:r w:rsidRPr="006C4A3D">
        <w:rPr>
          <w:rFonts w:asciiTheme="minorHAnsi" w:hAnsiTheme="minorHAnsi" w:cstheme="minorHAnsi"/>
          <w:sz w:val="24"/>
        </w:rPr>
        <w:t xml:space="preserve">2021 r. o zmianie ustawy o wynagrodzeniu osób zajmujących kierownicze stanowiska państwowe oraz niektórych innych ustaw (Dz.U. z 2021 r. poz. 1834), </w:t>
      </w:r>
      <w:r>
        <w:rPr>
          <w:rFonts w:asciiTheme="minorHAnsi" w:hAnsiTheme="minorHAnsi" w:cstheme="minorHAnsi"/>
          <w:sz w:val="24"/>
        </w:rPr>
        <w:br/>
      </w:r>
      <w:r w:rsidRPr="006C4A3D">
        <w:rPr>
          <w:rFonts w:asciiTheme="minorHAnsi" w:hAnsiTheme="minorHAnsi" w:cstheme="minorHAnsi"/>
          <w:sz w:val="24"/>
        </w:rPr>
        <w:t>przepisy zmienionej u.o.p.s. mają zastosowanie do ustalania wysokości wynagrodzeń należnych od dnia 1 sier</w:t>
      </w:r>
      <w:r w:rsidRPr="006C4A3D">
        <w:rPr>
          <w:rFonts w:asciiTheme="minorHAnsi" w:hAnsiTheme="minorHAnsi" w:cstheme="minorHAnsi"/>
          <w:sz w:val="24"/>
        </w:rPr>
        <w:t>pnia 2021 r.</w:t>
      </w:r>
      <w:r>
        <w:rPr>
          <w:rFonts w:asciiTheme="minorHAnsi" w:hAnsiTheme="minorHAnsi" w:cstheme="minorHAnsi"/>
          <w:sz w:val="24"/>
        </w:rPr>
        <w:t xml:space="preserve"> </w:t>
      </w:r>
      <w:r w:rsidRPr="006C4A3D">
        <w:rPr>
          <w:rFonts w:asciiTheme="minorHAnsi" w:hAnsiTheme="minorHAnsi" w:cstheme="minorHAnsi"/>
          <w:sz w:val="24"/>
        </w:rPr>
        <w:t xml:space="preserve">Stosownie do regulacji zawartych w </w:t>
      </w:r>
      <w:hyperlink r:id="rId10" w:anchor="/document/17506209?unitId=art(37)ust(3)&amp;cm=DOCUMENT" w:history="1">
        <w:r w:rsidRPr="006C4A3D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art. 37 ust. 3</w:t>
        </w:r>
      </w:hyperlink>
      <w:r w:rsidRPr="006C4A3D">
        <w:rPr>
          <w:rFonts w:asciiTheme="minorHAnsi" w:hAnsiTheme="minorHAnsi" w:cstheme="minorHAnsi"/>
          <w:sz w:val="24"/>
        </w:rPr>
        <w:t xml:space="preserve"> i </w:t>
      </w:r>
      <w:hyperlink r:id="rId11" w:anchor="/document/17506209?unitId=art(37)ust(4)&amp;cm=DOCUMENT" w:history="1">
        <w:r w:rsidRPr="006C4A3D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ust. 4</w:t>
        </w:r>
      </w:hyperlink>
      <w:r w:rsidRPr="006C4A3D">
        <w:rPr>
          <w:rFonts w:asciiTheme="minorHAnsi" w:hAnsiTheme="minorHAnsi" w:cstheme="minorHAnsi"/>
          <w:sz w:val="24"/>
        </w:rPr>
        <w:t xml:space="preserve"> u.o.p.s., w nowym brzmieniu, maksymalne wynagrodzenie osób zatrudnionych na podstawie wyboru nie może przekroczyć w okresie miesiąca 11,2-krotności kwoty bazowej określonej w ustawie budżetowej dla osób zajmujących kierownicze stanowiska państwowe na pod</w:t>
      </w:r>
      <w:r w:rsidRPr="006C4A3D">
        <w:rPr>
          <w:rFonts w:asciiTheme="minorHAnsi" w:hAnsiTheme="minorHAnsi" w:cstheme="minorHAnsi"/>
          <w:sz w:val="24"/>
        </w:rPr>
        <w:t xml:space="preserve">stawie przepisów </w:t>
      </w:r>
      <w:hyperlink r:id="rId12" w:anchor="/document/16859571?cm=DOCUMENT" w:history="1">
        <w:r w:rsidRPr="006C4A3D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ustawy</w:t>
        </w:r>
      </w:hyperlink>
      <w:r w:rsidRPr="006C4A3D">
        <w:rPr>
          <w:rFonts w:asciiTheme="minorHAnsi" w:hAnsiTheme="minorHAnsi" w:cstheme="minorHAnsi"/>
          <w:sz w:val="24"/>
        </w:rPr>
        <w:t xml:space="preserve"> z dnia 23 grudnia 1999 r. o kształtowaniu wynagrodzeń w państwowej sferze budżetowej oraz o zmianie niektórych ustaw (Dz.U. z 2020 r. poz. 1658) (obecnie – 20.0</w:t>
      </w:r>
      <w:r w:rsidRPr="006C4A3D">
        <w:rPr>
          <w:rFonts w:asciiTheme="minorHAnsi" w:hAnsiTheme="minorHAnsi" w:cstheme="minorHAnsi"/>
          <w:sz w:val="24"/>
        </w:rPr>
        <w:t>41,50 zł).</w:t>
      </w:r>
      <w:r>
        <w:rPr>
          <w:rFonts w:asciiTheme="minorHAnsi" w:hAnsiTheme="minorHAnsi" w:cstheme="minorHAnsi"/>
          <w:sz w:val="24"/>
        </w:rPr>
        <w:t xml:space="preserve"> </w:t>
      </w:r>
      <w:r w:rsidRPr="006C4A3D">
        <w:rPr>
          <w:rFonts w:asciiTheme="minorHAnsi" w:hAnsiTheme="minorHAnsi" w:cstheme="minorHAnsi"/>
          <w:sz w:val="24"/>
        </w:rPr>
        <w:t>Z kolei minimalne wynagrodzenie tych osób nie może być niższe od 80% maksymalnego wynagrodzenia określonego dla poszczególnych stanowisk w r.w.p.s. Maksymalne wynagrodzenie na danym stanowisku stanowi suma maksymalnego poziomu wynagrodzenia zasa</w:t>
      </w:r>
      <w:r w:rsidRPr="006C4A3D">
        <w:rPr>
          <w:rFonts w:asciiTheme="minorHAnsi" w:hAnsiTheme="minorHAnsi" w:cstheme="minorHAnsi"/>
          <w:sz w:val="24"/>
        </w:rPr>
        <w:t>dniczego oraz maksymalnego poziomu dodatku funkcyjnego, a w przypadku osoby, o której mowa w art. 36 ust. 3 – mowa w nim o wójcie (burmistrzu, prezydencie miasta), staroście oraz marszałku województwa – także kwoty dodatku specjalnego.</w:t>
      </w:r>
      <w:r>
        <w:rPr>
          <w:rFonts w:asciiTheme="minorHAnsi" w:hAnsiTheme="minorHAnsi" w:cstheme="minorHAnsi"/>
          <w:sz w:val="24"/>
        </w:rPr>
        <w:t xml:space="preserve"> </w:t>
      </w:r>
    </w:p>
    <w:p w:rsidR="00BD79A8" w:rsidRDefault="00E7609A" w:rsidP="00BD79A8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</w:p>
    <w:p w:rsidR="00BD79A8" w:rsidRDefault="00E7609A" w:rsidP="00BD79A8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6C4A3D">
        <w:rPr>
          <w:rFonts w:asciiTheme="minorHAnsi" w:hAnsiTheme="minorHAnsi" w:cstheme="minorHAnsi"/>
          <w:sz w:val="24"/>
        </w:rPr>
        <w:t xml:space="preserve">Zgodnie z </w:t>
      </w:r>
      <w:hyperlink r:id="rId13" w:anchor="/document/16793509?unitId=art(18)ust(2)pkt(2)&amp;cm=DOCUMENT" w:history="1">
        <w:r w:rsidRPr="006C4A3D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art. 18 ust. 2 pkt 2</w:t>
        </w:r>
      </w:hyperlink>
      <w:r w:rsidRPr="006C4A3D">
        <w:rPr>
          <w:rFonts w:asciiTheme="minorHAnsi" w:hAnsiTheme="minorHAnsi" w:cstheme="minorHAnsi"/>
          <w:sz w:val="24"/>
        </w:rPr>
        <w:t xml:space="preserve"> ustawy z 8</w:t>
      </w:r>
      <w:r>
        <w:rPr>
          <w:rFonts w:asciiTheme="minorHAnsi" w:hAnsiTheme="minorHAnsi" w:cstheme="minorHAnsi"/>
          <w:sz w:val="24"/>
        </w:rPr>
        <w:t xml:space="preserve"> marca </w:t>
      </w:r>
      <w:r w:rsidRPr="006C4A3D">
        <w:rPr>
          <w:rFonts w:asciiTheme="minorHAnsi" w:hAnsiTheme="minorHAnsi" w:cstheme="minorHAnsi"/>
          <w:sz w:val="24"/>
        </w:rPr>
        <w:t xml:space="preserve">1990 r. o samorządzie gminnym (Dz.U. </w:t>
      </w:r>
      <w:r>
        <w:rPr>
          <w:rFonts w:asciiTheme="minorHAnsi" w:hAnsiTheme="minorHAnsi" w:cstheme="minorHAnsi"/>
          <w:sz w:val="24"/>
        </w:rPr>
        <w:t xml:space="preserve">         </w:t>
      </w:r>
      <w:r w:rsidRPr="006C4A3D">
        <w:rPr>
          <w:rFonts w:asciiTheme="minorHAnsi" w:hAnsiTheme="minorHAnsi" w:cstheme="minorHAnsi"/>
          <w:sz w:val="24"/>
        </w:rPr>
        <w:t>z 2021 r., poz. 1372 ze zm.), do wyłącznej właściwości rady gminy należy między i</w:t>
      </w:r>
      <w:r w:rsidRPr="006C4A3D">
        <w:rPr>
          <w:rFonts w:asciiTheme="minorHAnsi" w:hAnsiTheme="minorHAnsi" w:cstheme="minorHAnsi"/>
          <w:sz w:val="24"/>
        </w:rPr>
        <w:t xml:space="preserve">nnymi ustalanie wynagrodzenia wójta (burmistrza, prezydenta miasta). Decyzja w sprawie wynagrodzenia wójta należy więc do </w:t>
      </w:r>
      <w:r>
        <w:rPr>
          <w:rFonts w:asciiTheme="minorHAnsi" w:hAnsiTheme="minorHAnsi" w:cstheme="minorHAnsi"/>
          <w:sz w:val="24"/>
        </w:rPr>
        <w:t xml:space="preserve">wyłącznej </w:t>
      </w:r>
      <w:r w:rsidRPr="006C4A3D">
        <w:rPr>
          <w:rFonts w:asciiTheme="minorHAnsi" w:hAnsiTheme="minorHAnsi" w:cstheme="minorHAnsi"/>
          <w:sz w:val="24"/>
        </w:rPr>
        <w:t>właściwości rady gminy, a tym samym skuteczna zmiana wysokości tego wynagrodzenia wymaga uchwały w tej sprawie. W praktyce o</w:t>
      </w:r>
      <w:r w:rsidRPr="006C4A3D">
        <w:rPr>
          <w:rFonts w:asciiTheme="minorHAnsi" w:hAnsiTheme="minorHAnsi" w:cstheme="minorHAnsi"/>
          <w:sz w:val="24"/>
        </w:rPr>
        <w:t>znacza to, że wynagrodzenie wójta (burmistrza, prezydenta m</w:t>
      </w:r>
      <w:r>
        <w:rPr>
          <w:rFonts w:asciiTheme="minorHAnsi" w:hAnsiTheme="minorHAnsi" w:cstheme="minorHAnsi"/>
          <w:sz w:val="24"/>
        </w:rPr>
        <w:t xml:space="preserve">iasta) musi ustalać </w:t>
      </w:r>
      <w:r>
        <w:rPr>
          <w:rFonts w:asciiTheme="minorHAnsi" w:hAnsiTheme="minorHAnsi" w:cstheme="minorHAnsi"/>
          <w:sz w:val="24"/>
        </w:rPr>
        <w:t xml:space="preserve">rada </w:t>
      </w:r>
      <w:r>
        <w:rPr>
          <w:rFonts w:asciiTheme="minorHAnsi" w:hAnsiTheme="minorHAnsi" w:cstheme="minorHAnsi"/>
          <w:sz w:val="24"/>
        </w:rPr>
        <w:t xml:space="preserve">w oparciu o </w:t>
      </w:r>
      <w:r w:rsidRPr="006C4A3D">
        <w:rPr>
          <w:rFonts w:asciiTheme="minorHAnsi" w:hAnsiTheme="minorHAnsi" w:cstheme="minorHAnsi"/>
          <w:sz w:val="24"/>
        </w:rPr>
        <w:t xml:space="preserve"> regulacje zawarte w </w:t>
      </w:r>
      <w:hyperlink r:id="rId14" w:anchor="/document/19158306?unitId=zal(1)&amp;cm=DOCUMENT" w:history="1">
        <w:r w:rsidRPr="006C4A3D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załączniku nr 1</w:t>
        </w:r>
      </w:hyperlink>
      <w:r w:rsidRPr="006C4A3D">
        <w:rPr>
          <w:rFonts w:asciiTheme="minorHAnsi" w:hAnsiTheme="minorHAnsi" w:cstheme="minorHAnsi"/>
          <w:sz w:val="24"/>
        </w:rPr>
        <w:t xml:space="preserve"> do r.w.p.s. określające maksymalny po</w:t>
      </w:r>
      <w:r w:rsidRPr="006C4A3D">
        <w:rPr>
          <w:rFonts w:asciiTheme="minorHAnsi" w:hAnsiTheme="minorHAnsi" w:cstheme="minorHAnsi"/>
          <w:sz w:val="24"/>
        </w:rPr>
        <w:t xml:space="preserve">ziom wynagrodzenia zasadniczego i maksymalny poziom dodatku funkcyjnego w zależności od liczby mieszkańców w gminie, a także w </w:t>
      </w:r>
      <w:hyperlink r:id="rId15" w:anchor="/document/19158306?unitId=par(6)&amp;cm=DOCUMENT" w:history="1">
        <w:r w:rsidRPr="006C4A3D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§ 6</w:t>
        </w:r>
      </w:hyperlink>
      <w:r w:rsidRPr="006C4A3D">
        <w:rPr>
          <w:rFonts w:asciiTheme="minorHAnsi" w:hAnsiTheme="minorHAnsi" w:cstheme="minorHAnsi"/>
          <w:sz w:val="24"/>
        </w:rPr>
        <w:t xml:space="preserve"> r.w.p.s. stanowiący, że dodatek specjal</w:t>
      </w:r>
      <w:r w:rsidRPr="006C4A3D">
        <w:rPr>
          <w:rFonts w:asciiTheme="minorHAnsi" w:hAnsiTheme="minorHAnsi" w:cstheme="minorHAnsi"/>
          <w:sz w:val="24"/>
        </w:rPr>
        <w:t>ny dla wójta (burmistrza, prezydenta miasta), starosty oraz marszałka województwa przysługuje w kwocie wynoszącej 30% łącznie wynagrodzenia zas</w:t>
      </w:r>
      <w:r>
        <w:rPr>
          <w:rFonts w:asciiTheme="minorHAnsi" w:hAnsiTheme="minorHAnsi" w:cstheme="minorHAnsi"/>
          <w:sz w:val="24"/>
        </w:rPr>
        <w:t>adniczego i dodatku funkcyjnego oraz</w:t>
      </w:r>
      <w:r w:rsidRPr="006C4A3D">
        <w:rPr>
          <w:rFonts w:asciiTheme="minorHAnsi" w:hAnsiTheme="minorHAnsi" w:cstheme="minorHAnsi"/>
          <w:sz w:val="24"/>
        </w:rPr>
        <w:t xml:space="preserve"> regulacje zawarte w </w:t>
      </w:r>
      <w:hyperlink r:id="rId16" w:anchor="/document/17506209?unitId=art(37)ust(3)&amp;cm=DOCUMENT" w:history="1">
        <w:r w:rsidRPr="006C4A3D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art. 37 ust. 3</w:t>
        </w:r>
      </w:hyperlink>
      <w:r w:rsidRPr="006C4A3D">
        <w:rPr>
          <w:rFonts w:asciiTheme="minorHAnsi" w:hAnsiTheme="minorHAnsi" w:cstheme="minorHAnsi"/>
          <w:sz w:val="24"/>
        </w:rPr>
        <w:t xml:space="preserve"> i </w:t>
      </w:r>
      <w:hyperlink r:id="rId17" w:anchor="/document/17506209?unitId=art(37)ust(4)&amp;cm=DOCUMENT" w:history="1">
        <w:r w:rsidRPr="006C4A3D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4</w:t>
        </w:r>
      </w:hyperlink>
      <w:r w:rsidRPr="006C4A3D">
        <w:rPr>
          <w:rFonts w:asciiTheme="minorHAnsi" w:hAnsiTheme="minorHAnsi" w:cstheme="minorHAnsi"/>
          <w:sz w:val="24"/>
        </w:rPr>
        <w:t xml:space="preserve"> u.o.p.s.</w:t>
      </w:r>
      <w:r>
        <w:rPr>
          <w:rFonts w:asciiTheme="minorHAnsi" w:hAnsiTheme="minorHAnsi" w:cstheme="minorHAnsi"/>
          <w:sz w:val="24"/>
        </w:rPr>
        <w:t>.</w:t>
      </w:r>
    </w:p>
    <w:p w:rsidR="00BD79A8" w:rsidRDefault="00E7609A" w:rsidP="00BD79A8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A86C03">
        <w:rPr>
          <w:rFonts w:asciiTheme="minorHAnsi" w:hAnsiTheme="minorHAnsi" w:cstheme="minorHAnsi"/>
          <w:sz w:val="24"/>
        </w:rPr>
        <w:t>Powyższe kwestie i obowiązujące w tym przedmiocie przepisy prawne nie upoważniają zatem Rady Gmin</w:t>
      </w:r>
      <w:r w:rsidRPr="00A86C03">
        <w:rPr>
          <w:rFonts w:asciiTheme="minorHAnsi" w:hAnsiTheme="minorHAnsi" w:cstheme="minorHAnsi"/>
          <w:sz w:val="24"/>
        </w:rPr>
        <w:t>y do podjęcia abstrakcyjne</w:t>
      </w:r>
      <w:r>
        <w:rPr>
          <w:rFonts w:asciiTheme="minorHAnsi" w:hAnsiTheme="minorHAnsi" w:cstheme="minorHAnsi"/>
          <w:sz w:val="24"/>
        </w:rPr>
        <w:t>go</w:t>
      </w:r>
      <w:r w:rsidRPr="00A86C0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zapisu</w:t>
      </w:r>
      <w:r>
        <w:rPr>
          <w:rFonts w:asciiTheme="minorHAnsi" w:hAnsiTheme="minorHAnsi" w:cstheme="minorHAnsi"/>
          <w:sz w:val="24"/>
        </w:rPr>
        <w:t xml:space="preserve">, jak to ma miejsce w treści § 3 uchwały </w:t>
      </w:r>
      <w:r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lastRenderedPageBreak/>
        <w:t xml:space="preserve">z dnia 21 grudnia 2021 r., </w:t>
      </w:r>
      <w:r w:rsidRPr="00A86C03">
        <w:rPr>
          <w:rFonts w:asciiTheme="minorHAnsi" w:hAnsiTheme="minorHAnsi" w:cstheme="minorHAnsi"/>
          <w:sz w:val="24"/>
        </w:rPr>
        <w:t xml:space="preserve">wprowadzającej automatyzm zmiany wysokości wynagrodzenia </w:t>
      </w:r>
      <w:r>
        <w:rPr>
          <w:rFonts w:asciiTheme="minorHAnsi" w:hAnsiTheme="minorHAnsi" w:cstheme="minorHAnsi"/>
          <w:sz w:val="24"/>
        </w:rPr>
        <w:br/>
      </w:r>
      <w:r w:rsidRPr="00A86C03">
        <w:rPr>
          <w:rFonts w:asciiTheme="minorHAnsi" w:hAnsiTheme="minorHAnsi" w:cstheme="minorHAnsi"/>
          <w:sz w:val="24"/>
        </w:rPr>
        <w:t>w przypadku zmiany przepisów w tym zakresie. Uchwała podejmowana jest w aktualnym dla niej sta</w:t>
      </w:r>
      <w:r w:rsidRPr="00A86C03">
        <w:rPr>
          <w:rFonts w:asciiTheme="minorHAnsi" w:hAnsiTheme="minorHAnsi" w:cstheme="minorHAnsi"/>
          <w:sz w:val="24"/>
        </w:rPr>
        <w:t>nie prawnym i obowiązuje w zakresie ustalonego przez obowiązujące w czasie podjęcia uchwały przepisy. W przypadku zmiany przepisów w tym zakresie, Rada Gminy będzie zobowiązana do podjęcia nowej uchwały w sprawie wynagrodzeni</w:t>
      </w:r>
      <w:r>
        <w:rPr>
          <w:rFonts w:asciiTheme="minorHAnsi" w:hAnsiTheme="minorHAnsi" w:cstheme="minorHAnsi"/>
          <w:sz w:val="24"/>
        </w:rPr>
        <w:t>a</w:t>
      </w:r>
      <w:r w:rsidRPr="00A86C03">
        <w:rPr>
          <w:rFonts w:asciiTheme="minorHAnsi" w:hAnsiTheme="minorHAnsi" w:cstheme="minorHAnsi"/>
          <w:sz w:val="24"/>
        </w:rPr>
        <w:t xml:space="preserve"> Wójta Gminy. Nie jest dopuszc</w:t>
      </w:r>
      <w:r w:rsidRPr="00A86C03">
        <w:rPr>
          <w:rFonts w:asciiTheme="minorHAnsi" w:hAnsiTheme="minorHAnsi" w:cstheme="minorHAnsi"/>
          <w:sz w:val="24"/>
        </w:rPr>
        <w:t xml:space="preserve">zalnym stworzenie w tym zakresie automatyzmu, gdyż jest to przekroczenie uprawnienia wynikającego </w:t>
      </w:r>
      <w:r>
        <w:rPr>
          <w:rFonts w:asciiTheme="minorHAnsi" w:hAnsiTheme="minorHAnsi" w:cstheme="minorHAnsi"/>
          <w:sz w:val="24"/>
        </w:rPr>
        <w:br/>
      </w:r>
      <w:r w:rsidRPr="00A86C03">
        <w:rPr>
          <w:rFonts w:asciiTheme="minorHAnsi" w:hAnsiTheme="minorHAnsi" w:cstheme="minorHAnsi"/>
          <w:sz w:val="24"/>
        </w:rPr>
        <w:t xml:space="preserve">z treści art. 18 ust. 2 pkt 2 ustawy o samorządzie gminnym. Powyższe </w:t>
      </w:r>
      <w:r>
        <w:rPr>
          <w:rFonts w:asciiTheme="minorHAnsi" w:hAnsiTheme="minorHAnsi" w:cstheme="minorHAnsi"/>
          <w:sz w:val="24"/>
        </w:rPr>
        <w:t>stanowisko</w:t>
      </w:r>
      <w:r w:rsidRPr="00A86C03">
        <w:rPr>
          <w:rFonts w:asciiTheme="minorHAnsi" w:hAnsiTheme="minorHAnsi" w:cstheme="minorHAnsi"/>
          <w:sz w:val="24"/>
        </w:rPr>
        <w:t xml:space="preserve"> potwierdza orzecznictwo sądow</w:t>
      </w:r>
      <w:r>
        <w:rPr>
          <w:rFonts w:asciiTheme="minorHAnsi" w:hAnsiTheme="minorHAnsi" w:cstheme="minorHAnsi"/>
          <w:sz w:val="24"/>
        </w:rPr>
        <w:t>e</w:t>
      </w:r>
      <w:r w:rsidRPr="00A86C03">
        <w:rPr>
          <w:rFonts w:asciiTheme="minorHAnsi" w:hAnsiTheme="minorHAnsi" w:cstheme="minorHAnsi"/>
          <w:sz w:val="24"/>
        </w:rPr>
        <w:t xml:space="preserve">, jak choćby wyrok Naczelnego Sądu Administracyjnego z dnia </w:t>
      </w:r>
      <w:r>
        <w:rPr>
          <w:rFonts w:asciiTheme="minorHAnsi" w:hAnsiTheme="minorHAnsi" w:cstheme="minorHAnsi"/>
          <w:sz w:val="24"/>
        </w:rPr>
        <w:br/>
      </w:r>
      <w:r w:rsidRPr="00A86C03">
        <w:rPr>
          <w:rFonts w:asciiTheme="minorHAnsi" w:hAnsiTheme="minorHAnsi" w:cstheme="minorHAnsi"/>
          <w:sz w:val="24"/>
        </w:rPr>
        <w:t>21 listopada 201e roku sygn. akt II OSK 2788/16, w którym stwierdzono</w:t>
      </w:r>
      <w:r>
        <w:rPr>
          <w:rFonts w:asciiTheme="minorHAnsi" w:hAnsiTheme="minorHAnsi" w:cstheme="minorHAnsi"/>
          <w:sz w:val="24"/>
        </w:rPr>
        <w:t>:</w:t>
      </w:r>
      <w:r w:rsidRPr="00A86C0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„</w:t>
      </w:r>
      <w:r w:rsidRPr="00A86C03">
        <w:rPr>
          <w:rFonts w:asciiTheme="minorHAnsi" w:hAnsiTheme="minorHAnsi" w:cstheme="minorHAnsi"/>
          <w:sz w:val="24"/>
        </w:rPr>
        <w:t>Skoro do rady gminy należy ustalenie wysokości wynagrodzenia pracownikowi samorządowemu, to do niej należy również zmiana t</w:t>
      </w:r>
      <w:r w:rsidRPr="00A86C03">
        <w:rPr>
          <w:rFonts w:asciiTheme="minorHAnsi" w:hAnsiTheme="minorHAnsi" w:cstheme="minorHAnsi"/>
          <w:sz w:val="24"/>
        </w:rPr>
        <w:t xml:space="preserve">ej wysokości. W tym zakresie rada gminy może podjąć uchwałę zmieniająca wysokość wynagrodzenia burmistrza, ale treść tej uchwały również musi odpowiadać wymogom art. 36 ust. 3 ustawy z 2008 r. o pracownikach samorządowych w zw. z § 6 rozporządzenia z dnia </w:t>
      </w:r>
      <w:r w:rsidRPr="00A86C03">
        <w:rPr>
          <w:rFonts w:asciiTheme="minorHAnsi" w:hAnsiTheme="minorHAnsi" w:cstheme="minorHAnsi"/>
          <w:sz w:val="24"/>
        </w:rPr>
        <w:t>18 marca 2009 r. w sprawie wynagrodzenia pracowników samorządowych (Dz. U. z 2013 r. poz. 1050)</w:t>
      </w:r>
      <w:r>
        <w:rPr>
          <w:rFonts w:asciiTheme="minorHAnsi" w:hAnsiTheme="minorHAnsi" w:cstheme="minorHAnsi"/>
          <w:sz w:val="24"/>
        </w:rPr>
        <w:t>.”.</w:t>
      </w:r>
      <w:r>
        <w:rPr>
          <w:rFonts w:asciiTheme="minorHAnsi" w:hAnsiTheme="minorHAnsi" w:cstheme="minorHAnsi"/>
          <w:sz w:val="24"/>
        </w:rPr>
        <w:t xml:space="preserve"> Powyższe orzeczenie jest aktualne również w świetle nowych przepisów prawa. </w:t>
      </w:r>
    </w:p>
    <w:p w:rsidR="00BD79A8" w:rsidRPr="00A86C03" w:rsidRDefault="00E7609A" w:rsidP="00BD79A8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A86C03">
        <w:rPr>
          <w:rFonts w:asciiTheme="minorHAnsi" w:hAnsiTheme="minorHAnsi" w:cstheme="minorHAnsi"/>
          <w:sz w:val="24"/>
        </w:rPr>
        <w:t xml:space="preserve">Wskazana podstawa prawna uchwały, tj. art. 18 ust. 2 pkt 2 ustawy o samorządzie </w:t>
      </w:r>
      <w:r w:rsidRPr="00A86C03">
        <w:rPr>
          <w:rFonts w:asciiTheme="minorHAnsi" w:hAnsiTheme="minorHAnsi" w:cstheme="minorHAnsi"/>
          <w:sz w:val="24"/>
        </w:rPr>
        <w:t xml:space="preserve">gminnym stanowi, że do wyłącznej właściwości rady gminy należy ustalanie wynagrodzenia wójta, stanowienie o kierunkach jego działania oraz przyjmowanie sprawozdań z jego działalności. </w:t>
      </w:r>
      <w:r>
        <w:rPr>
          <w:rFonts w:asciiTheme="minorHAnsi" w:hAnsiTheme="minorHAnsi" w:cstheme="minorHAnsi"/>
          <w:sz w:val="24"/>
        </w:rPr>
        <w:br/>
      </w:r>
      <w:r w:rsidRPr="00A86C03">
        <w:rPr>
          <w:rFonts w:asciiTheme="minorHAnsi" w:hAnsiTheme="minorHAnsi" w:cstheme="minorHAnsi"/>
          <w:sz w:val="24"/>
        </w:rPr>
        <w:t xml:space="preserve">W normie tej nie mieści się </w:t>
      </w:r>
      <w:r>
        <w:rPr>
          <w:rFonts w:asciiTheme="minorHAnsi" w:hAnsiTheme="minorHAnsi" w:cstheme="minorHAnsi"/>
          <w:sz w:val="24"/>
        </w:rPr>
        <w:t xml:space="preserve">zatem upoważnienie </w:t>
      </w:r>
      <w:r>
        <w:rPr>
          <w:rFonts w:asciiTheme="minorHAnsi" w:hAnsiTheme="minorHAnsi" w:cstheme="minorHAnsi"/>
          <w:sz w:val="24"/>
        </w:rPr>
        <w:t>do ustalania zasad wynag</w:t>
      </w:r>
      <w:r>
        <w:rPr>
          <w:rFonts w:asciiTheme="minorHAnsi" w:hAnsiTheme="minorHAnsi" w:cstheme="minorHAnsi"/>
          <w:sz w:val="24"/>
        </w:rPr>
        <w:t>radzania</w:t>
      </w:r>
      <w:r w:rsidRPr="00A86C03">
        <w:rPr>
          <w:rFonts w:asciiTheme="minorHAnsi" w:hAnsiTheme="minorHAnsi" w:cstheme="minorHAnsi"/>
          <w:sz w:val="24"/>
        </w:rPr>
        <w:t xml:space="preserve">. </w:t>
      </w:r>
    </w:p>
    <w:p w:rsidR="00BD79A8" w:rsidRPr="00A86C03" w:rsidRDefault="00E7609A" w:rsidP="00BD79A8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A86C03">
        <w:rPr>
          <w:rFonts w:asciiTheme="minorHAnsi" w:hAnsiTheme="minorHAnsi" w:cstheme="minorHAnsi"/>
          <w:sz w:val="24"/>
        </w:rPr>
        <w:t>Brak wskazania właściwej podstawy prawnej podjętej uchwały należy traktować jako istotne naruszenia prawa. Wprawdzie ustawa o samorządzie gminnym nie określa rodzaju naruszeń prawa, które należy zakwalifikować do istotnego naruszenia prawa, jedn</w:t>
      </w:r>
      <w:r w:rsidRPr="00A86C03">
        <w:rPr>
          <w:rFonts w:asciiTheme="minorHAnsi" w:hAnsiTheme="minorHAnsi" w:cstheme="minorHAnsi"/>
          <w:sz w:val="24"/>
        </w:rPr>
        <w:t xml:space="preserve">akże </w:t>
      </w:r>
      <w:r w:rsidRPr="00A86C03">
        <w:rPr>
          <w:rFonts w:asciiTheme="minorHAnsi" w:hAnsiTheme="minorHAnsi" w:cstheme="minorHAnsi"/>
          <w:sz w:val="24"/>
        </w:rPr>
        <w:br/>
        <w:t>w orzecznictwie sądowym przyjmuje się, że są to takiego rodzaju naruszenia prawa jak: podjęcie uchwały przez organ niewłaściwy, brak podstawy do podjęcia uchwały określonej treści, niewłaściwe zastosowanie przepisu prawnego będącego podstawą podjęcia</w:t>
      </w:r>
      <w:r w:rsidRPr="00A86C03">
        <w:rPr>
          <w:rFonts w:asciiTheme="minorHAnsi" w:hAnsiTheme="minorHAnsi" w:cstheme="minorHAnsi"/>
          <w:sz w:val="24"/>
        </w:rPr>
        <w:t xml:space="preserve"> uchwały, naruszenie procedury podjęcia uchwały (por. wyrok NSA z dnia 29 listopada 2006 r., </w:t>
      </w:r>
      <w:r w:rsidRPr="00A86C03">
        <w:rPr>
          <w:rFonts w:asciiTheme="minorHAnsi" w:hAnsiTheme="minorHAnsi" w:cstheme="minorHAnsi"/>
          <w:sz w:val="24"/>
        </w:rPr>
        <w:br/>
        <w:t xml:space="preserve">sygn. akt </w:t>
      </w:r>
      <w:hyperlink r:id="rId18" w:anchor="/document/520414587?cm=DOCUMENT" w:history="1">
        <w:r w:rsidRPr="00A86C03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I OSK 1287/06</w:t>
        </w:r>
      </w:hyperlink>
      <w:r w:rsidRPr="00A86C03">
        <w:rPr>
          <w:rFonts w:asciiTheme="minorHAnsi" w:hAnsiTheme="minorHAnsi" w:cstheme="minorHAnsi"/>
          <w:sz w:val="24"/>
        </w:rPr>
        <w:t>, LEX nr 320891; wyrok WSA w Warszawie z dnia 21 marca 2007 r., sy</w:t>
      </w:r>
      <w:r w:rsidRPr="00A86C03">
        <w:rPr>
          <w:rFonts w:asciiTheme="minorHAnsi" w:hAnsiTheme="minorHAnsi" w:cstheme="minorHAnsi"/>
          <w:sz w:val="24"/>
        </w:rPr>
        <w:t xml:space="preserve">gn. akt </w:t>
      </w:r>
      <w:hyperlink r:id="rId19" w:anchor="/document/520414509?cm=DOCUMENT" w:history="1">
        <w:r w:rsidRPr="00A86C03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IV SA/Wa 2296/06</w:t>
        </w:r>
      </w:hyperlink>
      <w:r w:rsidRPr="00A86C03">
        <w:rPr>
          <w:rFonts w:asciiTheme="minorHAnsi" w:hAnsiTheme="minorHAnsi" w:cstheme="minorHAnsi"/>
          <w:sz w:val="24"/>
        </w:rPr>
        <w:t xml:space="preserve">, LEX nr 320813). Zgodnie ze stanowiskiem doktryny oraz </w:t>
      </w:r>
      <w:r w:rsidRPr="00A86C03">
        <w:rPr>
          <w:rFonts w:asciiTheme="minorHAnsi" w:hAnsiTheme="minorHAnsi" w:cstheme="minorHAnsi"/>
          <w:sz w:val="24"/>
        </w:rPr>
        <w:br/>
        <w:t>z ustalonym orzecznictwem sądów administracyjnych, do istotnego naruszenia prawa należy zaliczyć narus</w:t>
      </w:r>
      <w:r w:rsidRPr="00A86C03">
        <w:rPr>
          <w:rFonts w:asciiTheme="minorHAnsi" w:hAnsiTheme="minorHAnsi" w:cstheme="minorHAnsi"/>
          <w:sz w:val="24"/>
        </w:rPr>
        <w:t xml:space="preserve">zenie przez organ gminy podejmujący uchwałę podjęcie takiego aktu bez podstawy prawnej  poprzez wadliwe zastosowanie normy prawnej będącej podstawą prawną podjęcia aktu. Ze sformułowanej w </w:t>
      </w:r>
      <w:hyperlink r:id="rId20" w:anchor="/document/16798613?unitId=art(7)&amp;cm=DOCUMENT" w:history="1">
        <w:r w:rsidRPr="00A86C03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art. 7</w:t>
        </w:r>
      </w:hyperlink>
      <w:r w:rsidRPr="00A86C03">
        <w:rPr>
          <w:rFonts w:asciiTheme="minorHAnsi" w:hAnsiTheme="minorHAnsi" w:cstheme="minorHAnsi"/>
          <w:sz w:val="24"/>
        </w:rPr>
        <w:t xml:space="preserve"> Konstytucji RP zasady praworządności wynika obowiązek organów </w:t>
      </w:r>
      <w:r w:rsidRPr="00A86C03">
        <w:rPr>
          <w:rFonts w:asciiTheme="minorHAnsi" w:hAnsiTheme="minorHAnsi" w:cstheme="minorHAnsi"/>
          <w:sz w:val="24"/>
        </w:rPr>
        <w:lastRenderedPageBreak/>
        <w:t>władzy publicznej działania na podstawie i w granicach prawa. Zasada ta wymaga, aby wszystkie rozstrzygnięcia organów administracji miały swoją podstawę prawną.</w:t>
      </w:r>
    </w:p>
    <w:p w:rsidR="00BD79A8" w:rsidRPr="006C4A3D" w:rsidRDefault="00E7609A" w:rsidP="00BD79A8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</w:p>
    <w:p w:rsidR="00BD79A8" w:rsidRPr="00D72615" w:rsidRDefault="00E7609A" w:rsidP="00BD79A8">
      <w:pPr>
        <w:pStyle w:val="Tekstpodstawowy"/>
        <w:ind w:right="-1" w:firstLine="708"/>
        <w:rPr>
          <w:rFonts w:ascii="Calibri" w:hAnsi="Calibri" w:cs="Calibri"/>
          <w:sz w:val="24"/>
        </w:rPr>
      </w:pPr>
      <w:r w:rsidRPr="00D72615">
        <w:rPr>
          <w:rFonts w:ascii="Calibri" w:hAnsi="Calibri" w:cs="Calibri"/>
          <w:sz w:val="24"/>
        </w:rPr>
        <w:t>Biorąc</w:t>
      </w:r>
      <w:r w:rsidRPr="00D72615">
        <w:rPr>
          <w:rFonts w:ascii="Calibri" w:hAnsi="Calibri" w:cs="Calibri"/>
          <w:sz w:val="24"/>
        </w:rPr>
        <w:t xml:space="preserve"> powyższe pod uwagę, uznać należy, </w:t>
      </w:r>
      <w:r>
        <w:rPr>
          <w:rFonts w:ascii="Calibri" w:hAnsi="Calibri" w:cs="Calibri"/>
          <w:sz w:val="24"/>
        </w:rPr>
        <w:t xml:space="preserve">że § 3 </w:t>
      </w:r>
      <w:r w:rsidRPr="00D72615">
        <w:rPr>
          <w:rFonts w:ascii="Calibri" w:hAnsi="Calibri" w:cs="Calibri"/>
          <w:sz w:val="24"/>
        </w:rPr>
        <w:t>uchwał</w:t>
      </w:r>
      <w:r>
        <w:rPr>
          <w:rFonts w:ascii="Calibri" w:hAnsi="Calibri" w:cs="Calibri"/>
          <w:sz w:val="24"/>
        </w:rPr>
        <w:t>y</w:t>
      </w:r>
      <w:r w:rsidRPr="00D72615">
        <w:rPr>
          <w:rFonts w:ascii="Calibri" w:hAnsi="Calibri" w:cs="Calibri"/>
          <w:sz w:val="24"/>
        </w:rPr>
        <w:t xml:space="preserve"> Rady </w:t>
      </w:r>
      <w:r>
        <w:rPr>
          <w:rFonts w:ascii="Calibri" w:hAnsi="Calibri" w:cs="Calibri"/>
          <w:sz w:val="24"/>
        </w:rPr>
        <w:t xml:space="preserve">Gminy w Rzeczniowie </w:t>
      </w:r>
      <w:r>
        <w:rPr>
          <w:rFonts w:ascii="Calibri" w:hAnsi="Calibri" w:cs="Calibri"/>
          <w:bCs/>
          <w:sz w:val="24"/>
        </w:rPr>
        <w:t>Nr XXXVII.216.2021 z dnia 29 grudnia 2021 r. w sprawie ustalenia wynagrodzenia Wójta Gminy Rzeczniów</w:t>
      </w:r>
      <w:r w:rsidRPr="00D72615">
        <w:rPr>
          <w:rFonts w:ascii="Calibri" w:hAnsi="Calibri" w:cs="Calibri"/>
          <w:sz w:val="24"/>
        </w:rPr>
        <w:t xml:space="preserve"> narusza prawo w sposób istotny, co uzasadnia stwierdzenie nieważności uchwały </w:t>
      </w:r>
      <w:r>
        <w:rPr>
          <w:rFonts w:ascii="Calibri" w:hAnsi="Calibri" w:cs="Calibri"/>
          <w:sz w:val="24"/>
        </w:rPr>
        <w:br/>
      </w:r>
      <w:r w:rsidRPr="00D72615">
        <w:rPr>
          <w:rFonts w:ascii="Calibri" w:hAnsi="Calibri" w:cs="Calibri"/>
          <w:sz w:val="24"/>
        </w:rPr>
        <w:t>w</w:t>
      </w:r>
      <w:r w:rsidRPr="00D72615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tym zakresie</w:t>
      </w:r>
      <w:r w:rsidRPr="00D72615">
        <w:rPr>
          <w:rFonts w:ascii="Calibri" w:hAnsi="Calibri" w:cs="Calibri"/>
          <w:sz w:val="24"/>
        </w:rPr>
        <w:t xml:space="preserve">. </w:t>
      </w:r>
    </w:p>
    <w:p w:rsidR="00BD79A8" w:rsidRPr="00D72615" w:rsidRDefault="00E7609A" w:rsidP="00BD79A8">
      <w:pPr>
        <w:pStyle w:val="Tekstpodstawowy"/>
        <w:ind w:right="-1"/>
        <w:rPr>
          <w:rFonts w:ascii="Calibri" w:hAnsi="Calibri" w:cs="Calibri"/>
          <w:sz w:val="24"/>
        </w:rPr>
      </w:pPr>
    </w:p>
    <w:p w:rsidR="00BD79A8" w:rsidRPr="00D72615" w:rsidRDefault="00E7609A" w:rsidP="00BD79A8">
      <w:pPr>
        <w:spacing w:line="360" w:lineRule="auto"/>
        <w:ind w:firstLine="708"/>
        <w:jc w:val="both"/>
        <w:rPr>
          <w:rFonts w:ascii="Calibri" w:hAnsi="Calibri" w:cs="Calibri"/>
          <w:bCs/>
        </w:rPr>
      </w:pPr>
      <w:r w:rsidRPr="00D72615">
        <w:rPr>
          <w:rFonts w:ascii="Calibri" w:hAnsi="Calibri" w:cs="Calibri"/>
        </w:rPr>
        <w:t>Informuję, że rozstrzygnięcie nadzorcze wstrzymuje wykonanie uchwały z mocy prawa</w:t>
      </w:r>
      <w:r w:rsidRPr="00D72615">
        <w:rPr>
          <w:rFonts w:ascii="Calibri" w:hAnsi="Calibri" w:cs="Calibri"/>
          <w:bCs/>
        </w:rPr>
        <w:t xml:space="preserve"> z dniem jego doręczenia.</w:t>
      </w:r>
    </w:p>
    <w:p w:rsidR="00BD79A8" w:rsidRPr="00D72615" w:rsidRDefault="00E7609A" w:rsidP="00BD79A8">
      <w:pPr>
        <w:spacing w:line="360" w:lineRule="auto"/>
        <w:ind w:firstLine="708"/>
        <w:jc w:val="both"/>
        <w:rPr>
          <w:rFonts w:ascii="Calibri" w:hAnsi="Calibri" w:cs="Calibri"/>
          <w:bCs/>
        </w:rPr>
      </w:pPr>
    </w:p>
    <w:p w:rsidR="00BD79A8" w:rsidRPr="00D72615" w:rsidRDefault="00E7609A" w:rsidP="00BD79A8">
      <w:pPr>
        <w:spacing w:line="360" w:lineRule="auto"/>
        <w:ind w:firstLine="708"/>
        <w:jc w:val="both"/>
        <w:rPr>
          <w:rFonts w:ascii="Calibri" w:hAnsi="Calibri" w:cs="Calibri"/>
          <w:bCs/>
        </w:rPr>
      </w:pPr>
      <w:r w:rsidRPr="00D72615">
        <w:rPr>
          <w:rFonts w:ascii="Calibri" w:hAnsi="Calibri" w:cs="Calibri"/>
          <w:bCs/>
        </w:rPr>
        <w:t xml:space="preserve">Na niniejsze rozstrzygnięcie nadzorcze Gminie przysługuje skarga do Wojewódzkiego Sądu Administracyjnego w Warszawie w terminie 30 </w:t>
      </w:r>
      <w:r w:rsidRPr="00D72615">
        <w:rPr>
          <w:rFonts w:ascii="Calibri" w:hAnsi="Calibri" w:cs="Calibri"/>
          <w:bCs/>
        </w:rPr>
        <w:t>dni od daty doręczenia, wnoszona za moim pośrednictwem.</w:t>
      </w:r>
    </w:p>
    <w:p w:rsidR="004824F3" w:rsidRDefault="00E7609A" w:rsidP="004330A8">
      <w:pPr>
        <w:spacing w:before="840"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poważaniem</w:t>
      </w:r>
    </w:p>
    <w:p w:rsidR="004330A8" w:rsidRDefault="00E7609A" w:rsidP="004330A8">
      <w:pPr>
        <w:spacing w:before="12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4330A8" w:rsidRDefault="00E7609A" w:rsidP="004330A8">
      <w:pPr>
        <w:spacing w:before="120" w:line="276" w:lineRule="auto"/>
        <w:ind w:left="3402"/>
        <w:jc w:val="center"/>
        <w:rPr>
          <w:rFonts w:ascii="Calibri" w:hAnsi="Calibri" w:cs="Calibri"/>
        </w:rPr>
      </w:pPr>
      <w:bookmarkStart w:id="4" w:name="ezdPracownikStanowisko"/>
      <w:r>
        <w:rPr>
          <w:rFonts w:ascii="Calibri" w:hAnsi="Calibri" w:cs="Calibri"/>
        </w:rPr>
        <w:t>Wojewoda Mazowiecki</w:t>
      </w:r>
      <w:bookmarkEnd w:id="4"/>
    </w:p>
    <w:p w:rsidR="00691727" w:rsidRDefault="00E7609A" w:rsidP="004330A8">
      <w:pPr>
        <w:spacing w:before="12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E7609A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9A"/>
    <w:rsid w:val="00E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C93642-C09E-4F98-BB4E-670FBEE1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D79A8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D79A8"/>
    <w:rPr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D7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E17A-F7FD-4257-AEBF-A4F4FC7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2022-02-07T10:53:00Z</dcterms:created>
  <dcterms:modified xsi:type="dcterms:W3CDTF">2022-02-07T10:53:00Z</dcterms:modified>
</cp:coreProperties>
</file>