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843"/>
        <w:gridCol w:w="1843"/>
        <w:gridCol w:w="5670"/>
        <w:gridCol w:w="4076"/>
      </w:tblGrid>
      <w:tr w:rsidR="00E35677" w:rsidRPr="00FF4480" w14:paraId="56E089F6" w14:textId="77777777" w:rsidTr="00B919AF">
        <w:trPr>
          <w:trHeight w:val="592"/>
          <w:jc w:val="center"/>
        </w:trPr>
        <w:tc>
          <w:tcPr>
            <w:tcW w:w="13994" w:type="dxa"/>
            <w:gridSpan w:val="5"/>
            <w:shd w:val="clear" w:color="auto" w:fill="A6A6A6" w:themeFill="background1" w:themeFillShade="A6"/>
            <w:vAlign w:val="center"/>
          </w:tcPr>
          <w:p w14:paraId="262AE6AF" w14:textId="261FEE1C" w:rsidR="00E35677" w:rsidRPr="006D0AE4" w:rsidRDefault="003514BB" w:rsidP="006D0A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</w:t>
            </w:r>
            <w:r w:rsidR="00E35677" w:rsidRPr="002A6ED8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wagi do projektu </w:t>
            </w:r>
            <w:r w:rsidR="00741A58" w:rsidRPr="00741A58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ustawy </w:t>
            </w:r>
            <w:r w:rsidR="006D0AE4" w:rsidRPr="006D0AE4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o zmianie ustawy – Kodeks cywilny oraz niektórych innych ustaw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(UD222)</w:t>
            </w:r>
            <w:r w:rsidR="00E35677" w:rsidRPr="002A6ED8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br/>
            </w:r>
            <w:r w:rsidR="00E35677" w:rsidRPr="00E356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(projekt z dnia </w:t>
            </w:r>
            <w:r w:rsidR="009625F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28 marca</w:t>
            </w:r>
            <w:r w:rsidR="00E23A7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202</w:t>
            </w:r>
            <w:r w:rsidR="009625F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E35677" w:rsidRPr="00E356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r.)</w:t>
            </w:r>
          </w:p>
        </w:tc>
      </w:tr>
      <w:tr w:rsidR="008842F2" w:rsidRPr="00FF4480" w14:paraId="0F5D1353" w14:textId="77777777" w:rsidTr="00B919AF">
        <w:trPr>
          <w:jc w:val="center"/>
        </w:trPr>
        <w:tc>
          <w:tcPr>
            <w:tcW w:w="13994" w:type="dxa"/>
            <w:gridSpan w:val="5"/>
            <w:shd w:val="clear" w:color="auto" w:fill="A6A6A6" w:themeFill="background1" w:themeFillShade="A6"/>
          </w:tcPr>
          <w:p w14:paraId="7F1979A8" w14:textId="77777777" w:rsidR="008842F2" w:rsidRPr="00865AF4" w:rsidRDefault="008842F2" w:rsidP="008842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365F91" w:themeColor="accent1" w:themeShade="BF"/>
                <w:sz w:val="24"/>
                <w:szCs w:val="24"/>
              </w:rPr>
            </w:pPr>
            <w:r w:rsidRPr="00865A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Uwagi </w:t>
            </w:r>
            <w:r w:rsidR="00865A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ogólne</w:t>
            </w:r>
          </w:p>
        </w:tc>
      </w:tr>
      <w:tr w:rsidR="00252F32" w:rsidRPr="00FF4480" w14:paraId="2746B0BC" w14:textId="77777777" w:rsidTr="00B241C8">
        <w:trPr>
          <w:jc w:val="center"/>
        </w:trPr>
        <w:tc>
          <w:tcPr>
            <w:tcW w:w="562" w:type="dxa"/>
          </w:tcPr>
          <w:p w14:paraId="65537CAC" w14:textId="4511823A" w:rsidR="003E5D74" w:rsidRPr="00B919AF" w:rsidRDefault="00252F32" w:rsidP="00252F32">
            <w:pPr>
              <w:spacing w:before="120"/>
              <w:ind w:right="-534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</w:t>
            </w:r>
          </w:p>
        </w:tc>
        <w:tc>
          <w:tcPr>
            <w:tcW w:w="1843" w:type="dxa"/>
            <w:vAlign w:val="center"/>
          </w:tcPr>
          <w:p w14:paraId="15D4059A" w14:textId="77777777" w:rsidR="003E5D74" w:rsidRDefault="00F013CD" w:rsidP="00252F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Sąd Najwyższy</w:t>
            </w:r>
          </w:p>
          <w:p w14:paraId="4EE2AD99" w14:textId="28A9E9BA" w:rsidR="00F013CD" w:rsidRPr="00FF4480" w:rsidRDefault="00F013CD" w:rsidP="00252F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BSiA SN</w:t>
            </w:r>
          </w:p>
        </w:tc>
        <w:tc>
          <w:tcPr>
            <w:tcW w:w="1843" w:type="dxa"/>
            <w:vAlign w:val="center"/>
          </w:tcPr>
          <w:p w14:paraId="692A9BA0" w14:textId="7A1FB9C8" w:rsidR="003E5D74" w:rsidRPr="00FF4480" w:rsidRDefault="003E5D74" w:rsidP="00252F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0" w:type="dxa"/>
            <w:vAlign w:val="center"/>
          </w:tcPr>
          <w:p w14:paraId="22A1292F" w14:textId="09076D3B" w:rsidR="003E5D74" w:rsidRPr="00E511EC" w:rsidRDefault="006905CD" w:rsidP="00A668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 uznaniem należy odnotować informację projektodawcy o zleceniu wykonania badań akt sądowych w celu pozyskania </w:t>
            </w:r>
            <w:r w:rsidRPr="006905CD">
              <w:rPr>
                <w:rFonts w:ascii="Times New Roman" w:hAnsi="Times New Roman" w:cs="Times New Roman"/>
                <w:sz w:val="20"/>
                <w:szCs w:val="20"/>
              </w:rPr>
              <w:t xml:space="preserve">informacji co do skali występowania przypadków powołania do dziedziczenia innych zstępnych dziadków niż wymienieni w ograniczającej propozycji projektu, </w:t>
            </w:r>
            <w:r w:rsidR="00601653">
              <w:rPr>
                <w:rFonts w:ascii="Times New Roman" w:hAnsi="Times New Roman" w:cs="Times New Roman"/>
                <w:sz w:val="20"/>
                <w:szCs w:val="20"/>
              </w:rPr>
              <w:t xml:space="preserve">oraz </w:t>
            </w:r>
            <w:r w:rsidRPr="006905CD">
              <w:rPr>
                <w:rFonts w:ascii="Times New Roman" w:hAnsi="Times New Roman" w:cs="Times New Roman"/>
                <w:sz w:val="20"/>
                <w:szCs w:val="20"/>
              </w:rPr>
              <w:t>informacji o wielkości udziału odległych zstępnych dziadków wśród wnioskodawców w sprawach o uchylenie się od skutków niezłożenia oświadczenia o przyjęciu/odrzuceniu spadku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016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 zapoznaniu się z wynikami tego badania będzie </w:t>
            </w:r>
            <w:r w:rsidRPr="006905CD">
              <w:rPr>
                <w:rFonts w:ascii="Times New Roman" w:hAnsi="Times New Roman" w:cs="Times New Roman"/>
                <w:sz w:val="20"/>
                <w:szCs w:val="20"/>
              </w:rPr>
              <w:t xml:space="preserve">możliwe zajęcie stanowiska co do celowości </w:t>
            </w:r>
            <w:r w:rsidR="00601653">
              <w:rPr>
                <w:rFonts w:ascii="Times New Roman" w:hAnsi="Times New Roman" w:cs="Times New Roman"/>
                <w:sz w:val="20"/>
                <w:szCs w:val="20"/>
              </w:rPr>
              <w:t>ograniczenia kręgu spadkobierców ustawowych (projektowana zmiana art. 934 k.c.).</w:t>
            </w:r>
          </w:p>
        </w:tc>
        <w:tc>
          <w:tcPr>
            <w:tcW w:w="4076" w:type="dxa"/>
          </w:tcPr>
          <w:p w14:paraId="1E276F86" w14:textId="501DEF57" w:rsidR="00866131" w:rsidRDefault="00866131" w:rsidP="0086613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875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Wyjaśnienie</w:t>
            </w:r>
          </w:p>
          <w:p w14:paraId="2773B9BE" w14:textId="1DA97F66" w:rsidR="00866131" w:rsidRDefault="00866131" w:rsidP="00866131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  <w:p w14:paraId="358129EE" w14:textId="2B2F3A9A" w:rsidR="006663D7" w:rsidRDefault="00866131" w:rsidP="00846E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520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Opracowa</w:t>
            </w:r>
            <w:r w:rsidR="006663D7" w:rsidRPr="00C8520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 została przez dr. S. Kotas -</w:t>
            </w:r>
            <w:proofErr w:type="spellStart"/>
            <w:r w:rsidR="006663D7" w:rsidRPr="00C8520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Turoboyską</w:t>
            </w:r>
            <w:proofErr w:type="spellEnd"/>
            <w:r w:rsidR="006663D7" w:rsidRPr="00C8520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ramienia </w:t>
            </w:r>
            <w:r w:rsidR="006663D7" w:rsidRPr="00C85203">
              <w:rPr>
                <w:rFonts w:ascii="Times New Roman" w:hAnsi="Times New Roman" w:cs="Times New Roman"/>
                <w:sz w:val="20"/>
                <w:szCs w:val="20"/>
              </w:rPr>
              <w:t>Instytutu Wymiaru Sprawiedliwości opinia (n</w:t>
            </w:r>
            <w:r w:rsidR="006663D7" w:rsidRPr="00C8520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 podstawie przeprowadzonych badań aktowych) nt</w:t>
            </w:r>
            <w:r w:rsidRPr="00C8520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„</w:t>
            </w:r>
            <w:r w:rsidRPr="00C8520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Przyczyny przewlekłości wieloletnich postępowań o stwierdzenie nabycia spadku</w:t>
            </w:r>
            <w:r w:rsidRPr="00C85203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="005168DB">
              <w:rPr>
                <w:rStyle w:val="Odwoanieprzypisudolnego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="005168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0F9042E" w14:textId="77777777" w:rsidR="00E7146C" w:rsidRPr="00C85203" w:rsidRDefault="00E7146C" w:rsidP="00846E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068FE0" w14:textId="21D2A1C0" w:rsidR="00C85203" w:rsidRDefault="006663D7" w:rsidP="009D19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5203">
              <w:rPr>
                <w:rFonts w:ascii="Times New Roman" w:hAnsi="Times New Roman" w:cs="Times New Roman"/>
                <w:sz w:val="20"/>
                <w:szCs w:val="20"/>
              </w:rPr>
              <w:t xml:space="preserve">Z opinii </w:t>
            </w:r>
            <w:r w:rsidR="00C85203" w:rsidRPr="00C85203">
              <w:rPr>
                <w:rFonts w:ascii="Times New Roman" w:hAnsi="Times New Roman" w:cs="Times New Roman"/>
                <w:sz w:val="20"/>
                <w:szCs w:val="20"/>
              </w:rPr>
              <w:t xml:space="preserve">wynika kilka istotnych wniosków. Połowa analizowanych postępowań (50,3%) trwała 3 - 4 lata, a aż 12,9% postępowań to postępowania 5-letnie. </w:t>
            </w:r>
            <w:r w:rsidR="00C85203">
              <w:rPr>
                <w:rFonts w:ascii="Times New Roman" w:hAnsi="Times New Roman" w:cs="Times New Roman"/>
                <w:sz w:val="20"/>
                <w:szCs w:val="20"/>
              </w:rPr>
              <w:t>Główną pr</w:t>
            </w:r>
            <w:r w:rsidR="00C85203" w:rsidRPr="00C85203">
              <w:rPr>
                <w:rFonts w:ascii="Times New Roman" w:hAnsi="Times New Roman" w:cs="Times New Roman"/>
                <w:sz w:val="20"/>
                <w:szCs w:val="20"/>
              </w:rPr>
              <w:t>zyczyną najdłużej trwając</w:t>
            </w:r>
            <w:r w:rsidR="00C85203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="00C85203" w:rsidRPr="00C85203">
              <w:rPr>
                <w:rFonts w:ascii="Times New Roman" w:hAnsi="Times New Roman" w:cs="Times New Roman"/>
                <w:sz w:val="20"/>
                <w:szCs w:val="20"/>
              </w:rPr>
              <w:t xml:space="preserve"> postępowa</w:t>
            </w:r>
            <w:r w:rsidR="00C85203">
              <w:rPr>
                <w:rFonts w:ascii="Times New Roman" w:hAnsi="Times New Roman" w:cs="Times New Roman"/>
                <w:sz w:val="20"/>
                <w:szCs w:val="20"/>
              </w:rPr>
              <w:t xml:space="preserve">ń </w:t>
            </w:r>
            <w:r w:rsidR="00C85203" w:rsidRPr="00C85203">
              <w:rPr>
                <w:rFonts w:ascii="Times New Roman" w:hAnsi="Times New Roman" w:cs="Times New Roman"/>
                <w:sz w:val="20"/>
                <w:szCs w:val="20"/>
              </w:rPr>
              <w:t xml:space="preserve">była konieczność wzywania do udziału w sprawie kolejnych spadkobierców, ponieważ większość z nich składała oświadczenia o odrzuceniu spadku. </w:t>
            </w:r>
            <w:r w:rsidR="008565F8">
              <w:rPr>
                <w:rFonts w:ascii="Times New Roman" w:hAnsi="Times New Roman" w:cs="Times New Roman"/>
                <w:sz w:val="20"/>
                <w:szCs w:val="20"/>
              </w:rPr>
              <w:t>Ustalono też, że ś</w:t>
            </w:r>
            <w:r w:rsidR="00891E1D">
              <w:rPr>
                <w:rFonts w:ascii="Times New Roman" w:hAnsi="Times New Roman" w:cs="Times New Roman"/>
                <w:sz w:val="20"/>
                <w:szCs w:val="20"/>
              </w:rPr>
              <w:t xml:space="preserve">redni czas trwania postępowania o stwierdzeniu nabycia spadku był krótszy w sprawach, gdy dziedziczenie następowało na podstawie testamentu, a dłuższy </w:t>
            </w:r>
            <w:r w:rsidR="009D19D9">
              <w:rPr>
                <w:rFonts w:ascii="Times New Roman" w:hAnsi="Times New Roman" w:cs="Times New Roman"/>
                <w:sz w:val="20"/>
                <w:szCs w:val="20"/>
              </w:rPr>
              <w:t xml:space="preserve">przy dziedziczeniu z ustawy. Jednocześnie ustalono, że najdłużej trwały postępowania, w których brało udział wielu uczestników. Dodatkowo dokonana analiza akt </w:t>
            </w:r>
            <w:r w:rsidR="008565F8">
              <w:rPr>
                <w:rFonts w:ascii="Times New Roman" w:hAnsi="Times New Roman" w:cs="Times New Roman"/>
                <w:sz w:val="20"/>
                <w:szCs w:val="20"/>
              </w:rPr>
              <w:t xml:space="preserve">spraw sądowych wykazała, </w:t>
            </w:r>
            <w:r w:rsidR="009D19D9">
              <w:rPr>
                <w:rFonts w:ascii="Times New Roman" w:hAnsi="Times New Roman" w:cs="Times New Roman"/>
                <w:sz w:val="20"/>
                <w:szCs w:val="20"/>
              </w:rPr>
              <w:t xml:space="preserve">że na długość trwania postępowań ma </w:t>
            </w:r>
            <w:r w:rsidR="008565F8">
              <w:rPr>
                <w:rFonts w:ascii="Times New Roman" w:hAnsi="Times New Roman" w:cs="Times New Roman"/>
                <w:sz w:val="20"/>
                <w:szCs w:val="20"/>
              </w:rPr>
              <w:t xml:space="preserve">też </w:t>
            </w:r>
            <w:r w:rsidR="009D19D9">
              <w:rPr>
                <w:rFonts w:ascii="Times New Roman" w:hAnsi="Times New Roman" w:cs="Times New Roman"/>
                <w:sz w:val="20"/>
                <w:szCs w:val="20"/>
              </w:rPr>
              <w:t xml:space="preserve">wpływ stopień pokrewieństwa </w:t>
            </w:r>
            <w:r w:rsidR="008565F8">
              <w:rPr>
                <w:rFonts w:ascii="Times New Roman" w:hAnsi="Times New Roman" w:cs="Times New Roman"/>
                <w:sz w:val="20"/>
                <w:szCs w:val="20"/>
              </w:rPr>
              <w:t xml:space="preserve">ze spadkodawcą </w:t>
            </w:r>
            <w:r w:rsidR="009D19D9">
              <w:rPr>
                <w:rFonts w:ascii="Times New Roman" w:hAnsi="Times New Roman" w:cs="Times New Roman"/>
                <w:sz w:val="20"/>
                <w:szCs w:val="20"/>
              </w:rPr>
              <w:t xml:space="preserve">- w </w:t>
            </w:r>
            <w:r w:rsidR="009D19D9" w:rsidRPr="009D19D9">
              <w:rPr>
                <w:rFonts w:ascii="Times New Roman" w:hAnsi="Times New Roman" w:cs="Times New Roman"/>
                <w:sz w:val="20"/>
                <w:szCs w:val="20"/>
              </w:rPr>
              <w:t xml:space="preserve">sprawach, w </w:t>
            </w:r>
            <w:r w:rsidR="009D19D9" w:rsidRPr="009D1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których spadkobiercami zostali zstępni dziadków, najwięcej było postępowań 6-letnich.</w:t>
            </w:r>
          </w:p>
          <w:p w14:paraId="35B82173" w14:textId="07989BFA" w:rsidR="00BE0DA1" w:rsidRPr="00CF4135" w:rsidRDefault="00BE0DA1" w:rsidP="009D19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35">
              <w:rPr>
                <w:rFonts w:ascii="Times New Roman" w:hAnsi="Times New Roman" w:cs="Times New Roman"/>
                <w:sz w:val="20"/>
                <w:szCs w:val="20"/>
              </w:rPr>
              <w:t xml:space="preserve">Zdecydowanie najliczniejszą grupę </w:t>
            </w:r>
            <w:r w:rsidR="008565F8">
              <w:rPr>
                <w:rFonts w:ascii="Times New Roman" w:hAnsi="Times New Roman" w:cs="Times New Roman"/>
                <w:sz w:val="20"/>
                <w:szCs w:val="20"/>
              </w:rPr>
              <w:t xml:space="preserve">spadkobierców </w:t>
            </w:r>
            <w:r w:rsidRPr="00CF4135">
              <w:rPr>
                <w:rFonts w:ascii="Times New Roman" w:hAnsi="Times New Roman" w:cs="Times New Roman"/>
                <w:sz w:val="20"/>
                <w:szCs w:val="20"/>
              </w:rPr>
              <w:t>stanowią zstępn</w:t>
            </w:r>
            <w:r w:rsidR="008565F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CF4135">
              <w:rPr>
                <w:rFonts w:ascii="Times New Roman" w:hAnsi="Times New Roman" w:cs="Times New Roman"/>
                <w:sz w:val="20"/>
                <w:szCs w:val="20"/>
              </w:rPr>
              <w:t xml:space="preserve"> rodzeństwa spadkodawcy (34,3%). Dalej plasują się wnuki i prawnuki (21,7%) oraz zstępni dziadków (14,5%)</w:t>
            </w:r>
            <w:r w:rsidR="008565F8">
              <w:rPr>
                <w:rFonts w:ascii="Times New Roman" w:hAnsi="Times New Roman" w:cs="Times New Roman"/>
                <w:sz w:val="20"/>
                <w:szCs w:val="20"/>
              </w:rPr>
              <w:t>. Co więcej</w:t>
            </w:r>
            <w:r w:rsidRPr="00CF4135">
              <w:rPr>
                <w:rFonts w:ascii="Times New Roman" w:hAnsi="Times New Roman" w:cs="Times New Roman"/>
                <w:sz w:val="20"/>
                <w:szCs w:val="20"/>
              </w:rPr>
              <w:t>, zarówno zstępni rodzeństw</w:t>
            </w:r>
            <w:r w:rsidR="008565F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F4135">
              <w:rPr>
                <w:rFonts w:ascii="Times New Roman" w:hAnsi="Times New Roman" w:cs="Times New Roman"/>
                <w:sz w:val="20"/>
                <w:szCs w:val="20"/>
              </w:rPr>
              <w:t>, jak i zstępni dziadków bardzo często zajmując stanowisko w sprawie wskazywali, że albo w ogóle nie znali osoby spadkodawcy, albo nie utrzymywali z nim od lat kontaktów, a o jego śmierci dowiedzieli się dopiero z otrzymanej z sądu korespondencji. Osoby takie najczęściej decydowały się na odrzucenie spadku w imieniu własnym oraz małoletnich dzieci, jeśli takie posiadały. To ostatnie z kolei wpływało negatywnie na czas trwania postępowania, aktualizując konieczność uzyskania zezwolenia sądu rodzinnego na dokonanie czynności przekraczającej zwykły zarząd majątkiem małoletniego.</w:t>
            </w:r>
          </w:p>
          <w:p w14:paraId="613B9039" w14:textId="77777777" w:rsidR="003462B1" w:rsidRPr="00F13E4F" w:rsidRDefault="00CF4135" w:rsidP="00846E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3E4F">
              <w:rPr>
                <w:rFonts w:ascii="Times New Roman" w:hAnsi="Times New Roman" w:cs="Times New Roman"/>
                <w:sz w:val="20"/>
                <w:szCs w:val="20"/>
              </w:rPr>
              <w:t>Najczęściej spadkobiercami stawały się dzieci spadkodawców, gmina ostatniego miejsca zamieszkania oraz wnuki i prawnuki.</w:t>
            </w:r>
          </w:p>
          <w:p w14:paraId="2DCECE13" w14:textId="0D2419A5" w:rsidR="00F13E4F" w:rsidRPr="00F13E4F" w:rsidRDefault="00F13E4F" w:rsidP="00F13E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Wnioski opinii nadto potwierdzają stanowisko projektodawcy,</w:t>
            </w:r>
            <w:r w:rsidRPr="00F13E4F">
              <w:rPr>
                <w:rFonts w:ascii="Times New Roman" w:hAnsi="Times New Roman" w:cs="Times New Roman"/>
                <w:sz w:val="20"/>
                <w:szCs w:val="20"/>
              </w:rPr>
              <w:t xml:space="preserve"> że dalecy krewni nierzadko nie są w ogóle zainteresowani spadkobraniem, a zaangażowanie ich w sprawę spadkową stanowi dla nich problem. Co więcej osoby te często nie miały żadnych relacji ze spadkodawcą, a część z nich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13E4F">
              <w:rPr>
                <w:rFonts w:ascii="Times New Roman" w:hAnsi="Times New Roman" w:cs="Times New Roman"/>
                <w:sz w:val="20"/>
                <w:szCs w:val="20"/>
              </w:rPr>
              <w:t>nawet jeśli ostatecznie stała się spadkobiercą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F13E4F">
              <w:rPr>
                <w:rFonts w:ascii="Times New Roman" w:hAnsi="Times New Roman" w:cs="Times New Roman"/>
                <w:sz w:val="20"/>
                <w:szCs w:val="20"/>
              </w:rPr>
              <w:t xml:space="preserve"> to tylko z uwagi na niezajęcie stanowiska w sprawie mimo prawidłowego zawiadomienia o toczącym się postępowaniu lub z uwagi na uchybienie </w:t>
            </w:r>
            <w:r w:rsidR="009476A8" w:rsidRPr="00F13E4F">
              <w:rPr>
                <w:rFonts w:ascii="Times New Roman" w:hAnsi="Times New Roman" w:cs="Times New Roman"/>
                <w:sz w:val="20"/>
                <w:szCs w:val="20"/>
              </w:rPr>
              <w:t>terminowi z</w:t>
            </w:r>
            <w:r w:rsidRPr="00F13E4F">
              <w:rPr>
                <w:rFonts w:ascii="Times New Roman" w:hAnsi="Times New Roman" w:cs="Times New Roman"/>
                <w:sz w:val="20"/>
                <w:szCs w:val="20"/>
              </w:rPr>
              <w:t xml:space="preserve"> art. 1015 § 1 k.c. Dlatego też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ocenie projektodawcy zasadna stała się zmiana k.c. w zakresie </w:t>
            </w:r>
            <w:r w:rsidRPr="00F13E4F">
              <w:rPr>
                <w:rFonts w:ascii="Times New Roman" w:hAnsi="Times New Roman" w:cs="Times New Roman"/>
                <w:sz w:val="20"/>
                <w:szCs w:val="20"/>
              </w:rPr>
              <w:t xml:space="preserve">kręgu </w:t>
            </w:r>
            <w:r w:rsidRPr="00F13E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spadkobierców ustawowych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kierunku jego ograniczenia</w:t>
            </w:r>
            <w:r w:rsidR="00E7146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1BB5C4AC" w14:textId="18827E7F" w:rsidR="00F13E4F" w:rsidRPr="0093695A" w:rsidRDefault="00F13E4F" w:rsidP="00846E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3CD" w:rsidRPr="00FF4480" w14:paraId="4DBDE220" w14:textId="77777777" w:rsidTr="00B241C8">
        <w:trPr>
          <w:jc w:val="center"/>
        </w:trPr>
        <w:tc>
          <w:tcPr>
            <w:tcW w:w="562" w:type="dxa"/>
          </w:tcPr>
          <w:p w14:paraId="1DEFFCC3" w14:textId="1DCB71DE" w:rsidR="00F013CD" w:rsidRDefault="00F013CD" w:rsidP="00252F32">
            <w:pPr>
              <w:spacing w:before="120"/>
              <w:ind w:right="-534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2. </w:t>
            </w:r>
          </w:p>
        </w:tc>
        <w:tc>
          <w:tcPr>
            <w:tcW w:w="1843" w:type="dxa"/>
            <w:vAlign w:val="center"/>
          </w:tcPr>
          <w:p w14:paraId="1AC09A0A" w14:textId="3BE53F31" w:rsidR="00F013CD" w:rsidRPr="00FF4480" w:rsidRDefault="00F013CD" w:rsidP="00252F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UODO</w:t>
            </w:r>
          </w:p>
        </w:tc>
        <w:tc>
          <w:tcPr>
            <w:tcW w:w="1843" w:type="dxa"/>
            <w:vAlign w:val="center"/>
          </w:tcPr>
          <w:p w14:paraId="69E229E7" w14:textId="77777777" w:rsidR="00F013CD" w:rsidRPr="00FF4480" w:rsidRDefault="00F013CD" w:rsidP="00252F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0" w:type="dxa"/>
            <w:vAlign w:val="center"/>
          </w:tcPr>
          <w:p w14:paraId="42C7E16E" w14:textId="449BAFF8" w:rsidR="00F013CD" w:rsidRPr="00C30C12" w:rsidRDefault="00F013CD" w:rsidP="001433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>Stanowisko organu nadzorczego w pełni</w:t>
            </w:r>
            <w:r w:rsidR="0014334E"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>zachowuje swoją aktualność.</w:t>
            </w:r>
            <w:r w:rsidR="0014334E"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Istotą sprawy jest objęcie projektowanych przepisów </w:t>
            </w:r>
            <w:r w:rsidRPr="0093695A">
              <w:rPr>
                <w:rFonts w:ascii="Times New Roman" w:hAnsi="Times New Roman" w:cs="Times New Roman"/>
                <w:sz w:val="20"/>
                <w:szCs w:val="20"/>
              </w:rPr>
              <w:t>testem prywatności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, wynikającym z przepisów </w:t>
            </w:r>
            <w:r w:rsidRPr="00C30C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rozporządzenia Parlamentu Europejskiego i Rady (UE) 2016/679 z dnia 27 kwietnia 2016 r. w sprawie ochrony osób fizycznych w związku z przetwarzaniem danych osobowych i w sprawie swobodnego przepływu takich danych oraz uchylenia dyrektywy 95/46/WE (ogólne</w:t>
            </w:r>
            <w:r w:rsidR="0014334E" w:rsidRPr="00C30C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C30C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rozporządzenie o ochronie danych) 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(Dz. Urz. UE L 119 z 04.05.2016, str. 1, z późn. zm.1)), dalej: rozporządzenie 2016/679. </w:t>
            </w:r>
            <w:r w:rsidR="009476A8" w:rsidRPr="00C30C12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 że przepisy projektu </w:t>
            </w:r>
            <w:r w:rsidRPr="0093695A">
              <w:rPr>
                <w:rFonts w:ascii="Times New Roman" w:hAnsi="Times New Roman" w:cs="Times New Roman"/>
                <w:sz w:val="20"/>
                <w:szCs w:val="20"/>
              </w:rPr>
              <w:t>zasadniczo zmieniają dotychczasowy model przetwarzania danych osobowych w trakcie procesu cywilnego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Hlk102031111"/>
            <w:r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niezbędne jest aby w tworzonych przepisach została uwzględniona ochrona prywatności i danych w fazie projektowania przedmiotowych przepisów prawa (art. 25 ust. 1) </w:t>
            </w:r>
            <w:r w:rsidRPr="001B554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oraz aby przeprowadzona została ocena skutków dla ochrony danych w ramach oceny skutków regulacji w związku z przyjęciem tej podstawy prawnej</w:t>
            </w:r>
            <w:bookmarkEnd w:id="0"/>
            <w:r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 (art. </w:t>
            </w:r>
            <w:bookmarkStart w:id="1" w:name="_Hlk102031152"/>
            <w:r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35 ust. 1 i ust. 10). </w:t>
            </w:r>
            <w:bookmarkEnd w:id="1"/>
            <w:r w:rsidRPr="00C3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Innymi słowy przeprowadzenie testu prywatności jest</w:t>
            </w:r>
            <w:r w:rsidR="0014334E" w:rsidRPr="00C3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3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uzasadnione charakterem zaproponowanych zmian prawnych.</w:t>
            </w:r>
          </w:p>
          <w:p w14:paraId="0EF45968" w14:textId="283F4B8C" w:rsidR="0014334E" w:rsidRPr="00C30C12" w:rsidRDefault="0014334E" w:rsidP="001433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Nie można zgodzić się ze stanowiskiem, że proponowane zmiany - projektowany art. 3 pkt 1, art. 4, art. 7 i art. 8 - mające łącznie na celu zapewnienie </w:t>
            </w:r>
            <w:r w:rsidR="009476A8" w:rsidRPr="00C30C12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 nieograniczonego w czasie sięgania do danych zgromadzonych w rejestrach, bazach i ewidencjach publicznych takich jak: Baza Usług Stanu Cywilnego, rejestr danych kontaktowych oraz ewidencja gruntów i budynków, na potrzeby prowadzonych postępowań nieprocesowych </w:t>
            </w:r>
            <w:r w:rsidRPr="00C30C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nie wprowadzają innych rozwiązań niż dotychczas funkcjonujące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. Podniesiona przez projektodawcę informacja, że </w:t>
            </w:r>
            <w:r w:rsidRPr="00C30C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w sądach funkcjonują stosowne procedury, mające na celu nadzór nad przetwarzaniem danych osobowych, których administratorami są sądy 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w ocenie organu nadzorczego nie wyjaśnia dlaczego projektodawca nie objął 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przedmiotowego projektu testem prywatności pomimo, że zawiera rozwiązania, które powinny zostać przeanalizowane celem uniknięcia ryzyka łączenia zbiorów danych lub też przekazywania danych niezgodnie z celami, a także naruszania praw i wolności osób fizycznych, których dane mają być i będą przetwarzane. </w:t>
            </w:r>
            <w:r w:rsidRPr="00C3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Objęcie projektu testem prywatności pozwoliłoby na zidentyfikowanie i</w:t>
            </w:r>
            <w:r w:rsidR="00EC5BF6" w:rsidRPr="00C3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3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zweryfikowanie tych problemów, ustalenie czy i jakie</w:t>
            </w:r>
            <w:r w:rsidR="00EC5BF6" w:rsidRPr="00C3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3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rozwiązania są niezbędne w przepisach dla</w:t>
            </w:r>
            <w:r w:rsidR="00EC5BF6" w:rsidRPr="00C3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3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uniknięcia ww. zagrożeń.</w:t>
            </w:r>
          </w:p>
          <w:p w14:paraId="04227DD8" w14:textId="7857A5A8" w:rsidR="00921CC8" w:rsidRDefault="00921CC8" w:rsidP="00921CC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C3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Udostępnienie w trybie bezwnioskowym sądom danych z rejestru prowadzonego przez organ publiczny nie zwalnia tego organu z obowiązków administratora, wynikających z rozporządzenia 2016/679.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 W tym kontekście należy wskazać wyrok Naczelnego Sądu Administracyjnego z dnia 3 grudnia 2021 r. (sygn. III OSK 590/21) podnoszący m.in., że </w:t>
            </w:r>
            <w:r w:rsidRPr="00C30C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zróżnicowanie podmiotów uprawnionych do dostępu do rejestru PESEL, nie może powodować zaniechania przez administratora danych podejmowania działań zmierzających do zlikwidowania (lub co najmniej ograniczenia) zidentyfikowanego ryzyka dla danych przetwarzanych w ramach rejestru PESEL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. Zgodnie z wskazanym orzeczeniem </w:t>
            </w:r>
            <w:r w:rsidRPr="00C3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administrator powinien mieć więc realną możliwość realizacji swoich obowiązków, co w kontekście proponowanych zmian prawnych powinno</w:t>
            </w:r>
            <w:r w:rsidRPr="00C30C12">
              <w:rPr>
                <w:rFonts w:ascii="TimesNewRomanPSMT" w:hAnsi="TimesNewRomanPSMT" w:cs="TimesNewRomanPSMT"/>
                <w:b/>
                <w:bCs/>
                <w:sz w:val="24"/>
                <w:szCs w:val="24"/>
              </w:rPr>
              <w:t xml:space="preserve"> </w:t>
            </w:r>
            <w:r w:rsidRPr="00C30C12">
              <w:rPr>
                <w:rFonts w:ascii="TimesNewRomanPSMT" w:hAnsi="TimesNewRomanPSMT" w:cs="TimesNewRomanPSMT"/>
                <w:b/>
                <w:bCs/>
                <w:sz w:val="20"/>
                <w:szCs w:val="20"/>
              </w:rPr>
              <w:t>zostać wzięte przez projektodawcę pod szczególną rozwagę</w:t>
            </w:r>
            <w:r w:rsidRPr="00C30C12">
              <w:rPr>
                <w:rFonts w:ascii="TimesNewRomanPSMT" w:hAnsi="TimesNewRomanPSMT" w:cs="TimesNewRomanPSMT"/>
                <w:sz w:val="20"/>
                <w:szCs w:val="20"/>
              </w:rPr>
              <w:t xml:space="preserve">. Rozwiązania te powinny zatem być podane szczegółowej ocenie w teście </w:t>
            </w:r>
            <w:r w:rsidR="009476A8" w:rsidRPr="00C30C12">
              <w:rPr>
                <w:rFonts w:ascii="TimesNewRomanPSMT" w:hAnsi="TimesNewRomanPSMT" w:cs="TimesNewRomanPSMT"/>
                <w:sz w:val="20"/>
                <w:szCs w:val="20"/>
              </w:rPr>
              <w:t>prywatności,</w:t>
            </w:r>
            <w:r w:rsidRPr="00C30C12">
              <w:rPr>
                <w:rFonts w:ascii="TimesNewRomanPSMT" w:hAnsi="TimesNewRomanPSMT" w:cs="TimesNewRomanPSMT"/>
                <w:sz w:val="20"/>
                <w:szCs w:val="20"/>
              </w:rPr>
              <w:t xml:space="preserve"> ponieważ </w:t>
            </w:r>
            <w:r w:rsidRPr="009406F6">
              <w:rPr>
                <w:rFonts w:ascii="TimesNewRomanPSMT" w:hAnsi="TimesNewRomanPSMT" w:cs="TimesNewRomanPSMT"/>
                <w:sz w:val="20"/>
                <w:szCs w:val="20"/>
              </w:rPr>
              <w:t>zawarte w projekcie przepisy statuują uprawnienia sędziów do dostępu do systemów informatycznych, tymczasem w systemach tych za przetwarzanie danych osobowych odpowiadają jako administratorzy inne podmioty publiczne.</w:t>
            </w:r>
          </w:p>
          <w:p w14:paraId="12A6851F" w14:textId="77777777" w:rsidR="00C30C12" w:rsidRDefault="00C30C12" w:rsidP="00C30C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>Potrzeba dokonania dla projektu oceny skutków dla ochrony danych ze wskazaniem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>szeregu zagrożeń związanych z projektowanymi rozwiązaniami została przedstawiona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>projektodawcy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(spotkanie robocze z dnia 26 stycznia 2022 r.)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>. Nadal istotnym jest niemożność pominięcia, że dostęp do danych osobowych 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>rejestrów publicznych za pośrednictwem systemów teleinformatycznych w formie teletransmisji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>generuje wiele ryzyk, związanych w szczególności z koniecznością zachowania poufności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>integralności tych danych, a także w kontekście i zakresie cyberbezpieczeństwa. Wprowadzenie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rozwiązania, zgodnie z którym </w:t>
            </w:r>
            <w:r w:rsidRPr="00C30C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 trakcie postępowania cywilnego można w nieograniczony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C30C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sposób w formie teletransmisji pozyskiwać dane osobowe z rejestrów publicznych 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>wymaga zatem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głębokiej analizy i refleksji w kontekście wprowadzenia odpowiednich procedur uwzgledniających możliwe ryzyka dla przetwarzania w tej formie takich danych osobowych. </w:t>
            </w:r>
          </w:p>
          <w:p w14:paraId="246E6C92" w14:textId="47B8ABE0" w:rsidR="00C30C12" w:rsidRPr="00C30C12" w:rsidRDefault="00C30C12" w:rsidP="00C30C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ocenie organu nadzorczego potrzebna jest taka modyfikacja projektowanych przepisów, z której wynikać będzie co najmniej konkretny cel pozyskiwania danych, zindywidualizowany do potrzeb danego prowadzanego postępowania.</w:t>
            </w:r>
          </w:p>
        </w:tc>
        <w:tc>
          <w:tcPr>
            <w:tcW w:w="4076" w:type="dxa"/>
          </w:tcPr>
          <w:p w14:paraId="27FBDAC5" w14:textId="730A6E4C" w:rsidR="00F013CD" w:rsidRDefault="00D96D2D" w:rsidP="004844E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>Wyjaśnienie</w:t>
            </w:r>
          </w:p>
          <w:p w14:paraId="72365DEE" w14:textId="77777777" w:rsidR="004844E1" w:rsidRDefault="004844E1" w:rsidP="004844E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14:paraId="05399BC5" w14:textId="4770705F" w:rsidR="00C322C8" w:rsidRDefault="00D96D2D" w:rsidP="004844E1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D96D2D">
              <w:rPr>
                <w:rFonts w:ascii="Times New Roman" w:hAnsi="Times New Roman" w:cs="Times New Roman"/>
                <w:sz w:val="20"/>
              </w:rPr>
              <w:t xml:space="preserve">Wskazać należy, że </w:t>
            </w:r>
            <w:r w:rsidR="00846E80">
              <w:rPr>
                <w:rFonts w:ascii="Times New Roman" w:hAnsi="Times New Roman" w:cs="Times New Roman"/>
                <w:sz w:val="20"/>
              </w:rPr>
              <w:t>p</w:t>
            </w:r>
            <w:r w:rsidR="00846E80" w:rsidRPr="00846E80">
              <w:rPr>
                <w:rFonts w:ascii="Times New Roman" w:hAnsi="Times New Roman" w:cs="Times New Roman"/>
                <w:sz w:val="20"/>
              </w:rPr>
              <w:t>rojektowane przepisy nie zmieniają dotychczasowego modelu przetwarzania danych osobowych w trakcie procesu cywilnego.</w:t>
            </w:r>
            <w:r w:rsidR="00846E80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46E80" w:rsidRPr="00846E80">
              <w:rPr>
                <w:rFonts w:ascii="Times New Roman" w:hAnsi="Times New Roman" w:cs="Times New Roman"/>
                <w:sz w:val="20"/>
              </w:rPr>
              <w:t>Już teraz</w:t>
            </w:r>
            <w:r w:rsidR="00632546">
              <w:rPr>
                <w:rFonts w:ascii="Times New Roman" w:hAnsi="Times New Roman" w:cs="Times New Roman"/>
                <w:sz w:val="20"/>
              </w:rPr>
              <w:t>,</w:t>
            </w:r>
            <w:r w:rsidR="00846E80" w:rsidRPr="00846E80">
              <w:rPr>
                <w:rFonts w:ascii="Times New Roman" w:hAnsi="Times New Roman" w:cs="Times New Roman"/>
                <w:sz w:val="20"/>
              </w:rPr>
              <w:t xml:space="preserve"> na podstawie obowiązujących przepisów</w:t>
            </w:r>
            <w:r w:rsidR="00632546">
              <w:rPr>
                <w:rFonts w:ascii="Times New Roman" w:hAnsi="Times New Roman" w:cs="Times New Roman"/>
                <w:sz w:val="20"/>
              </w:rPr>
              <w:t>, sądom udostępniane są dane</w:t>
            </w:r>
            <w:r w:rsidR="00865B03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32546">
              <w:rPr>
                <w:rFonts w:ascii="Times New Roman" w:hAnsi="Times New Roman" w:cs="Times New Roman"/>
                <w:sz w:val="20"/>
              </w:rPr>
              <w:t>z</w:t>
            </w:r>
            <w:r w:rsidR="00865B03">
              <w:rPr>
                <w:rFonts w:ascii="Times New Roman" w:hAnsi="Times New Roman" w:cs="Times New Roman"/>
                <w:sz w:val="20"/>
              </w:rPr>
              <w:t xml:space="preserve"> różnych</w:t>
            </w:r>
            <w:r w:rsidR="00632546">
              <w:rPr>
                <w:rFonts w:ascii="Times New Roman" w:hAnsi="Times New Roman" w:cs="Times New Roman"/>
                <w:sz w:val="20"/>
              </w:rPr>
              <w:t xml:space="preserve"> rejestrów publicznych, w zakresie</w:t>
            </w:r>
            <w:r w:rsidR="004844E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32546">
              <w:rPr>
                <w:rFonts w:ascii="Times New Roman" w:hAnsi="Times New Roman" w:cs="Times New Roman"/>
                <w:sz w:val="20"/>
              </w:rPr>
              <w:t>niezbędnym do realizacji</w:t>
            </w:r>
            <w:r w:rsidR="009A7788">
              <w:rPr>
                <w:rFonts w:ascii="Times New Roman" w:hAnsi="Times New Roman" w:cs="Times New Roman"/>
                <w:sz w:val="20"/>
              </w:rPr>
              <w:t xml:space="preserve"> ich</w:t>
            </w:r>
            <w:r w:rsidR="00632546">
              <w:rPr>
                <w:rFonts w:ascii="Times New Roman" w:hAnsi="Times New Roman" w:cs="Times New Roman"/>
                <w:sz w:val="20"/>
              </w:rPr>
              <w:t xml:space="preserve"> zadań ustawowych. </w:t>
            </w:r>
          </w:p>
          <w:p w14:paraId="4EBFA4CD" w14:textId="0E1982A7" w:rsidR="00C237B9" w:rsidRDefault="00632546" w:rsidP="00F64F82">
            <w:pPr>
              <w:spacing w:after="12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Przykładowo dane z rejestru </w:t>
            </w:r>
            <w:r w:rsidR="009A7788">
              <w:rPr>
                <w:rFonts w:ascii="Times New Roman" w:hAnsi="Times New Roman" w:cs="Times New Roman"/>
                <w:sz w:val="20"/>
              </w:rPr>
              <w:t xml:space="preserve">PESEL </w:t>
            </w:r>
            <w:r w:rsidR="009A7788" w:rsidRPr="009A7788">
              <w:rPr>
                <w:rFonts w:ascii="Times New Roman" w:hAnsi="Times New Roman" w:cs="Times New Roman"/>
                <w:sz w:val="20"/>
              </w:rPr>
              <w:t>oraz rejestrów mieszkańców udostępnia się sądom w zakresie niezbędnym do realizacji ich ustawowych zadań</w:t>
            </w:r>
            <w:r w:rsidR="009A7788">
              <w:rPr>
                <w:rFonts w:ascii="Times New Roman" w:hAnsi="Times New Roman" w:cs="Times New Roman"/>
                <w:sz w:val="20"/>
              </w:rPr>
              <w:t xml:space="preserve"> (art. 46 ust. 1 pkt 1 ustawy z dnia 24 września 2010 r. </w:t>
            </w:r>
            <w:r w:rsidR="009A7788" w:rsidRPr="009A7788">
              <w:rPr>
                <w:rFonts w:ascii="Times New Roman" w:hAnsi="Times New Roman" w:cs="Times New Roman"/>
                <w:i/>
                <w:iCs/>
                <w:sz w:val="20"/>
              </w:rPr>
              <w:t>o ewidencji ludności</w:t>
            </w:r>
            <w:r w:rsidR="009A7788">
              <w:rPr>
                <w:rStyle w:val="Odwoanieprzypisudolnego"/>
                <w:rFonts w:ascii="Times New Roman" w:hAnsi="Times New Roman" w:cs="Times New Roman"/>
                <w:i/>
                <w:iCs/>
                <w:sz w:val="20"/>
              </w:rPr>
              <w:footnoteReference w:id="2"/>
            </w:r>
            <w:r w:rsidR="00A2332B">
              <w:rPr>
                <w:rFonts w:ascii="Times New Roman" w:hAnsi="Times New Roman" w:cs="Times New Roman"/>
                <w:sz w:val="20"/>
              </w:rPr>
              <w:t>)</w:t>
            </w:r>
            <w:r w:rsidR="009A7788" w:rsidRPr="009A7788">
              <w:rPr>
                <w:rFonts w:ascii="Times New Roman" w:hAnsi="Times New Roman" w:cs="Times New Roman"/>
                <w:sz w:val="20"/>
              </w:rPr>
              <w:t>.</w:t>
            </w:r>
            <w:r w:rsidR="00C322C8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03B5E8FC" w14:textId="3BE07A3A" w:rsidR="00C322C8" w:rsidRDefault="00C322C8" w:rsidP="00F64F82">
            <w:pPr>
              <w:spacing w:after="12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Sądy </w:t>
            </w:r>
            <w:r w:rsidR="00157767">
              <w:rPr>
                <w:rFonts w:ascii="Times New Roman" w:hAnsi="Times New Roman" w:cs="Times New Roman"/>
                <w:sz w:val="20"/>
              </w:rPr>
              <w:t xml:space="preserve">są również uprawnione do korzystania z danych </w:t>
            </w:r>
            <w:r w:rsidR="00157767" w:rsidRPr="00157767">
              <w:rPr>
                <w:rFonts w:ascii="Times New Roman" w:hAnsi="Times New Roman" w:cs="Times New Roman"/>
                <w:sz w:val="20"/>
              </w:rPr>
              <w:t>zawart</w:t>
            </w:r>
            <w:r w:rsidR="00157767">
              <w:rPr>
                <w:rFonts w:ascii="Times New Roman" w:hAnsi="Times New Roman" w:cs="Times New Roman"/>
                <w:sz w:val="20"/>
              </w:rPr>
              <w:t>ych</w:t>
            </w:r>
            <w:r w:rsidR="00157767" w:rsidRPr="00157767">
              <w:rPr>
                <w:rFonts w:ascii="Times New Roman" w:hAnsi="Times New Roman" w:cs="Times New Roman"/>
                <w:sz w:val="20"/>
              </w:rPr>
              <w:t xml:space="preserve"> w Rejestrze Dowodów Osobistych </w:t>
            </w:r>
            <w:r w:rsidR="00157767">
              <w:rPr>
                <w:rFonts w:ascii="Times New Roman" w:hAnsi="Times New Roman" w:cs="Times New Roman"/>
                <w:sz w:val="20"/>
              </w:rPr>
              <w:t xml:space="preserve">w </w:t>
            </w:r>
            <w:r w:rsidR="00157767" w:rsidRPr="00157767">
              <w:rPr>
                <w:rFonts w:ascii="Times New Roman" w:hAnsi="Times New Roman" w:cs="Times New Roman"/>
                <w:sz w:val="20"/>
              </w:rPr>
              <w:t>zakresie niezbędnym do realizacji zadań określonych w ustawach szczególnych</w:t>
            </w:r>
            <w:r w:rsidR="00157767">
              <w:rPr>
                <w:rFonts w:ascii="Times New Roman" w:hAnsi="Times New Roman" w:cs="Times New Roman"/>
                <w:sz w:val="20"/>
              </w:rPr>
              <w:t xml:space="preserve"> (art. 66 ust. 3 pkt 13b ustawy z dnia 6 sierpnia 2010 r. </w:t>
            </w:r>
            <w:r w:rsidR="00157767" w:rsidRPr="00157767">
              <w:rPr>
                <w:rFonts w:ascii="Times New Roman" w:hAnsi="Times New Roman" w:cs="Times New Roman"/>
                <w:i/>
                <w:iCs/>
                <w:sz w:val="20"/>
              </w:rPr>
              <w:t>o dowodach osobistych</w:t>
            </w:r>
            <w:r w:rsidR="00157767">
              <w:rPr>
                <w:rStyle w:val="Odwoanieprzypisudolnego"/>
                <w:rFonts w:ascii="Times New Roman" w:hAnsi="Times New Roman" w:cs="Times New Roman"/>
                <w:sz w:val="20"/>
              </w:rPr>
              <w:footnoteReference w:id="3"/>
            </w:r>
            <w:r w:rsidR="00157767">
              <w:rPr>
                <w:rFonts w:ascii="Times New Roman" w:hAnsi="Times New Roman" w:cs="Times New Roman"/>
                <w:sz w:val="20"/>
              </w:rPr>
              <w:t>).</w:t>
            </w:r>
          </w:p>
          <w:p w14:paraId="3A4754D8" w14:textId="56E42EA2" w:rsidR="00D76623" w:rsidRDefault="00C441C3" w:rsidP="00F64F82">
            <w:pPr>
              <w:spacing w:after="12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Sądom udostępnia się</w:t>
            </w:r>
            <w:r w:rsidR="008F0C14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B7E4C" w:rsidRPr="008F0C14">
              <w:rPr>
                <w:rFonts w:ascii="Times New Roman" w:hAnsi="Times New Roman" w:cs="Times New Roman"/>
                <w:i/>
                <w:iCs/>
                <w:sz w:val="20"/>
              </w:rPr>
              <w:t>de lege lata</w:t>
            </w:r>
            <w:r w:rsidR="003B7E4C">
              <w:rPr>
                <w:rFonts w:ascii="Times New Roman" w:hAnsi="Times New Roman" w:cs="Times New Roman"/>
                <w:sz w:val="20"/>
              </w:rPr>
              <w:t xml:space="preserve"> równ</w:t>
            </w:r>
            <w:r>
              <w:rPr>
                <w:rFonts w:ascii="Times New Roman" w:hAnsi="Times New Roman" w:cs="Times New Roman"/>
                <w:sz w:val="20"/>
              </w:rPr>
              <w:t xml:space="preserve">ież dane </w:t>
            </w:r>
            <w:r w:rsidRPr="00C441C3">
              <w:rPr>
                <w:rFonts w:ascii="Times New Roman" w:hAnsi="Times New Roman" w:cs="Times New Roman"/>
                <w:sz w:val="20"/>
              </w:rPr>
              <w:t>zgromadzone w rejestrze danych kontaktowych</w:t>
            </w:r>
            <w:r>
              <w:rPr>
                <w:rFonts w:ascii="Times New Roman" w:hAnsi="Times New Roman" w:cs="Times New Roman"/>
                <w:sz w:val="20"/>
              </w:rPr>
              <w:t xml:space="preserve"> (art. 20m ust 1 pkt 1 ustawy z dnia 17 lutego 2005 r. </w:t>
            </w:r>
            <w:r w:rsidRPr="00C441C3">
              <w:rPr>
                <w:rFonts w:ascii="Times New Roman" w:hAnsi="Times New Roman" w:cs="Times New Roman"/>
                <w:i/>
                <w:iCs/>
                <w:sz w:val="20"/>
              </w:rPr>
              <w:t>o informatyzacji działalności podmiotów realizujących zadania publiczne</w:t>
            </w:r>
            <w:r>
              <w:rPr>
                <w:rStyle w:val="Odwoanieprzypisudolnego"/>
                <w:rFonts w:ascii="Times New Roman" w:hAnsi="Times New Roman" w:cs="Times New Roman"/>
                <w:sz w:val="20"/>
              </w:rPr>
              <w:footnoteReference w:id="4"/>
            </w:r>
            <w:r>
              <w:rPr>
                <w:rFonts w:ascii="Times New Roman" w:hAnsi="Times New Roman" w:cs="Times New Roman"/>
                <w:sz w:val="20"/>
              </w:rPr>
              <w:t xml:space="preserve">) w celu realizacji zadań publicznych określonych przez ustawy. </w:t>
            </w:r>
          </w:p>
          <w:p w14:paraId="0ADDD75E" w14:textId="290B83DD" w:rsidR="004844E1" w:rsidRDefault="004844E1" w:rsidP="00F64F82">
            <w:pPr>
              <w:spacing w:after="12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Podkreślenia wymaga, że ustawy odnoszące się do poszczególnych rejestrów publicznych każdorazowo wskazują, że dane udostępnia się </w:t>
            </w:r>
            <w:r w:rsidRPr="00D76623">
              <w:rPr>
                <w:rFonts w:ascii="Times New Roman" w:hAnsi="Times New Roman" w:cs="Times New Roman"/>
                <w:sz w:val="20"/>
              </w:rPr>
              <w:t>w zakresie niezbędnym do realizacji zadań określonych w ustawach szczególnych</w:t>
            </w:r>
            <w:r>
              <w:rPr>
                <w:rFonts w:ascii="Times New Roman" w:hAnsi="Times New Roman" w:cs="Times New Roman"/>
                <w:sz w:val="20"/>
              </w:rPr>
              <w:t xml:space="preserve"> (zadań ustawowych) – w przypadku sądów dostęp ten realizowany jest na potrzeby prowadzonych postępowań.</w:t>
            </w:r>
          </w:p>
          <w:p w14:paraId="2BB380E2" w14:textId="3BF755EF" w:rsidR="003B7E4C" w:rsidRPr="00C441C3" w:rsidRDefault="003B7E4C" w:rsidP="00F64F82">
            <w:pPr>
              <w:spacing w:after="12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Projektodawca zrezygnował z u</w:t>
            </w:r>
            <w:r w:rsidRPr="00F94538">
              <w:rPr>
                <w:rFonts w:ascii="Times New Roman" w:hAnsi="Times New Roman" w:cs="Times New Roman"/>
                <w:sz w:val="20"/>
              </w:rPr>
              <w:t>dostępnieni</w:t>
            </w:r>
            <w:r>
              <w:rPr>
                <w:rFonts w:ascii="Times New Roman" w:hAnsi="Times New Roman" w:cs="Times New Roman"/>
                <w:sz w:val="20"/>
              </w:rPr>
              <w:t>a</w:t>
            </w:r>
            <w:r w:rsidRPr="00F94538">
              <w:rPr>
                <w:rFonts w:ascii="Times New Roman" w:hAnsi="Times New Roman" w:cs="Times New Roman"/>
                <w:sz w:val="20"/>
              </w:rPr>
              <w:t xml:space="preserve"> w trybie bezwnioskowym sądom danych z rejestr</w:t>
            </w:r>
            <w:r>
              <w:rPr>
                <w:rFonts w:ascii="Times New Roman" w:hAnsi="Times New Roman" w:cs="Times New Roman"/>
                <w:sz w:val="20"/>
              </w:rPr>
              <w:t>ów</w:t>
            </w:r>
            <w:r w:rsidRPr="00F94538">
              <w:rPr>
                <w:rFonts w:ascii="Times New Roman" w:hAnsi="Times New Roman" w:cs="Times New Roman"/>
                <w:sz w:val="20"/>
              </w:rPr>
              <w:t xml:space="preserve"> prowadzon</w:t>
            </w:r>
            <w:r>
              <w:rPr>
                <w:rFonts w:ascii="Times New Roman" w:hAnsi="Times New Roman" w:cs="Times New Roman"/>
                <w:sz w:val="20"/>
              </w:rPr>
              <w:t>ych</w:t>
            </w:r>
            <w:r w:rsidRPr="00F94538">
              <w:rPr>
                <w:rFonts w:ascii="Times New Roman" w:hAnsi="Times New Roman" w:cs="Times New Roman"/>
                <w:sz w:val="20"/>
              </w:rPr>
              <w:t xml:space="preserve"> przez organ publiczny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  <w:p w14:paraId="15FAEAF5" w14:textId="306831D1" w:rsidR="00846E80" w:rsidRPr="00B74E70" w:rsidRDefault="00846E80" w:rsidP="00F64F82">
            <w:pPr>
              <w:spacing w:after="120"/>
              <w:jc w:val="both"/>
              <w:rPr>
                <w:rFonts w:ascii="Times New Roman" w:hAnsi="Times New Roman" w:cs="Times New Roman"/>
                <w:sz w:val="20"/>
              </w:rPr>
            </w:pPr>
            <w:r w:rsidRPr="00B74E70">
              <w:rPr>
                <w:rFonts w:ascii="Times New Roman" w:hAnsi="Times New Roman" w:cs="Times New Roman"/>
                <w:sz w:val="20"/>
              </w:rPr>
              <w:t xml:space="preserve">Niemniej </w:t>
            </w:r>
            <w:r w:rsidR="004C138C" w:rsidRPr="00B74E70">
              <w:rPr>
                <w:rFonts w:ascii="Times New Roman" w:hAnsi="Times New Roman" w:cs="Times New Roman"/>
                <w:sz w:val="20"/>
              </w:rPr>
              <w:t xml:space="preserve">wobec </w:t>
            </w:r>
            <w:r w:rsidR="008565F8" w:rsidRPr="00B74E70">
              <w:rPr>
                <w:rFonts w:ascii="Times New Roman" w:hAnsi="Times New Roman" w:cs="Times New Roman"/>
                <w:sz w:val="20"/>
              </w:rPr>
              <w:t>sygnalizowan</w:t>
            </w:r>
            <w:r w:rsidR="004C138C" w:rsidRPr="00B74E70">
              <w:rPr>
                <w:rFonts w:ascii="Times New Roman" w:hAnsi="Times New Roman" w:cs="Times New Roman"/>
                <w:sz w:val="20"/>
              </w:rPr>
              <w:t>ej</w:t>
            </w:r>
            <w:r w:rsidR="008565F8" w:rsidRPr="00B74E70">
              <w:rPr>
                <w:rFonts w:ascii="Times New Roman" w:hAnsi="Times New Roman" w:cs="Times New Roman"/>
                <w:sz w:val="20"/>
              </w:rPr>
              <w:t xml:space="preserve"> przez UODO koniecznoś</w:t>
            </w:r>
            <w:r w:rsidR="004C138C" w:rsidRPr="00B74E70">
              <w:rPr>
                <w:rFonts w:ascii="Times New Roman" w:hAnsi="Times New Roman" w:cs="Times New Roman"/>
                <w:sz w:val="20"/>
              </w:rPr>
              <w:t>ci</w:t>
            </w:r>
            <w:r w:rsidR="008565F8" w:rsidRPr="00B74E70">
              <w:rPr>
                <w:rFonts w:ascii="Times New Roman" w:hAnsi="Times New Roman" w:cs="Times New Roman"/>
                <w:sz w:val="20"/>
              </w:rPr>
              <w:t xml:space="preserve"> dokonania </w:t>
            </w:r>
            <w:r w:rsidRPr="00B74E70">
              <w:rPr>
                <w:rFonts w:ascii="Times New Roman" w:hAnsi="Times New Roman" w:cs="Times New Roman"/>
                <w:sz w:val="20"/>
              </w:rPr>
              <w:t>ocen</w:t>
            </w:r>
            <w:r w:rsidR="008F0C14" w:rsidRPr="00B74E70">
              <w:rPr>
                <w:rFonts w:ascii="Times New Roman" w:hAnsi="Times New Roman" w:cs="Times New Roman"/>
                <w:sz w:val="20"/>
              </w:rPr>
              <w:t xml:space="preserve">y </w:t>
            </w:r>
            <w:r w:rsidRPr="00B74E70">
              <w:rPr>
                <w:rFonts w:ascii="Times New Roman" w:hAnsi="Times New Roman" w:cs="Times New Roman"/>
                <w:sz w:val="20"/>
              </w:rPr>
              <w:t>skutków dla ochrony danych</w:t>
            </w:r>
            <w:r w:rsidR="004C138C" w:rsidRPr="00B74E70"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8565F8" w:rsidRPr="00B74E70">
              <w:rPr>
                <w:rFonts w:ascii="Times New Roman" w:hAnsi="Times New Roman" w:cs="Times New Roman"/>
                <w:sz w:val="20"/>
              </w:rPr>
              <w:t xml:space="preserve">ocena </w:t>
            </w:r>
            <w:r w:rsidR="004C138C" w:rsidRPr="00B74E70">
              <w:rPr>
                <w:rFonts w:ascii="Times New Roman" w:hAnsi="Times New Roman" w:cs="Times New Roman"/>
                <w:sz w:val="20"/>
              </w:rPr>
              <w:t xml:space="preserve">taka </w:t>
            </w:r>
            <w:r w:rsidR="005F035F" w:rsidRPr="00B74E70">
              <w:rPr>
                <w:rFonts w:ascii="Times New Roman" w:hAnsi="Times New Roman" w:cs="Times New Roman"/>
                <w:sz w:val="20"/>
              </w:rPr>
              <w:t xml:space="preserve">została sporządzona. </w:t>
            </w:r>
          </w:p>
          <w:p w14:paraId="3B47D4DC" w14:textId="7A624B9E" w:rsidR="0014334E" w:rsidRPr="00FF4480" w:rsidRDefault="0014334E" w:rsidP="00B74E70">
            <w:pPr>
              <w:spacing w:after="12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865AF4" w:rsidRPr="00FF4480" w14:paraId="4E9A7412" w14:textId="77777777" w:rsidTr="00B919AF">
        <w:trPr>
          <w:jc w:val="center"/>
        </w:trPr>
        <w:tc>
          <w:tcPr>
            <w:tcW w:w="13994" w:type="dxa"/>
            <w:gridSpan w:val="5"/>
            <w:shd w:val="clear" w:color="auto" w:fill="A6A6A6" w:themeFill="background1" w:themeFillShade="A6"/>
          </w:tcPr>
          <w:p w14:paraId="14DF1E4F" w14:textId="77777777" w:rsidR="00865AF4" w:rsidRPr="005C23F7" w:rsidRDefault="00865AF4" w:rsidP="00865AF4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23F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Uwagi do projektu ustawy</w:t>
            </w:r>
          </w:p>
        </w:tc>
      </w:tr>
      <w:tr w:rsidR="00252F32" w14:paraId="3A85CEF3" w14:textId="77777777" w:rsidTr="00B241C8">
        <w:trPr>
          <w:jc w:val="center"/>
        </w:trPr>
        <w:tc>
          <w:tcPr>
            <w:tcW w:w="562" w:type="dxa"/>
          </w:tcPr>
          <w:p w14:paraId="640AA766" w14:textId="6CF4493D" w:rsidR="00D53619" w:rsidRPr="00B919AF" w:rsidRDefault="00252F32" w:rsidP="00252F32">
            <w:pPr>
              <w:spacing w:before="120"/>
              <w:ind w:right="-534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</w:t>
            </w:r>
          </w:p>
        </w:tc>
        <w:tc>
          <w:tcPr>
            <w:tcW w:w="1843" w:type="dxa"/>
            <w:vAlign w:val="center"/>
          </w:tcPr>
          <w:p w14:paraId="407545E7" w14:textId="77777777" w:rsidR="00D53619" w:rsidRDefault="005A2EE9" w:rsidP="00252F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Sąd Najwyższy</w:t>
            </w:r>
          </w:p>
          <w:p w14:paraId="07C4D205" w14:textId="168A4767" w:rsidR="005A2EE9" w:rsidRDefault="005A2EE9" w:rsidP="00252F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BSiA SN</w:t>
            </w:r>
          </w:p>
        </w:tc>
        <w:tc>
          <w:tcPr>
            <w:tcW w:w="1843" w:type="dxa"/>
            <w:vAlign w:val="center"/>
          </w:tcPr>
          <w:p w14:paraId="24B9B4C1" w14:textId="5320F9B5" w:rsidR="00D53619" w:rsidRDefault="005A2EE9" w:rsidP="00252F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Art.1</w:t>
            </w:r>
            <w:r w:rsidR="006B1A4C" w:rsidRPr="006B1A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1A4C" w:rsidRPr="006B1A4C">
              <w:rPr>
                <w:rFonts w:ascii="Times New Roman" w:hAnsi="Times New Roman" w:cs="Times New Roman"/>
                <w:sz w:val="20"/>
              </w:rPr>
              <w:t xml:space="preserve">pkt 1 </w:t>
            </w:r>
            <w:r w:rsidR="006B1A4C" w:rsidRPr="006B1A4C">
              <w:rPr>
                <w:rFonts w:ascii="Times New Roman" w:hAnsi="Times New Roman" w:cs="Times New Roman"/>
                <w:b/>
                <w:sz w:val="20"/>
              </w:rPr>
              <w:t>dodanie w art. 928 § 1 k.c. punktu 4</w:t>
            </w:r>
          </w:p>
        </w:tc>
        <w:tc>
          <w:tcPr>
            <w:tcW w:w="5670" w:type="dxa"/>
            <w:vAlign w:val="center"/>
          </w:tcPr>
          <w:p w14:paraId="4F8AD09C" w14:textId="097D231A" w:rsidR="000002F3" w:rsidRDefault="00064963" w:rsidP="001142C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6496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Koncepcja wprowadzenia do art. 928 § 1 k.c. nowej przyczyny niegodności dziedziczenia, zbliżonej w płaszczyźnie aksjologicznej do przyczyny wydziedziczenia, wymienionej w art. 1008 pkt 3 kodeksu cywilnego (uporczywe niedopełnianie względem spadkodawcy obowiązków rodzinnych) - co do zasady </w:t>
            </w:r>
            <w:r w:rsidR="006B1A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Pr="0006496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B1A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zasługuje na aprobatę. Brzmienie projektowanego punktu 4, który miałby być dodany do art. 928 § 1 k.c. nasuwa wątpliwości</w:t>
            </w:r>
            <w:r w:rsidR="001A68B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których </w:t>
            </w:r>
            <w:r w:rsidR="001A68BC" w:rsidRPr="002120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nie usunęły </w:t>
            </w:r>
            <w:r w:rsidR="009625FC" w:rsidRPr="00212078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informacje</w:t>
            </w:r>
            <w:r w:rsidR="001A68BC" w:rsidRPr="00212078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 xml:space="preserve"> i wyjaśnienia</w:t>
            </w:r>
            <w:r w:rsidR="001A68BC" w:rsidRPr="002120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Ministerstw</w:t>
            </w:r>
            <w:r w:rsidR="00EF0B44" w:rsidRPr="002120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</w:t>
            </w:r>
            <w:r w:rsidR="001A68BC" w:rsidRPr="002120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Sprawiedliwości odnośnie do </w:t>
            </w:r>
            <w:r w:rsidR="009625FC" w:rsidRPr="002120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uwag Sądu Najwyższego</w:t>
            </w:r>
            <w:r w:rsidR="009625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(BSA I.021.42.2021) </w:t>
            </w:r>
            <w:r w:rsidR="009625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przedstawionych do </w:t>
            </w:r>
            <w:r w:rsidR="008F27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wcześniejszej </w:t>
            </w:r>
            <w:r w:rsidR="009625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wersji Projektu ustawy UD222 z dnia </w:t>
            </w:r>
            <w:r w:rsidR="008F27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 grudnia 2021 r.</w:t>
            </w:r>
          </w:p>
          <w:p w14:paraId="1721A655" w14:textId="6A50463A" w:rsidR="00EF0B44" w:rsidRDefault="00487763" w:rsidP="00064963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(1.) </w:t>
            </w:r>
            <w:r w:rsidR="00EF0B4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Nowa przyczyna niegodności dziedziczenia: </w:t>
            </w:r>
            <w:r w:rsidR="00EF0B44" w:rsidRPr="001227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uporczywe uchylanie się od wykonywania obowiązku alimentacyjnego wobec </w:t>
            </w:r>
            <w:r w:rsidR="00122709" w:rsidRPr="001227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spadkodawcy</w:t>
            </w:r>
          </w:p>
          <w:p w14:paraId="152B857F" w14:textId="25ED9D80" w:rsidR="00C07895" w:rsidRDefault="00122709" w:rsidP="00843C18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227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wyjaśnienia Ministerstwa Sprawiedliwości wynika, iż</w:t>
            </w:r>
            <w:r w:rsidR="003E0F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celem planowanego przepisu było objęcie wskazaną przyczyną niegodności </w:t>
            </w:r>
            <w:r w:rsidR="003E0F08" w:rsidRPr="00843C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także</w:t>
            </w:r>
            <w:r w:rsidR="003E0F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476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przypadków,</w:t>
            </w:r>
            <w:r w:rsidR="003E0F0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gdy </w:t>
            </w:r>
            <w:r w:rsidR="003E0F08" w:rsidRPr="00843C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brak było orzeczenia sądowego, ugody zawartej przed sądem albo innym organem albo innej umowy konkretyzującej </w:t>
            </w:r>
            <w:r w:rsidR="00843C18" w:rsidRPr="00843C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obowiązek alimentacyjny</w:t>
            </w:r>
            <w:r w:rsidR="001E2F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37E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wobec spadkodawcy zobowiązanego </w:t>
            </w:r>
            <w:r w:rsidR="001E2F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spadkobiercy, który</w:t>
            </w:r>
            <w:r w:rsidR="004877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za życia spadkodawcy</w:t>
            </w:r>
            <w:r w:rsidR="001E2F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37E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„uporczywie uchylał się od wykonywania obowiązku alimentacyjnego wobec spadkodawcy” .</w:t>
            </w:r>
          </w:p>
          <w:p w14:paraId="56DDF068" w14:textId="0AFC2F99" w:rsidR="00FA20FD" w:rsidRDefault="00E37E98" w:rsidP="00843C18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="00FA20FD" w:rsidRPr="00FA20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el </w:t>
            </w:r>
            <w:r w:rsidR="00FA20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taki </w:t>
            </w:r>
            <w:r w:rsidR="00FA20FD" w:rsidRPr="00FA20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 budzi istotniejszych zastrzeżeń</w:t>
            </w:r>
            <w:r w:rsidR="00FA20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ale</w:t>
            </w:r>
            <w:r w:rsidR="00FA20FD" w:rsidRPr="00FA20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FA20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2B0A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yłącznie </w:t>
            </w:r>
            <w:r w:rsidR="009476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płaszczyźnie</w:t>
            </w:r>
            <w:r w:rsidR="002B0A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aksjologicznej i przy ujęciu najbardziej ogólnym</w:t>
            </w:r>
            <w:r w:rsidR="00FA20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a</w:t>
            </w:r>
            <w:r w:rsidR="0048776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FA20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zarazem</w:t>
            </w:r>
            <w:r w:rsidR="002B0A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abstrakcyjnym</w:t>
            </w:r>
            <w:r w:rsidR="00FA20F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</w:p>
          <w:p w14:paraId="559D4CDE" w14:textId="46D4FE17" w:rsidR="00122709" w:rsidRDefault="00FA20FD" w:rsidP="00843C18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Propozycja budzi wątpliwości, g</w:t>
            </w:r>
            <w:r w:rsidR="000550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dy uwzględni się </w:t>
            </w:r>
            <w:r w:rsidR="00055045" w:rsidRPr="002120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zróżnicowanie źródeł</w:t>
            </w:r>
            <w:r w:rsidR="000550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powstania obowiązku</w:t>
            </w:r>
            <w:r w:rsidR="00C078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alimentacyjnego</w:t>
            </w:r>
            <w:r w:rsidR="002B0A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50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 także </w:t>
            </w:r>
            <w:r w:rsidR="00055045" w:rsidRPr="00C078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niedookreśloność</w:t>
            </w:r>
            <w:r w:rsidR="000550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0C8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ocenność</w:t>
            </w:r>
            <w:r w:rsidR="00710C8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5504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przesłanek obowiązku alimentacyjnego</w:t>
            </w:r>
            <w:r w:rsidR="00C078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</w:t>
            </w:r>
            <w:r w:rsidR="000950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jego zakresu („niedostatek”, brak możliwości „</w:t>
            </w:r>
            <w:r w:rsidR="002120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samodzielnego utrzymania się”, </w:t>
            </w:r>
            <w:r w:rsidR="000950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„usprawiedliwione potrzeby uprawnionego”, „możliwości zarobkowe i majątkowe zobowiązanego”</w:t>
            </w:r>
            <w:r w:rsidR="00710C8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przyjmowanie w </w:t>
            </w:r>
            <w:r w:rsidR="002C7E9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praktyce w </w:t>
            </w:r>
            <w:r w:rsidR="00710C8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części przypadków „zasady równej stopy życiowej</w:t>
            </w:r>
            <w:r w:rsidR="00C063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”</w:t>
            </w:r>
            <w:r w:rsidR="00710C8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osoby uprawnionej i osob</w:t>
            </w:r>
            <w:r w:rsidR="002C7E9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710C8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zobowiązan</w:t>
            </w:r>
            <w:r w:rsidR="002C7E9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0950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), a</w:t>
            </w:r>
            <w:r w:rsidR="00710C8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0950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także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przyczyny umożliwiające </w:t>
            </w:r>
            <w:r w:rsidR="00710C8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niektórym zobowiązanym </w:t>
            </w:r>
            <w:r w:rsidR="000950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uchyleni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="0009503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się od świadczeń</w:t>
            </w:r>
            <w:r w:rsidR="00C078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(„nadmierny uszczerbek” dla zobowiązanego, </w:t>
            </w:r>
            <w:r w:rsidR="00710C8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dla </w:t>
            </w:r>
            <w:r w:rsidR="00C078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„najbliższ</w:t>
            </w:r>
            <w:r w:rsidR="00CA640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C078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rodzin</w:t>
            </w:r>
            <w:r w:rsidR="00CA640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C078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” zobowiązanego)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D1320C4" w14:textId="2E5C631C" w:rsidR="00724411" w:rsidRDefault="00CA6403" w:rsidP="00843C18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</w:t>
            </w:r>
            <w:r w:rsidR="00565D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maganie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„uporczyw</w:t>
            </w:r>
            <w:r w:rsidR="00565D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ości”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uchylani</w:t>
            </w:r>
            <w:r w:rsidR="002C7E9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się</w:t>
            </w:r>
            <w:r w:rsidR="00565D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 </w:t>
            </w:r>
            <w:r w:rsidR="002F5D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obowiązku</w:t>
            </w:r>
            <w:r w:rsidR="00565DE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alimentacyjnego </w:t>
            </w:r>
            <w:r w:rsidR="002F5D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powinno być rozumiane analogicznie jak „uporczywe niewypełnianie obowiązków rodzinnych”, o którym mowa w art. 1008 pkt 3 k.c., a więc „świadome i objęte wolą” osoby, której taki zarzut jest stawiany. </w:t>
            </w:r>
          </w:p>
          <w:p w14:paraId="416ABA87" w14:textId="5FC28A70" w:rsidR="00CA6403" w:rsidRDefault="00724411" w:rsidP="00843C18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  <w:r w:rsidR="002F5D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padkobierca musi</w:t>
            </w:r>
            <w:r w:rsidR="0021207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ałby</w:t>
            </w:r>
            <w:r w:rsidR="002F5D3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więc obejmować swoją świadomością, iż </w:t>
            </w:r>
            <w:r w:rsidR="002F5D3C" w:rsidRPr="00724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 danym stanie faktycznym</w:t>
            </w:r>
            <w:r w:rsidR="007C682C" w:rsidRPr="00724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, w określonym czasie </w:t>
            </w:r>
            <w:r w:rsidR="006220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miał </w:t>
            </w:r>
            <w:r w:rsidR="006220E9" w:rsidRPr="006220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prawny</w:t>
            </w:r>
            <w:r w:rsidR="006220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A06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status </w:t>
            </w:r>
            <w:r w:rsidR="009A06AA" w:rsidRPr="002120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zobowiązanego</w:t>
            </w:r>
            <w:r w:rsidR="009A06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do świadczenia alimentów </w:t>
            </w:r>
            <w:r w:rsidR="007C682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(np.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C682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dlatego, że sytuacja uprawnionego bez wątpliwości jest niedostatkiem</w:t>
            </w:r>
            <w:r w:rsidR="00FF43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a on – nie zaś inna osoba – ma prawny obowiązek dostarczenia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przyszłemu spadkodawcy </w:t>
            </w:r>
            <w:r w:rsidR="00FF43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„środków utrzymania”),</w:t>
            </w:r>
            <w:r w:rsidR="007C682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A06A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 więc przykładowo przekazywania</w:t>
            </w:r>
            <w:r w:rsidR="00FF43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C682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określonych kwot pieniędzy, dostarczani</w:t>
            </w:r>
            <w:r w:rsidR="0005253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7C682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rzeczy (produktów spożywczych</w:t>
            </w:r>
            <w:r w:rsidR="00FF43C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ubrań</w:t>
            </w:r>
            <w:r w:rsidR="007C682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), zapewnieni</w:t>
            </w:r>
            <w:r w:rsidR="009A06A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7C682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mieszkania itp.</w:t>
            </w:r>
          </w:p>
          <w:p w14:paraId="66AE2B93" w14:textId="2E7C2D6B" w:rsidR="002A7292" w:rsidRDefault="009A06AA" w:rsidP="002A7292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072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Tylko w najprostszych stanach faktycznych</w:t>
            </w:r>
            <w:r w:rsidR="008072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 dotyczących najbliższych krewnych w linii prostej,</w:t>
            </w:r>
            <w:r w:rsidRPr="008072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świadomość obowiązku </w:t>
            </w:r>
            <w:r w:rsidR="008072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świadczeń </w:t>
            </w:r>
            <w:r w:rsidR="002120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 ich</w:t>
            </w:r>
            <w:r w:rsidR="00DC6EC9" w:rsidRPr="008072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minimaln</w:t>
            </w:r>
            <w:r w:rsidR="008072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ego</w:t>
            </w:r>
            <w:r w:rsidR="00DC6EC9" w:rsidRPr="008072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zakres</w:t>
            </w:r>
            <w:r w:rsidR="008072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</w:t>
            </w:r>
            <w:r w:rsidR="00DC6EC9" w:rsidRPr="008072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8072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może być objęta domniemaniem faktycznym</w:t>
            </w:r>
            <w:r w:rsidR="00CF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F43D6" w:rsidRPr="00CF43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np. gdy uprawnionym jest </w:t>
            </w:r>
            <w:r w:rsidR="00DC6E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owdowiały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rodzic </w:t>
            </w:r>
            <w:r w:rsidR="00DC6E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niezdolny do pracy,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 mający żadnych, bieżących, stałych </w:t>
            </w:r>
            <w:r w:rsidR="00DC6E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przychodów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C6E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postaci renty, emerytury, </w:t>
            </w:r>
            <w:r w:rsidR="00A063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dochodów z majątku,</w:t>
            </w:r>
            <w:r w:rsidR="00E60A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C6E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A063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DC6EC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zobowiązanym jest jego jedyne pełnoletnie dziecko dysponujące znacznym majątkiem i uzyskującym wysokie przychody z pracy lub innej legalnej działalności</w:t>
            </w:r>
            <w:r w:rsidR="0048776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któremu jest znana sytuacja życiowa rodzic</w:t>
            </w:r>
            <w:r w:rsidR="001A2F5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a.</w:t>
            </w:r>
            <w:r w:rsidR="00A063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Rodzic ten zaś w </w:t>
            </w:r>
            <w:r w:rsidR="00DB61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przeszłości</w:t>
            </w:r>
            <w:r w:rsidR="00A063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B61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należycie wykonywał względem tego dziecka władzę rodzicielską i obowiązek alimentacyjny. </w:t>
            </w:r>
            <w:r w:rsidR="001A2F5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Innym przykładem może być sytuacja rodzica </w:t>
            </w:r>
            <w:r w:rsidR="001A2F5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posiadającego majątek oraz duże możliwości zarobkowe, który nie przyczynia</w:t>
            </w:r>
            <w:r w:rsidR="00DB61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</w:t>
            </w:r>
            <w:r w:rsidR="001A2F5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si</w:t>
            </w:r>
            <w:r w:rsidR="00CF43D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ę</w:t>
            </w:r>
            <w:r w:rsidR="001A2F5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jakikolwiek sposób do pokrywania kosztów utrzymania i wychowania dziecka </w:t>
            </w:r>
            <w:r w:rsidR="00C063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(aktualnie będącego spadkodawcą) </w:t>
            </w:r>
            <w:r w:rsidR="00DB61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okresie gdy nie miało ono </w:t>
            </w:r>
            <w:r w:rsidR="001A2F5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zdolności samodzielnego utrzymania się</w:t>
            </w:r>
            <w:r w:rsidR="00DB61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ani</w:t>
            </w:r>
            <w:r w:rsidR="00DB6162" w:rsidRPr="00DB616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żadnego majątku</w:t>
            </w:r>
            <w:r w:rsidR="00A0636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).</w:t>
            </w:r>
            <w:r w:rsidR="001A2F5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F4991" w:rsidRPr="00CF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Gdy obowiązek alimentacyjny obciąża krewnych tego samego stopnia</w:t>
            </w:r>
            <w:r w:rsidR="00CF43D6" w:rsidRPr="00CF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BF4991" w:rsidRPr="00CF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ale o znacznie zróżnicowanych możliwościach zarobkowych i majątkowych, a nie nastąpiło jakiekolwiek skonkretyzowanie obowiązku każdego ze zobowiązanych</w:t>
            </w:r>
            <w:r w:rsidR="008072EC" w:rsidRPr="00CF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BF4991" w:rsidRPr="00CF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ustalenie czy </w:t>
            </w:r>
            <w:r w:rsidR="00B93E87" w:rsidRPr="00CF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dany </w:t>
            </w:r>
            <w:r w:rsidR="008072EC" w:rsidRPr="00CF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spadk</w:t>
            </w:r>
            <w:r w:rsidR="0005253B" w:rsidRPr="00CF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obier</w:t>
            </w:r>
            <w:r w:rsidR="008072EC" w:rsidRPr="00CF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ca był świadomy swego zobowiązania</w:t>
            </w:r>
            <w:r w:rsidR="009D3C24" w:rsidRPr="00CF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i zakresu świadczeń może być trudne, co wpłynęłoby na długotrwałość i złożoność</w:t>
            </w:r>
            <w:r w:rsidR="002A7292" w:rsidRPr="00CF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postę</w:t>
            </w:r>
            <w:r w:rsidR="009D3C24" w:rsidRPr="00CF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powań </w:t>
            </w:r>
            <w:r w:rsidR="002A7292" w:rsidRPr="00CF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dowodowych.</w:t>
            </w:r>
          </w:p>
          <w:p w14:paraId="1851834F" w14:textId="7AF20561" w:rsidR="002A7292" w:rsidRPr="00CF43D6" w:rsidRDefault="009D3C24" w:rsidP="002A7292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Zważywszy na doniosłość skutków uznania spadkobiercy za niegodnego dziedziczenia precyzja i jednoznaczność dodawanej podstawy wydziedziczenia wydaje się bardzo pożądana. </w:t>
            </w:r>
            <w:r w:rsidR="002A72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Skłania to do </w:t>
            </w:r>
            <w:r w:rsidR="002A7292" w:rsidRPr="00CF43D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rozważenia ograniczającego ujęcia </w:t>
            </w:r>
            <w:r w:rsidR="002A7292" w:rsidRPr="00CF43D6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 xml:space="preserve">uchylanie się od wykonywania obowiązku alimentacyjnego wobec spadkodawcy do </w:t>
            </w:r>
            <w:r w:rsidR="009476A8" w:rsidRPr="00CF43D6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>przypadków,</w:t>
            </w:r>
            <w:r w:rsidR="002A7292" w:rsidRPr="00CF43D6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 xml:space="preserve"> gdy był on skonkretyzowany w orzeczeniu, umowie, ugodzie.</w:t>
            </w:r>
          </w:p>
          <w:p w14:paraId="0FE093E5" w14:textId="22BB6CE3" w:rsidR="00FA20FD" w:rsidRPr="00122709" w:rsidRDefault="00DF2AF8" w:rsidP="002A7292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(2</w:t>
            </w:r>
            <w:r w:rsidRPr="00DF2A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.) Nowa przyczyna niegodności dziedziczenia: </w:t>
            </w:r>
            <w:r w:rsidRPr="00DF2A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uporczywe uchylanie się od wykonywania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wobec spadkodawcy </w:t>
            </w:r>
            <w:r w:rsidRPr="005501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obowiązku opieki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  <w:p w14:paraId="6705F465" w14:textId="77777777" w:rsidR="00024764" w:rsidRDefault="005501FE" w:rsidP="00E52D28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uzasadnieniu projektu ustawy wskazano</w:t>
            </w:r>
            <w:r w:rsidR="00E52D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że: „</w:t>
            </w:r>
            <w:r w:rsidR="00E52D28" w:rsidRPr="00E52D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Przez opiekę należy tu rozumieć </w:t>
            </w:r>
            <w:r w:rsidR="00E52D28" w:rsidRPr="00E52D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opiekę w znaczeniu potocznym, to jest jako faktyczną pomoc i dbanie o inną osobę, o jej dobre samopoczucie.</w:t>
            </w:r>
            <w:r w:rsidR="00E52D28" w:rsidRPr="00E52D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Opieki w rozumieniu projektowanego przepisu </w:t>
            </w:r>
            <w:r w:rsidR="00E52D28" w:rsidRPr="00024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nie należy utożsamiać z opieką zinstytucjonalizowaną, o której mowa w </w:t>
            </w:r>
            <w:proofErr w:type="spellStart"/>
            <w:r w:rsidR="00E52D28" w:rsidRPr="00024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k.r.o</w:t>
            </w:r>
            <w:proofErr w:type="spellEnd"/>
            <w:r w:rsidR="00E52D28" w:rsidRPr="000247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  <w:r w:rsidR="00E52D28" w:rsidRPr="00E52D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(art. 94 § 3 </w:t>
            </w:r>
            <w:proofErr w:type="spellStart"/>
            <w:r w:rsidR="00E52D28" w:rsidRPr="00E52D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k.r.o</w:t>
            </w:r>
            <w:proofErr w:type="spellEnd"/>
            <w:r w:rsidR="00E52D28" w:rsidRPr="00E52D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., art. 145–174 </w:t>
            </w:r>
            <w:proofErr w:type="spellStart"/>
            <w:r w:rsidR="00E52D28" w:rsidRPr="00E52D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k.r.o</w:t>
            </w:r>
            <w:proofErr w:type="spellEnd"/>
            <w:r w:rsidR="00E52D28" w:rsidRPr="00E52D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., art. 175–177 </w:t>
            </w:r>
            <w:proofErr w:type="spellStart"/>
            <w:r w:rsidR="00E52D28" w:rsidRPr="00E52D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k.r.o</w:t>
            </w:r>
            <w:proofErr w:type="spellEnd"/>
            <w:r w:rsidR="00E52D28" w:rsidRPr="00E52D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.) czy kuratelą </w:t>
            </w:r>
            <w:r w:rsidR="001A71B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(..)”. </w:t>
            </w:r>
          </w:p>
          <w:p w14:paraId="74E30A4D" w14:textId="1B4AE6CB" w:rsidR="00E52D28" w:rsidRPr="003B41EC" w:rsidRDefault="00E52D28" w:rsidP="00E52D28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 wydaje się, aby takie ujęcie było dopuszczalne </w:t>
            </w:r>
            <w:r w:rsidRPr="003B4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3B4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  <w:r w:rsidRPr="003B41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najdonioślejszej ustawie z zakresu prawa prywatnego, która ma rangę kodeksu.</w:t>
            </w:r>
          </w:p>
          <w:p w14:paraId="2E01E0D5" w14:textId="63A3163E" w:rsidR="00122709" w:rsidRDefault="00E52D28" w:rsidP="00064963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Opozycja wobec tej propozycji wynika z następujących przyczyn.</w:t>
            </w:r>
          </w:p>
          <w:p w14:paraId="0299285C" w14:textId="1D9A72FE" w:rsidR="00E52D28" w:rsidRDefault="00E52D28" w:rsidP="00064963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(1). Kodeks cywilny zawiera unormowania przewidujące </w:t>
            </w:r>
            <w:r w:rsidR="009476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opiekę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jako instytucję prawa cywilnego (np. art. 13 § 2</w:t>
            </w:r>
            <w:r w:rsidR="000247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k.c.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) o treści sformułowanej w wyżej wskazanych przepisach kodeksu rodzinnego i opiekuńczego. </w:t>
            </w:r>
            <w:r w:rsidR="00611D64" w:rsidRPr="00CF43D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Nie wydaje się, aby można było przyjąć, iż w tym </w:t>
            </w:r>
            <w:r w:rsidR="00611D64" w:rsidRPr="00CF43D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lastRenderedPageBreak/>
              <w:t>samym akcie normatywnym takie</w:t>
            </w:r>
            <w:r w:rsidR="00024764" w:rsidRPr="00CF43D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go</w:t>
            </w:r>
            <w:r w:rsidR="00611D64" w:rsidRPr="00CF43D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same</w:t>
            </w:r>
            <w:r w:rsidR="00024764" w:rsidRPr="00CF43D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go pojęcia (słowa)</w:t>
            </w:r>
            <w:r w:rsidR="00611D64" w:rsidRPr="00CF43D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używa się w różnym znaczeniu</w:t>
            </w:r>
            <w:r w:rsidR="00611D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</w:t>
            </w:r>
          </w:p>
          <w:p w14:paraId="556A4CFE" w14:textId="1E8F4CA9" w:rsidR="00611D64" w:rsidRDefault="00611D64" w:rsidP="00064963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(2). Do obowiązków opiekuna należy, </w:t>
            </w:r>
            <w:r w:rsidR="009476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między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innymi „piecza nad osobą (..) pozostającego pod opieką” (art. </w:t>
            </w:r>
            <w:r w:rsidR="00700A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155 § 1 </w:t>
            </w:r>
            <w:proofErr w:type="spellStart"/>
            <w:r w:rsidR="00700A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k.r.o</w:t>
            </w:r>
            <w:proofErr w:type="spellEnd"/>
            <w:r w:rsidR="00700A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.).</w:t>
            </w:r>
          </w:p>
          <w:p w14:paraId="1F3FE549" w14:textId="0269E442" w:rsidR="00700A68" w:rsidRDefault="00700A68" w:rsidP="00064963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Pieczę nad osobą można – w znacznym uproszczeniu – traktować jako „opiekowanie się” w znaczeniu potocznym. </w:t>
            </w:r>
            <w:r w:rsidR="00EF69A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Działania, jakie winny być podejmowane zależą od wieku (małoletność) i innych okoliczności dotyczących osoby, nad którą piecza jest sprawowana.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876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konsekwencji nienależyte sprawowanie opieki przez opiekuna ustanowionego przez sąd może przybierać postać niewykonywania obowiązku pieczy nad osobą, </w:t>
            </w:r>
          </w:p>
          <w:p w14:paraId="1050723E" w14:textId="009F4F4B" w:rsidR="008F274C" w:rsidRDefault="00700A68" w:rsidP="00B2161E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(3). Wskazanie w uzasadnieniu </w:t>
            </w:r>
            <w:r w:rsidR="00B216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projektu aktu normatywnego, który zostaje uchwalony jako ustawa, intencji projektodawcy odnośnie do wykładni poszczególnych sformułowań, choć zwykle jest brane pod uwagę w procesie wykładni</w:t>
            </w:r>
            <w:r w:rsidR="00A876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B2161E" w:rsidRPr="00A876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nie jest </w:t>
            </w:r>
            <w:r w:rsidR="009476A8" w:rsidRPr="00A876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wiążące</w:t>
            </w:r>
            <w:r w:rsidR="009476A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dla</w:t>
            </w:r>
            <w:r w:rsidR="00B216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podmiotów stosujących tę ustawę. </w:t>
            </w:r>
          </w:p>
          <w:p w14:paraId="389BDEC1" w14:textId="0930DCF0" w:rsidR="00B2161E" w:rsidRDefault="00B2161E" w:rsidP="00B2161E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185A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zaprawne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znaczenie pojęcia „opieka”</w:t>
            </w:r>
            <w:r w:rsidR="00185A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to „</w:t>
            </w:r>
            <w:r w:rsidR="00185AFA" w:rsidRPr="006638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 </w:t>
            </w:r>
            <w:r w:rsidR="00185AFA" w:rsidRPr="006638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«dbanie o kogoś, o coś»</w:t>
            </w:r>
            <w:r w:rsidR="00185A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”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Słowniku języka polskiego PWN </w:t>
            </w:r>
            <w:r w:rsidR="00185A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znaczeni</w:t>
            </w:r>
            <w:r w:rsidR="00117A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="00185A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potoczn</w:t>
            </w:r>
            <w:r w:rsidR="00117A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="00185AF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zostało opisane jako: „</w:t>
            </w:r>
            <w:r w:rsidRPr="00B216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pot.</w:t>
            </w:r>
            <w:r w:rsidRPr="00B216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«człowiek lub ludzie opiekujący się kimś»</w:t>
            </w:r>
            <w:r w:rsidR="006638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” </w:t>
            </w:r>
            <w:hyperlink r:id="rId8" w:history="1">
              <w:r w:rsidR="00663858" w:rsidRPr="00EA68CB">
                <w:rPr>
                  <w:rStyle w:val="Hipercze"/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https://sjp.pwn.pl/szukaj/opieka.html</w:t>
              </w:r>
            </w:hyperlink>
            <w:r w:rsidR="0066385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40299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Rozbudowane i zróżnicowane są definicje „opieki” formułowane w </w:t>
            </w:r>
            <w:r w:rsidR="00E732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pedagogice (Zob. przykładowo E. Muszyńska, </w:t>
            </w:r>
            <w:r w:rsidR="00E7320A" w:rsidRPr="00E7320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Miejsce opieki we współczesnej pedagogice</w:t>
            </w:r>
            <w:r w:rsidR="00E732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Rocznik Lubuski 2012, tom 38, cz. 2. s. 91-104 i powołaną literaturę).</w:t>
            </w:r>
          </w:p>
          <w:p w14:paraId="0D9F56D5" w14:textId="17285664" w:rsidR="00926DA4" w:rsidRDefault="00663858" w:rsidP="00FF2BC2">
            <w:pPr>
              <w:ind w:firstLine="708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Wydaje się, że skoro intencją projektodawców nie jest ograniczenie dodawanej podstawy uznania za niegodnego spadkobiercy uchylającego </w:t>
            </w:r>
            <w:r w:rsidRPr="006638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się od wykonywania </w:t>
            </w:r>
            <w:r w:rsidR="00E734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prawnego o</w:t>
            </w:r>
            <w:r w:rsidR="00926D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bowiązku dbałości o spadkodawcę, jako wynikającego z instytucji prawa cywilnego o nazwie „opieka” to należałoby użyć pojęcia „</w:t>
            </w:r>
            <w:r w:rsidR="00926DA4" w:rsidRPr="00A876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piecza nad osobą</w:t>
            </w:r>
            <w:r w:rsidR="00926D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”. </w:t>
            </w:r>
            <w:r w:rsidR="00185A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Mogłoby być ono dopełnione przykładowym wymienieniem </w:t>
            </w:r>
            <w:r w:rsidR="00DC6F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podstaw prawnych, z których może wynikać obowiązek </w:t>
            </w:r>
            <w:r w:rsidR="00926DA4" w:rsidRPr="00DC6FD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pieczy nad osobą spadkodawcy</w:t>
            </w:r>
            <w:r w:rsidR="00DC6FD0" w:rsidRPr="00DC6FD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AA48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7A5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[</w:t>
            </w:r>
            <w:r w:rsidR="00AA48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926D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bowiązek </w:t>
            </w:r>
            <w:r w:rsidR="00FF2B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i prawo rodziców do „wykonywania </w:t>
            </w:r>
            <w:r w:rsidR="00926D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pieczy nad osobą” dziecka </w:t>
            </w:r>
            <w:r w:rsidR="00FF2B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wynika z władzy rodzicielskiej </w:t>
            </w:r>
            <w:r w:rsidR="00117A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- </w:t>
            </w:r>
            <w:r w:rsidR="00FF2B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art. 95 § 1 </w:t>
            </w:r>
            <w:proofErr w:type="spellStart"/>
            <w:r w:rsidR="00FF2B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k.r.o</w:t>
            </w:r>
            <w:proofErr w:type="spellEnd"/>
            <w:r w:rsidR="00FF2B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., w tym nabytej przez osobę przysposabiającą nad małoletnim przysposobionym </w:t>
            </w:r>
            <w:r w:rsidR="00117A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- </w:t>
            </w:r>
            <w:r w:rsidR="00FF2B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art. 121 § 1 </w:t>
            </w:r>
            <w:proofErr w:type="spellStart"/>
            <w:r w:rsidR="00FF2B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k.r.o</w:t>
            </w:r>
            <w:proofErr w:type="spellEnd"/>
            <w:r w:rsidR="00FF2B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. w zw. z art. 95 § 1 </w:t>
            </w:r>
            <w:proofErr w:type="spellStart"/>
            <w:r w:rsidR="00FF2B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k.r.o</w:t>
            </w:r>
            <w:proofErr w:type="spellEnd"/>
            <w:r w:rsidR="00FF2B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. </w:t>
            </w:r>
            <w:r w:rsidR="00FF2BC2" w:rsidRPr="00FF2B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Obowiązek i prawo wykonywania</w:t>
            </w:r>
            <w:r w:rsidR="00FF2B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bieżącej pieczy</w:t>
            </w:r>
            <w:r w:rsidR="00117A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 (</w:t>
            </w:r>
            <w:r w:rsidR="001A71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będącej elementem składowym „pieczy nad osobą”</w:t>
            </w:r>
            <w:r w:rsidR="00117A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),</w:t>
            </w:r>
            <w:r w:rsidR="001A71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F2B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nad osobą dziecka umieszczonego</w:t>
            </w:r>
            <w:r w:rsidR="00FF2BC2" w:rsidRPr="00FF2B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w pieczy zastępczej</w:t>
            </w:r>
            <w:r w:rsidR="00FF2B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F2B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należy do osoby (małżonków) sprawującej funkcję</w:t>
            </w:r>
            <w:r w:rsidR="00FF2BC2" w:rsidRPr="00FF2B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A71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rodziny zastępczej, prowadzącej</w:t>
            </w:r>
            <w:r w:rsidR="00FF2BC2" w:rsidRPr="00FF2B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rodzi</w:t>
            </w:r>
            <w:r w:rsidR="001A71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nny dom dziecka albo kierującej</w:t>
            </w:r>
            <w:r w:rsidR="00FF2BC2" w:rsidRPr="00FF2B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placówką opiekuńczo-wychowawczą, regionalną placówką opiekuńczo-terapeutyczną lub interwe</w:t>
            </w:r>
            <w:r w:rsidR="001A71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ncyjnym ośrodkiem </w:t>
            </w:r>
            <w:proofErr w:type="spellStart"/>
            <w:r w:rsidR="001A71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preadopcyjnym</w:t>
            </w:r>
            <w:proofErr w:type="spellEnd"/>
            <w:r w:rsidR="001A71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705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- </w:t>
            </w:r>
            <w:r w:rsidR="001A71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art. </w:t>
            </w:r>
            <w:r w:rsidR="001A71B2" w:rsidRPr="001A71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112</w:t>
            </w:r>
            <w:r w:rsidR="001A71B2" w:rsidRPr="001A71B2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1</w:t>
            </w:r>
            <w:r w:rsidR="001A71B2" w:rsidRPr="001A71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. </w:t>
            </w:r>
            <w:r w:rsidR="001A71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§ 1 </w:t>
            </w:r>
            <w:proofErr w:type="spellStart"/>
            <w:r w:rsidR="001A71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k.r.o</w:t>
            </w:r>
            <w:proofErr w:type="spellEnd"/>
            <w:r w:rsidR="001A71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. Obowiązek pieczy nad osobą ciąży na opiekunie </w:t>
            </w:r>
            <w:r w:rsidR="00F705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- </w:t>
            </w:r>
            <w:r w:rsidR="001A71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art. 155 </w:t>
            </w:r>
            <w:proofErr w:type="spellStart"/>
            <w:r w:rsidR="001A71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k.r.o</w:t>
            </w:r>
            <w:proofErr w:type="spellEnd"/>
            <w:r w:rsidR="003B16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 Można go też upatrywać</w:t>
            </w:r>
            <w:r w:rsidR="00F705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 w</w:t>
            </w:r>
            <w:r w:rsidR="003B16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ciążącym na rodzicach i dzieciach obowiązku wzajemnego wspierania się </w:t>
            </w:r>
            <w:r w:rsidR="00F705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- </w:t>
            </w:r>
            <w:r w:rsidR="003B16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art. 87 </w:t>
            </w:r>
            <w:proofErr w:type="spellStart"/>
            <w:r w:rsidR="003B16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k.r.o</w:t>
            </w:r>
            <w:proofErr w:type="spellEnd"/>
            <w:r w:rsidR="003B16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  <w:r w:rsidR="00FE1B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 który obejmuje, między innymi, obowiązek szczególnej troski w razie choroby</w:t>
            </w:r>
            <w:r w:rsidR="00F705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]</w:t>
            </w:r>
            <w:r w:rsidR="00FE1B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055FF917" w14:textId="6332E475" w:rsidR="003B2D9A" w:rsidRDefault="00A76B42" w:rsidP="003B2D9A">
            <w:pPr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Reasumując, celowe byłoby rozważenie ewentualnego doprecyzowania </w:t>
            </w:r>
            <w:r w:rsidR="00F762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i uzupełnienia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projektowanego przepisu, dla którego punktem wyjścia mogłaby być (</w:t>
            </w:r>
            <w:r w:rsidRPr="00E732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traktowana jako wersja robocza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) poniższa propozycja</w:t>
            </w:r>
            <w:r w:rsidR="00F762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punktu 4 w art. 928 § 1 k.c.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:</w:t>
            </w:r>
            <w:bookmarkStart w:id="2" w:name="_Hlk63316264"/>
            <w:r w:rsidRPr="00A76B4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035806AA" w14:textId="10EFFF5B" w:rsidR="00926DA4" w:rsidRPr="00866131" w:rsidRDefault="00A76B42" w:rsidP="00866131">
            <w:pPr>
              <w:ind w:firstLine="74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76B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uporczywie nie </w:t>
            </w:r>
            <w:bookmarkEnd w:id="2"/>
            <w:r w:rsidRPr="00A76B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wykonywał wobec spadkodawcy obowiązku alimentacyjnego</w:t>
            </w:r>
            <w:r w:rsidR="003B2D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  <w:r w:rsidRPr="00A76B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A76B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określonego co do wysokości orzeczeniem sądowym, ugodą zawartą przed sądem albo innym organem albo inną umową</w:t>
            </w:r>
            <w:r w:rsidR="003B2D9A" w:rsidRPr="003B2D9A">
              <w:rPr>
                <w:bCs/>
              </w:rPr>
              <w:t xml:space="preserve"> </w:t>
            </w:r>
            <w:r w:rsidR="003B2D9A" w:rsidRPr="003B2D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 od obowiązku</w:t>
            </w:r>
            <w:r w:rsidR="003B2D9A" w:rsidRPr="003B2D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pieczy nad osobą spadkodawcy, w szczególności wynikającego z władzy rodzicielskiej, opieki, sprawowania funkcji rodzica zastępczego, małżeńskiego obowiązku wzajemnej pomocy lub rażąc</w:t>
            </w:r>
            <w:r w:rsidR="00F762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</w:t>
            </w:r>
            <w:r w:rsidR="003B2D9A" w:rsidRPr="003B2D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narusza</w:t>
            </w:r>
            <w:r w:rsidR="00F762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ł</w:t>
            </w:r>
            <w:r w:rsidR="003B2D9A" w:rsidRPr="003B2D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obowiąz</w:t>
            </w:r>
            <w:r w:rsidR="00F762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</w:t>
            </w:r>
            <w:r w:rsidR="003B2D9A" w:rsidRPr="003B2D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 wzajemnego szacunku i wspierania się rodzica i dziecka.</w:t>
            </w:r>
          </w:p>
        </w:tc>
        <w:tc>
          <w:tcPr>
            <w:tcW w:w="4076" w:type="dxa"/>
          </w:tcPr>
          <w:p w14:paraId="3719171C" w14:textId="6181AA19" w:rsidR="00431E30" w:rsidRPr="008E719B" w:rsidRDefault="00E12ECD" w:rsidP="008E719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E7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Uwag</w:t>
            </w:r>
            <w:r w:rsidR="004E28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</w:t>
            </w:r>
            <w:r w:rsidR="004844E1" w:rsidRPr="008E7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2047F" w:rsidRPr="008E7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uwzględni</w:t>
            </w:r>
            <w:r w:rsidR="004E28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one</w:t>
            </w:r>
          </w:p>
          <w:p w14:paraId="7835B701" w14:textId="77777777" w:rsidR="001B06E3" w:rsidRDefault="001B06E3" w:rsidP="008E719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DB595A7" w14:textId="7DD5AA72" w:rsidR="00213120" w:rsidRDefault="00213120" w:rsidP="008E719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konsekwencji uwzględnienia</w:t>
            </w:r>
            <w:r w:rsidR="003A6E3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zgłoszonych przez Sąd Najwyższy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uwag zmieniona została treść projektowanego </w:t>
            </w:r>
            <w:r w:rsidRPr="00724CB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art. 1 pkt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w ten sposób, że </w:t>
            </w:r>
            <w:r w:rsidRPr="0021312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art. 928 § 1 został dodany pkt 4 i 5 w brzmieniu:</w:t>
            </w:r>
          </w:p>
          <w:p w14:paraId="7D222F83" w14:textId="77777777" w:rsidR="008E719B" w:rsidRPr="00744EC8" w:rsidRDefault="008E719B" w:rsidP="008E719B">
            <w:pPr>
              <w:pStyle w:val="ZPKTzmpktartykuempunktem"/>
              <w:spacing w:line="240" w:lineRule="auto"/>
              <w:rPr>
                <w:rFonts w:ascii="Times New Roman" w:eastAsia="Times New Roman" w:hAnsi="Times New Roman" w:cs="Times New Roman"/>
                <w:bCs w:val="0"/>
                <w:i/>
                <w:iCs/>
                <w:sz w:val="20"/>
              </w:rPr>
            </w:pPr>
            <w:r w:rsidRPr="00744EC8">
              <w:rPr>
                <w:rFonts w:ascii="Times New Roman" w:eastAsia="Times New Roman" w:hAnsi="Times New Roman" w:cs="Times New Roman"/>
                <w:bCs w:val="0"/>
                <w:i/>
                <w:iCs/>
                <w:sz w:val="20"/>
              </w:rPr>
              <w:t>„4)</w:t>
            </w:r>
            <w:r w:rsidRPr="008E719B">
              <w:rPr>
                <w:rFonts w:ascii="Times New Roman" w:eastAsia="Times New Roman" w:hAnsi="Times New Roman" w:cs="Times New Roman"/>
                <w:bCs w:val="0"/>
                <w:sz w:val="20"/>
              </w:rPr>
              <w:t xml:space="preserve"> </w:t>
            </w:r>
            <w:r w:rsidRPr="00744EC8">
              <w:rPr>
                <w:rFonts w:ascii="Times New Roman" w:eastAsia="Times New Roman" w:hAnsi="Times New Roman" w:cs="Times New Roman"/>
                <w:bCs w:val="0"/>
                <w:i/>
                <w:iCs/>
                <w:sz w:val="20"/>
              </w:rPr>
              <w:t>uporczywie uchylał się od wykonywania wobec spadkodawcy obowiązku alimentacyjnego określonego co do wysokości orzeczeniem sądowym, ugodą zawartą przed sądem albo innym organem albo inną umową;</w:t>
            </w:r>
          </w:p>
          <w:p w14:paraId="341ED536" w14:textId="16BFEE9A" w:rsidR="00F039D1" w:rsidRPr="00744EC8" w:rsidRDefault="008E719B" w:rsidP="008E719B">
            <w:pPr>
              <w:pStyle w:val="ZPKTzmpktartykuempunktem"/>
              <w:spacing w:line="240" w:lineRule="auto"/>
              <w:rPr>
                <w:rFonts w:ascii="Times New Roman" w:eastAsia="Times New Roman" w:hAnsi="Times New Roman" w:cs="Times New Roman"/>
                <w:bCs w:val="0"/>
                <w:i/>
                <w:iCs/>
                <w:sz w:val="20"/>
              </w:rPr>
            </w:pPr>
            <w:r w:rsidRPr="00744EC8">
              <w:rPr>
                <w:rFonts w:ascii="Times New Roman" w:eastAsia="Times New Roman" w:hAnsi="Times New Roman" w:cs="Times New Roman"/>
                <w:bCs w:val="0"/>
                <w:i/>
                <w:iCs/>
                <w:sz w:val="20"/>
              </w:rPr>
              <w:t>5) uporczywie uchylał się od wykonywania obowiązku pieczy nad spadkodawcą, w szczególności wynikającego z władzy rodzicielskiej, opieki, sprawowania funkcji rodzica zastępczego, małżeńskiego obowiązku wzajemnej pomocy albo obowiązku wzajemnego szacunku i wspierania się rodzica i dziecka.”</w:t>
            </w:r>
          </w:p>
          <w:p w14:paraId="0EACDF12" w14:textId="77777777" w:rsidR="00353E62" w:rsidRDefault="00353E62" w:rsidP="008E719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E4A6598" w14:textId="77777777" w:rsidR="00E02DB6" w:rsidRDefault="00E02DB6" w:rsidP="008E719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3046439" w14:textId="0BD93993" w:rsidR="00E02DB6" w:rsidRPr="006C7994" w:rsidRDefault="00E02DB6" w:rsidP="008E719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B3128" w14:paraId="308D88FE" w14:textId="77777777" w:rsidTr="00B241C8">
        <w:trPr>
          <w:jc w:val="center"/>
        </w:trPr>
        <w:tc>
          <w:tcPr>
            <w:tcW w:w="562" w:type="dxa"/>
          </w:tcPr>
          <w:p w14:paraId="3D49DE22" w14:textId="09DE8426" w:rsidR="00BB3128" w:rsidRDefault="00BB3128" w:rsidP="00252F32">
            <w:pPr>
              <w:spacing w:before="120"/>
              <w:ind w:right="-534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>2.</w:t>
            </w:r>
          </w:p>
        </w:tc>
        <w:tc>
          <w:tcPr>
            <w:tcW w:w="1843" w:type="dxa"/>
            <w:vAlign w:val="center"/>
          </w:tcPr>
          <w:p w14:paraId="55DB83BC" w14:textId="2FDC8618" w:rsidR="00BB3128" w:rsidRDefault="00BB3128" w:rsidP="00252F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PK</w:t>
            </w:r>
          </w:p>
        </w:tc>
        <w:tc>
          <w:tcPr>
            <w:tcW w:w="1843" w:type="dxa"/>
            <w:vAlign w:val="center"/>
          </w:tcPr>
          <w:p w14:paraId="6159B03E" w14:textId="440863F8" w:rsidR="00BB3128" w:rsidRDefault="00BB3128" w:rsidP="00252F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3" w:name="_Hlk97710914"/>
            <w:r w:rsidRPr="005B3FB5">
              <w:rPr>
                <w:rFonts w:ascii="Times New Roman" w:hAnsi="Times New Roman" w:cs="Times New Roman"/>
                <w:sz w:val="20"/>
                <w:szCs w:val="20"/>
              </w:rPr>
              <w:t xml:space="preserve">art.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3FB5">
              <w:rPr>
                <w:rFonts w:ascii="Times New Roman" w:hAnsi="Times New Roman" w:cs="Times New Roman"/>
                <w:sz w:val="20"/>
                <w:szCs w:val="20"/>
              </w:rPr>
              <w:t xml:space="preserve"> pkt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lit. b</w:t>
            </w:r>
            <w:r w:rsidRPr="005B3FB5">
              <w:rPr>
                <w:rFonts w:ascii="Times New Roman" w:hAnsi="Times New Roman" w:cs="Times New Roman"/>
                <w:sz w:val="20"/>
                <w:szCs w:val="20"/>
              </w:rPr>
              <w:t xml:space="preserve"> projektu</w:t>
            </w:r>
            <w:bookmarkEnd w:id="3"/>
            <w:r>
              <w:rPr>
                <w:rFonts w:ascii="Times New Roman" w:hAnsi="Times New Roman" w:cs="Times New Roman"/>
                <w:sz w:val="20"/>
                <w:szCs w:val="20"/>
              </w:rPr>
              <w:t>, art. 3 pkt 10 lit. b projektu,</w:t>
            </w:r>
            <w:r w:rsidR="00866131">
              <w:rPr>
                <w:rFonts w:ascii="Times New Roman" w:hAnsi="Times New Roman" w:cs="Times New Roman"/>
                <w:sz w:val="20"/>
                <w:szCs w:val="20"/>
              </w:rPr>
              <w:t xml:space="preserve"> art. 4 pkt 2 projektu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48CB1869" w14:textId="04E0B0A8" w:rsidR="00BB3128" w:rsidRPr="00F039D1" w:rsidRDefault="00866131" w:rsidP="00F039D1">
            <w:pPr>
              <w:ind w:firstLine="708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039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Odpowiadając na pismo z dnia 6 kwietnia 2022 r., nr DLPC-V.414.6.2020, uprzejmie informuję, że do przekazanego przy nim </w:t>
            </w:r>
            <w:r w:rsidRPr="00F039D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projektu ustawy o zmianie ustawy </w:t>
            </w:r>
            <w:r w:rsidR="0058709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-</w:t>
            </w:r>
            <w:r w:rsidRPr="00F039D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Kodeks cywilny oraz niektórych innych ustaw (UD222), </w:t>
            </w:r>
            <w:r w:rsidRPr="00F039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nie zgłaszam uwag natury merytorycznej. Niemniej jednak zauważam, że wymaga on drobnych korekt legislacyjno-redakcyjnych, mających na celu wyeliminowanie błędnego odesłania w projektowanym art. 101 § 5 Kodeksu rodzinnego i opiekuńczego do „§ 1" zamiast do „§ 4" (art. 2 pkt 1 lit. b </w:t>
            </w:r>
            <w:r w:rsidRPr="00F039D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projektu) </w:t>
            </w:r>
            <w:r w:rsidRPr="00F039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oraz dopracowanie w zakresie interpunkcji projektowanych przepisów art. 677 § l</w:t>
            </w:r>
            <w:r w:rsidRPr="00454981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1</w:t>
            </w:r>
            <w:r w:rsidRPr="00F039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k.p.c. (art. 3 pkt 10 lit. b </w:t>
            </w:r>
            <w:r w:rsidRPr="00F039D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projektu) </w:t>
            </w:r>
            <w:r w:rsidRPr="00F039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i art. 24b ust. 1 pkt 6 </w:t>
            </w:r>
            <w:r w:rsidRPr="00F039D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ustawy z dnia 17 maja 1989 r. - Prawo geodezyjne i kartograficzne </w:t>
            </w:r>
            <w:r w:rsidRPr="00F039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(art. 4 pkt 2 </w:t>
            </w:r>
            <w:r w:rsidRPr="00F039D1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projektu).</w:t>
            </w:r>
          </w:p>
        </w:tc>
        <w:tc>
          <w:tcPr>
            <w:tcW w:w="4076" w:type="dxa"/>
          </w:tcPr>
          <w:p w14:paraId="14D79821" w14:textId="08BF686C" w:rsidR="00BB3128" w:rsidRDefault="004C138C" w:rsidP="001B554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Wyjaśnienie </w:t>
            </w:r>
          </w:p>
          <w:p w14:paraId="4146CA3E" w14:textId="77777777" w:rsidR="004E28B2" w:rsidRDefault="004E28B2" w:rsidP="001B554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4121C84" w14:textId="4F99D1B9" w:rsidR="004E28B2" w:rsidRDefault="004E28B2" w:rsidP="001B554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Uwaga częściowo bezprzedmiotowa z uwagi na rezygnację z projektowanego § 5 art. </w:t>
            </w:r>
            <w:r w:rsidR="00DD537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101 </w:t>
            </w:r>
            <w:proofErr w:type="spellStart"/>
            <w:r w:rsidR="00DD537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k.r.o</w:t>
            </w:r>
            <w:proofErr w:type="spellEnd"/>
            <w:r w:rsidR="00DD537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37A0DEF0" w14:textId="77777777" w:rsidR="004E28B2" w:rsidRDefault="004E28B2" w:rsidP="001B554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2743E79" w14:textId="75DCEDEF" w:rsidR="00A038E0" w:rsidRPr="00A038E0" w:rsidRDefault="004E28B2" w:rsidP="001B554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A038E0" w:rsidRPr="00A038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zupełniono znaki interpunkcyjne w art. 677 § 1</w:t>
            </w:r>
            <w:r w:rsidR="00A038E0" w:rsidRPr="00A038E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1</w:t>
            </w:r>
            <w:r w:rsidR="00A038E0" w:rsidRPr="00A038E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k.p.c. i art. 24b ust. 1 pkt 6 P.g.k.</w:t>
            </w:r>
          </w:p>
        </w:tc>
      </w:tr>
      <w:tr w:rsidR="00D54DB1" w14:paraId="1CA5AB4D" w14:textId="77777777" w:rsidTr="00B919AF">
        <w:trPr>
          <w:jc w:val="center"/>
        </w:trPr>
        <w:tc>
          <w:tcPr>
            <w:tcW w:w="13994" w:type="dxa"/>
            <w:gridSpan w:val="5"/>
            <w:shd w:val="clear" w:color="auto" w:fill="A6A6A6" w:themeFill="background1" w:themeFillShade="A6"/>
          </w:tcPr>
          <w:p w14:paraId="24A9AEDA" w14:textId="5134C805" w:rsidR="00D54DB1" w:rsidRPr="00D54DB1" w:rsidRDefault="00B919AF" w:rsidP="00D54DB1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Uwagi do uzasadnienia projektu</w:t>
            </w:r>
          </w:p>
        </w:tc>
      </w:tr>
      <w:tr w:rsidR="00252F32" w:rsidRPr="00322BC5" w14:paraId="2156F658" w14:textId="77777777" w:rsidTr="00B241C8">
        <w:trPr>
          <w:jc w:val="center"/>
        </w:trPr>
        <w:tc>
          <w:tcPr>
            <w:tcW w:w="562" w:type="dxa"/>
          </w:tcPr>
          <w:p w14:paraId="79AAA3D9" w14:textId="3DE50848" w:rsidR="00B919AF" w:rsidRPr="00B919AF" w:rsidRDefault="00B241C8" w:rsidP="00B241C8">
            <w:pPr>
              <w:spacing w:before="120"/>
              <w:ind w:right="-534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</w:t>
            </w:r>
          </w:p>
        </w:tc>
        <w:tc>
          <w:tcPr>
            <w:tcW w:w="1843" w:type="dxa"/>
            <w:vAlign w:val="center"/>
          </w:tcPr>
          <w:p w14:paraId="225CC122" w14:textId="77777777" w:rsidR="00B919AF" w:rsidRDefault="00B919AF" w:rsidP="00B241C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5B69EE39" w14:textId="77777777" w:rsidR="00B919AF" w:rsidRDefault="00B919AF" w:rsidP="00B241C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0" w:type="dxa"/>
            <w:vAlign w:val="center"/>
          </w:tcPr>
          <w:p w14:paraId="09E4D561" w14:textId="77777777" w:rsidR="00B919AF" w:rsidRPr="00322BC5" w:rsidRDefault="00B919AF" w:rsidP="00B241C8">
            <w:pPr>
              <w:ind w:firstLine="7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76" w:type="dxa"/>
          </w:tcPr>
          <w:p w14:paraId="2ADAA775" w14:textId="77777777" w:rsidR="00B919AF" w:rsidRPr="00322BC5" w:rsidRDefault="00B919AF" w:rsidP="00B241C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919AF" w:rsidRPr="00322BC5" w14:paraId="62827CBE" w14:textId="77777777" w:rsidTr="00B919AF">
        <w:trPr>
          <w:jc w:val="center"/>
        </w:trPr>
        <w:tc>
          <w:tcPr>
            <w:tcW w:w="13994" w:type="dxa"/>
            <w:gridSpan w:val="5"/>
            <w:shd w:val="clear" w:color="auto" w:fill="A6A6A6" w:themeFill="background1" w:themeFillShade="A6"/>
          </w:tcPr>
          <w:p w14:paraId="6DD01354" w14:textId="00E3688E" w:rsidR="00B919AF" w:rsidRPr="00322BC5" w:rsidRDefault="00B919AF" w:rsidP="00B919AF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Uwagi do O</w:t>
            </w:r>
            <w:r w:rsidR="009D37D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ceny Skutków Regulacji</w:t>
            </w:r>
          </w:p>
        </w:tc>
      </w:tr>
      <w:tr w:rsidR="00252F32" w:rsidRPr="00322BC5" w14:paraId="70AF4D21" w14:textId="77777777" w:rsidTr="00B241C8">
        <w:tblPrEx>
          <w:jc w:val="left"/>
        </w:tblPrEx>
        <w:tc>
          <w:tcPr>
            <w:tcW w:w="562" w:type="dxa"/>
          </w:tcPr>
          <w:p w14:paraId="2A511012" w14:textId="182C5783" w:rsidR="00B919AF" w:rsidRPr="00B919AF" w:rsidRDefault="00B241C8" w:rsidP="00B241C8">
            <w:pPr>
              <w:spacing w:before="120"/>
              <w:ind w:right="-534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</w:t>
            </w:r>
          </w:p>
        </w:tc>
        <w:tc>
          <w:tcPr>
            <w:tcW w:w="1843" w:type="dxa"/>
          </w:tcPr>
          <w:p w14:paraId="02E25544" w14:textId="77777777" w:rsidR="00B919AF" w:rsidRDefault="00B919AF" w:rsidP="00B241C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14:paraId="3FEDB332" w14:textId="77777777" w:rsidR="00B919AF" w:rsidRDefault="00B919AF" w:rsidP="00B241C8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0" w:type="dxa"/>
          </w:tcPr>
          <w:p w14:paraId="1D00666D" w14:textId="77777777" w:rsidR="00B919AF" w:rsidRPr="00322BC5" w:rsidRDefault="00B919AF" w:rsidP="00B241C8">
            <w:pPr>
              <w:ind w:firstLine="7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076" w:type="dxa"/>
          </w:tcPr>
          <w:p w14:paraId="3366253C" w14:textId="77777777" w:rsidR="00B919AF" w:rsidRPr="00322BC5" w:rsidRDefault="00B919AF" w:rsidP="00B241C8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263BA22" w14:textId="77777777" w:rsidR="009A3389" w:rsidRPr="00FF4480" w:rsidRDefault="009A3389" w:rsidP="00E738A5">
      <w:pPr>
        <w:spacing w:line="240" w:lineRule="auto"/>
        <w:rPr>
          <w:rFonts w:ascii="Times New Roman" w:hAnsi="Times New Roman" w:cs="Times New Roman"/>
        </w:rPr>
      </w:pPr>
    </w:p>
    <w:sectPr w:rsidR="009A3389" w:rsidRPr="00FF4480" w:rsidSect="001F3A0F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AE759" w14:textId="77777777" w:rsidR="005B1319" w:rsidRDefault="005B1319" w:rsidP="00735AA5">
      <w:pPr>
        <w:spacing w:after="0" w:line="240" w:lineRule="auto"/>
      </w:pPr>
      <w:r>
        <w:separator/>
      </w:r>
    </w:p>
  </w:endnote>
  <w:endnote w:type="continuationSeparator" w:id="0">
    <w:p w14:paraId="371ACAE0" w14:textId="77777777" w:rsidR="005B1319" w:rsidRDefault="005B1319" w:rsidP="0073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</w:rPr>
      <w:id w:val="451909213"/>
      <w:docPartObj>
        <w:docPartGallery w:val="Page Numbers (Bottom of Page)"/>
        <w:docPartUnique/>
      </w:docPartObj>
    </w:sdtPr>
    <w:sdtEndPr/>
    <w:sdtContent>
      <w:p w14:paraId="3D1313F4" w14:textId="77777777" w:rsidR="000B346A" w:rsidRPr="000B346A" w:rsidRDefault="00E738A5">
        <w:pPr>
          <w:pStyle w:val="Stopka"/>
          <w:jc w:val="right"/>
          <w:rPr>
            <w:rFonts w:ascii="Arial" w:hAnsi="Arial" w:cs="Arial"/>
            <w:sz w:val="18"/>
          </w:rPr>
        </w:pPr>
        <w:r>
          <w:rPr>
            <w:rFonts w:ascii="Arial" w:hAnsi="Arial" w:cs="Arial"/>
            <w:sz w:val="18"/>
          </w:rPr>
          <w:t>S</w:t>
        </w:r>
        <w:r w:rsidR="000B346A" w:rsidRPr="000B346A">
          <w:rPr>
            <w:rFonts w:ascii="Arial" w:hAnsi="Arial" w:cs="Arial"/>
            <w:sz w:val="18"/>
          </w:rPr>
          <w:t xml:space="preserve">trona | </w:t>
        </w:r>
        <w:r w:rsidR="000B346A" w:rsidRPr="000B346A">
          <w:rPr>
            <w:rFonts w:ascii="Arial" w:hAnsi="Arial" w:cs="Arial"/>
            <w:sz w:val="18"/>
          </w:rPr>
          <w:fldChar w:fldCharType="begin"/>
        </w:r>
        <w:r w:rsidR="000B346A" w:rsidRPr="000B346A">
          <w:rPr>
            <w:rFonts w:ascii="Arial" w:hAnsi="Arial" w:cs="Arial"/>
            <w:sz w:val="18"/>
          </w:rPr>
          <w:instrText>PAGE   \* MERGEFORMAT</w:instrText>
        </w:r>
        <w:r w:rsidR="000B346A" w:rsidRPr="000B346A">
          <w:rPr>
            <w:rFonts w:ascii="Arial" w:hAnsi="Arial" w:cs="Arial"/>
            <w:sz w:val="18"/>
          </w:rPr>
          <w:fldChar w:fldCharType="separate"/>
        </w:r>
        <w:r w:rsidR="00FF02FA">
          <w:rPr>
            <w:rFonts w:ascii="Arial" w:hAnsi="Arial" w:cs="Arial"/>
            <w:noProof/>
            <w:sz w:val="18"/>
          </w:rPr>
          <w:t>2</w:t>
        </w:r>
        <w:r w:rsidR="000B346A" w:rsidRPr="000B346A">
          <w:rPr>
            <w:rFonts w:ascii="Arial" w:hAnsi="Arial" w:cs="Arial"/>
            <w:sz w:val="18"/>
          </w:rPr>
          <w:fldChar w:fldCharType="end"/>
        </w:r>
        <w:r w:rsidR="000B346A" w:rsidRPr="000B346A">
          <w:rPr>
            <w:rFonts w:ascii="Arial" w:hAnsi="Arial" w:cs="Arial"/>
            <w:sz w:val="18"/>
          </w:rPr>
          <w:t xml:space="preserve"> </w:t>
        </w:r>
      </w:p>
    </w:sdtContent>
  </w:sdt>
  <w:p w14:paraId="1FF13A2E" w14:textId="77777777" w:rsidR="00735AA5" w:rsidRDefault="00735A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2BBBE" w14:textId="77777777" w:rsidR="005B1319" w:rsidRDefault="005B1319" w:rsidP="00735AA5">
      <w:pPr>
        <w:spacing w:after="0" w:line="240" w:lineRule="auto"/>
      </w:pPr>
      <w:r>
        <w:separator/>
      </w:r>
    </w:p>
  </w:footnote>
  <w:footnote w:type="continuationSeparator" w:id="0">
    <w:p w14:paraId="39A29347" w14:textId="77777777" w:rsidR="005B1319" w:rsidRDefault="005B1319" w:rsidP="00735AA5">
      <w:pPr>
        <w:spacing w:after="0" w:line="240" w:lineRule="auto"/>
      </w:pPr>
      <w:r>
        <w:continuationSeparator/>
      </w:r>
    </w:p>
  </w:footnote>
  <w:footnote w:id="1">
    <w:p w14:paraId="72EFE3A5" w14:textId="3CF0116A" w:rsidR="005168DB" w:rsidRDefault="005168DB" w:rsidP="005168DB">
      <w:pPr>
        <w:pStyle w:val="Tekstprzypisudolnego"/>
      </w:pPr>
      <w:r>
        <w:rPr>
          <w:rStyle w:val="Odwoanieprzypisudolnego"/>
        </w:rPr>
        <w:footnoteRef/>
      </w:r>
      <w:r>
        <w:t xml:space="preserve"> Raport pt. „</w:t>
      </w:r>
      <w:r w:rsidRPr="005168DB">
        <w:rPr>
          <w:i/>
          <w:iCs/>
        </w:rPr>
        <w:t>Przyczyny przewlekłości wieloletnich postępowań o stwierdzenie nabycia spadku</w:t>
      </w:r>
      <w:r>
        <w:t xml:space="preserve">” autorstwa </w:t>
      </w:r>
      <w:r w:rsidRPr="005168DB">
        <w:t>Pani dr Sławomiry Kotas</w:t>
      </w:r>
      <w:r>
        <w:t>-</w:t>
      </w:r>
      <w:proofErr w:type="spellStart"/>
      <w:r>
        <w:t>Turoboyskiej</w:t>
      </w:r>
      <w:proofErr w:type="spellEnd"/>
      <w:r>
        <w:t xml:space="preserve"> zostanie opublikowany</w:t>
      </w:r>
      <w:r w:rsidR="00175CED">
        <w:t xml:space="preserve"> w najbliższym czasie </w:t>
      </w:r>
      <w:r>
        <w:t xml:space="preserve"> na stronie internetowej Instytutu Wymiaru Sprawiedliwości (</w:t>
      </w:r>
      <w:r w:rsidRPr="005168DB">
        <w:t>https://iws.gov.pl/</w:t>
      </w:r>
      <w:r>
        <w:t>).</w:t>
      </w:r>
    </w:p>
  </w:footnote>
  <w:footnote w:id="2">
    <w:p w14:paraId="3EC62ED6" w14:textId="3F93BD82" w:rsidR="009A7788" w:rsidRDefault="009A778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A7788">
        <w:t>Dz.U. z 2021 r. poz. 510</w:t>
      </w:r>
      <w:r w:rsidR="00D20F94">
        <w:t>, z późn. zm</w:t>
      </w:r>
      <w:r w:rsidR="004844E1">
        <w:t>.</w:t>
      </w:r>
    </w:p>
  </w:footnote>
  <w:footnote w:id="3">
    <w:p w14:paraId="7637C432" w14:textId="0C6E0DDD" w:rsidR="00157767" w:rsidRDefault="001577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57767">
        <w:t>Dz.U. z 2022 r. poz. 671</w:t>
      </w:r>
    </w:p>
  </w:footnote>
  <w:footnote w:id="4">
    <w:p w14:paraId="7301915A" w14:textId="31355736" w:rsidR="00C441C3" w:rsidRDefault="00C441C3">
      <w:pPr>
        <w:pStyle w:val="Tekstprzypisudolnego"/>
      </w:pPr>
      <w:r>
        <w:rPr>
          <w:rStyle w:val="Odwoanieprzypisudolnego"/>
        </w:rPr>
        <w:footnoteRef/>
      </w:r>
      <w:r>
        <w:t xml:space="preserve"> Dz.U. z 2021 r. poz. 2070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Look w:val="04A0" w:firstRow="1" w:lastRow="0" w:firstColumn="1" w:lastColumn="0" w:noHBand="0" w:noVBand="1"/>
    </w:tblPr>
    <w:tblGrid>
      <w:gridCol w:w="553"/>
      <w:gridCol w:w="1912"/>
      <w:gridCol w:w="1857"/>
      <w:gridCol w:w="5558"/>
      <w:gridCol w:w="4114"/>
    </w:tblGrid>
    <w:tr w:rsidR="00136551" w:rsidRPr="00FF4480" w14:paraId="25235B4B" w14:textId="77777777" w:rsidTr="00E60A8D">
      <w:trPr>
        <w:trHeight w:val="592"/>
        <w:jc w:val="center"/>
      </w:trPr>
      <w:tc>
        <w:tcPr>
          <w:tcW w:w="554" w:type="dxa"/>
          <w:vAlign w:val="center"/>
        </w:tcPr>
        <w:p w14:paraId="3079F5C1" w14:textId="77777777" w:rsidR="00136551" w:rsidRPr="00FF4480" w:rsidRDefault="00136551" w:rsidP="00136551">
          <w:pPr>
            <w:jc w:val="center"/>
            <w:rPr>
              <w:rFonts w:ascii="Times New Roman" w:hAnsi="Times New Roman" w:cs="Times New Roman"/>
              <w:sz w:val="20"/>
            </w:rPr>
          </w:pPr>
          <w:r w:rsidRPr="00FF4480">
            <w:rPr>
              <w:rFonts w:ascii="Times New Roman" w:hAnsi="Times New Roman" w:cs="Times New Roman"/>
              <w:b/>
              <w:sz w:val="20"/>
            </w:rPr>
            <w:t>Lp</w:t>
          </w:r>
          <w:r w:rsidRPr="00FF4480">
            <w:rPr>
              <w:rFonts w:ascii="Times New Roman" w:hAnsi="Times New Roman" w:cs="Times New Roman"/>
              <w:sz w:val="20"/>
            </w:rPr>
            <w:t>.</w:t>
          </w:r>
        </w:p>
      </w:tc>
      <w:tc>
        <w:tcPr>
          <w:tcW w:w="1931" w:type="dxa"/>
          <w:vAlign w:val="center"/>
        </w:tcPr>
        <w:p w14:paraId="51D5B69E" w14:textId="77777777" w:rsidR="00136551" w:rsidRPr="00FF4480" w:rsidRDefault="00136551" w:rsidP="00136551">
          <w:pPr>
            <w:spacing w:after="60"/>
            <w:jc w:val="center"/>
            <w:rPr>
              <w:rFonts w:ascii="Times New Roman" w:hAnsi="Times New Roman" w:cs="Times New Roman"/>
              <w:b/>
              <w:bCs/>
              <w:sz w:val="20"/>
            </w:rPr>
          </w:pPr>
          <w:r w:rsidRPr="00FF4480">
            <w:rPr>
              <w:rFonts w:ascii="Times New Roman" w:hAnsi="Times New Roman" w:cs="Times New Roman"/>
              <w:b/>
              <w:bCs/>
              <w:sz w:val="20"/>
            </w:rPr>
            <w:t>Podmiot zgłaszający</w:t>
          </w:r>
          <w:r>
            <w:rPr>
              <w:rFonts w:ascii="Times New Roman" w:hAnsi="Times New Roman" w:cs="Times New Roman"/>
              <w:b/>
              <w:bCs/>
              <w:sz w:val="20"/>
            </w:rPr>
            <w:t xml:space="preserve"> uwagę</w:t>
          </w:r>
        </w:p>
      </w:tc>
      <w:tc>
        <w:tcPr>
          <w:tcW w:w="1876" w:type="dxa"/>
          <w:vAlign w:val="center"/>
        </w:tcPr>
        <w:p w14:paraId="0ECBAC82" w14:textId="77777777" w:rsidR="00136551" w:rsidRPr="00E738A5" w:rsidRDefault="00136551" w:rsidP="00136551">
          <w:pPr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E738A5">
            <w:rPr>
              <w:rFonts w:ascii="Times New Roman" w:hAnsi="Times New Roman" w:cs="Times New Roman"/>
              <w:b/>
              <w:bCs/>
              <w:sz w:val="16"/>
              <w:szCs w:val="16"/>
            </w:rPr>
            <w:t xml:space="preserve">Jednostka redakcyjna </w:t>
          </w:r>
          <w:r w:rsidRPr="00E738A5">
            <w:rPr>
              <w:rFonts w:ascii="Times New Roman" w:hAnsi="Times New Roman" w:cs="Times New Roman"/>
              <w:b/>
              <w:bCs/>
              <w:sz w:val="16"/>
              <w:szCs w:val="16"/>
            </w:rPr>
            <w:br/>
            <w:t>Str</w:t>
          </w:r>
          <w:r w:rsidR="00963B6A">
            <w:rPr>
              <w:rFonts w:ascii="Times New Roman" w:hAnsi="Times New Roman" w:cs="Times New Roman"/>
              <w:b/>
              <w:bCs/>
              <w:sz w:val="16"/>
              <w:szCs w:val="16"/>
            </w:rPr>
            <w:t>ona</w:t>
          </w:r>
          <w:r w:rsidRPr="00E738A5">
            <w:rPr>
              <w:rFonts w:ascii="Times New Roman" w:hAnsi="Times New Roman" w:cs="Times New Roman"/>
              <w:b/>
              <w:bCs/>
              <w:sz w:val="16"/>
              <w:szCs w:val="16"/>
            </w:rPr>
            <w:t xml:space="preserve"> uzasadnienia</w:t>
          </w:r>
          <w:r>
            <w:rPr>
              <w:rFonts w:ascii="Times New Roman" w:hAnsi="Times New Roman" w:cs="Times New Roman"/>
              <w:b/>
              <w:bCs/>
              <w:sz w:val="16"/>
              <w:szCs w:val="16"/>
            </w:rPr>
            <w:br/>
          </w:r>
          <w:r w:rsidRPr="00E738A5">
            <w:rPr>
              <w:rFonts w:ascii="Times New Roman" w:hAnsi="Times New Roman" w:cs="Times New Roman"/>
              <w:b/>
              <w:bCs/>
              <w:sz w:val="16"/>
              <w:szCs w:val="16"/>
            </w:rPr>
            <w:t>Pkt OSR</w:t>
          </w:r>
        </w:p>
      </w:tc>
      <w:tc>
        <w:tcPr>
          <w:tcW w:w="5670" w:type="dxa"/>
          <w:vAlign w:val="center"/>
        </w:tcPr>
        <w:p w14:paraId="36A5BA4A" w14:textId="77777777" w:rsidR="00136551" w:rsidRPr="00E35677" w:rsidRDefault="00136551" w:rsidP="00136551">
          <w:pPr>
            <w:jc w:val="center"/>
            <w:rPr>
              <w:rFonts w:ascii="Times New Roman" w:hAnsi="Times New Roman" w:cs="Times New Roman"/>
              <w:sz w:val="20"/>
            </w:rPr>
          </w:pPr>
          <w:r>
            <w:rPr>
              <w:rFonts w:ascii="Times New Roman" w:hAnsi="Times New Roman" w:cs="Times New Roman"/>
              <w:b/>
              <w:bCs/>
              <w:sz w:val="20"/>
            </w:rPr>
            <w:t>Treść uwagi / Propozycja zapisu</w:t>
          </w:r>
        </w:p>
      </w:tc>
      <w:tc>
        <w:tcPr>
          <w:tcW w:w="4189" w:type="dxa"/>
        </w:tcPr>
        <w:p w14:paraId="0EE8722A" w14:textId="77777777" w:rsidR="00136551" w:rsidRDefault="00136551" w:rsidP="00136551">
          <w:pPr>
            <w:jc w:val="center"/>
            <w:rPr>
              <w:rFonts w:ascii="Times New Roman" w:hAnsi="Times New Roman" w:cs="Times New Roman"/>
              <w:b/>
              <w:bCs/>
              <w:i/>
              <w:sz w:val="20"/>
            </w:rPr>
          </w:pPr>
        </w:p>
        <w:p w14:paraId="06708177" w14:textId="5FB44390" w:rsidR="00136551" w:rsidRPr="00E35677" w:rsidRDefault="00136551" w:rsidP="00136551">
          <w:pPr>
            <w:jc w:val="center"/>
            <w:rPr>
              <w:rFonts w:ascii="Times New Roman" w:hAnsi="Times New Roman" w:cs="Times New Roman"/>
              <w:b/>
              <w:bCs/>
              <w:sz w:val="20"/>
            </w:rPr>
          </w:pPr>
          <w:r>
            <w:rPr>
              <w:rFonts w:ascii="Times New Roman" w:hAnsi="Times New Roman" w:cs="Times New Roman"/>
              <w:b/>
              <w:bCs/>
              <w:sz w:val="20"/>
            </w:rPr>
            <w:t xml:space="preserve">Stanowisko </w:t>
          </w:r>
          <w:r w:rsidR="003514BB">
            <w:rPr>
              <w:rFonts w:ascii="Times New Roman" w:hAnsi="Times New Roman" w:cs="Times New Roman"/>
              <w:b/>
              <w:bCs/>
              <w:sz w:val="20"/>
            </w:rPr>
            <w:t>MS</w:t>
          </w:r>
        </w:p>
      </w:tc>
    </w:tr>
  </w:tbl>
  <w:p w14:paraId="58721467" w14:textId="77777777" w:rsidR="00136551" w:rsidRDefault="001365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4422"/>
    <w:multiLevelType w:val="hybridMultilevel"/>
    <w:tmpl w:val="1EA4D2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B3421"/>
    <w:multiLevelType w:val="hybridMultilevel"/>
    <w:tmpl w:val="3F3C306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F69C8"/>
    <w:multiLevelType w:val="hybridMultilevel"/>
    <w:tmpl w:val="401489DE"/>
    <w:lvl w:ilvl="0" w:tplc="2408B1AA">
      <w:start w:val="2"/>
      <w:numFmt w:val="decimal"/>
      <w:lvlText w:val="%1)"/>
      <w:lvlJc w:val="left"/>
      <w:pPr>
        <w:ind w:left="6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6" w:hanging="360"/>
      </w:pPr>
    </w:lvl>
    <w:lvl w:ilvl="2" w:tplc="0415001B" w:tentative="1">
      <w:start w:val="1"/>
      <w:numFmt w:val="lowerRoman"/>
      <w:lvlText w:val="%3."/>
      <w:lvlJc w:val="right"/>
      <w:pPr>
        <w:ind w:left="2136" w:hanging="180"/>
      </w:pPr>
    </w:lvl>
    <w:lvl w:ilvl="3" w:tplc="0415000F" w:tentative="1">
      <w:start w:val="1"/>
      <w:numFmt w:val="decimal"/>
      <w:lvlText w:val="%4."/>
      <w:lvlJc w:val="left"/>
      <w:pPr>
        <w:ind w:left="2856" w:hanging="360"/>
      </w:pPr>
    </w:lvl>
    <w:lvl w:ilvl="4" w:tplc="04150019" w:tentative="1">
      <w:start w:val="1"/>
      <w:numFmt w:val="lowerLetter"/>
      <w:lvlText w:val="%5."/>
      <w:lvlJc w:val="left"/>
      <w:pPr>
        <w:ind w:left="3576" w:hanging="360"/>
      </w:pPr>
    </w:lvl>
    <w:lvl w:ilvl="5" w:tplc="0415001B" w:tentative="1">
      <w:start w:val="1"/>
      <w:numFmt w:val="lowerRoman"/>
      <w:lvlText w:val="%6."/>
      <w:lvlJc w:val="right"/>
      <w:pPr>
        <w:ind w:left="4296" w:hanging="180"/>
      </w:pPr>
    </w:lvl>
    <w:lvl w:ilvl="6" w:tplc="0415000F" w:tentative="1">
      <w:start w:val="1"/>
      <w:numFmt w:val="decimal"/>
      <w:lvlText w:val="%7."/>
      <w:lvlJc w:val="left"/>
      <w:pPr>
        <w:ind w:left="5016" w:hanging="360"/>
      </w:pPr>
    </w:lvl>
    <w:lvl w:ilvl="7" w:tplc="04150019" w:tentative="1">
      <w:start w:val="1"/>
      <w:numFmt w:val="lowerLetter"/>
      <w:lvlText w:val="%8."/>
      <w:lvlJc w:val="left"/>
      <w:pPr>
        <w:ind w:left="5736" w:hanging="360"/>
      </w:pPr>
    </w:lvl>
    <w:lvl w:ilvl="8" w:tplc="0415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3" w15:restartNumberingAfterBreak="0">
    <w:nsid w:val="102E7131"/>
    <w:multiLevelType w:val="hybridMultilevel"/>
    <w:tmpl w:val="BAF4D5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" w15:restartNumberingAfterBreak="0">
    <w:nsid w:val="15772F5C"/>
    <w:multiLevelType w:val="hybridMultilevel"/>
    <w:tmpl w:val="62AA7B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5" w15:restartNumberingAfterBreak="0">
    <w:nsid w:val="1784680D"/>
    <w:multiLevelType w:val="hybridMultilevel"/>
    <w:tmpl w:val="2BB4171C"/>
    <w:lvl w:ilvl="0" w:tplc="BAE6A3BE">
      <w:start w:val="1"/>
      <w:numFmt w:val="decimal"/>
      <w:lvlText w:val="%1)"/>
      <w:lvlJc w:val="left"/>
      <w:pPr>
        <w:ind w:left="3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6" w:hanging="360"/>
      </w:pPr>
    </w:lvl>
    <w:lvl w:ilvl="2" w:tplc="0415001B" w:tentative="1">
      <w:start w:val="1"/>
      <w:numFmt w:val="lowerRoman"/>
      <w:lvlText w:val="%3."/>
      <w:lvlJc w:val="right"/>
      <w:pPr>
        <w:ind w:left="1776" w:hanging="180"/>
      </w:pPr>
    </w:lvl>
    <w:lvl w:ilvl="3" w:tplc="0415000F" w:tentative="1">
      <w:start w:val="1"/>
      <w:numFmt w:val="decimal"/>
      <w:lvlText w:val="%4."/>
      <w:lvlJc w:val="left"/>
      <w:pPr>
        <w:ind w:left="2496" w:hanging="360"/>
      </w:pPr>
    </w:lvl>
    <w:lvl w:ilvl="4" w:tplc="04150019" w:tentative="1">
      <w:start w:val="1"/>
      <w:numFmt w:val="lowerLetter"/>
      <w:lvlText w:val="%5."/>
      <w:lvlJc w:val="left"/>
      <w:pPr>
        <w:ind w:left="3216" w:hanging="360"/>
      </w:pPr>
    </w:lvl>
    <w:lvl w:ilvl="5" w:tplc="0415001B" w:tentative="1">
      <w:start w:val="1"/>
      <w:numFmt w:val="lowerRoman"/>
      <w:lvlText w:val="%6."/>
      <w:lvlJc w:val="right"/>
      <w:pPr>
        <w:ind w:left="3936" w:hanging="180"/>
      </w:pPr>
    </w:lvl>
    <w:lvl w:ilvl="6" w:tplc="0415000F" w:tentative="1">
      <w:start w:val="1"/>
      <w:numFmt w:val="decimal"/>
      <w:lvlText w:val="%7."/>
      <w:lvlJc w:val="left"/>
      <w:pPr>
        <w:ind w:left="4656" w:hanging="360"/>
      </w:pPr>
    </w:lvl>
    <w:lvl w:ilvl="7" w:tplc="04150019" w:tentative="1">
      <w:start w:val="1"/>
      <w:numFmt w:val="lowerLetter"/>
      <w:lvlText w:val="%8."/>
      <w:lvlJc w:val="left"/>
      <w:pPr>
        <w:ind w:left="5376" w:hanging="360"/>
      </w:pPr>
    </w:lvl>
    <w:lvl w:ilvl="8" w:tplc="0415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6" w15:restartNumberingAfterBreak="0">
    <w:nsid w:val="1F484FB4"/>
    <w:multiLevelType w:val="hybridMultilevel"/>
    <w:tmpl w:val="49FA505E"/>
    <w:lvl w:ilvl="0" w:tplc="8B141934">
      <w:start w:val="20"/>
      <w:numFmt w:val="decimal"/>
      <w:lvlText w:val="%1"/>
      <w:lvlJc w:val="left"/>
      <w:pPr>
        <w:ind w:left="6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6" w:hanging="360"/>
      </w:pPr>
    </w:lvl>
    <w:lvl w:ilvl="2" w:tplc="0415001B" w:tentative="1">
      <w:start w:val="1"/>
      <w:numFmt w:val="lowerRoman"/>
      <w:lvlText w:val="%3."/>
      <w:lvlJc w:val="right"/>
      <w:pPr>
        <w:ind w:left="2136" w:hanging="180"/>
      </w:pPr>
    </w:lvl>
    <w:lvl w:ilvl="3" w:tplc="0415000F" w:tentative="1">
      <w:start w:val="1"/>
      <w:numFmt w:val="decimal"/>
      <w:lvlText w:val="%4."/>
      <w:lvlJc w:val="left"/>
      <w:pPr>
        <w:ind w:left="2856" w:hanging="360"/>
      </w:pPr>
    </w:lvl>
    <w:lvl w:ilvl="4" w:tplc="04150019" w:tentative="1">
      <w:start w:val="1"/>
      <w:numFmt w:val="lowerLetter"/>
      <w:lvlText w:val="%5."/>
      <w:lvlJc w:val="left"/>
      <w:pPr>
        <w:ind w:left="3576" w:hanging="360"/>
      </w:pPr>
    </w:lvl>
    <w:lvl w:ilvl="5" w:tplc="0415001B" w:tentative="1">
      <w:start w:val="1"/>
      <w:numFmt w:val="lowerRoman"/>
      <w:lvlText w:val="%6."/>
      <w:lvlJc w:val="right"/>
      <w:pPr>
        <w:ind w:left="4296" w:hanging="180"/>
      </w:pPr>
    </w:lvl>
    <w:lvl w:ilvl="6" w:tplc="0415000F" w:tentative="1">
      <w:start w:val="1"/>
      <w:numFmt w:val="decimal"/>
      <w:lvlText w:val="%7."/>
      <w:lvlJc w:val="left"/>
      <w:pPr>
        <w:ind w:left="5016" w:hanging="360"/>
      </w:pPr>
    </w:lvl>
    <w:lvl w:ilvl="7" w:tplc="04150019" w:tentative="1">
      <w:start w:val="1"/>
      <w:numFmt w:val="lowerLetter"/>
      <w:lvlText w:val="%8."/>
      <w:lvlJc w:val="left"/>
      <w:pPr>
        <w:ind w:left="5736" w:hanging="360"/>
      </w:pPr>
    </w:lvl>
    <w:lvl w:ilvl="8" w:tplc="0415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7" w15:restartNumberingAfterBreak="0">
    <w:nsid w:val="2035363E"/>
    <w:multiLevelType w:val="hybridMultilevel"/>
    <w:tmpl w:val="BAF4D5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8" w15:restartNumberingAfterBreak="0">
    <w:nsid w:val="331572DA"/>
    <w:multiLevelType w:val="hybridMultilevel"/>
    <w:tmpl w:val="BDA056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9" w15:restartNumberingAfterBreak="0">
    <w:nsid w:val="416D46F4"/>
    <w:multiLevelType w:val="hybridMultilevel"/>
    <w:tmpl w:val="91BEBE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0" w15:restartNumberingAfterBreak="0">
    <w:nsid w:val="42F74FD3"/>
    <w:multiLevelType w:val="hybridMultilevel"/>
    <w:tmpl w:val="BAF4D5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1" w15:restartNumberingAfterBreak="0">
    <w:nsid w:val="49A45834"/>
    <w:multiLevelType w:val="multilevel"/>
    <w:tmpl w:val="082E21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4C3D7A92"/>
    <w:multiLevelType w:val="hybridMultilevel"/>
    <w:tmpl w:val="A7086286"/>
    <w:lvl w:ilvl="0" w:tplc="81422714">
      <w:start w:val="1"/>
      <w:numFmt w:val="decimal"/>
      <w:lvlText w:val="%1)"/>
      <w:lvlJc w:val="left"/>
      <w:pPr>
        <w:ind w:left="8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3" w15:restartNumberingAfterBreak="0">
    <w:nsid w:val="4D2C5E34"/>
    <w:multiLevelType w:val="hybridMultilevel"/>
    <w:tmpl w:val="EE0A94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4" w15:restartNumberingAfterBreak="0">
    <w:nsid w:val="4EC052B0"/>
    <w:multiLevelType w:val="hybridMultilevel"/>
    <w:tmpl w:val="1F14AF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5" w15:restartNumberingAfterBreak="0">
    <w:nsid w:val="53DD0B2E"/>
    <w:multiLevelType w:val="hybridMultilevel"/>
    <w:tmpl w:val="6C7EC008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800F7F"/>
    <w:multiLevelType w:val="hybridMultilevel"/>
    <w:tmpl w:val="EE0A94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7" w15:restartNumberingAfterBreak="0">
    <w:nsid w:val="6C7109D4"/>
    <w:multiLevelType w:val="hybridMultilevel"/>
    <w:tmpl w:val="F4C82F44"/>
    <w:lvl w:ilvl="0" w:tplc="BBC653A2">
      <w:start w:val="1"/>
      <w:numFmt w:val="decimal"/>
      <w:lvlText w:val="%1)"/>
      <w:lvlJc w:val="left"/>
      <w:pPr>
        <w:ind w:left="321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41" w:hanging="360"/>
      </w:pPr>
    </w:lvl>
    <w:lvl w:ilvl="2" w:tplc="0415001B" w:tentative="1">
      <w:start w:val="1"/>
      <w:numFmt w:val="lowerRoman"/>
      <w:lvlText w:val="%3."/>
      <w:lvlJc w:val="right"/>
      <w:pPr>
        <w:ind w:left="1761" w:hanging="180"/>
      </w:pPr>
    </w:lvl>
    <w:lvl w:ilvl="3" w:tplc="0415000F" w:tentative="1">
      <w:start w:val="1"/>
      <w:numFmt w:val="decimal"/>
      <w:lvlText w:val="%4."/>
      <w:lvlJc w:val="left"/>
      <w:pPr>
        <w:ind w:left="2481" w:hanging="360"/>
      </w:pPr>
    </w:lvl>
    <w:lvl w:ilvl="4" w:tplc="04150019" w:tentative="1">
      <w:start w:val="1"/>
      <w:numFmt w:val="lowerLetter"/>
      <w:lvlText w:val="%5."/>
      <w:lvlJc w:val="left"/>
      <w:pPr>
        <w:ind w:left="3201" w:hanging="360"/>
      </w:pPr>
    </w:lvl>
    <w:lvl w:ilvl="5" w:tplc="0415001B" w:tentative="1">
      <w:start w:val="1"/>
      <w:numFmt w:val="lowerRoman"/>
      <w:lvlText w:val="%6."/>
      <w:lvlJc w:val="right"/>
      <w:pPr>
        <w:ind w:left="3921" w:hanging="180"/>
      </w:pPr>
    </w:lvl>
    <w:lvl w:ilvl="6" w:tplc="0415000F" w:tentative="1">
      <w:start w:val="1"/>
      <w:numFmt w:val="decimal"/>
      <w:lvlText w:val="%7."/>
      <w:lvlJc w:val="left"/>
      <w:pPr>
        <w:ind w:left="4641" w:hanging="360"/>
      </w:pPr>
    </w:lvl>
    <w:lvl w:ilvl="7" w:tplc="04150019" w:tentative="1">
      <w:start w:val="1"/>
      <w:numFmt w:val="lowerLetter"/>
      <w:lvlText w:val="%8."/>
      <w:lvlJc w:val="left"/>
      <w:pPr>
        <w:ind w:left="5361" w:hanging="360"/>
      </w:pPr>
    </w:lvl>
    <w:lvl w:ilvl="8" w:tplc="0415001B" w:tentative="1">
      <w:start w:val="1"/>
      <w:numFmt w:val="lowerRoman"/>
      <w:lvlText w:val="%9."/>
      <w:lvlJc w:val="right"/>
      <w:pPr>
        <w:ind w:left="6081" w:hanging="180"/>
      </w:pPr>
    </w:lvl>
  </w:abstractNum>
  <w:abstractNum w:abstractNumId="18" w15:restartNumberingAfterBreak="0">
    <w:nsid w:val="703E54E6"/>
    <w:multiLevelType w:val="hybridMultilevel"/>
    <w:tmpl w:val="1F14AF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9" w15:restartNumberingAfterBreak="0">
    <w:nsid w:val="72253848"/>
    <w:multiLevelType w:val="hybridMultilevel"/>
    <w:tmpl w:val="8F10F6AE"/>
    <w:lvl w:ilvl="0" w:tplc="C7B04F10">
      <w:start w:val="2"/>
      <w:numFmt w:val="decimal"/>
      <w:lvlText w:val="%1)"/>
      <w:lvlJc w:val="left"/>
      <w:pPr>
        <w:ind w:left="3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6" w:hanging="360"/>
      </w:pPr>
    </w:lvl>
    <w:lvl w:ilvl="2" w:tplc="0415001B" w:tentative="1">
      <w:start w:val="1"/>
      <w:numFmt w:val="lowerRoman"/>
      <w:lvlText w:val="%3."/>
      <w:lvlJc w:val="right"/>
      <w:pPr>
        <w:ind w:left="1776" w:hanging="180"/>
      </w:pPr>
    </w:lvl>
    <w:lvl w:ilvl="3" w:tplc="0415000F" w:tentative="1">
      <w:start w:val="1"/>
      <w:numFmt w:val="decimal"/>
      <w:lvlText w:val="%4."/>
      <w:lvlJc w:val="left"/>
      <w:pPr>
        <w:ind w:left="2496" w:hanging="360"/>
      </w:pPr>
    </w:lvl>
    <w:lvl w:ilvl="4" w:tplc="04150019" w:tentative="1">
      <w:start w:val="1"/>
      <w:numFmt w:val="lowerLetter"/>
      <w:lvlText w:val="%5."/>
      <w:lvlJc w:val="left"/>
      <w:pPr>
        <w:ind w:left="3216" w:hanging="360"/>
      </w:pPr>
    </w:lvl>
    <w:lvl w:ilvl="5" w:tplc="0415001B" w:tentative="1">
      <w:start w:val="1"/>
      <w:numFmt w:val="lowerRoman"/>
      <w:lvlText w:val="%6."/>
      <w:lvlJc w:val="right"/>
      <w:pPr>
        <w:ind w:left="3936" w:hanging="180"/>
      </w:pPr>
    </w:lvl>
    <w:lvl w:ilvl="6" w:tplc="0415000F" w:tentative="1">
      <w:start w:val="1"/>
      <w:numFmt w:val="decimal"/>
      <w:lvlText w:val="%7."/>
      <w:lvlJc w:val="left"/>
      <w:pPr>
        <w:ind w:left="4656" w:hanging="360"/>
      </w:pPr>
    </w:lvl>
    <w:lvl w:ilvl="7" w:tplc="04150019" w:tentative="1">
      <w:start w:val="1"/>
      <w:numFmt w:val="lowerLetter"/>
      <w:lvlText w:val="%8."/>
      <w:lvlJc w:val="left"/>
      <w:pPr>
        <w:ind w:left="5376" w:hanging="360"/>
      </w:pPr>
    </w:lvl>
    <w:lvl w:ilvl="8" w:tplc="0415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20" w15:restartNumberingAfterBreak="0">
    <w:nsid w:val="764744B3"/>
    <w:multiLevelType w:val="hybridMultilevel"/>
    <w:tmpl w:val="363600DC"/>
    <w:lvl w:ilvl="0" w:tplc="FF98001A">
      <w:start w:val="1"/>
      <w:numFmt w:val="decimal"/>
      <w:lvlText w:val="%1)"/>
      <w:lvlJc w:val="left"/>
      <w:pPr>
        <w:ind w:left="40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7B47264F"/>
    <w:multiLevelType w:val="hybridMultilevel"/>
    <w:tmpl w:val="222087A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C81B9E"/>
    <w:multiLevelType w:val="hybridMultilevel"/>
    <w:tmpl w:val="DAFC9E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num w:numId="1" w16cid:durableId="695615999">
    <w:abstractNumId w:val="5"/>
  </w:num>
  <w:num w:numId="2" w16cid:durableId="521211293">
    <w:abstractNumId w:val="6"/>
  </w:num>
  <w:num w:numId="3" w16cid:durableId="838882599">
    <w:abstractNumId w:val="19"/>
  </w:num>
  <w:num w:numId="4" w16cid:durableId="1835679511">
    <w:abstractNumId w:val="2"/>
  </w:num>
  <w:num w:numId="5" w16cid:durableId="411240138">
    <w:abstractNumId w:val="20"/>
  </w:num>
  <w:num w:numId="6" w16cid:durableId="1643538166">
    <w:abstractNumId w:val="17"/>
  </w:num>
  <w:num w:numId="7" w16cid:durableId="803082636">
    <w:abstractNumId w:val="0"/>
  </w:num>
  <w:num w:numId="8" w16cid:durableId="68157540">
    <w:abstractNumId w:val="1"/>
  </w:num>
  <w:num w:numId="9" w16cid:durableId="1452162846">
    <w:abstractNumId w:val="15"/>
  </w:num>
  <w:num w:numId="10" w16cid:durableId="2135900727">
    <w:abstractNumId w:val="8"/>
  </w:num>
  <w:num w:numId="11" w16cid:durableId="436947192">
    <w:abstractNumId w:val="22"/>
  </w:num>
  <w:num w:numId="12" w16cid:durableId="552930835">
    <w:abstractNumId w:val="21"/>
  </w:num>
  <w:num w:numId="13" w16cid:durableId="782261430">
    <w:abstractNumId w:val="16"/>
  </w:num>
  <w:num w:numId="14" w16cid:durableId="1844471151">
    <w:abstractNumId w:val="13"/>
  </w:num>
  <w:num w:numId="15" w16cid:durableId="354235512">
    <w:abstractNumId w:val="9"/>
  </w:num>
  <w:num w:numId="16" w16cid:durableId="1322196792">
    <w:abstractNumId w:val="4"/>
  </w:num>
  <w:num w:numId="17" w16cid:durableId="1695617054">
    <w:abstractNumId w:val="11"/>
  </w:num>
  <w:num w:numId="18" w16cid:durableId="901914219">
    <w:abstractNumId w:val="12"/>
  </w:num>
  <w:num w:numId="19" w16cid:durableId="1217621636">
    <w:abstractNumId w:val="10"/>
  </w:num>
  <w:num w:numId="20" w16cid:durableId="1014376891">
    <w:abstractNumId w:val="7"/>
  </w:num>
  <w:num w:numId="21" w16cid:durableId="1775326858">
    <w:abstractNumId w:val="3"/>
  </w:num>
  <w:num w:numId="22" w16cid:durableId="766386420">
    <w:abstractNumId w:val="18"/>
  </w:num>
  <w:num w:numId="23" w16cid:durableId="9078477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157"/>
    <w:rsid w:val="000002F3"/>
    <w:rsid w:val="0001501B"/>
    <w:rsid w:val="000153D6"/>
    <w:rsid w:val="000161F5"/>
    <w:rsid w:val="00017F99"/>
    <w:rsid w:val="0002291B"/>
    <w:rsid w:val="0002308F"/>
    <w:rsid w:val="00024764"/>
    <w:rsid w:val="00025073"/>
    <w:rsid w:val="000361E2"/>
    <w:rsid w:val="00051546"/>
    <w:rsid w:val="0005253B"/>
    <w:rsid w:val="00055045"/>
    <w:rsid w:val="000566FC"/>
    <w:rsid w:val="00064963"/>
    <w:rsid w:val="000662BB"/>
    <w:rsid w:val="00084004"/>
    <w:rsid w:val="00084817"/>
    <w:rsid w:val="00084A2A"/>
    <w:rsid w:val="00085E2E"/>
    <w:rsid w:val="000911E2"/>
    <w:rsid w:val="00091F2A"/>
    <w:rsid w:val="0009503A"/>
    <w:rsid w:val="000A32E5"/>
    <w:rsid w:val="000B1157"/>
    <w:rsid w:val="000B346A"/>
    <w:rsid w:val="000C00BA"/>
    <w:rsid w:val="000C2E71"/>
    <w:rsid w:val="000D3780"/>
    <w:rsid w:val="000D5B0B"/>
    <w:rsid w:val="000F1514"/>
    <w:rsid w:val="001142C5"/>
    <w:rsid w:val="001146C0"/>
    <w:rsid w:val="00117A51"/>
    <w:rsid w:val="00122709"/>
    <w:rsid w:val="001361B5"/>
    <w:rsid w:val="00136551"/>
    <w:rsid w:val="00140448"/>
    <w:rsid w:val="00141978"/>
    <w:rsid w:val="0014334E"/>
    <w:rsid w:val="0014589D"/>
    <w:rsid w:val="00151C2E"/>
    <w:rsid w:val="00157767"/>
    <w:rsid w:val="00175CED"/>
    <w:rsid w:val="00177EC3"/>
    <w:rsid w:val="00185AFA"/>
    <w:rsid w:val="00186B6F"/>
    <w:rsid w:val="00187E3D"/>
    <w:rsid w:val="00190C60"/>
    <w:rsid w:val="0019322F"/>
    <w:rsid w:val="00193AB3"/>
    <w:rsid w:val="001A2F57"/>
    <w:rsid w:val="001A68BC"/>
    <w:rsid w:val="001A71B2"/>
    <w:rsid w:val="001B06E3"/>
    <w:rsid w:val="001B5540"/>
    <w:rsid w:val="001C205F"/>
    <w:rsid w:val="001C2EA0"/>
    <w:rsid w:val="001E01AE"/>
    <w:rsid w:val="001E2FB2"/>
    <w:rsid w:val="001F0431"/>
    <w:rsid w:val="001F3A0F"/>
    <w:rsid w:val="001F4901"/>
    <w:rsid w:val="001F4958"/>
    <w:rsid w:val="001F51B9"/>
    <w:rsid w:val="0020383B"/>
    <w:rsid w:val="00211E49"/>
    <w:rsid w:val="00212078"/>
    <w:rsid w:val="00213120"/>
    <w:rsid w:val="00242233"/>
    <w:rsid w:val="0024476B"/>
    <w:rsid w:val="00252F32"/>
    <w:rsid w:val="002662EA"/>
    <w:rsid w:val="00271B94"/>
    <w:rsid w:val="002724CC"/>
    <w:rsid w:val="0028475B"/>
    <w:rsid w:val="002936DB"/>
    <w:rsid w:val="002968CB"/>
    <w:rsid w:val="002979E2"/>
    <w:rsid w:val="002A11F8"/>
    <w:rsid w:val="002A3F06"/>
    <w:rsid w:val="002A6ED8"/>
    <w:rsid w:val="002A7292"/>
    <w:rsid w:val="002B0A78"/>
    <w:rsid w:val="002C0279"/>
    <w:rsid w:val="002C46ED"/>
    <w:rsid w:val="002C53B8"/>
    <w:rsid w:val="002C7E99"/>
    <w:rsid w:val="002D6A40"/>
    <w:rsid w:val="002E0918"/>
    <w:rsid w:val="002F0C24"/>
    <w:rsid w:val="002F302C"/>
    <w:rsid w:val="002F5D3C"/>
    <w:rsid w:val="00300507"/>
    <w:rsid w:val="00313192"/>
    <w:rsid w:val="00322BC5"/>
    <w:rsid w:val="003243F9"/>
    <w:rsid w:val="0033797A"/>
    <w:rsid w:val="003462B1"/>
    <w:rsid w:val="003514BB"/>
    <w:rsid w:val="00353E62"/>
    <w:rsid w:val="003565A1"/>
    <w:rsid w:val="003706A6"/>
    <w:rsid w:val="003A430E"/>
    <w:rsid w:val="003A6E30"/>
    <w:rsid w:val="003B1678"/>
    <w:rsid w:val="003B2D9A"/>
    <w:rsid w:val="003B41EC"/>
    <w:rsid w:val="003B7E4C"/>
    <w:rsid w:val="003C1000"/>
    <w:rsid w:val="003D1CAB"/>
    <w:rsid w:val="003D7D21"/>
    <w:rsid w:val="003E0C40"/>
    <w:rsid w:val="003E0F08"/>
    <w:rsid w:val="003E5D74"/>
    <w:rsid w:val="003F0432"/>
    <w:rsid w:val="003F0501"/>
    <w:rsid w:val="003F148E"/>
    <w:rsid w:val="003F2ED2"/>
    <w:rsid w:val="00400E97"/>
    <w:rsid w:val="0040299E"/>
    <w:rsid w:val="00414EA2"/>
    <w:rsid w:val="00431E30"/>
    <w:rsid w:val="00443077"/>
    <w:rsid w:val="00452E52"/>
    <w:rsid w:val="00454981"/>
    <w:rsid w:val="004577CA"/>
    <w:rsid w:val="00462F0E"/>
    <w:rsid w:val="004844E1"/>
    <w:rsid w:val="00487763"/>
    <w:rsid w:val="004977F7"/>
    <w:rsid w:val="004A28E0"/>
    <w:rsid w:val="004B1553"/>
    <w:rsid w:val="004B1644"/>
    <w:rsid w:val="004C138C"/>
    <w:rsid w:val="004C4995"/>
    <w:rsid w:val="004E0816"/>
    <w:rsid w:val="004E28B2"/>
    <w:rsid w:val="004E5651"/>
    <w:rsid w:val="004E7994"/>
    <w:rsid w:val="004F5F18"/>
    <w:rsid w:val="0050045E"/>
    <w:rsid w:val="005040BC"/>
    <w:rsid w:val="005054C0"/>
    <w:rsid w:val="0051434B"/>
    <w:rsid w:val="005168DB"/>
    <w:rsid w:val="00537F4C"/>
    <w:rsid w:val="005418E2"/>
    <w:rsid w:val="00545CD3"/>
    <w:rsid w:val="005471C2"/>
    <w:rsid w:val="005501FE"/>
    <w:rsid w:val="00550EAD"/>
    <w:rsid w:val="0055443E"/>
    <w:rsid w:val="00555265"/>
    <w:rsid w:val="00565DE7"/>
    <w:rsid w:val="0057151E"/>
    <w:rsid w:val="005756BE"/>
    <w:rsid w:val="00576D40"/>
    <w:rsid w:val="00580AA4"/>
    <w:rsid w:val="0058530C"/>
    <w:rsid w:val="00587096"/>
    <w:rsid w:val="00592953"/>
    <w:rsid w:val="005A2EE9"/>
    <w:rsid w:val="005A7AD5"/>
    <w:rsid w:val="005B1319"/>
    <w:rsid w:val="005C23F7"/>
    <w:rsid w:val="005C644D"/>
    <w:rsid w:val="005D442D"/>
    <w:rsid w:val="005F035F"/>
    <w:rsid w:val="005F4E54"/>
    <w:rsid w:val="00601653"/>
    <w:rsid w:val="00602CEE"/>
    <w:rsid w:val="00611583"/>
    <w:rsid w:val="00611D64"/>
    <w:rsid w:val="006156DE"/>
    <w:rsid w:val="00621334"/>
    <w:rsid w:val="006220E9"/>
    <w:rsid w:val="00632546"/>
    <w:rsid w:val="006354CF"/>
    <w:rsid w:val="006375BD"/>
    <w:rsid w:val="00644344"/>
    <w:rsid w:val="00650E16"/>
    <w:rsid w:val="00663858"/>
    <w:rsid w:val="006663D7"/>
    <w:rsid w:val="006669AD"/>
    <w:rsid w:val="0067271E"/>
    <w:rsid w:val="00674BCF"/>
    <w:rsid w:val="006771BA"/>
    <w:rsid w:val="00682C1C"/>
    <w:rsid w:val="006905CD"/>
    <w:rsid w:val="0069368F"/>
    <w:rsid w:val="00693CE7"/>
    <w:rsid w:val="006B1A4C"/>
    <w:rsid w:val="006C205C"/>
    <w:rsid w:val="006C2BC9"/>
    <w:rsid w:val="006C42B2"/>
    <w:rsid w:val="006C7994"/>
    <w:rsid w:val="006D0AE4"/>
    <w:rsid w:val="006E3E8F"/>
    <w:rsid w:val="006F0D7B"/>
    <w:rsid w:val="006F1155"/>
    <w:rsid w:val="006F6137"/>
    <w:rsid w:val="00700A68"/>
    <w:rsid w:val="007018E8"/>
    <w:rsid w:val="00710C81"/>
    <w:rsid w:val="00724411"/>
    <w:rsid w:val="00730C35"/>
    <w:rsid w:val="00735AA5"/>
    <w:rsid w:val="00741A58"/>
    <w:rsid w:val="00742660"/>
    <w:rsid w:val="00744EC8"/>
    <w:rsid w:val="00751B0F"/>
    <w:rsid w:val="00756A51"/>
    <w:rsid w:val="0076077D"/>
    <w:rsid w:val="007653FF"/>
    <w:rsid w:val="00766F26"/>
    <w:rsid w:val="00791FE5"/>
    <w:rsid w:val="007A627A"/>
    <w:rsid w:val="007A7EE2"/>
    <w:rsid w:val="007B1BB1"/>
    <w:rsid w:val="007C2560"/>
    <w:rsid w:val="007C682C"/>
    <w:rsid w:val="007D0B00"/>
    <w:rsid w:val="007D41CB"/>
    <w:rsid w:val="007E4CBE"/>
    <w:rsid w:val="007F39C0"/>
    <w:rsid w:val="008072EC"/>
    <w:rsid w:val="00814CE9"/>
    <w:rsid w:val="008203CF"/>
    <w:rsid w:val="00830132"/>
    <w:rsid w:val="00831113"/>
    <w:rsid w:val="0083519A"/>
    <w:rsid w:val="00843C18"/>
    <w:rsid w:val="00846E80"/>
    <w:rsid w:val="0084771E"/>
    <w:rsid w:val="00852D75"/>
    <w:rsid w:val="008531D9"/>
    <w:rsid w:val="008565F8"/>
    <w:rsid w:val="00865AF4"/>
    <w:rsid w:val="00865B03"/>
    <w:rsid w:val="00866131"/>
    <w:rsid w:val="008842F2"/>
    <w:rsid w:val="008911D0"/>
    <w:rsid w:val="00891E1D"/>
    <w:rsid w:val="008B5804"/>
    <w:rsid w:val="008C7F6D"/>
    <w:rsid w:val="008E3179"/>
    <w:rsid w:val="008E719B"/>
    <w:rsid w:val="008F0C14"/>
    <w:rsid w:val="008F274C"/>
    <w:rsid w:val="00921CC8"/>
    <w:rsid w:val="00925F56"/>
    <w:rsid w:val="00926DA4"/>
    <w:rsid w:val="00933852"/>
    <w:rsid w:val="00935346"/>
    <w:rsid w:val="0093695A"/>
    <w:rsid w:val="009406F6"/>
    <w:rsid w:val="00941156"/>
    <w:rsid w:val="009476A8"/>
    <w:rsid w:val="009532CB"/>
    <w:rsid w:val="009533EC"/>
    <w:rsid w:val="00954430"/>
    <w:rsid w:val="00954DA6"/>
    <w:rsid w:val="00957335"/>
    <w:rsid w:val="009625FC"/>
    <w:rsid w:val="00963B6A"/>
    <w:rsid w:val="009672B1"/>
    <w:rsid w:val="00971122"/>
    <w:rsid w:val="009743F9"/>
    <w:rsid w:val="009768E8"/>
    <w:rsid w:val="00983A14"/>
    <w:rsid w:val="009923E7"/>
    <w:rsid w:val="009A06AA"/>
    <w:rsid w:val="009A3389"/>
    <w:rsid w:val="009A7788"/>
    <w:rsid w:val="009C39F6"/>
    <w:rsid w:val="009C45A9"/>
    <w:rsid w:val="009D02A7"/>
    <w:rsid w:val="009D18BA"/>
    <w:rsid w:val="009D19D9"/>
    <w:rsid w:val="009D30E0"/>
    <w:rsid w:val="009D37DC"/>
    <w:rsid w:val="009D3C24"/>
    <w:rsid w:val="009D4953"/>
    <w:rsid w:val="00A038E0"/>
    <w:rsid w:val="00A06366"/>
    <w:rsid w:val="00A11E28"/>
    <w:rsid w:val="00A1326C"/>
    <w:rsid w:val="00A2332B"/>
    <w:rsid w:val="00A3318A"/>
    <w:rsid w:val="00A407A4"/>
    <w:rsid w:val="00A53CBC"/>
    <w:rsid w:val="00A61639"/>
    <w:rsid w:val="00A62901"/>
    <w:rsid w:val="00A64143"/>
    <w:rsid w:val="00A65542"/>
    <w:rsid w:val="00A6680B"/>
    <w:rsid w:val="00A76B42"/>
    <w:rsid w:val="00A87618"/>
    <w:rsid w:val="00A92454"/>
    <w:rsid w:val="00AA3456"/>
    <w:rsid w:val="00AA4877"/>
    <w:rsid w:val="00AC0365"/>
    <w:rsid w:val="00AD2E3B"/>
    <w:rsid w:val="00AD3511"/>
    <w:rsid w:val="00AF2DCB"/>
    <w:rsid w:val="00AF5CDF"/>
    <w:rsid w:val="00B0068C"/>
    <w:rsid w:val="00B03A96"/>
    <w:rsid w:val="00B0487A"/>
    <w:rsid w:val="00B15F59"/>
    <w:rsid w:val="00B165E5"/>
    <w:rsid w:val="00B2047F"/>
    <w:rsid w:val="00B2161E"/>
    <w:rsid w:val="00B241C8"/>
    <w:rsid w:val="00B3322F"/>
    <w:rsid w:val="00B373F1"/>
    <w:rsid w:val="00B4688A"/>
    <w:rsid w:val="00B54306"/>
    <w:rsid w:val="00B6038D"/>
    <w:rsid w:val="00B72216"/>
    <w:rsid w:val="00B74E70"/>
    <w:rsid w:val="00B809BB"/>
    <w:rsid w:val="00B919AF"/>
    <w:rsid w:val="00B936C2"/>
    <w:rsid w:val="00B93E87"/>
    <w:rsid w:val="00BA173B"/>
    <w:rsid w:val="00BA785D"/>
    <w:rsid w:val="00BB2FF9"/>
    <w:rsid w:val="00BB3128"/>
    <w:rsid w:val="00BC4CE1"/>
    <w:rsid w:val="00BD1AB7"/>
    <w:rsid w:val="00BD6AA6"/>
    <w:rsid w:val="00BE0DA1"/>
    <w:rsid w:val="00BF4991"/>
    <w:rsid w:val="00C0636B"/>
    <w:rsid w:val="00C07895"/>
    <w:rsid w:val="00C14830"/>
    <w:rsid w:val="00C14B5D"/>
    <w:rsid w:val="00C2074A"/>
    <w:rsid w:val="00C22A1F"/>
    <w:rsid w:val="00C237B9"/>
    <w:rsid w:val="00C30452"/>
    <w:rsid w:val="00C30C12"/>
    <w:rsid w:val="00C322C8"/>
    <w:rsid w:val="00C441C3"/>
    <w:rsid w:val="00C60BA3"/>
    <w:rsid w:val="00C63F1E"/>
    <w:rsid w:val="00C70BF5"/>
    <w:rsid w:val="00C71CAF"/>
    <w:rsid w:val="00C77E82"/>
    <w:rsid w:val="00C85203"/>
    <w:rsid w:val="00C972A5"/>
    <w:rsid w:val="00CA2A44"/>
    <w:rsid w:val="00CA6403"/>
    <w:rsid w:val="00CB5636"/>
    <w:rsid w:val="00CE3975"/>
    <w:rsid w:val="00CE5444"/>
    <w:rsid w:val="00CE590D"/>
    <w:rsid w:val="00CE74C5"/>
    <w:rsid w:val="00CF4135"/>
    <w:rsid w:val="00CF43D6"/>
    <w:rsid w:val="00D014F7"/>
    <w:rsid w:val="00D02157"/>
    <w:rsid w:val="00D067CA"/>
    <w:rsid w:val="00D11479"/>
    <w:rsid w:val="00D20F94"/>
    <w:rsid w:val="00D23483"/>
    <w:rsid w:val="00D34082"/>
    <w:rsid w:val="00D345DF"/>
    <w:rsid w:val="00D53619"/>
    <w:rsid w:val="00D54DB1"/>
    <w:rsid w:val="00D557A4"/>
    <w:rsid w:val="00D64733"/>
    <w:rsid w:val="00D75ACA"/>
    <w:rsid w:val="00D76623"/>
    <w:rsid w:val="00D95599"/>
    <w:rsid w:val="00D96D2D"/>
    <w:rsid w:val="00DA0018"/>
    <w:rsid w:val="00DB6162"/>
    <w:rsid w:val="00DC53ED"/>
    <w:rsid w:val="00DC6EC9"/>
    <w:rsid w:val="00DC6FD0"/>
    <w:rsid w:val="00DD537C"/>
    <w:rsid w:val="00DE1841"/>
    <w:rsid w:val="00DE186F"/>
    <w:rsid w:val="00DF2AF8"/>
    <w:rsid w:val="00E02DB6"/>
    <w:rsid w:val="00E12ECD"/>
    <w:rsid w:val="00E1573E"/>
    <w:rsid w:val="00E16DF9"/>
    <w:rsid w:val="00E23A7D"/>
    <w:rsid w:val="00E23F26"/>
    <w:rsid w:val="00E2744F"/>
    <w:rsid w:val="00E30BF2"/>
    <w:rsid w:val="00E35677"/>
    <w:rsid w:val="00E3630E"/>
    <w:rsid w:val="00E37E98"/>
    <w:rsid w:val="00E418E8"/>
    <w:rsid w:val="00E45467"/>
    <w:rsid w:val="00E511EC"/>
    <w:rsid w:val="00E52D28"/>
    <w:rsid w:val="00E60A8D"/>
    <w:rsid w:val="00E64FC4"/>
    <w:rsid w:val="00E67BF3"/>
    <w:rsid w:val="00E7146C"/>
    <w:rsid w:val="00E7267B"/>
    <w:rsid w:val="00E7320A"/>
    <w:rsid w:val="00E73495"/>
    <w:rsid w:val="00E738A5"/>
    <w:rsid w:val="00E75014"/>
    <w:rsid w:val="00E7699F"/>
    <w:rsid w:val="00E92DC4"/>
    <w:rsid w:val="00EB2E3E"/>
    <w:rsid w:val="00EB3D0E"/>
    <w:rsid w:val="00EB5B1E"/>
    <w:rsid w:val="00EC33A8"/>
    <w:rsid w:val="00EC5BF6"/>
    <w:rsid w:val="00EC7543"/>
    <w:rsid w:val="00EF0B44"/>
    <w:rsid w:val="00EF3099"/>
    <w:rsid w:val="00EF69A3"/>
    <w:rsid w:val="00F013CD"/>
    <w:rsid w:val="00F02D0E"/>
    <w:rsid w:val="00F03611"/>
    <w:rsid w:val="00F039D1"/>
    <w:rsid w:val="00F10E5E"/>
    <w:rsid w:val="00F11CBF"/>
    <w:rsid w:val="00F13E4F"/>
    <w:rsid w:val="00F35DDF"/>
    <w:rsid w:val="00F420A0"/>
    <w:rsid w:val="00F466C4"/>
    <w:rsid w:val="00F46BB7"/>
    <w:rsid w:val="00F64F82"/>
    <w:rsid w:val="00F70505"/>
    <w:rsid w:val="00F73229"/>
    <w:rsid w:val="00F745F6"/>
    <w:rsid w:val="00F76242"/>
    <w:rsid w:val="00F80086"/>
    <w:rsid w:val="00F81237"/>
    <w:rsid w:val="00F94538"/>
    <w:rsid w:val="00FA20FD"/>
    <w:rsid w:val="00FA251F"/>
    <w:rsid w:val="00FA47E1"/>
    <w:rsid w:val="00FB47F1"/>
    <w:rsid w:val="00FD21E7"/>
    <w:rsid w:val="00FD42A3"/>
    <w:rsid w:val="00FD481C"/>
    <w:rsid w:val="00FD7445"/>
    <w:rsid w:val="00FD7CD5"/>
    <w:rsid w:val="00FE1B67"/>
    <w:rsid w:val="00FF02FA"/>
    <w:rsid w:val="00FF0E71"/>
    <w:rsid w:val="00FF2888"/>
    <w:rsid w:val="00FF2BC2"/>
    <w:rsid w:val="00FF381F"/>
    <w:rsid w:val="00FF43C7"/>
    <w:rsid w:val="00FF4480"/>
    <w:rsid w:val="00FF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9AAD5C"/>
  <w15:docId w15:val="{17440EF4-167C-47E3-9860-B4ABF362B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A28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77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70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06A6"/>
    <w:rPr>
      <w:rFonts w:ascii="Tahoma" w:hAnsi="Tahoma" w:cs="Tahoma"/>
      <w:sz w:val="16"/>
      <w:szCs w:val="16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3706A6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983A1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983A14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983A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83A14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3A14"/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Ppogrubienie">
    <w:name w:val="_P_ – pogrubienie"/>
    <w:uiPriority w:val="1"/>
    <w:qFormat/>
    <w:rsid w:val="00983A14"/>
    <w:rPr>
      <w:b/>
    </w:rPr>
  </w:style>
  <w:style w:type="paragraph" w:styleId="Akapitzlist">
    <w:name w:val="List Paragraph"/>
    <w:basedOn w:val="Normalny"/>
    <w:uiPriority w:val="72"/>
    <w:qFormat/>
    <w:rsid w:val="00983A14"/>
    <w:pPr>
      <w:ind w:left="720"/>
      <w:contextualSpacing/>
    </w:pPr>
  </w:style>
  <w:style w:type="paragraph" w:customStyle="1" w:styleId="USTustnpkodeksu">
    <w:name w:val="UST(§) – ust. (§ np. kodeksu)"/>
    <w:basedOn w:val="ARTartustawynprozporzdzenia"/>
    <w:uiPriority w:val="12"/>
    <w:qFormat/>
    <w:rsid w:val="009A3389"/>
    <w:pPr>
      <w:spacing w:before="0"/>
    </w:pPr>
    <w:rPr>
      <w:bCs/>
    </w:rPr>
  </w:style>
  <w:style w:type="paragraph" w:styleId="Nagwek">
    <w:name w:val="header"/>
    <w:basedOn w:val="Normalny"/>
    <w:link w:val="NagwekZnak"/>
    <w:uiPriority w:val="99"/>
    <w:unhideWhenUsed/>
    <w:rsid w:val="0073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5AA5"/>
  </w:style>
  <w:style w:type="paragraph" w:styleId="Stopka">
    <w:name w:val="footer"/>
    <w:basedOn w:val="Normalny"/>
    <w:link w:val="StopkaZnak"/>
    <w:uiPriority w:val="99"/>
    <w:unhideWhenUsed/>
    <w:rsid w:val="0073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5AA5"/>
  </w:style>
  <w:style w:type="character" w:customStyle="1" w:styleId="Nagwek2Znak">
    <w:name w:val="Nagłówek 2 Znak"/>
    <w:basedOn w:val="Domylnaczcionkaakapitu"/>
    <w:link w:val="Nagwek2"/>
    <w:uiPriority w:val="9"/>
    <w:rsid w:val="004A28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rzypisudolnego">
    <w:name w:val="footnote text"/>
    <w:basedOn w:val="Normalny"/>
    <w:link w:val="TekstprzypisudolnegoZnak"/>
    <w:rsid w:val="00B54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543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Z"/>
    <w:rsid w:val="00B5430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63858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41C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41C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1CB"/>
    <w:rPr>
      <w:vertAlign w:val="superscript"/>
    </w:rPr>
  </w:style>
  <w:style w:type="paragraph" w:customStyle="1" w:styleId="Style5">
    <w:name w:val="Style5"/>
    <w:basedOn w:val="Normalny"/>
    <w:uiPriority w:val="99"/>
    <w:rsid w:val="00866131"/>
    <w:pPr>
      <w:widowControl w:val="0"/>
      <w:autoSpaceDE w:val="0"/>
      <w:autoSpaceDN w:val="0"/>
      <w:adjustRightInd w:val="0"/>
      <w:spacing w:after="0" w:line="407" w:lineRule="exact"/>
      <w:ind w:firstLine="643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866131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Domylnaczcionkaakapitu"/>
    <w:uiPriority w:val="99"/>
    <w:rsid w:val="00866131"/>
    <w:rPr>
      <w:rFonts w:ascii="Times New Roman" w:hAnsi="Times New Roman" w:cs="Times New Roman"/>
      <w:i/>
      <w:iCs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680B"/>
    <w:rPr>
      <w:color w:val="605E5C"/>
      <w:shd w:val="clear" w:color="auto" w:fill="E1DFDD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8E719B"/>
    <w:pPr>
      <w:ind w:left="1020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jp.pwn.pl/szukaj/opieka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1C8FB-80CD-4C79-A2E9-66C4A0A66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2931</Words>
  <Characters>17586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Kaniuka</dc:creator>
  <cp:keywords/>
  <dc:description/>
  <cp:lastModifiedBy>Pawlak Justyna  (DLPC)</cp:lastModifiedBy>
  <cp:revision>2</cp:revision>
  <cp:lastPrinted>2022-04-14T11:58:00Z</cp:lastPrinted>
  <dcterms:created xsi:type="dcterms:W3CDTF">2022-09-12T07:55:00Z</dcterms:created>
  <dcterms:modified xsi:type="dcterms:W3CDTF">2022-09-12T07:55:00Z</dcterms:modified>
</cp:coreProperties>
</file>