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562"/>
        <w:gridCol w:w="1843"/>
        <w:gridCol w:w="1843"/>
        <w:gridCol w:w="5670"/>
        <w:gridCol w:w="4076"/>
      </w:tblGrid>
      <w:tr w:rsidR="00E35677" w:rsidRPr="00FF4480" w14:paraId="56E089F6" w14:textId="77777777" w:rsidTr="00B919AF">
        <w:trPr>
          <w:trHeight w:val="592"/>
          <w:jc w:val="center"/>
        </w:trPr>
        <w:tc>
          <w:tcPr>
            <w:tcW w:w="13994" w:type="dxa"/>
            <w:gridSpan w:val="5"/>
            <w:shd w:val="clear" w:color="auto" w:fill="A6A6A6" w:themeFill="background1" w:themeFillShade="A6"/>
            <w:vAlign w:val="center"/>
          </w:tcPr>
          <w:p w14:paraId="262AE6AF" w14:textId="4CAADAA0" w:rsidR="00E35677" w:rsidRPr="006D0AE4" w:rsidRDefault="003514BB" w:rsidP="006D0AE4">
            <w:pPr>
              <w:spacing w:line="360" w:lineRule="auto"/>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U</w:t>
            </w:r>
            <w:r w:rsidR="00E35677" w:rsidRPr="002A6ED8">
              <w:rPr>
                <w:rFonts w:ascii="Times New Roman" w:hAnsi="Times New Roman" w:cs="Times New Roman"/>
                <w:b/>
                <w:sz w:val="24"/>
                <w:szCs w:val="24"/>
                <w:lang w:eastAsia="pl-PL"/>
              </w:rPr>
              <w:t xml:space="preserve">wagi do projektu </w:t>
            </w:r>
            <w:r w:rsidR="00741A58" w:rsidRPr="00741A58">
              <w:rPr>
                <w:rFonts w:ascii="Times New Roman" w:hAnsi="Times New Roman" w:cs="Times New Roman"/>
                <w:b/>
                <w:sz w:val="24"/>
                <w:szCs w:val="24"/>
                <w:lang w:eastAsia="pl-PL"/>
              </w:rPr>
              <w:t xml:space="preserve">ustawy </w:t>
            </w:r>
            <w:r w:rsidR="006D0AE4" w:rsidRPr="006D0AE4">
              <w:rPr>
                <w:rFonts w:ascii="Times New Roman" w:hAnsi="Times New Roman" w:cs="Times New Roman"/>
                <w:b/>
                <w:sz w:val="24"/>
                <w:szCs w:val="24"/>
                <w:lang w:eastAsia="pl-PL"/>
              </w:rPr>
              <w:t>o zmianie ustawy – Kodeks cywilny oraz niektórych innych ustaw</w:t>
            </w:r>
            <w:r>
              <w:rPr>
                <w:rFonts w:ascii="Times New Roman" w:hAnsi="Times New Roman" w:cs="Times New Roman"/>
                <w:b/>
                <w:sz w:val="24"/>
                <w:szCs w:val="24"/>
                <w:lang w:eastAsia="pl-PL"/>
              </w:rPr>
              <w:t xml:space="preserve"> (UD222)</w:t>
            </w:r>
            <w:r w:rsidR="00E35677" w:rsidRPr="002A6ED8">
              <w:rPr>
                <w:rFonts w:ascii="Times New Roman" w:hAnsi="Times New Roman" w:cs="Times New Roman"/>
                <w:sz w:val="24"/>
                <w:szCs w:val="24"/>
                <w:lang w:eastAsia="pl-PL"/>
              </w:rPr>
              <w:br/>
            </w:r>
            <w:r w:rsidR="00E35677" w:rsidRPr="00E35677">
              <w:rPr>
                <w:rFonts w:ascii="Times New Roman" w:hAnsi="Times New Roman" w:cs="Times New Roman"/>
                <w:sz w:val="20"/>
                <w:szCs w:val="20"/>
                <w:lang w:eastAsia="pl-PL"/>
              </w:rPr>
              <w:t xml:space="preserve">(projekt z dnia </w:t>
            </w:r>
            <w:r w:rsidR="00ED0778">
              <w:rPr>
                <w:rFonts w:ascii="Times New Roman" w:hAnsi="Times New Roman" w:cs="Times New Roman"/>
                <w:sz w:val="20"/>
                <w:szCs w:val="20"/>
                <w:lang w:eastAsia="pl-PL"/>
              </w:rPr>
              <w:t>2</w:t>
            </w:r>
            <w:r w:rsidR="006F60AB">
              <w:rPr>
                <w:rFonts w:ascii="Times New Roman" w:hAnsi="Times New Roman" w:cs="Times New Roman"/>
                <w:sz w:val="20"/>
                <w:szCs w:val="20"/>
                <w:lang w:eastAsia="pl-PL"/>
              </w:rPr>
              <w:t>8</w:t>
            </w:r>
            <w:r w:rsidR="00E23A7D">
              <w:rPr>
                <w:rFonts w:ascii="Times New Roman" w:hAnsi="Times New Roman" w:cs="Times New Roman"/>
                <w:sz w:val="20"/>
                <w:szCs w:val="20"/>
                <w:lang w:eastAsia="pl-PL"/>
              </w:rPr>
              <w:t xml:space="preserve"> </w:t>
            </w:r>
            <w:r w:rsidR="00ED0778">
              <w:rPr>
                <w:rFonts w:ascii="Times New Roman" w:hAnsi="Times New Roman" w:cs="Times New Roman"/>
                <w:sz w:val="20"/>
                <w:szCs w:val="20"/>
                <w:lang w:eastAsia="pl-PL"/>
              </w:rPr>
              <w:t>marca</w:t>
            </w:r>
            <w:r w:rsidR="00E23A7D">
              <w:rPr>
                <w:rFonts w:ascii="Times New Roman" w:hAnsi="Times New Roman" w:cs="Times New Roman"/>
                <w:sz w:val="20"/>
                <w:szCs w:val="20"/>
                <w:lang w:eastAsia="pl-PL"/>
              </w:rPr>
              <w:t xml:space="preserve"> 202</w:t>
            </w:r>
            <w:r w:rsidR="00ED0778">
              <w:rPr>
                <w:rFonts w:ascii="Times New Roman" w:hAnsi="Times New Roman" w:cs="Times New Roman"/>
                <w:sz w:val="20"/>
                <w:szCs w:val="20"/>
                <w:lang w:eastAsia="pl-PL"/>
              </w:rPr>
              <w:t>2</w:t>
            </w:r>
            <w:r w:rsidR="00E35677" w:rsidRPr="00E35677">
              <w:rPr>
                <w:rFonts w:ascii="Times New Roman" w:hAnsi="Times New Roman" w:cs="Times New Roman"/>
                <w:sz w:val="20"/>
                <w:szCs w:val="20"/>
                <w:lang w:eastAsia="pl-PL"/>
              </w:rPr>
              <w:t xml:space="preserve"> r.)</w:t>
            </w:r>
          </w:p>
        </w:tc>
      </w:tr>
      <w:tr w:rsidR="008842F2" w:rsidRPr="00FF4480" w14:paraId="0F5D1353" w14:textId="77777777" w:rsidTr="00B919AF">
        <w:trPr>
          <w:jc w:val="center"/>
        </w:trPr>
        <w:tc>
          <w:tcPr>
            <w:tcW w:w="13994" w:type="dxa"/>
            <w:gridSpan w:val="5"/>
            <w:shd w:val="clear" w:color="auto" w:fill="A6A6A6" w:themeFill="background1" w:themeFillShade="A6"/>
          </w:tcPr>
          <w:p w14:paraId="7F1979A8" w14:textId="77777777" w:rsidR="008842F2" w:rsidRPr="00865AF4" w:rsidRDefault="008842F2" w:rsidP="008842F2">
            <w:pPr>
              <w:spacing w:before="120" w:after="120"/>
              <w:jc w:val="center"/>
              <w:rPr>
                <w:rFonts w:ascii="Times New Roman" w:hAnsi="Times New Roman" w:cs="Times New Roman"/>
                <w:b/>
                <w:bCs/>
                <w:color w:val="365F91" w:themeColor="accent1" w:themeShade="BF"/>
                <w:sz w:val="24"/>
                <w:szCs w:val="24"/>
              </w:rPr>
            </w:pPr>
            <w:r w:rsidRPr="00865AF4">
              <w:rPr>
                <w:rFonts w:ascii="Times New Roman" w:hAnsi="Times New Roman" w:cs="Times New Roman"/>
                <w:b/>
                <w:bCs/>
                <w:color w:val="000000" w:themeColor="text1"/>
                <w:sz w:val="24"/>
                <w:szCs w:val="24"/>
              </w:rPr>
              <w:t xml:space="preserve">Uwagi </w:t>
            </w:r>
            <w:r w:rsidR="00865AF4">
              <w:rPr>
                <w:rFonts w:ascii="Times New Roman" w:hAnsi="Times New Roman" w:cs="Times New Roman"/>
                <w:b/>
                <w:bCs/>
                <w:color w:val="000000" w:themeColor="text1"/>
                <w:sz w:val="24"/>
                <w:szCs w:val="24"/>
              </w:rPr>
              <w:t>ogólne</w:t>
            </w:r>
          </w:p>
        </w:tc>
      </w:tr>
      <w:tr w:rsidR="00252F32" w:rsidRPr="00FF4480" w14:paraId="2746B0BC" w14:textId="77777777" w:rsidTr="00B241C8">
        <w:trPr>
          <w:jc w:val="center"/>
        </w:trPr>
        <w:tc>
          <w:tcPr>
            <w:tcW w:w="562" w:type="dxa"/>
          </w:tcPr>
          <w:p w14:paraId="65537CAC" w14:textId="4511823A" w:rsidR="003E5D74" w:rsidRPr="00B919AF" w:rsidRDefault="00252F32" w:rsidP="00252F32">
            <w:pPr>
              <w:spacing w:before="120"/>
              <w:ind w:right="-534"/>
              <w:rPr>
                <w:rFonts w:ascii="Times New Roman" w:hAnsi="Times New Roman" w:cs="Times New Roman"/>
                <w:b/>
                <w:sz w:val="20"/>
              </w:rPr>
            </w:pPr>
            <w:r>
              <w:rPr>
                <w:rFonts w:ascii="Times New Roman" w:hAnsi="Times New Roman" w:cs="Times New Roman"/>
                <w:b/>
                <w:sz w:val="20"/>
              </w:rPr>
              <w:t>1.</w:t>
            </w:r>
          </w:p>
        </w:tc>
        <w:tc>
          <w:tcPr>
            <w:tcW w:w="1843" w:type="dxa"/>
            <w:vAlign w:val="center"/>
          </w:tcPr>
          <w:p w14:paraId="4EE2AD99" w14:textId="73191DCA" w:rsidR="003E5D74" w:rsidRPr="00FF4480" w:rsidRDefault="00270903" w:rsidP="00252F32">
            <w:pPr>
              <w:spacing w:before="120" w:after="120"/>
              <w:jc w:val="center"/>
              <w:rPr>
                <w:rFonts w:ascii="Times New Roman" w:hAnsi="Times New Roman" w:cs="Times New Roman"/>
                <w:sz w:val="20"/>
              </w:rPr>
            </w:pPr>
            <w:r>
              <w:rPr>
                <w:rFonts w:ascii="Times New Roman" w:hAnsi="Times New Roman" w:cs="Times New Roman"/>
                <w:sz w:val="20"/>
              </w:rPr>
              <w:t>Obywatel 1</w:t>
            </w:r>
          </w:p>
        </w:tc>
        <w:tc>
          <w:tcPr>
            <w:tcW w:w="1843" w:type="dxa"/>
            <w:vAlign w:val="center"/>
          </w:tcPr>
          <w:p w14:paraId="692A9BA0" w14:textId="5278CBFE" w:rsidR="003E5D74" w:rsidRPr="00FF4480" w:rsidRDefault="00270903" w:rsidP="00252F32">
            <w:pPr>
              <w:spacing w:before="120" w:after="120"/>
              <w:jc w:val="center"/>
              <w:rPr>
                <w:rFonts w:ascii="Times New Roman" w:hAnsi="Times New Roman" w:cs="Times New Roman"/>
                <w:sz w:val="20"/>
              </w:rPr>
            </w:pPr>
            <w:r>
              <w:rPr>
                <w:rFonts w:ascii="Times New Roman" w:hAnsi="Times New Roman" w:cs="Times New Roman"/>
                <w:sz w:val="20"/>
              </w:rPr>
              <w:t>Uwagi ogólne</w:t>
            </w:r>
          </w:p>
        </w:tc>
        <w:tc>
          <w:tcPr>
            <w:tcW w:w="5670" w:type="dxa"/>
            <w:vAlign w:val="center"/>
          </w:tcPr>
          <w:p w14:paraId="69630036" w14:textId="411C77E7" w:rsidR="001E5C93" w:rsidRDefault="00270903" w:rsidP="003A13D7">
            <w:pPr>
              <w:jc w:val="both"/>
              <w:rPr>
                <w:rFonts w:ascii="Times New Roman" w:eastAsia="Times New Roman" w:hAnsi="Times New Roman" w:cs="Times New Roman"/>
                <w:sz w:val="20"/>
                <w:szCs w:val="20"/>
              </w:rPr>
            </w:pPr>
            <w:r w:rsidRPr="00270903">
              <w:rPr>
                <w:rFonts w:ascii="Times New Roman" w:eastAsia="Times New Roman" w:hAnsi="Times New Roman" w:cs="Times New Roman"/>
                <w:sz w:val="20"/>
                <w:szCs w:val="20"/>
              </w:rPr>
              <w:t xml:space="preserve">W projekcie przewidziano przepisy przyznające sądom nieograniczony w czasie i nieodpłatny dostęp do danych zgromadzonych w rejestrach, bazach lub ewidencjach publicznych, takich jak: Baza Usług Stanu Cywilnego, rejestr danych kontaktowych czy ewidencja gruntów i budynków. </w:t>
            </w:r>
          </w:p>
          <w:p w14:paraId="68E20124" w14:textId="160C00AB" w:rsidR="003E5D74" w:rsidRDefault="00270903" w:rsidP="00270903">
            <w:pPr>
              <w:spacing w:after="120"/>
              <w:jc w:val="both"/>
              <w:rPr>
                <w:rFonts w:ascii="Times New Roman" w:eastAsia="Times New Roman" w:hAnsi="Times New Roman" w:cs="Times New Roman"/>
                <w:sz w:val="20"/>
                <w:szCs w:val="20"/>
              </w:rPr>
            </w:pPr>
            <w:r w:rsidRPr="00270903">
              <w:rPr>
                <w:rFonts w:ascii="Times New Roman" w:eastAsia="Times New Roman" w:hAnsi="Times New Roman" w:cs="Times New Roman"/>
                <w:sz w:val="20"/>
                <w:szCs w:val="20"/>
              </w:rPr>
              <w:t xml:space="preserve">Konieczne jest dodanie zapisu o sprawdzenie przez sąd dokumentów z ksiąg wieczystych, tj. księgi wieczyste na daną nieruchomość, ale także innej dokumentacji na nieruchomość bez księgi wieczystej, np. akty notarialne, umowy. Jest to bardzo istotne, gdyż w ewidencji gruntów często dane są niezaktualizowane od dziesięcioleci. Ponadto, testament powinien zawsze być sporządzony w obecności i za zgodą kręgu wszystkich spadkobierców, szczególnie jeśli spadkodawca jest osobą starszą. Także notariusze powinni nie dopuszczać do realizacji testamentów z wątpliwościami. Oraz wykreślić należy przepis o testamencie sporządzonym w obecności świadków (ustny). Uwzględnione uwagi w projektowanej ustawie są nikłe wobec ustanowienia uczciwych zasad przy spadku. </w:t>
            </w:r>
          </w:p>
          <w:p w14:paraId="5BFDE0B7" w14:textId="77777777" w:rsidR="00270903" w:rsidRDefault="00270903" w:rsidP="00642662">
            <w:pPr>
              <w:jc w:val="both"/>
              <w:rPr>
                <w:rFonts w:ascii="Times New Roman" w:eastAsia="Times New Roman" w:hAnsi="Times New Roman" w:cs="Times New Roman"/>
                <w:sz w:val="20"/>
                <w:szCs w:val="20"/>
              </w:rPr>
            </w:pPr>
            <w:r w:rsidRPr="00270903">
              <w:rPr>
                <w:rFonts w:ascii="Times New Roman" w:eastAsia="Times New Roman" w:hAnsi="Times New Roman" w:cs="Times New Roman"/>
                <w:sz w:val="20"/>
                <w:szCs w:val="20"/>
              </w:rPr>
              <w:t>Należy wiedzieć, że sądowe stwierdzenie nabycia spadku zachodzi w miejscu ostatniego zamieszkania spadkodawcy, a nieruchomość której dotyczy ww. postanowienie może być zlokalizowane w innej miejscowości. Dlatego, istotne jest, aby sąd rozpatrujący sprawę sprawdzał dokumentację do danej nieruchomości z urzędów i sądów (wydział ksiąg wieczystych) zlokalizowanych w tej miejscowości skąd pochodzi dana nieruchomość. Dlaczego nie ma ujętych uwag od społeczeństwa?</w:t>
            </w:r>
          </w:p>
          <w:p w14:paraId="69C63F4F" w14:textId="77777777" w:rsidR="00642662" w:rsidRDefault="009F5BED" w:rsidP="00642662">
            <w:pPr>
              <w:spacing w:before="100" w:beforeAutospacing="1"/>
              <w:jc w:val="both"/>
              <w:rPr>
                <w:rFonts w:ascii="Times New Roman" w:hAnsi="Times New Roman" w:cs="Times New Roman"/>
                <w:sz w:val="20"/>
                <w:szCs w:val="20"/>
              </w:rPr>
            </w:pPr>
            <w:r w:rsidRPr="009F5BED">
              <w:rPr>
                <w:rFonts w:ascii="Times New Roman" w:hAnsi="Times New Roman" w:cs="Times New Roman"/>
                <w:sz w:val="20"/>
                <w:szCs w:val="20"/>
              </w:rPr>
              <w:t>Mając na uwadze poniższy fragment z OSR do ww. projektu:</w:t>
            </w:r>
          </w:p>
          <w:p w14:paraId="2D1E0A8D" w14:textId="1D05276D" w:rsidR="009F5BED" w:rsidRPr="00642662" w:rsidRDefault="009F5BED" w:rsidP="009F5BED">
            <w:pPr>
              <w:spacing w:before="100" w:beforeAutospacing="1" w:after="100" w:afterAutospacing="1"/>
              <w:jc w:val="both"/>
              <w:rPr>
                <w:rFonts w:ascii="Times New Roman" w:hAnsi="Times New Roman" w:cs="Times New Roman"/>
                <w:sz w:val="20"/>
                <w:szCs w:val="20"/>
              </w:rPr>
            </w:pPr>
            <w:r w:rsidRPr="009F5BED">
              <w:rPr>
                <w:rFonts w:ascii="Times New Roman" w:hAnsi="Times New Roman" w:cs="Times New Roman"/>
                <w:sz w:val="20"/>
                <w:szCs w:val="20"/>
              </w:rPr>
              <w:lastRenderedPageBreak/>
              <w:t>„</w:t>
            </w:r>
            <w:r w:rsidRPr="009F5BED">
              <w:rPr>
                <w:rStyle w:val="Uwydatnienie"/>
                <w:rFonts w:ascii="Times New Roman" w:hAnsi="Times New Roman" w:cs="Times New Roman"/>
                <w:sz w:val="20"/>
                <w:szCs w:val="20"/>
              </w:rPr>
              <w:t>Dla efektywniejsze</w:t>
            </w:r>
            <w:r>
              <w:rPr>
                <w:rStyle w:val="Uwydatnienie"/>
                <w:rFonts w:ascii="Times New Roman" w:hAnsi="Times New Roman" w:cs="Times New Roman"/>
                <w:sz w:val="20"/>
                <w:szCs w:val="20"/>
              </w:rPr>
              <w:t>j</w:t>
            </w:r>
            <w:r w:rsidRPr="009F5BED">
              <w:rPr>
                <w:rStyle w:val="Uwydatnienie"/>
                <w:rFonts w:ascii="Times New Roman" w:hAnsi="Times New Roman" w:cs="Times New Roman"/>
                <w:sz w:val="20"/>
                <w:szCs w:val="20"/>
              </w:rPr>
              <w:t xml:space="preserve"> realizacji celu projektowanej regulacji w projekcie przewidziano przepisy przyznające sądom nieograniczony w czasie dostęp do danych zgromadzonych w rejestrach, bazach lub ewidencjach publicznych, takich jak: Baza Usług Stanu Cywilnego, rejestr danych kontaktowych czy ewidencja gruntów i budynków. Dokumenty wytworzone na podstawie informacji pozyskanych przez właściwe systemy teleinformatyczne stworzone na potrzeby udostępniania ww. rejestrów, baz i ewidencji będą posiadały moc prawną dokumentów urzędowych sporządzonych na potrzeby postępowań do których zostały pobrane przez sąd</w:t>
            </w:r>
            <w:r w:rsidRPr="009F5BED">
              <w:rPr>
                <w:rFonts w:ascii="Times New Roman" w:hAnsi="Times New Roman" w:cs="Times New Roman"/>
                <w:sz w:val="20"/>
                <w:szCs w:val="20"/>
              </w:rPr>
              <w:t>.</w:t>
            </w:r>
            <w:r w:rsidR="001E5C93">
              <w:rPr>
                <w:rFonts w:ascii="Times New Roman" w:hAnsi="Times New Roman" w:cs="Times New Roman"/>
                <w:sz w:val="20"/>
                <w:szCs w:val="20"/>
              </w:rPr>
              <w:t>”</w:t>
            </w:r>
          </w:p>
          <w:p w14:paraId="74878B4D" w14:textId="38D98C2C" w:rsidR="009F5BED" w:rsidRPr="009F5BED" w:rsidRDefault="009F5BED" w:rsidP="009F5BED">
            <w:pPr>
              <w:spacing w:before="100" w:beforeAutospacing="1" w:after="100" w:afterAutospacing="1"/>
              <w:jc w:val="both"/>
              <w:rPr>
                <w:sz w:val="20"/>
                <w:szCs w:val="20"/>
              </w:rPr>
            </w:pPr>
            <w:r w:rsidRPr="009F5BED">
              <w:rPr>
                <w:rFonts w:ascii="Times New Roman" w:hAnsi="Times New Roman" w:cs="Times New Roman"/>
                <w:sz w:val="20"/>
                <w:szCs w:val="20"/>
              </w:rPr>
              <w:t xml:space="preserve">budzi wątpliwość, dlaczego we </w:t>
            </w:r>
            <w:r w:rsidR="00E5329B" w:rsidRPr="009F5BED">
              <w:rPr>
                <w:rFonts w:ascii="Times New Roman" w:hAnsi="Times New Roman" w:cs="Times New Roman"/>
                <w:sz w:val="20"/>
                <w:szCs w:val="20"/>
              </w:rPr>
              <w:t>wspominanych dostępach</w:t>
            </w:r>
            <w:r w:rsidRPr="009F5BED">
              <w:rPr>
                <w:rFonts w:ascii="Times New Roman" w:hAnsi="Times New Roman" w:cs="Times New Roman"/>
                <w:sz w:val="20"/>
                <w:szCs w:val="20"/>
              </w:rPr>
              <w:t xml:space="preserve">, takich jak: Baza Usług Stanu Cywilnego, rejestr danych kontaktowych czy ewidencja gruntów i budynków, brakuje ksiąg wieczystych? Tym bardziej, że w każdym sądzie rejonowym znajduje się wydział ksiąg wieczystych, w których oprócz samych ksiąg, są również zasoby i inne dokumenty, np. akty notarialne sprzedaży nieruchomości świadczące o własności do danej nieruchomości. </w:t>
            </w:r>
          </w:p>
          <w:p w14:paraId="0EF7FF23" w14:textId="77777777" w:rsidR="009F5BED" w:rsidRPr="009F5BED" w:rsidRDefault="009F5BED" w:rsidP="009F5BED">
            <w:pPr>
              <w:spacing w:before="100" w:beforeAutospacing="1" w:after="100" w:afterAutospacing="1"/>
              <w:jc w:val="both"/>
              <w:rPr>
                <w:sz w:val="20"/>
                <w:szCs w:val="20"/>
              </w:rPr>
            </w:pPr>
            <w:r w:rsidRPr="009F5BED">
              <w:rPr>
                <w:rFonts w:ascii="Times New Roman" w:hAnsi="Times New Roman" w:cs="Times New Roman"/>
                <w:sz w:val="20"/>
                <w:szCs w:val="20"/>
              </w:rPr>
              <w:t>Poza tym, informacje z wydziału ksiąg wieczystych wydają się bardziej istotne z punktu widzenia hierarchii instytucyjnej, tzn. sądy są organami wyższego stopnia od urzędów, które posiadają, np. ewidencje gruntów (Starostwo). Ponadto, dane zawarte w ewidencji gruntów są często od dziesięcioleci niezaktualizowane, co prowadzi do chaosu podczas np. sądowego ustalania stron postępowania o nabycie spadku. Dlatego nie zgodzę się z uwagami Głównego Geodety Kraju, który do ww. projektu ustawy wskazuje, że ewidencje gruntów są wiarygodnym źródłem danych. To jest nieprawda i Główny Geodeta Kraju zapewne w swoim interesie ma zatuszowanie faktu, że urzędy nie aktualizują na bieżącą danych w ewidencji, co doprowadza do zatarcia granic własności.</w:t>
            </w:r>
          </w:p>
          <w:p w14:paraId="5B03A66C" w14:textId="77777777" w:rsidR="009F5BED" w:rsidRPr="009F5BED" w:rsidRDefault="009F5BED" w:rsidP="009F5BED">
            <w:pPr>
              <w:spacing w:before="100" w:beforeAutospacing="1" w:after="100" w:afterAutospacing="1"/>
              <w:jc w:val="both"/>
              <w:rPr>
                <w:sz w:val="20"/>
                <w:szCs w:val="20"/>
              </w:rPr>
            </w:pPr>
            <w:r w:rsidRPr="009F5BED">
              <w:rPr>
                <w:rFonts w:ascii="Times New Roman" w:hAnsi="Times New Roman" w:cs="Times New Roman"/>
                <w:sz w:val="20"/>
                <w:szCs w:val="20"/>
              </w:rPr>
              <w:t xml:space="preserve">Proszę mieć na uwadze, że sąd stwierdzający nabycie spadku jest uzależniony od miejsca ostatniego zamieszkania spadkodawcy, więc </w:t>
            </w:r>
            <w:r w:rsidRPr="009F5BED">
              <w:rPr>
                <w:rFonts w:ascii="Times New Roman" w:hAnsi="Times New Roman" w:cs="Times New Roman"/>
                <w:sz w:val="20"/>
                <w:szCs w:val="20"/>
              </w:rPr>
              <w:lastRenderedPageBreak/>
              <w:t xml:space="preserve">miejsce położenia nieruchomości często jest inne niż lokalizacja sądu. </w:t>
            </w:r>
          </w:p>
          <w:p w14:paraId="22A1292F" w14:textId="02A4CB26" w:rsidR="009F5BED" w:rsidRPr="009F5BED" w:rsidRDefault="009F5BED" w:rsidP="009F5BED">
            <w:pPr>
              <w:spacing w:before="100" w:beforeAutospacing="1" w:after="100" w:afterAutospacing="1"/>
              <w:jc w:val="both"/>
              <w:rPr>
                <w:sz w:val="20"/>
                <w:szCs w:val="20"/>
              </w:rPr>
            </w:pPr>
            <w:r w:rsidRPr="009F5BED">
              <w:rPr>
                <w:rFonts w:ascii="Times New Roman" w:hAnsi="Times New Roman" w:cs="Times New Roman"/>
                <w:sz w:val="20"/>
                <w:szCs w:val="20"/>
              </w:rPr>
              <w:t>Dlatego, zarówno przy postępowaniach administracyjnych, jak i sądowych konieczne jest zgromadzenie danych ze wszystkich możliwych źródeł, a w pierwszej kolejności z wydziału ksiąg wieczystych i nie tylko pod kątem założonej księgi wieczystej, ale też innej dokumentacji (zasobów, zapisów ręcznych, aktów notarialnych), a dane z ewidencji gruntów mogą stanowić potwierdzenie dla danych z ksiąg wieczystych, ale nigdy odwrotnie (w obecnym stanie to dane z ewidencji są najważniejsze, nawet od dokumentacji sądowej, a nawet z jej pominięciem).</w:t>
            </w:r>
          </w:p>
        </w:tc>
        <w:tc>
          <w:tcPr>
            <w:tcW w:w="4076" w:type="dxa"/>
          </w:tcPr>
          <w:p w14:paraId="3BE84CD1" w14:textId="001FC431" w:rsidR="003462B1" w:rsidRDefault="00122FAB" w:rsidP="00122FAB">
            <w:pPr>
              <w:spacing w:after="120"/>
              <w:jc w:val="both"/>
              <w:rPr>
                <w:rFonts w:ascii="Times New Roman" w:hAnsi="Times New Roman" w:cs="Times New Roman"/>
                <w:b/>
                <w:bCs/>
                <w:sz w:val="20"/>
              </w:rPr>
            </w:pPr>
            <w:r w:rsidRPr="00122FAB">
              <w:rPr>
                <w:rFonts w:ascii="Times New Roman" w:hAnsi="Times New Roman" w:cs="Times New Roman"/>
                <w:b/>
                <w:bCs/>
                <w:sz w:val="20"/>
              </w:rPr>
              <w:lastRenderedPageBreak/>
              <w:t xml:space="preserve">Uwaga </w:t>
            </w:r>
            <w:r w:rsidR="00D76500">
              <w:rPr>
                <w:rFonts w:ascii="Times New Roman" w:hAnsi="Times New Roman" w:cs="Times New Roman"/>
                <w:b/>
                <w:bCs/>
                <w:sz w:val="20"/>
              </w:rPr>
              <w:t>powtórzona</w:t>
            </w:r>
          </w:p>
          <w:p w14:paraId="5A632F9F" w14:textId="1542CBAC" w:rsidR="00122FAB" w:rsidRDefault="00745B44" w:rsidP="00122FAB">
            <w:pPr>
              <w:spacing w:after="120"/>
              <w:jc w:val="both"/>
              <w:rPr>
                <w:rFonts w:ascii="Times New Roman" w:hAnsi="Times New Roman" w:cs="Times New Roman"/>
                <w:sz w:val="20"/>
              </w:rPr>
            </w:pPr>
            <w:r w:rsidRPr="00745B44">
              <w:rPr>
                <w:rFonts w:ascii="Times New Roman" w:hAnsi="Times New Roman" w:cs="Times New Roman"/>
                <w:sz w:val="20"/>
              </w:rPr>
              <w:t>Szczegółowe stanowisko projektodawcy zostało zamieszczone na stronie 1 i 2 tabeli</w:t>
            </w:r>
            <w:r w:rsidRPr="00745B44">
              <w:rPr>
                <w:rStyle w:val="Odwoanieprzypisudolnego"/>
                <w:rFonts w:ascii="Times New Roman" w:hAnsi="Times New Roman" w:cs="Times New Roman"/>
                <w:sz w:val="20"/>
              </w:rPr>
              <w:footnoteReference w:id="1"/>
            </w:r>
            <w:r w:rsidRPr="00745B44">
              <w:rPr>
                <w:rFonts w:ascii="Times New Roman" w:hAnsi="Times New Roman" w:cs="Times New Roman"/>
                <w:sz w:val="20"/>
              </w:rPr>
              <w:t xml:space="preserve"> przedstawiającej odniesienie do uwag zgłoszonych w ramach konsultacji publicznych do </w:t>
            </w:r>
            <w:r w:rsidR="003A13D7">
              <w:rPr>
                <w:rFonts w:ascii="Times New Roman" w:hAnsi="Times New Roman" w:cs="Times New Roman"/>
                <w:sz w:val="20"/>
              </w:rPr>
              <w:t xml:space="preserve">wersji </w:t>
            </w:r>
            <w:r w:rsidRPr="00745B44">
              <w:rPr>
                <w:rFonts w:ascii="Times New Roman" w:hAnsi="Times New Roman" w:cs="Times New Roman"/>
                <w:sz w:val="20"/>
              </w:rPr>
              <w:t>projektu z dnia 15 grudnia 202</w:t>
            </w:r>
            <w:r w:rsidR="00F82FAD">
              <w:rPr>
                <w:rFonts w:ascii="Times New Roman" w:hAnsi="Times New Roman" w:cs="Times New Roman"/>
                <w:sz w:val="20"/>
              </w:rPr>
              <w:t>1</w:t>
            </w:r>
            <w:r w:rsidRPr="00745B44">
              <w:rPr>
                <w:rFonts w:ascii="Times New Roman" w:hAnsi="Times New Roman" w:cs="Times New Roman"/>
                <w:sz w:val="20"/>
              </w:rPr>
              <w:t xml:space="preserve"> r. </w:t>
            </w:r>
          </w:p>
          <w:p w14:paraId="35FEF40C" w14:textId="0E998C5F" w:rsidR="004C068F" w:rsidRDefault="004C068F" w:rsidP="00122FAB">
            <w:pPr>
              <w:spacing w:after="120"/>
              <w:jc w:val="both"/>
              <w:rPr>
                <w:rFonts w:ascii="Times New Roman" w:hAnsi="Times New Roman" w:cs="Times New Roman"/>
                <w:sz w:val="20"/>
                <w:szCs w:val="20"/>
              </w:rPr>
            </w:pPr>
            <w:r>
              <w:rPr>
                <w:rFonts w:ascii="Times New Roman" w:hAnsi="Times New Roman" w:cs="Times New Roman"/>
                <w:sz w:val="20"/>
              </w:rPr>
              <w:t xml:space="preserve">Dodatkowo wskazać należy, że zgodnie z art. </w:t>
            </w:r>
            <w:r w:rsidRPr="005B3FB5">
              <w:rPr>
                <w:rFonts w:ascii="Times New Roman" w:hAnsi="Times New Roman" w:cs="Times New Roman"/>
                <w:sz w:val="20"/>
                <w:szCs w:val="20"/>
              </w:rPr>
              <w:t>36</w:t>
            </w:r>
            <w:r w:rsidR="00114853">
              <w:rPr>
                <w:rFonts w:ascii="Times New Roman" w:hAnsi="Times New Roman" w:cs="Times New Roman"/>
                <w:sz w:val="20"/>
                <w:szCs w:val="20"/>
              </w:rPr>
              <w:t xml:space="preserve"> (4)</w:t>
            </w:r>
            <w:r w:rsidRPr="005B3FB5">
              <w:rPr>
                <w:rFonts w:ascii="Times New Roman" w:hAnsi="Times New Roman" w:cs="Times New Roman"/>
                <w:sz w:val="20"/>
                <w:szCs w:val="20"/>
              </w:rPr>
              <w:t xml:space="preserve"> ust</w:t>
            </w:r>
            <w:r w:rsidR="00642662">
              <w:rPr>
                <w:rFonts w:ascii="Times New Roman" w:hAnsi="Times New Roman" w:cs="Times New Roman"/>
                <w:sz w:val="20"/>
                <w:szCs w:val="20"/>
              </w:rPr>
              <w:t>.</w:t>
            </w:r>
            <w:r w:rsidRPr="005B3FB5">
              <w:rPr>
                <w:rFonts w:ascii="Times New Roman" w:hAnsi="Times New Roman" w:cs="Times New Roman"/>
                <w:sz w:val="20"/>
                <w:szCs w:val="20"/>
              </w:rPr>
              <w:t xml:space="preserve"> </w:t>
            </w:r>
            <w:r w:rsidR="00114853">
              <w:rPr>
                <w:rFonts w:ascii="Times New Roman" w:hAnsi="Times New Roman" w:cs="Times New Roman"/>
                <w:sz w:val="20"/>
                <w:szCs w:val="20"/>
              </w:rPr>
              <w:t>8</w:t>
            </w:r>
            <w:r w:rsidRPr="005B3FB5">
              <w:rPr>
                <w:rFonts w:ascii="Times New Roman" w:hAnsi="Times New Roman" w:cs="Times New Roman"/>
                <w:sz w:val="20"/>
                <w:szCs w:val="20"/>
              </w:rPr>
              <w:t xml:space="preserve"> ustawy z dnia 6 lipca 1982 r. </w:t>
            </w:r>
            <w:r w:rsidRPr="00642662">
              <w:rPr>
                <w:rFonts w:ascii="Times New Roman" w:hAnsi="Times New Roman" w:cs="Times New Roman"/>
                <w:i/>
                <w:iCs/>
                <w:sz w:val="20"/>
                <w:szCs w:val="20"/>
              </w:rPr>
              <w:t>o księgach wieczystych i hipotece</w:t>
            </w:r>
            <w:r w:rsidRPr="005B3FB5">
              <w:rPr>
                <w:rFonts w:ascii="Times New Roman" w:hAnsi="Times New Roman" w:cs="Times New Roman"/>
                <w:sz w:val="20"/>
                <w:szCs w:val="20"/>
              </w:rPr>
              <w:t xml:space="preserve"> (Dz.U. z 2019 r. poz. 2204 oraz z 2021 r. poz. 1177 i 1978)</w:t>
            </w:r>
            <w:r>
              <w:rPr>
                <w:rFonts w:ascii="Times New Roman" w:hAnsi="Times New Roman" w:cs="Times New Roman"/>
                <w:sz w:val="20"/>
                <w:szCs w:val="20"/>
              </w:rPr>
              <w:t>,</w:t>
            </w:r>
            <w:r w:rsidR="00114853">
              <w:rPr>
                <w:rFonts w:ascii="Times New Roman" w:hAnsi="Times New Roman" w:cs="Times New Roman"/>
                <w:sz w:val="20"/>
                <w:szCs w:val="20"/>
              </w:rPr>
              <w:t xml:space="preserve"> sądy mogą wystąpić </w:t>
            </w:r>
            <w:r w:rsidR="00114853" w:rsidRPr="00114853">
              <w:rPr>
                <w:rFonts w:ascii="Times New Roman" w:hAnsi="Times New Roman" w:cs="Times New Roman"/>
                <w:sz w:val="20"/>
                <w:szCs w:val="20"/>
              </w:rPr>
              <w:t xml:space="preserve">o zgodę do Ministra Sprawiedliwości na wielokrotne, nieograniczone w czasie wyszukiwanie ksiąg wieczystych w centralnej bazie danych ksiąg </w:t>
            </w:r>
            <w:r w:rsidR="00E5329B" w:rsidRPr="00114853">
              <w:rPr>
                <w:rFonts w:ascii="Times New Roman" w:hAnsi="Times New Roman" w:cs="Times New Roman"/>
                <w:sz w:val="20"/>
                <w:szCs w:val="20"/>
              </w:rPr>
              <w:t>wieczystych,</w:t>
            </w:r>
            <w:r w:rsidR="00114853">
              <w:rPr>
                <w:rFonts w:ascii="Times New Roman" w:hAnsi="Times New Roman" w:cs="Times New Roman"/>
                <w:sz w:val="20"/>
                <w:szCs w:val="20"/>
              </w:rPr>
              <w:t xml:space="preserve"> j</w:t>
            </w:r>
            <w:r w:rsidR="00114853" w:rsidRPr="00114853">
              <w:rPr>
                <w:rFonts w:ascii="Times New Roman" w:hAnsi="Times New Roman" w:cs="Times New Roman"/>
                <w:sz w:val="20"/>
                <w:szCs w:val="20"/>
              </w:rPr>
              <w:t>eżeli jest to niezbędne do realizacji zadań ustawowych.</w:t>
            </w:r>
          </w:p>
          <w:p w14:paraId="47597854" w14:textId="77777777" w:rsidR="001E5C93" w:rsidRDefault="001E5C93" w:rsidP="00122FAB">
            <w:pPr>
              <w:spacing w:after="120"/>
              <w:jc w:val="both"/>
              <w:rPr>
                <w:rFonts w:ascii="Times New Roman" w:hAnsi="Times New Roman" w:cs="Times New Roman"/>
                <w:sz w:val="20"/>
              </w:rPr>
            </w:pPr>
          </w:p>
          <w:p w14:paraId="555C3664" w14:textId="77777777" w:rsidR="001E5C93" w:rsidRDefault="001E5C93" w:rsidP="00122FAB">
            <w:pPr>
              <w:spacing w:after="120"/>
              <w:jc w:val="both"/>
              <w:rPr>
                <w:rFonts w:ascii="Times New Roman" w:hAnsi="Times New Roman" w:cs="Times New Roman"/>
                <w:sz w:val="20"/>
              </w:rPr>
            </w:pPr>
          </w:p>
          <w:p w14:paraId="7D62D74F" w14:textId="77777777" w:rsidR="001E5C93" w:rsidRDefault="001E5C93" w:rsidP="00122FAB">
            <w:pPr>
              <w:spacing w:after="120"/>
              <w:jc w:val="both"/>
              <w:rPr>
                <w:rFonts w:ascii="Times New Roman" w:hAnsi="Times New Roman" w:cs="Times New Roman"/>
                <w:sz w:val="20"/>
              </w:rPr>
            </w:pPr>
          </w:p>
          <w:p w14:paraId="781553AA" w14:textId="77777777" w:rsidR="001E5C93" w:rsidRDefault="001E5C93" w:rsidP="00122FAB">
            <w:pPr>
              <w:spacing w:after="120"/>
              <w:jc w:val="both"/>
              <w:rPr>
                <w:rFonts w:ascii="Times New Roman" w:hAnsi="Times New Roman" w:cs="Times New Roman"/>
                <w:sz w:val="20"/>
              </w:rPr>
            </w:pPr>
          </w:p>
          <w:p w14:paraId="1FB70B41" w14:textId="77777777" w:rsidR="001E5C93" w:rsidRDefault="001E5C93" w:rsidP="00122FAB">
            <w:pPr>
              <w:spacing w:after="120"/>
              <w:jc w:val="both"/>
              <w:rPr>
                <w:rFonts w:ascii="Times New Roman" w:hAnsi="Times New Roman" w:cs="Times New Roman"/>
                <w:sz w:val="20"/>
              </w:rPr>
            </w:pPr>
          </w:p>
          <w:p w14:paraId="09A26831" w14:textId="77777777" w:rsidR="001E5C93" w:rsidRDefault="001E5C93" w:rsidP="00122FAB">
            <w:pPr>
              <w:spacing w:after="120"/>
              <w:jc w:val="both"/>
              <w:rPr>
                <w:rFonts w:ascii="Times New Roman" w:hAnsi="Times New Roman" w:cs="Times New Roman"/>
                <w:sz w:val="20"/>
              </w:rPr>
            </w:pPr>
          </w:p>
          <w:p w14:paraId="77D798C9" w14:textId="77777777" w:rsidR="001E5C93" w:rsidRDefault="001E5C93" w:rsidP="00122FAB">
            <w:pPr>
              <w:spacing w:after="120"/>
              <w:jc w:val="both"/>
              <w:rPr>
                <w:rFonts w:ascii="Times New Roman" w:hAnsi="Times New Roman" w:cs="Times New Roman"/>
                <w:sz w:val="20"/>
              </w:rPr>
            </w:pPr>
          </w:p>
          <w:p w14:paraId="090C37BC" w14:textId="77777777" w:rsidR="001E5C93" w:rsidRDefault="001E5C93" w:rsidP="00122FAB">
            <w:pPr>
              <w:spacing w:after="120"/>
              <w:jc w:val="both"/>
              <w:rPr>
                <w:rFonts w:ascii="Times New Roman" w:hAnsi="Times New Roman" w:cs="Times New Roman"/>
                <w:sz w:val="20"/>
              </w:rPr>
            </w:pPr>
          </w:p>
          <w:p w14:paraId="32E24902" w14:textId="77777777" w:rsidR="001E5C93" w:rsidRDefault="001E5C93" w:rsidP="00122FAB">
            <w:pPr>
              <w:spacing w:after="120"/>
              <w:jc w:val="both"/>
              <w:rPr>
                <w:rFonts w:ascii="Times New Roman" w:hAnsi="Times New Roman" w:cs="Times New Roman"/>
                <w:sz w:val="20"/>
              </w:rPr>
            </w:pPr>
          </w:p>
          <w:p w14:paraId="5A4C2BCF" w14:textId="77777777" w:rsidR="001E5C93" w:rsidRDefault="001E5C93" w:rsidP="00122FAB">
            <w:pPr>
              <w:spacing w:after="120"/>
              <w:jc w:val="both"/>
              <w:rPr>
                <w:rFonts w:ascii="Times New Roman" w:hAnsi="Times New Roman" w:cs="Times New Roman"/>
                <w:sz w:val="20"/>
              </w:rPr>
            </w:pPr>
          </w:p>
          <w:p w14:paraId="335D3A8A" w14:textId="77777777" w:rsidR="001E5C93" w:rsidRDefault="001E5C93" w:rsidP="00122FAB">
            <w:pPr>
              <w:spacing w:after="120"/>
              <w:jc w:val="both"/>
              <w:rPr>
                <w:rFonts w:ascii="Times New Roman" w:hAnsi="Times New Roman" w:cs="Times New Roman"/>
                <w:sz w:val="20"/>
              </w:rPr>
            </w:pPr>
          </w:p>
          <w:p w14:paraId="1BB5C4AC" w14:textId="37397C2A" w:rsidR="001E5C93" w:rsidRPr="00745B44" w:rsidRDefault="001E5C93" w:rsidP="00122FAB">
            <w:pPr>
              <w:spacing w:after="120"/>
              <w:jc w:val="both"/>
              <w:rPr>
                <w:rFonts w:ascii="Times New Roman" w:hAnsi="Times New Roman" w:cs="Times New Roman"/>
                <w:sz w:val="20"/>
              </w:rPr>
            </w:pPr>
          </w:p>
        </w:tc>
      </w:tr>
      <w:tr w:rsidR="003A4EDB" w:rsidRPr="00FF4480" w14:paraId="4FF89413" w14:textId="77777777" w:rsidTr="00B241C8">
        <w:trPr>
          <w:jc w:val="center"/>
        </w:trPr>
        <w:tc>
          <w:tcPr>
            <w:tcW w:w="562" w:type="dxa"/>
          </w:tcPr>
          <w:p w14:paraId="0CA22885" w14:textId="40ED66A4" w:rsidR="003A4EDB" w:rsidRDefault="003A4EDB" w:rsidP="00252F32">
            <w:pPr>
              <w:spacing w:before="120"/>
              <w:ind w:right="-534"/>
              <w:rPr>
                <w:rFonts w:ascii="Times New Roman" w:hAnsi="Times New Roman" w:cs="Times New Roman"/>
                <w:b/>
                <w:sz w:val="20"/>
              </w:rPr>
            </w:pPr>
            <w:r>
              <w:rPr>
                <w:rFonts w:ascii="Times New Roman" w:hAnsi="Times New Roman" w:cs="Times New Roman"/>
                <w:b/>
                <w:sz w:val="20"/>
              </w:rPr>
              <w:lastRenderedPageBreak/>
              <w:t>2.</w:t>
            </w:r>
          </w:p>
        </w:tc>
        <w:tc>
          <w:tcPr>
            <w:tcW w:w="1843" w:type="dxa"/>
            <w:vAlign w:val="center"/>
          </w:tcPr>
          <w:p w14:paraId="43F924D9" w14:textId="6A71BB60" w:rsidR="003A4EDB" w:rsidRDefault="003A4EDB" w:rsidP="00252F32">
            <w:pPr>
              <w:spacing w:before="120" w:after="120"/>
              <w:jc w:val="center"/>
              <w:rPr>
                <w:rFonts w:ascii="Times New Roman" w:hAnsi="Times New Roman" w:cs="Times New Roman"/>
                <w:sz w:val="20"/>
              </w:rPr>
            </w:pPr>
            <w:r>
              <w:rPr>
                <w:rFonts w:ascii="Times New Roman" w:hAnsi="Times New Roman" w:cs="Times New Roman"/>
                <w:sz w:val="20"/>
              </w:rPr>
              <w:t>Krajowa Rada Komornicza</w:t>
            </w:r>
          </w:p>
        </w:tc>
        <w:tc>
          <w:tcPr>
            <w:tcW w:w="1843" w:type="dxa"/>
            <w:vAlign w:val="center"/>
          </w:tcPr>
          <w:p w14:paraId="2F6142FD" w14:textId="77777777" w:rsidR="003A4EDB" w:rsidRDefault="003A4EDB" w:rsidP="00252F32">
            <w:pPr>
              <w:spacing w:before="120" w:after="120"/>
              <w:jc w:val="center"/>
              <w:rPr>
                <w:rFonts w:ascii="Times New Roman" w:hAnsi="Times New Roman" w:cs="Times New Roman"/>
                <w:sz w:val="20"/>
              </w:rPr>
            </w:pPr>
            <w:r>
              <w:rPr>
                <w:rFonts w:ascii="Times New Roman" w:hAnsi="Times New Roman" w:cs="Times New Roman"/>
                <w:sz w:val="20"/>
              </w:rPr>
              <w:t>Uwagi ogólne</w:t>
            </w:r>
          </w:p>
          <w:p w14:paraId="48076AF4" w14:textId="6CD641F4" w:rsidR="00CF7C2B" w:rsidRDefault="00CF7C2B" w:rsidP="00252F32">
            <w:pPr>
              <w:spacing w:before="120" w:after="120"/>
              <w:jc w:val="center"/>
              <w:rPr>
                <w:rFonts w:ascii="Times New Roman" w:hAnsi="Times New Roman" w:cs="Times New Roman"/>
                <w:sz w:val="20"/>
              </w:rPr>
            </w:pPr>
            <w:r>
              <w:rPr>
                <w:rFonts w:ascii="Times New Roman" w:hAnsi="Times New Roman" w:cs="Times New Roman"/>
                <w:sz w:val="20"/>
              </w:rPr>
              <w:t>i szczególne (podtrzymanie uwag z pisma z dnia 14 stycznia 2022 r.)</w:t>
            </w:r>
          </w:p>
        </w:tc>
        <w:tc>
          <w:tcPr>
            <w:tcW w:w="5670" w:type="dxa"/>
            <w:vAlign w:val="center"/>
          </w:tcPr>
          <w:p w14:paraId="6A19BD5D" w14:textId="51F307C4" w:rsidR="003A4EDB" w:rsidRPr="001F23BF" w:rsidRDefault="001E5C93" w:rsidP="003A4EDB">
            <w:pPr>
              <w:jc w:val="both"/>
              <w:rPr>
                <w:rFonts w:ascii="Times New Roman" w:hAnsi="Times New Roman" w:cs="Times New Roman"/>
                <w:b/>
                <w:bCs/>
                <w:sz w:val="20"/>
                <w:szCs w:val="20"/>
              </w:rPr>
            </w:pPr>
            <w:r>
              <w:rPr>
                <w:rFonts w:ascii="Times New Roman" w:hAnsi="Times New Roman" w:cs="Times New Roman"/>
                <w:sz w:val="20"/>
                <w:szCs w:val="20"/>
              </w:rPr>
              <w:t>W</w:t>
            </w:r>
            <w:r w:rsidR="003A4EDB" w:rsidRPr="003A4EDB">
              <w:rPr>
                <w:rFonts w:ascii="Times New Roman" w:hAnsi="Times New Roman" w:cs="Times New Roman"/>
                <w:sz w:val="20"/>
                <w:szCs w:val="20"/>
              </w:rPr>
              <w:t xml:space="preserve"> odpowiedzi na pismo z dnia 07 kwietnia 2022 r. (DLPC-I.414.6.2020) dotyczące projektu ustawy o zmianie ustawy – Kodeks cywilny oraz niektórych innych ustaw (wpisany do Wykazu prac legislacyjnych i programowych Rady Ministrów pod numerem UD222), w imieniu Krajowej Rady Komorniczej w Warszawie uprzejmie informuję, że samorząd komorniczy nie zgłasza dodatkowych zastrzeżeń, poza zaprezentowanymi w piśmie z dnia </w:t>
            </w:r>
            <w:r w:rsidR="003A4EDB" w:rsidRPr="001F23BF">
              <w:rPr>
                <w:rFonts w:ascii="Times New Roman" w:hAnsi="Times New Roman" w:cs="Times New Roman"/>
                <w:b/>
                <w:bCs/>
                <w:sz w:val="20"/>
                <w:szCs w:val="20"/>
              </w:rPr>
              <w:t xml:space="preserve">14 stycznia 2022 r. </w:t>
            </w:r>
          </w:p>
          <w:p w14:paraId="3FF2B01B" w14:textId="77777777" w:rsidR="003A4EDB" w:rsidRDefault="003A4EDB" w:rsidP="003A4EDB">
            <w:pPr>
              <w:jc w:val="both"/>
              <w:rPr>
                <w:rFonts w:ascii="Times New Roman" w:hAnsi="Times New Roman" w:cs="Times New Roman"/>
                <w:sz w:val="20"/>
                <w:szCs w:val="20"/>
              </w:rPr>
            </w:pPr>
            <w:r w:rsidRPr="003A4EDB">
              <w:rPr>
                <w:rFonts w:ascii="Times New Roman" w:hAnsi="Times New Roman" w:cs="Times New Roman"/>
                <w:sz w:val="20"/>
                <w:szCs w:val="20"/>
              </w:rPr>
              <w:t xml:space="preserve">Wszelkie wcześniej zgłoszone uwagi pozostają aktualne, zaś aktualny projekt, uwzględniający zgłoszone uwagi do projektowanych rozwiązań prawnych, w istocie podtrzymuje dotychczasowe propozycje. Tym samym istota proponowanych regulacji nie ulega zmianie. </w:t>
            </w:r>
          </w:p>
          <w:p w14:paraId="5F9EEF7A" w14:textId="788275EB" w:rsidR="003A4EDB" w:rsidRPr="003A4EDB" w:rsidRDefault="003A4EDB" w:rsidP="003A4EDB">
            <w:pPr>
              <w:jc w:val="both"/>
              <w:rPr>
                <w:rFonts w:ascii="Times New Roman" w:eastAsia="Times New Roman" w:hAnsi="Times New Roman" w:cs="Times New Roman"/>
                <w:sz w:val="20"/>
                <w:szCs w:val="20"/>
              </w:rPr>
            </w:pPr>
            <w:r w:rsidRPr="003A4EDB">
              <w:rPr>
                <w:rFonts w:ascii="Times New Roman" w:hAnsi="Times New Roman" w:cs="Times New Roman"/>
                <w:sz w:val="20"/>
                <w:szCs w:val="20"/>
              </w:rPr>
              <w:t>Dodatkowe projektowane regulacje prawne, nie przewidziane w poprzedniej wersji projektu, a dotyczące przepisów kodeksu postępowania cywilnego w sprawach spadkowych, nie budzą zastrzeżeń.</w:t>
            </w:r>
          </w:p>
        </w:tc>
        <w:tc>
          <w:tcPr>
            <w:tcW w:w="4076" w:type="dxa"/>
          </w:tcPr>
          <w:p w14:paraId="7DCCF6D7" w14:textId="3FF57B10" w:rsidR="00FF6B0B" w:rsidRPr="009D4717" w:rsidRDefault="00FF6B0B" w:rsidP="00122FAB">
            <w:pPr>
              <w:spacing w:after="120"/>
              <w:jc w:val="both"/>
              <w:rPr>
                <w:rFonts w:ascii="Times New Roman" w:hAnsi="Times New Roman" w:cs="Times New Roman"/>
                <w:b/>
                <w:bCs/>
                <w:sz w:val="20"/>
                <w:szCs w:val="20"/>
              </w:rPr>
            </w:pPr>
            <w:r w:rsidRPr="009D4717">
              <w:rPr>
                <w:rFonts w:ascii="Times New Roman" w:hAnsi="Times New Roman" w:cs="Times New Roman"/>
                <w:b/>
                <w:bCs/>
                <w:sz w:val="20"/>
                <w:szCs w:val="20"/>
              </w:rPr>
              <w:t xml:space="preserve">Uwagi </w:t>
            </w:r>
            <w:r w:rsidR="00E26868">
              <w:rPr>
                <w:rFonts w:ascii="Times New Roman" w:hAnsi="Times New Roman" w:cs="Times New Roman"/>
                <w:b/>
                <w:bCs/>
                <w:sz w:val="20"/>
                <w:szCs w:val="20"/>
              </w:rPr>
              <w:t>powtórzone</w:t>
            </w:r>
            <w:r w:rsidR="00912574" w:rsidRPr="009D4717">
              <w:rPr>
                <w:rFonts w:ascii="Times New Roman" w:hAnsi="Times New Roman" w:cs="Times New Roman"/>
                <w:b/>
                <w:bCs/>
                <w:sz w:val="20"/>
                <w:szCs w:val="20"/>
              </w:rPr>
              <w:t>, częściowo uwzględnione</w:t>
            </w:r>
          </w:p>
          <w:p w14:paraId="48ABD2E0" w14:textId="77777777" w:rsidR="008319B5" w:rsidRPr="009D4717" w:rsidRDefault="008319B5" w:rsidP="00122FAB">
            <w:pPr>
              <w:spacing w:after="120"/>
              <w:jc w:val="both"/>
              <w:rPr>
                <w:rFonts w:ascii="Times New Roman" w:hAnsi="Times New Roman" w:cs="Times New Roman"/>
                <w:sz w:val="20"/>
                <w:szCs w:val="20"/>
              </w:rPr>
            </w:pPr>
            <w:r w:rsidRPr="009D4717">
              <w:rPr>
                <w:rFonts w:ascii="Times New Roman" w:hAnsi="Times New Roman" w:cs="Times New Roman"/>
                <w:sz w:val="20"/>
                <w:szCs w:val="20"/>
              </w:rPr>
              <w:t>Uwagi z pisma z dnia 14 stycznia 2022 r.</w:t>
            </w:r>
          </w:p>
          <w:p w14:paraId="52257485" w14:textId="0FFFEA4A" w:rsidR="00FF6B0B" w:rsidRPr="009D4717" w:rsidRDefault="008319B5" w:rsidP="00122FAB">
            <w:pPr>
              <w:spacing w:after="120"/>
              <w:jc w:val="both"/>
              <w:rPr>
                <w:rFonts w:ascii="Times New Roman" w:hAnsi="Times New Roman" w:cs="Times New Roman"/>
                <w:sz w:val="20"/>
                <w:szCs w:val="20"/>
              </w:rPr>
            </w:pPr>
            <w:r w:rsidRPr="009D4717">
              <w:rPr>
                <w:rFonts w:ascii="Times New Roman" w:hAnsi="Times New Roman" w:cs="Times New Roman"/>
                <w:sz w:val="20"/>
                <w:szCs w:val="20"/>
              </w:rPr>
              <w:t xml:space="preserve">1. </w:t>
            </w:r>
            <w:r w:rsidR="00FF6B0B" w:rsidRPr="009D4717">
              <w:rPr>
                <w:rFonts w:ascii="Times New Roman" w:hAnsi="Times New Roman" w:cs="Times New Roman"/>
                <w:sz w:val="20"/>
                <w:szCs w:val="20"/>
              </w:rPr>
              <w:t>Odnośnie do uwagi dotyczącej projektowanego art. 928 § 1 pkt 4 k.c. – dodanie kolejnej przesłanki niegodności dziedziczenia.</w:t>
            </w:r>
          </w:p>
          <w:p w14:paraId="4EC190A4" w14:textId="37853911" w:rsidR="00154734" w:rsidRPr="009D4717" w:rsidRDefault="00912574" w:rsidP="00122FAB">
            <w:pPr>
              <w:spacing w:after="120"/>
              <w:jc w:val="both"/>
              <w:rPr>
                <w:rFonts w:ascii="Times New Roman" w:hAnsi="Times New Roman" w:cs="Times New Roman"/>
                <w:sz w:val="20"/>
                <w:szCs w:val="20"/>
              </w:rPr>
            </w:pPr>
            <w:r w:rsidRPr="009D4717">
              <w:rPr>
                <w:rFonts w:ascii="Times New Roman" w:hAnsi="Times New Roman" w:cs="Times New Roman"/>
                <w:sz w:val="20"/>
                <w:szCs w:val="20"/>
              </w:rPr>
              <w:t xml:space="preserve">Obecnie przepis przyjął inne brzmienie. </w:t>
            </w:r>
            <w:r w:rsidR="00E65C48">
              <w:rPr>
                <w:rFonts w:ascii="Times New Roman" w:hAnsi="Times New Roman" w:cs="Times New Roman"/>
                <w:sz w:val="20"/>
                <w:szCs w:val="20"/>
              </w:rPr>
              <w:t>Aktualnie</w:t>
            </w:r>
            <w:r w:rsidRPr="009D4717">
              <w:rPr>
                <w:rFonts w:ascii="Times New Roman" w:hAnsi="Times New Roman" w:cs="Times New Roman"/>
                <w:sz w:val="20"/>
                <w:szCs w:val="20"/>
              </w:rPr>
              <w:t xml:space="preserve"> przewiduje się, że obowiązek alimentacyjny, od </w:t>
            </w:r>
            <w:r w:rsidR="00E5329B" w:rsidRPr="009D4717">
              <w:rPr>
                <w:rFonts w:ascii="Times New Roman" w:hAnsi="Times New Roman" w:cs="Times New Roman"/>
                <w:sz w:val="20"/>
                <w:szCs w:val="20"/>
              </w:rPr>
              <w:t>spełnienia,</w:t>
            </w:r>
            <w:r w:rsidRPr="009D4717">
              <w:rPr>
                <w:rFonts w:ascii="Times New Roman" w:hAnsi="Times New Roman" w:cs="Times New Roman"/>
                <w:sz w:val="20"/>
                <w:szCs w:val="20"/>
              </w:rPr>
              <w:t xml:space="preserve"> którego miałby uporczywie uchylać się spadkobierca</w:t>
            </w:r>
            <w:r w:rsidR="00154734" w:rsidRPr="009D4717">
              <w:rPr>
                <w:rFonts w:ascii="Times New Roman" w:hAnsi="Times New Roman" w:cs="Times New Roman"/>
                <w:sz w:val="20"/>
                <w:szCs w:val="20"/>
              </w:rPr>
              <w:t>,</w:t>
            </w:r>
            <w:r w:rsidRPr="009D4717">
              <w:rPr>
                <w:rFonts w:ascii="Times New Roman" w:hAnsi="Times New Roman" w:cs="Times New Roman"/>
                <w:sz w:val="20"/>
                <w:szCs w:val="20"/>
              </w:rPr>
              <w:t xml:space="preserve"> powinien być </w:t>
            </w:r>
            <w:r w:rsidR="00154734" w:rsidRPr="009D4717">
              <w:rPr>
                <w:rFonts w:ascii="Times New Roman" w:hAnsi="Times New Roman" w:cs="Times New Roman"/>
                <w:sz w:val="20"/>
                <w:szCs w:val="20"/>
              </w:rPr>
              <w:t xml:space="preserve">określony co do wysokości orzeczeniem sądowym, ugodą zawartą przed sądem albo innym organem albo inną umową. Projektodawca uznał, że przedmiotowe zawężenie sprawia, że przesłanka niegodności staje się bardziej przejrzysta i zmniejszy ryzyko długiego czasu trwania </w:t>
            </w:r>
            <w:r w:rsidR="00E65C48">
              <w:rPr>
                <w:rFonts w:ascii="Times New Roman" w:hAnsi="Times New Roman" w:cs="Times New Roman"/>
                <w:sz w:val="20"/>
                <w:szCs w:val="20"/>
              </w:rPr>
              <w:t xml:space="preserve">ewentualnych </w:t>
            </w:r>
            <w:r w:rsidR="00154734" w:rsidRPr="009D4717">
              <w:rPr>
                <w:rFonts w:ascii="Times New Roman" w:hAnsi="Times New Roman" w:cs="Times New Roman"/>
                <w:sz w:val="20"/>
                <w:szCs w:val="20"/>
              </w:rPr>
              <w:t xml:space="preserve">postępowań w przedmiocie uznania za niegodnego dziedziczenia z tej przyczyny. </w:t>
            </w:r>
          </w:p>
          <w:p w14:paraId="3C12526A" w14:textId="7DD65223" w:rsidR="00154734" w:rsidRPr="009D4717" w:rsidRDefault="00154734" w:rsidP="00122FAB">
            <w:pPr>
              <w:spacing w:after="120"/>
              <w:jc w:val="both"/>
              <w:rPr>
                <w:rFonts w:ascii="Times New Roman" w:hAnsi="Times New Roman" w:cs="Times New Roman"/>
                <w:sz w:val="20"/>
                <w:szCs w:val="20"/>
              </w:rPr>
            </w:pPr>
            <w:r w:rsidRPr="009D4717">
              <w:rPr>
                <w:rFonts w:ascii="Times New Roman" w:hAnsi="Times New Roman" w:cs="Times New Roman"/>
                <w:sz w:val="20"/>
                <w:szCs w:val="20"/>
              </w:rPr>
              <w:t xml:space="preserve">Dodatkowo zastąpiono pojęcie „opieki” pojęciem „piecza”. W ocenie projektodawcy </w:t>
            </w:r>
            <w:r w:rsidR="00E65C48">
              <w:rPr>
                <w:rFonts w:ascii="Times New Roman" w:hAnsi="Times New Roman" w:cs="Times New Roman"/>
                <w:sz w:val="20"/>
                <w:szCs w:val="20"/>
              </w:rPr>
              <w:t xml:space="preserve">nowe </w:t>
            </w:r>
            <w:r w:rsidRPr="009D4717">
              <w:rPr>
                <w:rFonts w:ascii="Times New Roman" w:hAnsi="Times New Roman" w:cs="Times New Roman"/>
                <w:sz w:val="20"/>
                <w:szCs w:val="20"/>
              </w:rPr>
              <w:t xml:space="preserve">pojęcie </w:t>
            </w:r>
            <w:r w:rsidR="00907069" w:rsidRPr="009D4717">
              <w:rPr>
                <w:rFonts w:ascii="Times New Roman" w:hAnsi="Times New Roman" w:cs="Times New Roman"/>
                <w:sz w:val="20"/>
                <w:szCs w:val="20"/>
              </w:rPr>
              <w:t xml:space="preserve">nie będzie wprowadzało zamętu interpretacyjnego. W kontekście celu projektu, by przesłanką niegodności dziedziczenia objąć sytuacje, gdy spadkobierca w sposób jaskrawy </w:t>
            </w:r>
            <w:r w:rsidR="00907069" w:rsidRPr="009D4717">
              <w:rPr>
                <w:rFonts w:ascii="Times New Roman" w:hAnsi="Times New Roman" w:cs="Times New Roman"/>
                <w:sz w:val="20"/>
                <w:szCs w:val="20"/>
              </w:rPr>
              <w:lastRenderedPageBreak/>
              <w:t xml:space="preserve">nie interesuje się osobą spadkodawcy, nie dba o zaspokojenie </w:t>
            </w:r>
            <w:r w:rsidR="00E65C48">
              <w:rPr>
                <w:rFonts w:ascii="Times New Roman" w:hAnsi="Times New Roman" w:cs="Times New Roman"/>
                <w:sz w:val="20"/>
                <w:szCs w:val="20"/>
              </w:rPr>
              <w:t xml:space="preserve">jego </w:t>
            </w:r>
            <w:r w:rsidR="00907069" w:rsidRPr="009D4717">
              <w:rPr>
                <w:rFonts w:ascii="Times New Roman" w:hAnsi="Times New Roman" w:cs="Times New Roman"/>
                <w:sz w:val="20"/>
                <w:szCs w:val="20"/>
              </w:rPr>
              <w:t>podstawowych potrzeb życiowych</w:t>
            </w:r>
            <w:r w:rsidR="00E65C48">
              <w:rPr>
                <w:rFonts w:ascii="Times New Roman" w:hAnsi="Times New Roman" w:cs="Times New Roman"/>
                <w:sz w:val="20"/>
                <w:szCs w:val="20"/>
              </w:rPr>
              <w:t xml:space="preserve">, </w:t>
            </w:r>
            <w:r w:rsidR="00907069" w:rsidRPr="009D4717">
              <w:rPr>
                <w:rFonts w:ascii="Times New Roman" w:hAnsi="Times New Roman" w:cs="Times New Roman"/>
                <w:sz w:val="20"/>
                <w:szCs w:val="20"/>
              </w:rPr>
              <w:t>których sam spadkodawca zaspokoić nie może, wydaje się, że „piecza” będzie pojęciem właściwszym</w:t>
            </w:r>
            <w:r w:rsidR="009D4717" w:rsidRPr="009D4717">
              <w:rPr>
                <w:rFonts w:ascii="Times New Roman" w:hAnsi="Times New Roman" w:cs="Times New Roman"/>
                <w:sz w:val="20"/>
                <w:szCs w:val="20"/>
              </w:rPr>
              <w:t>;</w:t>
            </w:r>
          </w:p>
          <w:p w14:paraId="264D929A" w14:textId="362CE429" w:rsidR="008319B5" w:rsidRPr="009D4717" w:rsidRDefault="008319B5" w:rsidP="008319B5">
            <w:pPr>
              <w:spacing w:after="120"/>
              <w:jc w:val="both"/>
              <w:rPr>
                <w:rFonts w:ascii="Times New Roman" w:hAnsi="Times New Roman" w:cs="Times New Roman"/>
                <w:sz w:val="20"/>
                <w:szCs w:val="20"/>
              </w:rPr>
            </w:pPr>
            <w:r w:rsidRPr="009D4717">
              <w:rPr>
                <w:rFonts w:ascii="Times New Roman" w:hAnsi="Times New Roman" w:cs="Times New Roman"/>
                <w:sz w:val="20"/>
                <w:szCs w:val="20"/>
              </w:rPr>
              <w:t xml:space="preserve">2. Odnośnie do uwagi dotyczącej art. 934 k.c. (ograniczenie kręgu spadkobierców ustawowych): szczegółowe stanowisko projektodawcy zostało zamieszczone </w:t>
            </w:r>
            <w:r w:rsidR="001776AA" w:rsidRPr="009D4717">
              <w:rPr>
                <w:rFonts w:ascii="Times New Roman" w:hAnsi="Times New Roman" w:cs="Times New Roman"/>
                <w:sz w:val="20"/>
                <w:szCs w:val="20"/>
              </w:rPr>
              <w:t xml:space="preserve">w punkcie 13 </w:t>
            </w:r>
            <w:r w:rsidRPr="009D4717">
              <w:rPr>
                <w:rFonts w:ascii="Times New Roman" w:hAnsi="Times New Roman" w:cs="Times New Roman"/>
                <w:sz w:val="20"/>
                <w:szCs w:val="20"/>
              </w:rPr>
              <w:t>na stron</w:t>
            </w:r>
            <w:r w:rsidR="001776AA" w:rsidRPr="009D4717">
              <w:rPr>
                <w:rFonts w:ascii="Times New Roman" w:hAnsi="Times New Roman" w:cs="Times New Roman"/>
                <w:sz w:val="20"/>
                <w:szCs w:val="20"/>
              </w:rPr>
              <w:t>ach</w:t>
            </w:r>
            <w:r w:rsidRPr="009D4717">
              <w:rPr>
                <w:rFonts w:ascii="Times New Roman" w:hAnsi="Times New Roman" w:cs="Times New Roman"/>
                <w:sz w:val="20"/>
                <w:szCs w:val="20"/>
              </w:rPr>
              <w:t xml:space="preserve"> </w:t>
            </w:r>
            <w:r w:rsidR="001776AA" w:rsidRPr="009D4717">
              <w:rPr>
                <w:rFonts w:ascii="Times New Roman" w:hAnsi="Times New Roman" w:cs="Times New Roman"/>
                <w:sz w:val="20"/>
                <w:szCs w:val="20"/>
              </w:rPr>
              <w:t>21</w:t>
            </w:r>
            <w:r w:rsidR="007768A6">
              <w:rPr>
                <w:rFonts w:ascii="Times New Roman" w:hAnsi="Times New Roman" w:cs="Times New Roman"/>
                <w:sz w:val="20"/>
                <w:szCs w:val="20"/>
              </w:rPr>
              <w:t>-</w:t>
            </w:r>
            <w:r w:rsidR="001776AA" w:rsidRPr="009D4717">
              <w:rPr>
                <w:rFonts w:ascii="Times New Roman" w:hAnsi="Times New Roman" w:cs="Times New Roman"/>
                <w:sz w:val="20"/>
                <w:szCs w:val="20"/>
              </w:rPr>
              <w:t xml:space="preserve">23 </w:t>
            </w:r>
            <w:r w:rsidRPr="009B723C">
              <w:rPr>
                <w:rFonts w:ascii="Times New Roman" w:hAnsi="Times New Roman" w:cs="Times New Roman"/>
                <w:i/>
                <w:iCs/>
                <w:sz w:val="20"/>
                <w:szCs w:val="20"/>
              </w:rPr>
              <w:t>tabeli</w:t>
            </w:r>
            <w:r w:rsidR="00D70B39" w:rsidRPr="009B723C">
              <w:rPr>
                <w:i/>
                <w:iCs/>
              </w:rPr>
              <w:t xml:space="preserve"> </w:t>
            </w:r>
            <w:r w:rsidRPr="009B723C">
              <w:rPr>
                <w:rFonts w:ascii="Times New Roman" w:hAnsi="Times New Roman" w:cs="Times New Roman"/>
                <w:i/>
                <w:iCs/>
                <w:sz w:val="20"/>
                <w:szCs w:val="20"/>
              </w:rPr>
              <w:t xml:space="preserve">przedstawiającej odniesienie do uwag </w:t>
            </w:r>
            <w:r w:rsidRPr="009D4717">
              <w:rPr>
                <w:rFonts w:ascii="Times New Roman" w:hAnsi="Times New Roman" w:cs="Times New Roman"/>
                <w:sz w:val="20"/>
                <w:szCs w:val="20"/>
              </w:rPr>
              <w:t>zgłoszonych w ramach konsultacji publicznych do projektu z dnia 15 grudnia 2021 r.</w:t>
            </w:r>
            <w:r w:rsidR="009D4717" w:rsidRPr="009D4717">
              <w:rPr>
                <w:rFonts w:ascii="Times New Roman" w:hAnsi="Times New Roman" w:cs="Times New Roman"/>
                <w:sz w:val="20"/>
                <w:szCs w:val="20"/>
              </w:rPr>
              <w:t>;</w:t>
            </w:r>
          </w:p>
          <w:p w14:paraId="65F01555" w14:textId="74BC186D" w:rsidR="009D4717" w:rsidRDefault="001776AA" w:rsidP="009D4717">
            <w:pPr>
              <w:spacing w:after="120"/>
              <w:jc w:val="both"/>
              <w:rPr>
                <w:rFonts w:ascii="Times New Roman" w:hAnsi="Times New Roman" w:cs="Times New Roman"/>
                <w:sz w:val="20"/>
                <w:szCs w:val="20"/>
              </w:rPr>
            </w:pPr>
            <w:r w:rsidRPr="009D4717">
              <w:rPr>
                <w:rFonts w:ascii="Times New Roman" w:hAnsi="Times New Roman" w:cs="Times New Roman"/>
                <w:sz w:val="20"/>
                <w:szCs w:val="20"/>
              </w:rPr>
              <w:t>3. Odnośnie do uwagi dotyczącej art. 1015 i 1019 k.c. (termin do złożenia wniosku o odebranie oświadczenia o odrzuceniu/przyjęciu spadku</w:t>
            </w:r>
            <w:r w:rsidR="009D4717" w:rsidRPr="009D4717">
              <w:rPr>
                <w:rFonts w:ascii="Times New Roman" w:hAnsi="Times New Roman" w:cs="Times New Roman"/>
                <w:sz w:val="20"/>
                <w:szCs w:val="20"/>
              </w:rPr>
              <w:t>; zawieszenie terminu) - szczegółowe stanowisko projektodawcy zostało zamieszczone w punkcie 1</w:t>
            </w:r>
            <w:r w:rsidR="009D4717">
              <w:rPr>
                <w:rFonts w:ascii="Times New Roman" w:hAnsi="Times New Roman" w:cs="Times New Roman"/>
                <w:sz w:val="20"/>
                <w:szCs w:val="20"/>
              </w:rPr>
              <w:t>9</w:t>
            </w:r>
            <w:r w:rsidR="009D4717" w:rsidRPr="009D4717">
              <w:rPr>
                <w:rFonts w:ascii="Times New Roman" w:hAnsi="Times New Roman" w:cs="Times New Roman"/>
                <w:sz w:val="20"/>
                <w:szCs w:val="20"/>
              </w:rPr>
              <w:t xml:space="preserve"> na stronach 2</w:t>
            </w:r>
            <w:r w:rsidR="009D4717">
              <w:rPr>
                <w:rFonts w:ascii="Times New Roman" w:hAnsi="Times New Roman" w:cs="Times New Roman"/>
                <w:sz w:val="20"/>
                <w:szCs w:val="20"/>
              </w:rPr>
              <w:t>9</w:t>
            </w:r>
            <w:r w:rsidR="009D4717" w:rsidRPr="009D4717">
              <w:rPr>
                <w:rFonts w:ascii="Times New Roman" w:hAnsi="Times New Roman" w:cs="Times New Roman"/>
                <w:sz w:val="20"/>
                <w:szCs w:val="20"/>
              </w:rPr>
              <w:t>-</w:t>
            </w:r>
            <w:r w:rsidR="009D4717">
              <w:rPr>
                <w:rFonts w:ascii="Times New Roman" w:hAnsi="Times New Roman" w:cs="Times New Roman"/>
                <w:sz w:val="20"/>
                <w:szCs w:val="20"/>
              </w:rPr>
              <w:t xml:space="preserve">31 </w:t>
            </w:r>
            <w:r w:rsidR="009D4717" w:rsidRPr="009D4717">
              <w:rPr>
                <w:rFonts w:ascii="Times New Roman" w:hAnsi="Times New Roman" w:cs="Times New Roman"/>
                <w:sz w:val="20"/>
                <w:szCs w:val="20"/>
              </w:rPr>
              <w:t xml:space="preserve">ww. </w:t>
            </w:r>
            <w:r w:rsidR="009D4717" w:rsidRPr="009B723C">
              <w:rPr>
                <w:rFonts w:ascii="Times New Roman" w:hAnsi="Times New Roman" w:cs="Times New Roman"/>
                <w:i/>
                <w:iCs/>
                <w:sz w:val="20"/>
                <w:szCs w:val="20"/>
              </w:rPr>
              <w:t>tabeli</w:t>
            </w:r>
            <w:r w:rsidR="009D4717">
              <w:rPr>
                <w:rFonts w:ascii="Times New Roman" w:hAnsi="Times New Roman" w:cs="Times New Roman"/>
                <w:sz w:val="20"/>
                <w:szCs w:val="20"/>
              </w:rPr>
              <w:t>;</w:t>
            </w:r>
          </w:p>
          <w:p w14:paraId="6F0209D4" w14:textId="39DE3491" w:rsidR="009D4717" w:rsidRDefault="009D4717" w:rsidP="009D4717">
            <w:pPr>
              <w:spacing w:after="120"/>
              <w:jc w:val="both"/>
              <w:rPr>
                <w:rFonts w:ascii="Times New Roman" w:hAnsi="Times New Roman" w:cs="Times New Roman"/>
                <w:sz w:val="20"/>
                <w:szCs w:val="20"/>
              </w:rPr>
            </w:pPr>
            <w:r>
              <w:rPr>
                <w:rFonts w:ascii="Times New Roman" w:hAnsi="Times New Roman" w:cs="Times New Roman"/>
                <w:sz w:val="20"/>
                <w:szCs w:val="20"/>
              </w:rPr>
              <w:t xml:space="preserve">4. </w:t>
            </w:r>
            <w:r w:rsidRPr="00ED10E7">
              <w:rPr>
                <w:rFonts w:ascii="Times New Roman" w:hAnsi="Times New Roman" w:cs="Times New Roman"/>
                <w:b/>
                <w:bCs/>
                <w:sz w:val="20"/>
                <w:szCs w:val="20"/>
              </w:rPr>
              <w:t xml:space="preserve">Uwaga dotycząca </w:t>
            </w:r>
            <w:r w:rsidR="00ED10E7" w:rsidRPr="00ED10E7">
              <w:rPr>
                <w:rFonts w:ascii="Times New Roman" w:hAnsi="Times New Roman" w:cs="Times New Roman"/>
                <w:b/>
                <w:bCs/>
                <w:sz w:val="20"/>
                <w:szCs w:val="20"/>
              </w:rPr>
              <w:t xml:space="preserve">projektowanego </w:t>
            </w:r>
            <w:r w:rsidRPr="00ED10E7">
              <w:rPr>
                <w:rFonts w:ascii="Times New Roman" w:hAnsi="Times New Roman" w:cs="Times New Roman"/>
                <w:b/>
                <w:bCs/>
                <w:sz w:val="20"/>
                <w:szCs w:val="20"/>
              </w:rPr>
              <w:t>art. 1030 k.c.</w:t>
            </w:r>
            <w:r>
              <w:rPr>
                <w:rFonts w:ascii="Times New Roman" w:hAnsi="Times New Roman" w:cs="Times New Roman"/>
                <w:sz w:val="20"/>
                <w:szCs w:val="20"/>
              </w:rPr>
              <w:t xml:space="preserve"> (ograniczona odpowiedzialność gminy i Skarbu Państwa za długi spadkowe) – </w:t>
            </w:r>
            <w:r w:rsidRPr="00ED10E7">
              <w:rPr>
                <w:rFonts w:ascii="Times New Roman" w:hAnsi="Times New Roman" w:cs="Times New Roman"/>
                <w:b/>
                <w:bCs/>
                <w:sz w:val="20"/>
                <w:szCs w:val="20"/>
              </w:rPr>
              <w:t>uwzględniona</w:t>
            </w:r>
            <w:r w:rsidRPr="00ED10E7">
              <w:rPr>
                <w:rFonts w:ascii="Times New Roman" w:hAnsi="Times New Roman" w:cs="Times New Roman"/>
                <w:sz w:val="20"/>
                <w:szCs w:val="20"/>
              </w:rPr>
              <w:t xml:space="preserve"> </w:t>
            </w:r>
            <w:r>
              <w:rPr>
                <w:rFonts w:ascii="Times New Roman" w:hAnsi="Times New Roman" w:cs="Times New Roman"/>
                <w:sz w:val="20"/>
                <w:szCs w:val="20"/>
              </w:rPr>
              <w:t>– przepis usunięto z projektu</w:t>
            </w:r>
            <w:r w:rsidR="00026C56">
              <w:rPr>
                <w:rFonts w:ascii="Times New Roman" w:hAnsi="Times New Roman" w:cs="Times New Roman"/>
                <w:sz w:val="20"/>
                <w:szCs w:val="20"/>
              </w:rPr>
              <w:t>;</w:t>
            </w:r>
          </w:p>
          <w:p w14:paraId="12B720A3" w14:textId="77777777" w:rsidR="002329F3" w:rsidRDefault="00026C56" w:rsidP="007768A6">
            <w:pPr>
              <w:spacing w:after="120"/>
              <w:jc w:val="both"/>
              <w:rPr>
                <w:rFonts w:ascii="Times New Roman" w:hAnsi="Times New Roman" w:cs="Times New Roman"/>
                <w:b/>
                <w:bCs/>
                <w:sz w:val="20"/>
                <w:szCs w:val="20"/>
              </w:rPr>
            </w:pPr>
            <w:r>
              <w:rPr>
                <w:rFonts w:ascii="Times New Roman" w:hAnsi="Times New Roman" w:cs="Times New Roman"/>
                <w:sz w:val="20"/>
                <w:szCs w:val="20"/>
              </w:rPr>
              <w:t xml:space="preserve">5. Uwaga dotycząca przepisów przejściowych poprzez wyraźne wskazanie, że w zakresie prawa materialnego stosuje się przepisy obowiązujące w chwili otwarcia spadku – </w:t>
            </w:r>
            <w:r w:rsidR="0042584A" w:rsidRPr="0042584A">
              <w:rPr>
                <w:rFonts w:ascii="Times New Roman" w:hAnsi="Times New Roman" w:cs="Times New Roman"/>
                <w:b/>
                <w:bCs/>
                <w:sz w:val="20"/>
                <w:szCs w:val="20"/>
              </w:rPr>
              <w:t>nie</w:t>
            </w:r>
            <w:r w:rsidRPr="00026C56">
              <w:rPr>
                <w:rFonts w:ascii="Times New Roman" w:hAnsi="Times New Roman" w:cs="Times New Roman"/>
                <w:b/>
                <w:bCs/>
                <w:sz w:val="20"/>
                <w:szCs w:val="20"/>
              </w:rPr>
              <w:t>uwzględniona</w:t>
            </w:r>
            <w:r w:rsidR="00C15B32">
              <w:rPr>
                <w:rFonts w:ascii="Times New Roman" w:hAnsi="Times New Roman" w:cs="Times New Roman"/>
                <w:b/>
                <w:bCs/>
                <w:sz w:val="20"/>
                <w:szCs w:val="20"/>
              </w:rPr>
              <w:t>.</w:t>
            </w:r>
            <w:r w:rsidR="0042584A">
              <w:rPr>
                <w:rFonts w:ascii="Times New Roman" w:hAnsi="Times New Roman" w:cs="Times New Roman"/>
                <w:b/>
                <w:bCs/>
                <w:sz w:val="20"/>
                <w:szCs w:val="20"/>
              </w:rPr>
              <w:t xml:space="preserve">  </w:t>
            </w:r>
          </w:p>
          <w:p w14:paraId="5E438B11" w14:textId="6666B4D8" w:rsidR="005040FC" w:rsidRPr="005040FC" w:rsidRDefault="005040FC" w:rsidP="005040FC">
            <w:pPr>
              <w:pStyle w:val="Tekstkomentarza"/>
              <w:spacing w:line="240" w:lineRule="auto"/>
              <w:jc w:val="both"/>
              <w:rPr>
                <w:rFonts w:ascii="Times New Roman" w:hAnsi="Times New Roman"/>
                <w:sz w:val="20"/>
                <w:szCs w:val="20"/>
              </w:rPr>
            </w:pPr>
            <w:r>
              <w:rPr>
                <w:rFonts w:ascii="Times New Roman" w:hAnsi="Times New Roman"/>
                <w:sz w:val="20"/>
                <w:szCs w:val="20"/>
              </w:rPr>
              <w:t>Z</w:t>
            </w:r>
            <w:r w:rsidRPr="005040FC">
              <w:rPr>
                <w:rFonts w:ascii="Times New Roman" w:hAnsi="Times New Roman"/>
                <w:sz w:val="20"/>
                <w:szCs w:val="20"/>
              </w:rPr>
              <w:t xml:space="preserve">będne jest </w:t>
            </w:r>
            <w:r w:rsidR="00703EFC">
              <w:rPr>
                <w:rFonts w:ascii="Times New Roman" w:hAnsi="Times New Roman"/>
                <w:sz w:val="20"/>
                <w:szCs w:val="20"/>
              </w:rPr>
              <w:t xml:space="preserve">powtarzanie przepisów intertemporalnych w zakresie </w:t>
            </w:r>
            <w:r w:rsidR="004C4A0D">
              <w:rPr>
                <w:rFonts w:ascii="Times New Roman" w:hAnsi="Times New Roman"/>
                <w:sz w:val="20"/>
                <w:szCs w:val="20"/>
              </w:rPr>
              <w:t xml:space="preserve">przepisów dotyczących </w:t>
            </w:r>
            <w:r w:rsidRPr="005040FC">
              <w:rPr>
                <w:rFonts w:ascii="Times New Roman" w:hAnsi="Times New Roman"/>
                <w:sz w:val="20"/>
                <w:szCs w:val="20"/>
              </w:rPr>
              <w:t xml:space="preserve">spadków otwartych przed dniem wejścia w życie ustawy - kwestia stosowania przepisów spadkowych została bowiem uregulowana w przepisach wprowadzających Kodeks cywilny (art. LI ustawy z dnia 23 </w:t>
            </w:r>
            <w:r w:rsidRPr="005040FC">
              <w:rPr>
                <w:rFonts w:ascii="Times New Roman" w:hAnsi="Times New Roman"/>
                <w:sz w:val="20"/>
                <w:szCs w:val="20"/>
              </w:rPr>
              <w:lastRenderedPageBreak/>
              <w:t>kwietnia 1964 r. - Przepisy wprowadzające kodeks cywilny</w:t>
            </w:r>
            <w:r w:rsidR="004C4A0D">
              <w:rPr>
                <w:rFonts w:ascii="Times New Roman" w:hAnsi="Times New Roman"/>
                <w:sz w:val="20"/>
                <w:szCs w:val="20"/>
              </w:rPr>
              <w:t>,</w:t>
            </w:r>
            <w:r w:rsidRPr="005040FC">
              <w:rPr>
                <w:rFonts w:ascii="Times New Roman" w:hAnsi="Times New Roman"/>
                <w:sz w:val="20"/>
                <w:szCs w:val="20"/>
              </w:rPr>
              <w:t xml:space="preserve"> stanowiący, że do spraw spadkowych stosuje się prawo obowiązujące w chwili śmierci spadkodawcy, o ile przepisy tej ustawy nie stanowią inaczej). </w:t>
            </w:r>
          </w:p>
          <w:p w14:paraId="6F55F72E" w14:textId="5D5487E6" w:rsidR="00156333" w:rsidRPr="007768A6" w:rsidRDefault="005040FC" w:rsidP="004C4A0D">
            <w:pPr>
              <w:pStyle w:val="Tekstkomentarza"/>
              <w:spacing w:line="240" w:lineRule="auto"/>
              <w:jc w:val="both"/>
              <w:rPr>
                <w:rFonts w:ascii="Times New Roman" w:hAnsi="Times New Roman"/>
                <w:b/>
                <w:bCs/>
                <w:sz w:val="20"/>
                <w:szCs w:val="20"/>
              </w:rPr>
            </w:pPr>
            <w:r w:rsidRPr="005040FC">
              <w:rPr>
                <w:rFonts w:ascii="Times New Roman" w:hAnsi="Times New Roman"/>
                <w:sz w:val="20"/>
                <w:szCs w:val="20"/>
              </w:rPr>
              <w:t xml:space="preserve">Mając powyższe na względzie oraz to, że intencją projektodawcy jest, aby przepisy w brzmieniu nadanym niniejsza ustawą </w:t>
            </w:r>
            <w:r w:rsidR="004C4A0D">
              <w:rPr>
                <w:rFonts w:ascii="Times New Roman" w:hAnsi="Times New Roman"/>
                <w:sz w:val="20"/>
                <w:szCs w:val="20"/>
              </w:rPr>
              <w:t xml:space="preserve">(niezależnie od chwili otwarcia spadku) </w:t>
            </w:r>
            <w:r w:rsidRPr="005040FC">
              <w:rPr>
                <w:rFonts w:ascii="Times New Roman" w:hAnsi="Times New Roman"/>
                <w:sz w:val="20"/>
                <w:szCs w:val="20"/>
              </w:rPr>
              <w:t>znalazły zastosowanie w odniesieniu do terminów złożenia oświadczenia o przyjęciu lub odrzuceniu spadku albo uchylenia się od skutków prawnych tego oświadczenia (złożonego pod wpływem błędu lub groźby),</w:t>
            </w:r>
            <w:r w:rsidR="004C4A0D">
              <w:rPr>
                <w:rFonts w:ascii="Times New Roman" w:hAnsi="Times New Roman"/>
                <w:sz w:val="20"/>
                <w:szCs w:val="20"/>
              </w:rPr>
              <w:t xml:space="preserve"> projektowany przepis art. 8 ust. 1 odnosi się </w:t>
            </w:r>
            <w:r w:rsidRPr="005040FC">
              <w:rPr>
                <w:rFonts w:ascii="Times New Roman" w:hAnsi="Times New Roman"/>
                <w:sz w:val="20"/>
                <w:szCs w:val="20"/>
              </w:rPr>
              <w:t xml:space="preserve">wyłącznie do </w:t>
            </w:r>
            <w:r w:rsidR="004C4A0D">
              <w:rPr>
                <w:rFonts w:ascii="Times New Roman" w:hAnsi="Times New Roman"/>
                <w:sz w:val="20"/>
                <w:szCs w:val="20"/>
              </w:rPr>
              <w:t xml:space="preserve">tej </w:t>
            </w:r>
            <w:r w:rsidRPr="005040FC">
              <w:rPr>
                <w:rFonts w:ascii="Times New Roman" w:hAnsi="Times New Roman"/>
                <w:sz w:val="20"/>
                <w:szCs w:val="20"/>
              </w:rPr>
              <w:t>kwestii</w:t>
            </w:r>
            <w:r w:rsidR="004C4A0D">
              <w:rPr>
                <w:rFonts w:ascii="Times New Roman" w:hAnsi="Times New Roman"/>
                <w:sz w:val="20"/>
                <w:szCs w:val="20"/>
              </w:rPr>
              <w:t xml:space="preserve"> – jest to bowiem </w:t>
            </w:r>
            <w:r w:rsidRPr="005040FC">
              <w:rPr>
                <w:rFonts w:ascii="Times New Roman" w:hAnsi="Times New Roman"/>
                <w:sz w:val="20"/>
                <w:szCs w:val="20"/>
              </w:rPr>
              <w:t>odstępstwo od zasady określonej w art. LI przepisów wprowadzających KC</w:t>
            </w:r>
            <w:r w:rsidR="004C4A0D">
              <w:rPr>
                <w:rFonts w:ascii="Times New Roman" w:hAnsi="Times New Roman"/>
                <w:sz w:val="20"/>
                <w:szCs w:val="20"/>
              </w:rPr>
              <w:t xml:space="preserve">. </w:t>
            </w:r>
          </w:p>
        </w:tc>
      </w:tr>
      <w:tr w:rsidR="00865AF4" w:rsidRPr="00FF4480" w14:paraId="4E9A7412" w14:textId="77777777" w:rsidTr="00B919AF">
        <w:trPr>
          <w:jc w:val="center"/>
        </w:trPr>
        <w:tc>
          <w:tcPr>
            <w:tcW w:w="13994" w:type="dxa"/>
            <w:gridSpan w:val="5"/>
            <w:shd w:val="clear" w:color="auto" w:fill="A6A6A6" w:themeFill="background1" w:themeFillShade="A6"/>
          </w:tcPr>
          <w:p w14:paraId="14DF1E4F" w14:textId="77777777" w:rsidR="00865AF4" w:rsidRPr="005C23F7" w:rsidRDefault="00865AF4" w:rsidP="00865AF4">
            <w:pPr>
              <w:spacing w:before="120" w:after="120"/>
              <w:jc w:val="center"/>
              <w:rPr>
                <w:rFonts w:ascii="Times New Roman" w:hAnsi="Times New Roman" w:cs="Times New Roman"/>
                <w:i/>
                <w:sz w:val="24"/>
                <w:szCs w:val="24"/>
              </w:rPr>
            </w:pPr>
            <w:r w:rsidRPr="005C23F7">
              <w:rPr>
                <w:rFonts w:ascii="Times New Roman" w:hAnsi="Times New Roman" w:cs="Times New Roman"/>
                <w:b/>
                <w:bCs/>
                <w:color w:val="000000" w:themeColor="text1"/>
                <w:sz w:val="24"/>
                <w:szCs w:val="24"/>
              </w:rPr>
              <w:lastRenderedPageBreak/>
              <w:t>Uwagi do projektu ustawy</w:t>
            </w:r>
          </w:p>
        </w:tc>
      </w:tr>
      <w:tr w:rsidR="00252F32" w14:paraId="3A85CEF3" w14:textId="77777777" w:rsidTr="00B241C8">
        <w:trPr>
          <w:jc w:val="center"/>
        </w:trPr>
        <w:tc>
          <w:tcPr>
            <w:tcW w:w="562" w:type="dxa"/>
          </w:tcPr>
          <w:p w14:paraId="640AA766" w14:textId="6CF4493D" w:rsidR="00D53619" w:rsidRPr="00B919AF" w:rsidRDefault="00252F32" w:rsidP="00252F32">
            <w:pPr>
              <w:spacing w:before="120"/>
              <w:ind w:right="-534"/>
              <w:rPr>
                <w:rFonts w:ascii="Times New Roman" w:hAnsi="Times New Roman" w:cs="Times New Roman"/>
                <w:b/>
                <w:sz w:val="20"/>
              </w:rPr>
            </w:pPr>
            <w:r>
              <w:rPr>
                <w:rFonts w:ascii="Times New Roman" w:hAnsi="Times New Roman" w:cs="Times New Roman"/>
                <w:b/>
                <w:sz w:val="20"/>
              </w:rPr>
              <w:t>1.</w:t>
            </w:r>
          </w:p>
        </w:tc>
        <w:tc>
          <w:tcPr>
            <w:tcW w:w="1843" w:type="dxa"/>
            <w:vAlign w:val="center"/>
          </w:tcPr>
          <w:p w14:paraId="07C4D205" w14:textId="4C55BB87" w:rsidR="00D53619" w:rsidRDefault="00BD2DC7" w:rsidP="00252F32">
            <w:pPr>
              <w:spacing w:before="120" w:after="120"/>
              <w:jc w:val="center"/>
              <w:rPr>
                <w:rFonts w:ascii="Times New Roman" w:hAnsi="Times New Roman" w:cs="Times New Roman"/>
                <w:sz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24B9B4C1" w14:textId="5E67EDD1" w:rsidR="00D53619" w:rsidRDefault="00BD2DC7" w:rsidP="00252F32">
            <w:pPr>
              <w:spacing w:before="120" w:after="120"/>
              <w:jc w:val="center"/>
              <w:rPr>
                <w:rFonts w:ascii="Times New Roman" w:hAnsi="Times New Roman" w:cs="Times New Roman"/>
                <w:sz w:val="20"/>
              </w:rPr>
            </w:pPr>
            <w:r w:rsidRPr="005B3FB5">
              <w:rPr>
                <w:rFonts w:ascii="Times New Roman" w:hAnsi="Times New Roman" w:cs="Times New Roman"/>
                <w:sz w:val="20"/>
                <w:szCs w:val="20"/>
              </w:rPr>
              <w:t>art. 1 pkt 1 projektu</w:t>
            </w:r>
          </w:p>
        </w:tc>
        <w:tc>
          <w:tcPr>
            <w:tcW w:w="5670" w:type="dxa"/>
            <w:vAlign w:val="center"/>
          </w:tcPr>
          <w:p w14:paraId="035806AA" w14:textId="6FF12B8D" w:rsidR="000002F3" w:rsidRPr="00BD2DC7" w:rsidRDefault="00BD2DC7" w:rsidP="004316F8">
            <w:pPr>
              <w:pStyle w:val="Style24"/>
              <w:widowControl/>
              <w:spacing w:line="240" w:lineRule="auto"/>
              <w:ind w:right="22" w:firstLine="0"/>
              <w:rPr>
                <w:sz w:val="20"/>
                <w:szCs w:val="20"/>
              </w:rPr>
            </w:pPr>
            <w:r w:rsidRPr="005B3FB5">
              <w:rPr>
                <w:sz w:val="20"/>
                <w:szCs w:val="20"/>
              </w:rPr>
              <w:t>Niepotrzebne powtórzenie po słowie „lub” słowa „uporczywie”- raz użyta na początku przepisu przesłanka kwalifikująca „uporczywie” jest wystarczające do odniesienia jego treści do całego przepisu.</w:t>
            </w:r>
          </w:p>
        </w:tc>
        <w:tc>
          <w:tcPr>
            <w:tcW w:w="4076" w:type="dxa"/>
          </w:tcPr>
          <w:p w14:paraId="7AAED955" w14:textId="5C5235A9" w:rsidR="00BD2DC7" w:rsidRDefault="00BD2DC7" w:rsidP="00BD2DC7">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Uwaga powtórzona</w:t>
            </w:r>
          </w:p>
          <w:p w14:paraId="13C19ABA" w14:textId="77777777" w:rsidR="00BD2DC7" w:rsidRDefault="00BD2DC7" w:rsidP="00BD2DC7">
            <w:pPr>
              <w:autoSpaceDE w:val="0"/>
              <w:autoSpaceDN w:val="0"/>
              <w:adjustRightInd w:val="0"/>
              <w:jc w:val="both"/>
              <w:rPr>
                <w:rFonts w:ascii="Times New Roman" w:eastAsia="Times New Roman" w:hAnsi="Times New Roman" w:cs="Times New Roman"/>
                <w:b/>
                <w:bCs/>
                <w:sz w:val="20"/>
                <w:szCs w:val="20"/>
                <w:lang w:eastAsia="pl-PL"/>
              </w:rPr>
            </w:pPr>
          </w:p>
          <w:p w14:paraId="50B4E774" w14:textId="4C8C81CA" w:rsidR="00E559F1" w:rsidRPr="004C4A0D" w:rsidRDefault="00D76500" w:rsidP="004C4A0D">
            <w:pPr>
              <w:spacing w:after="120"/>
              <w:jc w:val="both"/>
              <w:rPr>
                <w:rFonts w:ascii="Times New Roman" w:hAnsi="Times New Roman" w:cs="Times New Roman"/>
                <w:sz w:val="20"/>
                <w:szCs w:val="20"/>
              </w:rPr>
            </w:pPr>
            <w:r w:rsidRPr="00745B44">
              <w:rPr>
                <w:rFonts w:ascii="Times New Roman" w:hAnsi="Times New Roman" w:cs="Times New Roman"/>
                <w:sz w:val="20"/>
              </w:rPr>
              <w:t>Szczegółowe stanowisko projektodawcy zostało zamieszczone na stronie</w:t>
            </w:r>
            <w:r>
              <w:rPr>
                <w:rFonts w:ascii="Times New Roman" w:hAnsi="Times New Roman" w:cs="Times New Roman"/>
                <w:sz w:val="20"/>
              </w:rPr>
              <w:t xml:space="preserve"> 5</w:t>
            </w:r>
            <w:r w:rsidRPr="00745B44">
              <w:rPr>
                <w:rFonts w:ascii="Times New Roman" w:hAnsi="Times New Roman" w:cs="Times New Roman"/>
                <w:sz w:val="20"/>
              </w:rPr>
              <w:t xml:space="preserve"> </w:t>
            </w:r>
            <w:r w:rsidRPr="009B723C">
              <w:rPr>
                <w:rFonts w:ascii="Times New Roman" w:hAnsi="Times New Roman" w:cs="Times New Roman"/>
                <w:i/>
                <w:iCs/>
                <w:sz w:val="20"/>
              </w:rPr>
              <w:t>tabeli</w:t>
            </w:r>
            <w:r w:rsidRPr="009B723C">
              <w:rPr>
                <w:i/>
                <w:iCs/>
              </w:rPr>
              <w:t xml:space="preserve"> </w:t>
            </w:r>
            <w:r w:rsidRPr="009B723C">
              <w:rPr>
                <w:rFonts w:ascii="Times New Roman" w:hAnsi="Times New Roman" w:cs="Times New Roman"/>
                <w:i/>
                <w:iCs/>
                <w:sz w:val="20"/>
              </w:rPr>
              <w:t>przedstawiającej odniesienie do uwag</w:t>
            </w:r>
            <w:r w:rsidR="004C4A0D">
              <w:rPr>
                <w:rFonts w:ascii="Times New Roman" w:hAnsi="Times New Roman" w:cs="Times New Roman"/>
                <w:i/>
                <w:iCs/>
                <w:sz w:val="20"/>
              </w:rPr>
              <w:t xml:space="preserve"> </w:t>
            </w:r>
            <w:r w:rsidR="004C4A0D" w:rsidRPr="009D4717">
              <w:rPr>
                <w:rFonts w:ascii="Times New Roman" w:hAnsi="Times New Roman" w:cs="Times New Roman"/>
                <w:sz w:val="20"/>
                <w:szCs w:val="20"/>
              </w:rPr>
              <w:t>zgłoszonych w ramach konsultacji publicznych do projektu z dnia 15 grudnia 2021 r.</w:t>
            </w:r>
            <w:r w:rsidRPr="009B723C">
              <w:rPr>
                <w:rFonts w:ascii="Times New Roman" w:hAnsi="Times New Roman" w:cs="Times New Roman"/>
                <w:i/>
                <w:iCs/>
                <w:sz w:val="20"/>
              </w:rPr>
              <w:t xml:space="preserve"> </w:t>
            </w:r>
          </w:p>
          <w:p w14:paraId="63046439" w14:textId="2D661312" w:rsidR="006C7994" w:rsidRPr="00BD2DC7" w:rsidRDefault="00D76500" w:rsidP="00BD2DC7">
            <w:pPr>
              <w:autoSpaceDE w:val="0"/>
              <w:autoSpaceDN w:val="0"/>
              <w:adjustRightInd w:val="0"/>
              <w:jc w:val="both"/>
              <w:rPr>
                <w:rFonts w:ascii="Times New Roman" w:eastAsiaTheme="minorEastAsia" w:hAnsi="Times New Roman" w:cs="Times New Roman"/>
                <w:sz w:val="20"/>
                <w:szCs w:val="20"/>
                <w:lang w:eastAsia="pl-PL"/>
              </w:rPr>
            </w:pPr>
            <w:r>
              <w:rPr>
                <w:rFonts w:ascii="Times New Roman" w:hAnsi="Times New Roman" w:cs="Times New Roman"/>
                <w:sz w:val="20"/>
              </w:rPr>
              <w:t>Dodatkowo wskazać należy, że uwaga ta została uwzględniona na etapie rozpatrywania uwag zgłoszonych do wersji projektu z dnia 15 grudnia 2021 r.</w:t>
            </w:r>
          </w:p>
        </w:tc>
      </w:tr>
      <w:tr w:rsidR="00252F32" w14:paraId="5A2AED4D" w14:textId="77777777" w:rsidTr="00B241C8">
        <w:trPr>
          <w:jc w:val="center"/>
        </w:trPr>
        <w:tc>
          <w:tcPr>
            <w:tcW w:w="562" w:type="dxa"/>
          </w:tcPr>
          <w:p w14:paraId="12824B63" w14:textId="17726F12" w:rsidR="00756A51" w:rsidRPr="00B919AF" w:rsidRDefault="00252F32" w:rsidP="00252F32">
            <w:pPr>
              <w:spacing w:before="120"/>
              <w:ind w:right="-534"/>
              <w:rPr>
                <w:rFonts w:ascii="Times New Roman" w:hAnsi="Times New Roman" w:cs="Times New Roman"/>
                <w:b/>
                <w:sz w:val="20"/>
              </w:rPr>
            </w:pPr>
            <w:r>
              <w:rPr>
                <w:rFonts w:ascii="Times New Roman" w:hAnsi="Times New Roman" w:cs="Times New Roman"/>
                <w:b/>
                <w:sz w:val="20"/>
              </w:rPr>
              <w:t>2.</w:t>
            </w:r>
          </w:p>
        </w:tc>
        <w:tc>
          <w:tcPr>
            <w:tcW w:w="1843" w:type="dxa"/>
            <w:vAlign w:val="center"/>
          </w:tcPr>
          <w:p w14:paraId="2B92E1B1" w14:textId="302F09F2" w:rsidR="00756A51" w:rsidRDefault="00BD2DC7" w:rsidP="00252F32">
            <w:pPr>
              <w:spacing w:before="120" w:after="120"/>
              <w:jc w:val="center"/>
              <w:rPr>
                <w:rFonts w:ascii="Times New Roman" w:hAnsi="Times New Roman" w:cs="Times New Roman"/>
                <w:sz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3CE91D24" w14:textId="5A3BE5F4" w:rsidR="00756A51" w:rsidRDefault="00BD2DC7" w:rsidP="00252F32">
            <w:pPr>
              <w:spacing w:before="120" w:after="120"/>
              <w:jc w:val="center"/>
              <w:rPr>
                <w:rFonts w:ascii="Times New Roman" w:hAnsi="Times New Roman" w:cs="Times New Roman"/>
                <w:sz w:val="20"/>
              </w:rPr>
            </w:pPr>
            <w:bookmarkStart w:id="0" w:name="_Hlk97710914"/>
            <w:r w:rsidRPr="005B3FB5">
              <w:rPr>
                <w:rFonts w:ascii="Times New Roman" w:hAnsi="Times New Roman" w:cs="Times New Roman"/>
                <w:sz w:val="20"/>
                <w:szCs w:val="20"/>
              </w:rPr>
              <w:t>art. 1 pkt 2 projektu</w:t>
            </w:r>
            <w:bookmarkEnd w:id="0"/>
          </w:p>
        </w:tc>
        <w:tc>
          <w:tcPr>
            <w:tcW w:w="5670" w:type="dxa"/>
            <w:vAlign w:val="center"/>
          </w:tcPr>
          <w:p w14:paraId="66B98ABB" w14:textId="3D803D54" w:rsidR="00614324" w:rsidRDefault="004316F8" w:rsidP="00614324">
            <w:pPr>
              <w:jc w:val="both"/>
              <w:rPr>
                <w:rFonts w:ascii="Times New Roman" w:hAnsi="Times New Roman" w:cs="Times New Roman"/>
                <w:sz w:val="20"/>
                <w:szCs w:val="20"/>
              </w:rPr>
            </w:pPr>
            <w:r>
              <w:rPr>
                <w:rFonts w:ascii="Times New Roman" w:hAnsi="Times New Roman" w:cs="Times New Roman"/>
                <w:sz w:val="20"/>
                <w:szCs w:val="20"/>
              </w:rPr>
              <w:t>W</w:t>
            </w:r>
            <w:r w:rsidR="00614324" w:rsidRPr="005B3FB5">
              <w:rPr>
                <w:rFonts w:ascii="Times New Roman" w:hAnsi="Times New Roman" w:cs="Times New Roman"/>
                <w:sz w:val="20"/>
                <w:szCs w:val="20"/>
              </w:rPr>
              <w:t xml:space="preserve"> zakresie techniki legislacyjnej – przepisy powinny być formułowane w sposób lakoniczny, najlepiej jednozdaniowy. Ostatnie zdanie jest niepotrzebne. Ewentualnie można zamiast kropki  i wpisać  „w częściach równych”  w ten sposób przepis ten brzmiałby w sposób następujący „Jeżeli dziecko któregokolwiek z dziadków spadkodawcy nie dożyło otwarcia spadku, udział </w:t>
            </w:r>
            <w:r w:rsidR="00614324" w:rsidRPr="005B3FB5">
              <w:rPr>
                <w:rFonts w:ascii="Times New Roman" w:hAnsi="Times New Roman" w:cs="Times New Roman"/>
                <w:sz w:val="20"/>
                <w:szCs w:val="20"/>
              </w:rPr>
              <w:lastRenderedPageBreak/>
              <w:t>spadkowy, który by mu przypadał, przypada jego dzieciom w częściach równych” (w ten sposób, przepis ten w swojej treści odpowiadałby brzmieniu art. 931§2 k.c.)</w:t>
            </w:r>
          </w:p>
          <w:p w14:paraId="685F1C55" w14:textId="77777777" w:rsidR="008A7F29" w:rsidRDefault="008A7F29" w:rsidP="00614324">
            <w:pPr>
              <w:jc w:val="both"/>
              <w:rPr>
                <w:rFonts w:ascii="Times New Roman" w:hAnsi="Times New Roman" w:cs="Times New Roman"/>
                <w:sz w:val="20"/>
                <w:szCs w:val="20"/>
              </w:rPr>
            </w:pPr>
            <w:bookmarkStart w:id="1" w:name="_Hlk97710039"/>
          </w:p>
          <w:p w14:paraId="770C1819" w14:textId="6CCF3525" w:rsidR="00614324" w:rsidRPr="005B3FB5" w:rsidRDefault="004316F8" w:rsidP="00614324">
            <w:pPr>
              <w:jc w:val="both"/>
              <w:rPr>
                <w:rFonts w:ascii="Times New Roman" w:eastAsia="Times New Roman" w:hAnsi="Times New Roman" w:cs="Times New Roman"/>
                <w:sz w:val="20"/>
                <w:szCs w:val="20"/>
                <w:lang w:eastAsia="pl-PL"/>
              </w:rPr>
            </w:pPr>
            <w:r>
              <w:rPr>
                <w:rFonts w:ascii="Times New Roman" w:hAnsi="Times New Roman" w:cs="Times New Roman"/>
                <w:sz w:val="20"/>
                <w:szCs w:val="20"/>
              </w:rPr>
              <w:t>P</w:t>
            </w:r>
            <w:r w:rsidR="00614324" w:rsidRPr="00636864">
              <w:rPr>
                <w:rFonts w:ascii="Times New Roman" w:hAnsi="Times New Roman" w:cs="Times New Roman"/>
                <w:sz w:val="20"/>
                <w:szCs w:val="20"/>
              </w:rPr>
              <w:t xml:space="preserve">rzepis jest fatalnie </w:t>
            </w:r>
            <w:r w:rsidR="007B7C30" w:rsidRPr="00636864">
              <w:rPr>
                <w:rFonts w:ascii="Times New Roman" w:hAnsi="Times New Roman" w:cs="Times New Roman"/>
                <w:sz w:val="20"/>
                <w:szCs w:val="20"/>
              </w:rPr>
              <w:t>sformułowany,</w:t>
            </w:r>
            <w:r w:rsidR="00614324" w:rsidRPr="00636864">
              <w:rPr>
                <w:rFonts w:ascii="Times New Roman" w:hAnsi="Times New Roman" w:cs="Times New Roman"/>
                <w:sz w:val="20"/>
                <w:szCs w:val="20"/>
              </w:rPr>
              <w:t xml:space="preserve"> poza tym zawiera błąd logiczny. Jeżeli bowiem którekolwiek z dziadków, które nie dożyło otwarcia spadku nie miało dzieci („w braku dzieci”) to oczywistym jest, że dzieci, których nie ma i nie było nie mogą mieć dzieci. Brak tego przepisu pozwoli na osiągnięcie takiego samego celu. Skoro z wcześniejszych przepisów wynika, że dziedziczą tylko dziadkowie spadkodawcy ich dzieci ewentualnie ich dzieci.</w:t>
            </w:r>
            <w:r w:rsidR="00614324" w:rsidRPr="005B3FB5">
              <w:rPr>
                <w:rFonts w:ascii="Times New Roman" w:hAnsi="Times New Roman" w:cs="Times New Roman"/>
                <w:sz w:val="20"/>
                <w:szCs w:val="20"/>
              </w:rPr>
              <w:t xml:space="preserve"> </w:t>
            </w:r>
            <w:r w:rsidR="00614324" w:rsidRPr="005B3FB5">
              <w:rPr>
                <w:rFonts w:ascii="Times New Roman" w:eastAsia="Times New Roman" w:hAnsi="Times New Roman" w:cs="Times New Roman"/>
                <w:sz w:val="20"/>
                <w:szCs w:val="20"/>
                <w:lang w:eastAsia="pl-PL"/>
              </w:rPr>
              <w:t xml:space="preserve"> </w:t>
            </w:r>
          </w:p>
          <w:bookmarkEnd w:id="1"/>
          <w:p w14:paraId="560FBFC0" w14:textId="26057410" w:rsidR="00756A51" w:rsidRPr="00C14B5D" w:rsidRDefault="00614324" w:rsidP="00614324">
            <w:pPr>
              <w:jc w:val="both"/>
              <w:rPr>
                <w:rFonts w:ascii="Times New Roman" w:eastAsia="Times New Roman" w:hAnsi="Times New Roman" w:cs="Times New Roman"/>
                <w:sz w:val="24"/>
                <w:szCs w:val="24"/>
                <w:lang w:eastAsia="pl-PL"/>
              </w:rPr>
            </w:pPr>
            <w:r w:rsidRPr="005B3FB5">
              <w:rPr>
                <w:rFonts w:ascii="Times New Roman" w:eastAsia="Times New Roman" w:hAnsi="Times New Roman" w:cs="Times New Roman"/>
                <w:sz w:val="20"/>
                <w:szCs w:val="20"/>
                <w:lang w:eastAsia="pl-PL"/>
              </w:rPr>
              <w:t>Krąg spadkobierców ustawowych jest w mojej ocenie zbyt szeroki, powinien być ograniczony do dziadków i ich dzieci a nie dziadków i ich wnuków.</w:t>
            </w:r>
          </w:p>
        </w:tc>
        <w:tc>
          <w:tcPr>
            <w:tcW w:w="4076" w:type="dxa"/>
          </w:tcPr>
          <w:p w14:paraId="6DFF6E36" w14:textId="0896E174" w:rsidR="00BD2DC7" w:rsidRDefault="00BD2DC7" w:rsidP="00BD2DC7">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Uwaga powtórzona</w:t>
            </w:r>
          </w:p>
          <w:p w14:paraId="1F53D790" w14:textId="77777777" w:rsidR="00614324" w:rsidRDefault="00614324" w:rsidP="00BD2DC7">
            <w:pPr>
              <w:autoSpaceDE w:val="0"/>
              <w:autoSpaceDN w:val="0"/>
              <w:adjustRightInd w:val="0"/>
              <w:jc w:val="both"/>
              <w:rPr>
                <w:rFonts w:ascii="Times New Roman" w:eastAsia="Times New Roman" w:hAnsi="Times New Roman" w:cs="Times New Roman"/>
                <w:b/>
                <w:bCs/>
                <w:sz w:val="20"/>
                <w:szCs w:val="20"/>
                <w:lang w:eastAsia="pl-PL"/>
              </w:rPr>
            </w:pPr>
          </w:p>
          <w:p w14:paraId="32F16BC9" w14:textId="6AE0E7B2" w:rsidR="004C4A0D" w:rsidRPr="009D4717" w:rsidRDefault="00E559F1" w:rsidP="004C4A0D">
            <w:pPr>
              <w:spacing w:after="120"/>
              <w:jc w:val="both"/>
              <w:rPr>
                <w:rFonts w:ascii="Times New Roman" w:hAnsi="Times New Roman" w:cs="Times New Roman"/>
                <w:sz w:val="20"/>
                <w:szCs w:val="20"/>
              </w:rPr>
            </w:pPr>
            <w:r w:rsidRPr="00745B44">
              <w:rPr>
                <w:rFonts w:ascii="Times New Roman" w:hAnsi="Times New Roman" w:cs="Times New Roman"/>
                <w:sz w:val="20"/>
              </w:rPr>
              <w:t>Szczegółowe stanowisko projektodawcy zostało zamieszczone na stronie</w:t>
            </w:r>
            <w:r>
              <w:rPr>
                <w:rFonts w:ascii="Times New Roman" w:hAnsi="Times New Roman" w:cs="Times New Roman"/>
                <w:sz w:val="20"/>
              </w:rPr>
              <w:t xml:space="preserve"> 18 i 19</w:t>
            </w:r>
            <w:r w:rsidRPr="00745B44">
              <w:rPr>
                <w:rFonts w:ascii="Times New Roman" w:hAnsi="Times New Roman" w:cs="Times New Roman"/>
                <w:sz w:val="20"/>
              </w:rPr>
              <w:t xml:space="preserve"> </w:t>
            </w:r>
            <w:r w:rsidRPr="009B723C">
              <w:rPr>
                <w:rFonts w:ascii="Times New Roman" w:hAnsi="Times New Roman" w:cs="Times New Roman"/>
                <w:i/>
                <w:iCs/>
                <w:sz w:val="20"/>
              </w:rPr>
              <w:t>tabeli</w:t>
            </w:r>
            <w:r w:rsidRPr="009B723C">
              <w:rPr>
                <w:i/>
                <w:iCs/>
              </w:rPr>
              <w:t xml:space="preserve"> </w:t>
            </w:r>
            <w:r w:rsidRPr="009B723C">
              <w:rPr>
                <w:rFonts w:ascii="Times New Roman" w:hAnsi="Times New Roman" w:cs="Times New Roman"/>
                <w:i/>
                <w:iCs/>
                <w:sz w:val="20"/>
              </w:rPr>
              <w:t>przedstawiającej odniesienie do uwag</w:t>
            </w:r>
            <w:r w:rsidR="004C4A0D">
              <w:rPr>
                <w:rFonts w:ascii="Times New Roman" w:hAnsi="Times New Roman" w:cs="Times New Roman"/>
                <w:i/>
                <w:iCs/>
                <w:sz w:val="20"/>
              </w:rPr>
              <w:t xml:space="preserve"> </w:t>
            </w:r>
            <w:r w:rsidR="004C4A0D" w:rsidRPr="009D4717">
              <w:rPr>
                <w:rFonts w:ascii="Times New Roman" w:hAnsi="Times New Roman" w:cs="Times New Roman"/>
                <w:sz w:val="20"/>
                <w:szCs w:val="20"/>
              </w:rPr>
              <w:lastRenderedPageBreak/>
              <w:t>zgłoszonych w ramach konsultacji publicznych do projektu z dnia 15 grudnia 2021 r.</w:t>
            </w:r>
          </w:p>
          <w:p w14:paraId="3013F72A" w14:textId="72C0D60F" w:rsidR="00E559F1" w:rsidRDefault="00E559F1" w:rsidP="00614324">
            <w:pPr>
              <w:autoSpaceDE w:val="0"/>
              <w:autoSpaceDN w:val="0"/>
              <w:adjustRightInd w:val="0"/>
              <w:jc w:val="both"/>
              <w:rPr>
                <w:rFonts w:ascii="Times New Roman" w:eastAsia="Times New Roman" w:hAnsi="Times New Roman" w:cs="Times New Roman"/>
                <w:b/>
                <w:bCs/>
                <w:sz w:val="20"/>
                <w:szCs w:val="20"/>
                <w:lang w:eastAsia="pl-PL"/>
              </w:rPr>
            </w:pPr>
          </w:p>
          <w:p w14:paraId="6FC5BD63" w14:textId="2B34B52F" w:rsidR="00E559F1" w:rsidRPr="00E559F1" w:rsidRDefault="00E559F1" w:rsidP="00614324">
            <w:pPr>
              <w:autoSpaceDE w:val="0"/>
              <w:autoSpaceDN w:val="0"/>
              <w:adjustRightInd w:val="0"/>
              <w:jc w:val="both"/>
              <w:rPr>
                <w:rFonts w:ascii="Times New Roman" w:hAnsi="Times New Roman" w:cs="Times New Roman"/>
                <w:sz w:val="20"/>
              </w:rPr>
            </w:pPr>
            <w:r>
              <w:rPr>
                <w:rFonts w:ascii="Times New Roman" w:hAnsi="Times New Roman" w:cs="Times New Roman"/>
                <w:sz w:val="20"/>
              </w:rPr>
              <w:t>Podkreślenia jedynie wymaga fakt, że</w:t>
            </w:r>
            <w:r w:rsidRPr="00E559F1">
              <w:rPr>
                <w:rFonts w:ascii="Times New Roman" w:hAnsi="Times New Roman" w:cs="Times New Roman"/>
                <w:sz w:val="20"/>
              </w:rPr>
              <w:t xml:space="preserve"> w zakresie brzmienia art. 934 § 2</w:t>
            </w:r>
            <w:r w:rsidRPr="00E559F1">
              <w:rPr>
                <w:rFonts w:ascii="Times New Roman" w:hAnsi="Times New Roman" w:cs="Times New Roman"/>
                <w:sz w:val="20"/>
                <w:vertAlign w:val="superscript"/>
              </w:rPr>
              <w:t>1</w:t>
            </w:r>
            <w:r w:rsidRPr="00E559F1">
              <w:rPr>
                <w:rFonts w:ascii="Times New Roman" w:hAnsi="Times New Roman" w:cs="Times New Roman"/>
                <w:sz w:val="20"/>
              </w:rPr>
              <w:t xml:space="preserve"> została uwzględniona.</w:t>
            </w:r>
          </w:p>
          <w:p w14:paraId="33BCA0D5" w14:textId="77777777" w:rsidR="00614324" w:rsidRPr="005B3FB5" w:rsidRDefault="00614324" w:rsidP="00614324">
            <w:pPr>
              <w:autoSpaceDE w:val="0"/>
              <w:autoSpaceDN w:val="0"/>
              <w:adjustRightInd w:val="0"/>
              <w:jc w:val="both"/>
              <w:rPr>
                <w:rFonts w:ascii="Times New Roman" w:eastAsia="Times New Roman" w:hAnsi="Times New Roman" w:cs="Times New Roman"/>
                <w:b/>
                <w:bCs/>
                <w:sz w:val="20"/>
                <w:szCs w:val="20"/>
                <w:lang w:eastAsia="pl-PL"/>
              </w:rPr>
            </w:pPr>
          </w:p>
          <w:p w14:paraId="353C0224" w14:textId="7991E23C" w:rsidR="006156DE" w:rsidRPr="001308BB" w:rsidRDefault="00614324" w:rsidP="001308BB">
            <w:pPr>
              <w:jc w:val="both"/>
              <w:rPr>
                <w:rFonts w:ascii="Times New Roman" w:eastAsia="Times New Roman" w:hAnsi="Times New Roman" w:cs="Times New Roman"/>
                <w:sz w:val="20"/>
                <w:szCs w:val="20"/>
                <w:lang w:eastAsia="pl-PL"/>
              </w:rPr>
            </w:pPr>
            <w:r w:rsidRPr="00636864">
              <w:rPr>
                <w:rFonts w:ascii="Times New Roman" w:eastAsia="Times New Roman" w:hAnsi="Times New Roman" w:cs="Times New Roman"/>
                <w:sz w:val="20"/>
                <w:szCs w:val="20"/>
                <w:lang w:eastAsia="pl-PL"/>
              </w:rPr>
              <w:t xml:space="preserve">Za niezasadny </w:t>
            </w:r>
            <w:r w:rsidR="00E559F1">
              <w:rPr>
                <w:rFonts w:ascii="Times New Roman" w:eastAsia="Times New Roman" w:hAnsi="Times New Roman" w:cs="Times New Roman"/>
                <w:sz w:val="20"/>
                <w:szCs w:val="20"/>
                <w:lang w:eastAsia="pl-PL"/>
              </w:rPr>
              <w:t>uznano</w:t>
            </w:r>
            <w:r w:rsidRPr="00636864">
              <w:rPr>
                <w:rFonts w:ascii="Times New Roman" w:eastAsia="Times New Roman" w:hAnsi="Times New Roman" w:cs="Times New Roman"/>
                <w:sz w:val="20"/>
                <w:szCs w:val="20"/>
                <w:lang w:eastAsia="pl-PL"/>
              </w:rPr>
              <w:t xml:space="preserve"> zarzut błędu logicznego</w:t>
            </w:r>
            <w:r w:rsidR="001308BB">
              <w:rPr>
                <w:rFonts w:ascii="Times New Roman" w:eastAsia="Times New Roman" w:hAnsi="Times New Roman" w:cs="Times New Roman"/>
                <w:sz w:val="20"/>
                <w:szCs w:val="20"/>
                <w:lang w:eastAsia="pl-PL"/>
              </w:rPr>
              <w:t xml:space="preserve"> i postulat </w:t>
            </w:r>
            <w:r w:rsidRPr="005B3FB5">
              <w:rPr>
                <w:rFonts w:ascii="Times New Roman" w:hAnsi="Times New Roman" w:cs="Times New Roman"/>
                <w:sz w:val="20"/>
                <w:szCs w:val="20"/>
              </w:rPr>
              <w:t>dalszego ograniczenia kręgu spadkobierców ustawowych do dziadków i ich dzieci.</w:t>
            </w:r>
            <w:r>
              <w:rPr>
                <w:rFonts w:ascii="Times New Roman" w:hAnsi="Times New Roman" w:cs="Times New Roman"/>
                <w:sz w:val="20"/>
                <w:szCs w:val="20"/>
              </w:rPr>
              <w:t xml:space="preserve"> </w:t>
            </w:r>
          </w:p>
        </w:tc>
      </w:tr>
      <w:tr w:rsidR="00050AFF" w14:paraId="1AA8B0B7" w14:textId="77777777" w:rsidTr="00B241C8">
        <w:trPr>
          <w:jc w:val="center"/>
        </w:trPr>
        <w:tc>
          <w:tcPr>
            <w:tcW w:w="562" w:type="dxa"/>
          </w:tcPr>
          <w:p w14:paraId="2FA97F21" w14:textId="46038E50" w:rsidR="00050AFF" w:rsidRDefault="00050AFF" w:rsidP="00252F32">
            <w:pPr>
              <w:spacing w:before="120"/>
              <w:ind w:right="-534"/>
              <w:rPr>
                <w:rFonts w:ascii="Times New Roman" w:hAnsi="Times New Roman" w:cs="Times New Roman"/>
                <w:b/>
                <w:sz w:val="20"/>
              </w:rPr>
            </w:pPr>
            <w:r>
              <w:rPr>
                <w:rFonts w:ascii="Times New Roman" w:hAnsi="Times New Roman" w:cs="Times New Roman"/>
                <w:b/>
                <w:sz w:val="20"/>
              </w:rPr>
              <w:lastRenderedPageBreak/>
              <w:t>3.</w:t>
            </w:r>
          </w:p>
        </w:tc>
        <w:tc>
          <w:tcPr>
            <w:tcW w:w="1843" w:type="dxa"/>
            <w:vAlign w:val="center"/>
          </w:tcPr>
          <w:p w14:paraId="147ED1FC" w14:textId="3819D2A3" w:rsidR="00050AFF" w:rsidRPr="005B3FB5" w:rsidRDefault="00050AFF" w:rsidP="00252F32">
            <w:pPr>
              <w:spacing w:before="120" w:after="120"/>
              <w:jc w:val="center"/>
              <w:rPr>
                <w:rFonts w:ascii="Times New Roman" w:hAnsi="Times New Roman" w:cs="Times New Roman"/>
                <w:sz w:val="20"/>
                <w:szCs w:val="20"/>
              </w:rPr>
            </w:pPr>
            <w:r>
              <w:rPr>
                <w:rFonts w:ascii="Times New Roman" w:hAnsi="Times New Roman" w:cs="Times New Roman"/>
                <w:sz w:val="20"/>
              </w:rPr>
              <w:t>Sad Rejonowy dla Krakowa</w:t>
            </w:r>
            <w:r w:rsidR="00D266B0">
              <w:rPr>
                <w:rFonts w:ascii="Times New Roman" w:hAnsi="Times New Roman" w:cs="Times New Roman"/>
                <w:sz w:val="20"/>
              </w:rPr>
              <w:t xml:space="preserve"> </w:t>
            </w:r>
            <w:r>
              <w:rPr>
                <w:rFonts w:ascii="Times New Roman" w:hAnsi="Times New Roman" w:cs="Times New Roman"/>
                <w:sz w:val="20"/>
              </w:rPr>
              <w:t>Nowej –Huty w Krakowie I Wydział Cywilny</w:t>
            </w:r>
          </w:p>
        </w:tc>
        <w:tc>
          <w:tcPr>
            <w:tcW w:w="1843" w:type="dxa"/>
            <w:vAlign w:val="center"/>
          </w:tcPr>
          <w:p w14:paraId="604A5E7A" w14:textId="38339F7C" w:rsidR="00050AFF" w:rsidRPr="005B3FB5" w:rsidRDefault="00050AFF" w:rsidP="00252F32">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2 projektu</w:t>
            </w:r>
          </w:p>
        </w:tc>
        <w:tc>
          <w:tcPr>
            <w:tcW w:w="5670" w:type="dxa"/>
            <w:vAlign w:val="center"/>
          </w:tcPr>
          <w:p w14:paraId="2017556D" w14:textId="2F675DB6" w:rsidR="00050AFF" w:rsidRPr="005B3FB5" w:rsidRDefault="00F3660D" w:rsidP="00050AFF">
            <w:pPr>
              <w:spacing w:before="120" w:after="120"/>
              <w:jc w:val="both"/>
              <w:rPr>
                <w:rFonts w:ascii="Times New Roman" w:hAnsi="Times New Roman" w:cs="Times New Roman"/>
                <w:sz w:val="20"/>
                <w:szCs w:val="20"/>
              </w:rPr>
            </w:pPr>
            <w:r>
              <w:rPr>
                <w:rFonts w:ascii="Times New Roman" w:hAnsi="Times New Roman" w:cs="Times New Roman"/>
                <w:sz w:val="20"/>
                <w:szCs w:val="20"/>
              </w:rPr>
              <w:t>N</w:t>
            </w:r>
            <w:r w:rsidR="00050AFF">
              <w:rPr>
                <w:rFonts w:ascii="Times New Roman" w:hAnsi="Times New Roman" w:cs="Times New Roman"/>
                <w:sz w:val="20"/>
                <w:szCs w:val="20"/>
              </w:rPr>
              <w:t>adal zbyt szeroki krąg spadkobierców ustawowych (szerszy niż w projekcie ustawy przesłanym do zaopiniowania w grudniu 2021 roku), praktycznie w żaden sposób nie ogranicza kręgu spadkobierców, których dotychczas udawało się ustalić, w sytuacji kolejnych odrzuceń spadku</w:t>
            </w:r>
            <w:r>
              <w:rPr>
                <w:rFonts w:ascii="Times New Roman" w:hAnsi="Times New Roman" w:cs="Times New Roman"/>
                <w:sz w:val="20"/>
                <w:szCs w:val="20"/>
              </w:rPr>
              <w:t xml:space="preserve">. </w:t>
            </w:r>
          </w:p>
        </w:tc>
        <w:tc>
          <w:tcPr>
            <w:tcW w:w="4076" w:type="dxa"/>
          </w:tcPr>
          <w:p w14:paraId="46991E6E" w14:textId="77777777" w:rsidR="00050AFF" w:rsidRDefault="001308BB" w:rsidP="00BD2DC7">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Uwaga nieuwzględniona</w:t>
            </w:r>
          </w:p>
          <w:p w14:paraId="2A825CA3" w14:textId="77777777" w:rsidR="001308BB" w:rsidRDefault="001308BB" w:rsidP="00BD2DC7">
            <w:pPr>
              <w:autoSpaceDE w:val="0"/>
              <w:autoSpaceDN w:val="0"/>
              <w:adjustRightInd w:val="0"/>
              <w:jc w:val="both"/>
              <w:rPr>
                <w:rFonts w:ascii="Times New Roman" w:eastAsia="Times New Roman" w:hAnsi="Times New Roman" w:cs="Times New Roman"/>
                <w:b/>
                <w:bCs/>
                <w:sz w:val="20"/>
                <w:szCs w:val="20"/>
                <w:lang w:eastAsia="pl-PL"/>
              </w:rPr>
            </w:pPr>
          </w:p>
          <w:p w14:paraId="5AB16B02" w14:textId="4B426F39" w:rsidR="001308BB" w:rsidRDefault="001308BB" w:rsidP="00BD2DC7">
            <w:pPr>
              <w:autoSpaceDE w:val="0"/>
              <w:autoSpaceDN w:val="0"/>
              <w:adjustRightInd w:val="0"/>
              <w:jc w:val="both"/>
              <w:rPr>
                <w:rFonts w:ascii="Times New Roman" w:hAnsi="Times New Roman" w:cs="Times New Roman"/>
                <w:sz w:val="20"/>
                <w:szCs w:val="20"/>
              </w:rPr>
            </w:pPr>
            <w:r w:rsidRPr="001308BB">
              <w:rPr>
                <w:rFonts w:ascii="Times New Roman" w:eastAsia="Times New Roman" w:hAnsi="Times New Roman" w:cs="Times New Roman"/>
                <w:sz w:val="20"/>
                <w:szCs w:val="20"/>
                <w:lang w:eastAsia="pl-PL"/>
              </w:rPr>
              <w:t>W pierwszym rzędzie wskazać należy, że</w:t>
            </w:r>
            <w:r>
              <w:rPr>
                <w:rFonts w:ascii="Times New Roman" w:eastAsia="Times New Roman" w:hAnsi="Times New Roman" w:cs="Times New Roman"/>
                <w:sz w:val="20"/>
                <w:szCs w:val="20"/>
                <w:lang w:eastAsia="pl-PL"/>
              </w:rPr>
              <w:t xml:space="preserve"> projektowany art. 1 pkt 2 w wersji z dnia 15 grudnia 2021 r. i w wersji z dnia 28 marca 2022 r. nie </w:t>
            </w:r>
            <w:r w:rsidR="005724CB">
              <w:rPr>
                <w:rFonts w:ascii="Times New Roman" w:eastAsia="Times New Roman" w:hAnsi="Times New Roman" w:cs="Times New Roman"/>
                <w:sz w:val="20"/>
                <w:szCs w:val="20"/>
                <w:lang w:eastAsia="pl-PL"/>
              </w:rPr>
              <w:t xml:space="preserve">różnią się merytorycznie. Za niezrozumiałe zatem należy uznać stwierdzenie, że krąg spadkobierców ustawowych jest </w:t>
            </w:r>
            <w:r w:rsidR="00F3660D">
              <w:rPr>
                <w:rFonts w:ascii="Times New Roman" w:eastAsia="Times New Roman" w:hAnsi="Times New Roman" w:cs="Times New Roman"/>
                <w:sz w:val="20"/>
                <w:szCs w:val="20"/>
                <w:lang w:eastAsia="pl-PL"/>
              </w:rPr>
              <w:t xml:space="preserve">w aktualnym projekcie </w:t>
            </w:r>
            <w:r w:rsidR="005724CB">
              <w:rPr>
                <w:rFonts w:ascii="Times New Roman" w:eastAsia="Times New Roman" w:hAnsi="Times New Roman" w:cs="Times New Roman"/>
                <w:sz w:val="20"/>
                <w:szCs w:val="20"/>
                <w:lang w:eastAsia="pl-PL"/>
              </w:rPr>
              <w:t xml:space="preserve">szerszy </w:t>
            </w:r>
            <w:r w:rsidR="005724CB">
              <w:rPr>
                <w:rFonts w:ascii="Times New Roman" w:hAnsi="Times New Roman" w:cs="Times New Roman"/>
                <w:sz w:val="20"/>
                <w:szCs w:val="20"/>
              </w:rPr>
              <w:t>niż w projekcie ustawy przesłanym do zaopiniowania w grudniu 2021 roku.</w:t>
            </w:r>
          </w:p>
          <w:p w14:paraId="3A34E7AD" w14:textId="245E72D0" w:rsidR="005724CB" w:rsidRPr="001308BB" w:rsidRDefault="005724CB" w:rsidP="00BD2DC7">
            <w:pPr>
              <w:autoSpaceDE w:val="0"/>
              <w:autoSpaceDN w:val="0"/>
              <w:adjustRightInd w:val="0"/>
              <w:jc w:val="both"/>
              <w:rPr>
                <w:rFonts w:ascii="Times New Roman" w:eastAsia="Times New Roman" w:hAnsi="Times New Roman" w:cs="Times New Roman"/>
                <w:sz w:val="20"/>
                <w:szCs w:val="20"/>
                <w:lang w:eastAsia="pl-PL"/>
              </w:rPr>
            </w:pPr>
            <w:r>
              <w:rPr>
                <w:rFonts w:ascii="Times New Roman" w:hAnsi="Times New Roman" w:cs="Times New Roman"/>
                <w:sz w:val="20"/>
                <w:szCs w:val="20"/>
              </w:rPr>
              <w:t>Zaproponowane przez projektodawcę rozwiązanie przewiduje wyłączenie od dziedziczenia dalszych zstępnych dziadków spadkodawcy</w:t>
            </w:r>
            <w:r w:rsidR="00F3660D">
              <w:rPr>
                <w:rFonts w:ascii="Times New Roman" w:hAnsi="Times New Roman" w:cs="Times New Roman"/>
                <w:sz w:val="20"/>
                <w:szCs w:val="20"/>
              </w:rPr>
              <w:t xml:space="preserve"> (tj. prawnuków dziadków i dalszych)</w:t>
            </w:r>
            <w:r>
              <w:rPr>
                <w:rFonts w:ascii="Times New Roman" w:hAnsi="Times New Roman" w:cs="Times New Roman"/>
                <w:sz w:val="20"/>
                <w:szCs w:val="20"/>
              </w:rPr>
              <w:t xml:space="preserve">. A zatem nie sposób zgodzić się również z twierdzeniem, że projekt praktycznie w żaden sposób nie ogranicza kręgu spadkobierców. Na obecną chwilę zaprojektowane rozwiązanie wydaje </w:t>
            </w:r>
            <w:r w:rsidR="007B7C30">
              <w:rPr>
                <w:rFonts w:ascii="Times New Roman" w:hAnsi="Times New Roman" w:cs="Times New Roman"/>
                <w:sz w:val="20"/>
                <w:szCs w:val="20"/>
              </w:rPr>
              <w:t>się</w:t>
            </w:r>
            <w:r>
              <w:rPr>
                <w:rFonts w:ascii="Times New Roman" w:hAnsi="Times New Roman" w:cs="Times New Roman"/>
                <w:sz w:val="20"/>
                <w:szCs w:val="20"/>
              </w:rPr>
              <w:t xml:space="preserve"> optymalne. Planowana ewaluacja nastąpi 5 lat po wejściu w życie projektowanej ustawy. Wtedy też będzie możliwe rozważenie analizy </w:t>
            </w:r>
            <w:r>
              <w:rPr>
                <w:rFonts w:ascii="Times New Roman" w:hAnsi="Times New Roman" w:cs="Times New Roman"/>
                <w:sz w:val="20"/>
                <w:szCs w:val="20"/>
              </w:rPr>
              <w:lastRenderedPageBreak/>
              <w:t>dalszego ograniczenia kręgu spadkobierców ustawowych.</w:t>
            </w:r>
          </w:p>
        </w:tc>
      </w:tr>
      <w:tr w:rsidR="00252F32" w14:paraId="08798C30" w14:textId="77777777" w:rsidTr="00B241C8">
        <w:trPr>
          <w:jc w:val="center"/>
        </w:trPr>
        <w:tc>
          <w:tcPr>
            <w:tcW w:w="562" w:type="dxa"/>
          </w:tcPr>
          <w:p w14:paraId="2C07B4BA" w14:textId="1A592B3E" w:rsidR="00766F26" w:rsidRPr="00B919AF" w:rsidRDefault="008C150E" w:rsidP="00252F32">
            <w:pPr>
              <w:spacing w:before="120"/>
              <w:ind w:right="-534"/>
              <w:rPr>
                <w:rFonts w:ascii="Times New Roman" w:hAnsi="Times New Roman" w:cs="Times New Roman"/>
                <w:b/>
                <w:sz w:val="20"/>
              </w:rPr>
            </w:pPr>
            <w:bookmarkStart w:id="2" w:name="_Hlk90460400"/>
            <w:r>
              <w:rPr>
                <w:rFonts w:ascii="Times New Roman" w:hAnsi="Times New Roman" w:cs="Times New Roman"/>
                <w:b/>
                <w:sz w:val="20"/>
              </w:rPr>
              <w:lastRenderedPageBreak/>
              <w:t>4</w:t>
            </w:r>
            <w:r w:rsidR="00252F32">
              <w:rPr>
                <w:rFonts w:ascii="Times New Roman" w:hAnsi="Times New Roman" w:cs="Times New Roman"/>
                <w:b/>
                <w:sz w:val="20"/>
              </w:rPr>
              <w:t>.</w:t>
            </w:r>
          </w:p>
        </w:tc>
        <w:tc>
          <w:tcPr>
            <w:tcW w:w="1843" w:type="dxa"/>
            <w:vAlign w:val="center"/>
          </w:tcPr>
          <w:p w14:paraId="3EAD1A1D" w14:textId="4D5FE2B9" w:rsidR="00766F26" w:rsidRDefault="00614324" w:rsidP="00252F32">
            <w:pPr>
              <w:spacing w:before="120" w:after="120"/>
              <w:jc w:val="center"/>
              <w:rPr>
                <w:rFonts w:ascii="Times New Roman" w:hAnsi="Times New Roman" w:cs="Times New Roman"/>
                <w:sz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11CF9C83" w14:textId="49427625" w:rsidR="00766F26" w:rsidRDefault="00614324" w:rsidP="00252F32">
            <w:pPr>
              <w:spacing w:before="120" w:after="120"/>
              <w:jc w:val="center"/>
              <w:rPr>
                <w:rFonts w:ascii="Times New Roman" w:hAnsi="Times New Roman" w:cs="Times New Roman"/>
                <w:sz w:val="20"/>
              </w:rPr>
            </w:pPr>
            <w:r w:rsidRPr="005B3FB5">
              <w:rPr>
                <w:rFonts w:ascii="Times New Roman" w:hAnsi="Times New Roman" w:cs="Times New Roman"/>
                <w:sz w:val="20"/>
                <w:szCs w:val="20"/>
              </w:rPr>
              <w:t>art. 1 pkt 4 projektu</w:t>
            </w:r>
          </w:p>
        </w:tc>
        <w:tc>
          <w:tcPr>
            <w:tcW w:w="5670" w:type="dxa"/>
            <w:vAlign w:val="center"/>
          </w:tcPr>
          <w:p w14:paraId="346F3F88" w14:textId="0994EB63" w:rsidR="00B1774B" w:rsidRDefault="00B1774B" w:rsidP="00B1774B">
            <w:pPr>
              <w:pStyle w:val="Style28"/>
              <w:widowControl/>
              <w:spacing w:line="240" w:lineRule="auto"/>
              <w:rPr>
                <w:sz w:val="20"/>
                <w:szCs w:val="20"/>
              </w:rPr>
            </w:pPr>
            <w:r w:rsidRPr="000A5E3D">
              <w:rPr>
                <w:sz w:val="20"/>
                <w:szCs w:val="20"/>
              </w:rPr>
              <w:t>przepis jest zbędny. Przepis ten nie zawierał ograniczeń w zakresie terminu do złożenia oświadczenia woli. Roczny termin określony w art. 88 §</w:t>
            </w:r>
            <w:r w:rsidR="004E46FE">
              <w:rPr>
                <w:sz w:val="20"/>
                <w:szCs w:val="20"/>
              </w:rPr>
              <w:t xml:space="preserve"> </w:t>
            </w:r>
            <w:r w:rsidRPr="000A5E3D">
              <w:rPr>
                <w:sz w:val="20"/>
                <w:szCs w:val="20"/>
              </w:rPr>
              <w:t>2 k.c. jest wystarczający. Odesłanie w treści projektowanego art. 1019 §</w:t>
            </w:r>
            <w:r w:rsidR="004E46FE">
              <w:rPr>
                <w:sz w:val="20"/>
                <w:szCs w:val="20"/>
              </w:rPr>
              <w:t xml:space="preserve"> </w:t>
            </w:r>
            <w:r w:rsidRPr="000A5E3D">
              <w:rPr>
                <w:sz w:val="20"/>
                <w:szCs w:val="20"/>
              </w:rPr>
              <w:t>1 pkt 3 k.c. do art. 88 §1 k.c. jest błędne, termin jest bowiem określony w art. 88 §</w:t>
            </w:r>
            <w:r w:rsidR="004E46FE">
              <w:rPr>
                <w:sz w:val="20"/>
                <w:szCs w:val="20"/>
              </w:rPr>
              <w:t xml:space="preserve"> </w:t>
            </w:r>
            <w:r w:rsidRPr="000A5E3D">
              <w:rPr>
                <w:sz w:val="20"/>
                <w:szCs w:val="20"/>
              </w:rPr>
              <w:t>2 k.c. zresztą odesłanie jest niepotrzebne z uwagi na odesłanie zawarte w art. 1019 §</w:t>
            </w:r>
            <w:r w:rsidR="004E46FE">
              <w:rPr>
                <w:sz w:val="20"/>
                <w:szCs w:val="20"/>
              </w:rPr>
              <w:t xml:space="preserve"> </w:t>
            </w:r>
            <w:r w:rsidRPr="000A5E3D">
              <w:rPr>
                <w:sz w:val="20"/>
                <w:szCs w:val="20"/>
              </w:rPr>
              <w:t>1 pkt 1 k.c. dlatego projektowany przepis powinien w mojej ocenie brzmieć następująco: „</w:t>
            </w:r>
            <w:r w:rsidRPr="000A5E3D">
              <w:rPr>
                <w:i/>
                <w:iCs/>
                <w:sz w:val="20"/>
                <w:szCs w:val="20"/>
              </w:rPr>
              <w:t>dla zachowania terminu wystarczające jest złożenie do sądu wniosku o odebranie oświadczenia o przyjęciu lub odrzuceniu spadku albo uchyleniu się od skutków prawnych oświadczenia o przyjęciu lub odrzuceniu spadku bądź niezłożenia tego oświadczenia w ustawowym terminie</w:t>
            </w:r>
            <w:r w:rsidRPr="000A5E3D">
              <w:rPr>
                <w:sz w:val="20"/>
                <w:szCs w:val="20"/>
              </w:rPr>
              <w:t>”</w:t>
            </w:r>
            <w:r w:rsidR="004E46FE">
              <w:rPr>
                <w:sz w:val="20"/>
                <w:szCs w:val="20"/>
              </w:rPr>
              <w:t>.</w:t>
            </w:r>
          </w:p>
          <w:p w14:paraId="64B3F620" w14:textId="79DA9191" w:rsidR="00766F26" w:rsidRPr="00B1774B" w:rsidRDefault="004E46FE" w:rsidP="00B1774B">
            <w:pPr>
              <w:pStyle w:val="Style28"/>
              <w:widowControl/>
              <w:spacing w:line="240" w:lineRule="auto"/>
              <w:rPr>
                <w:sz w:val="20"/>
                <w:szCs w:val="20"/>
              </w:rPr>
            </w:pPr>
            <w:r>
              <w:rPr>
                <w:sz w:val="20"/>
                <w:szCs w:val="20"/>
              </w:rPr>
              <w:t>N</w:t>
            </w:r>
            <w:r w:rsidR="00B1774B" w:rsidRPr="000A5E3D">
              <w:rPr>
                <w:sz w:val="20"/>
                <w:szCs w:val="20"/>
              </w:rPr>
              <w:t xml:space="preserve">iewłaściwy szyk zdania </w:t>
            </w:r>
            <w:r>
              <w:rPr>
                <w:sz w:val="20"/>
                <w:szCs w:val="20"/>
              </w:rPr>
              <w:t xml:space="preserve">- </w:t>
            </w:r>
            <w:r w:rsidR="00B1774B" w:rsidRPr="000A5E3D">
              <w:rPr>
                <w:sz w:val="20"/>
                <w:szCs w:val="20"/>
              </w:rPr>
              <w:t>„do sądu” powinno być przed „wniosku”, odesłanie do treści art. 88</w:t>
            </w:r>
            <w:r>
              <w:rPr>
                <w:sz w:val="20"/>
                <w:szCs w:val="20"/>
              </w:rPr>
              <w:t xml:space="preserve"> </w:t>
            </w:r>
            <w:r w:rsidR="00B1774B" w:rsidRPr="000A5E3D">
              <w:rPr>
                <w:sz w:val="20"/>
                <w:szCs w:val="20"/>
              </w:rPr>
              <w:t>§</w:t>
            </w:r>
            <w:r>
              <w:rPr>
                <w:sz w:val="20"/>
                <w:szCs w:val="20"/>
              </w:rPr>
              <w:t xml:space="preserve"> </w:t>
            </w:r>
            <w:r w:rsidR="00B1774B" w:rsidRPr="000A5E3D">
              <w:rPr>
                <w:sz w:val="20"/>
                <w:szCs w:val="20"/>
              </w:rPr>
              <w:t xml:space="preserve">1 k.c. jest błędne (przepis ten nie zawiera wskazania terminu) i zbędne z uwagi na ogólne odesłanie, nie ma potrzeby wskazywać, że złożenie wniosku powinno nastąpić przed upływem terminu, przepis ten powinien brzmieć w sposób następujący: </w:t>
            </w:r>
            <w:r w:rsidR="00B1774B" w:rsidRPr="000A5E3D">
              <w:rPr>
                <w:rFonts w:eastAsia="Times New Roman"/>
                <w:bCs/>
                <w:sz w:val="20"/>
                <w:szCs w:val="20"/>
              </w:rPr>
              <w:t>„</w:t>
            </w:r>
            <w:r w:rsidR="00B1774B" w:rsidRPr="000A5E3D">
              <w:rPr>
                <w:rFonts w:eastAsia="Times New Roman"/>
                <w:bCs/>
                <w:i/>
                <w:iCs/>
                <w:sz w:val="20"/>
                <w:szCs w:val="20"/>
              </w:rPr>
              <w:t xml:space="preserve">3) </w:t>
            </w:r>
            <w:bookmarkStart w:id="3" w:name="_Hlk98164947"/>
            <w:r w:rsidR="00B1774B" w:rsidRPr="000A5E3D">
              <w:rPr>
                <w:rFonts w:eastAsia="Times New Roman"/>
                <w:i/>
                <w:iCs/>
                <w:sz w:val="20"/>
                <w:szCs w:val="20"/>
              </w:rPr>
              <w:t xml:space="preserve">dla zachowania terminu, </w:t>
            </w:r>
            <w:r w:rsidR="00B1774B" w:rsidRPr="000A5E3D">
              <w:rPr>
                <w:i/>
                <w:iCs/>
                <w:sz w:val="20"/>
                <w:szCs w:val="20"/>
              </w:rPr>
              <w:t xml:space="preserve">wystarczające jest </w:t>
            </w:r>
            <w:r w:rsidR="007B7C30" w:rsidRPr="000A5E3D">
              <w:rPr>
                <w:i/>
                <w:iCs/>
                <w:sz w:val="20"/>
                <w:szCs w:val="20"/>
              </w:rPr>
              <w:t>złożenie do</w:t>
            </w:r>
            <w:r w:rsidR="00B1774B" w:rsidRPr="000A5E3D">
              <w:rPr>
                <w:i/>
                <w:iCs/>
                <w:sz w:val="20"/>
                <w:szCs w:val="20"/>
              </w:rPr>
              <w:t xml:space="preserve"> sądu </w:t>
            </w:r>
            <w:r w:rsidR="007B7C30" w:rsidRPr="000A5E3D">
              <w:rPr>
                <w:i/>
                <w:iCs/>
                <w:sz w:val="20"/>
                <w:szCs w:val="20"/>
              </w:rPr>
              <w:t>wniosku o</w:t>
            </w:r>
            <w:r w:rsidR="00B1774B" w:rsidRPr="000A5E3D">
              <w:rPr>
                <w:i/>
                <w:iCs/>
                <w:sz w:val="20"/>
                <w:szCs w:val="20"/>
              </w:rPr>
              <w:t xml:space="preserve"> odebranie oświadczenia o uchylenie się od skutków prawnych oświadczenia</w:t>
            </w:r>
            <w:r w:rsidR="00B1774B" w:rsidRPr="000A5E3D">
              <w:rPr>
                <w:rFonts w:eastAsia="Times New Roman"/>
                <w:i/>
                <w:iCs/>
                <w:sz w:val="20"/>
                <w:szCs w:val="20"/>
              </w:rPr>
              <w:t>.</w:t>
            </w:r>
            <w:r w:rsidR="00B1774B" w:rsidRPr="000A5E3D">
              <w:rPr>
                <w:rFonts w:eastAsia="Times New Roman"/>
                <w:sz w:val="20"/>
                <w:szCs w:val="20"/>
              </w:rPr>
              <w:t>”</w:t>
            </w:r>
            <w:bookmarkEnd w:id="3"/>
          </w:p>
        </w:tc>
        <w:tc>
          <w:tcPr>
            <w:tcW w:w="4076" w:type="dxa"/>
          </w:tcPr>
          <w:p w14:paraId="6C8BE642" w14:textId="720E951B" w:rsidR="00B1774B" w:rsidRPr="00B1774B" w:rsidRDefault="00B1774B" w:rsidP="00B1774B">
            <w:pPr>
              <w:autoSpaceDE w:val="0"/>
              <w:autoSpaceDN w:val="0"/>
              <w:adjustRightInd w:val="0"/>
              <w:jc w:val="both"/>
              <w:rPr>
                <w:rStyle w:val="FontStyle53"/>
                <w:rFonts w:eastAsia="Times New Roman"/>
                <w:b/>
                <w:bCs/>
                <w:sz w:val="20"/>
                <w:szCs w:val="20"/>
                <w:lang w:eastAsia="pl-PL"/>
              </w:rPr>
            </w:pPr>
            <w:r>
              <w:rPr>
                <w:rFonts w:ascii="Times New Roman" w:eastAsia="Times New Roman" w:hAnsi="Times New Roman" w:cs="Times New Roman"/>
                <w:b/>
                <w:bCs/>
                <w:sz w:val="20"/>
                <w:szCs w:val="20"/>
                <w:lang w:eastAsia="pl-PL"/>
              </w:rPr>
              <w:t>Uwaga powtórzona</w:t>
            </w:r>
          </w:p>
          <w:p w14:paraId="72B4798B" w14:textId="77777777" w:rsidR="00B1774B" w:rsidRDefault="00B1774B" w:rsidP="00B1774B">
            <w:pPr>
              <w:keepNext/>
              <w:jc w:val="both"/>
              <w:rPr>
                <w:rStyle w:val="FontStyle53"/>
                <w:rFonts w:eastAsiaTheme="minorEastAsia"/>
                <w:b/>
                <w:bCs/>
                <w:lang w:eastAsia="pl-PL"/>
              </w:rPr>
            </w:pPr>
          </w:p>
          <w:p w14:paraId="72399C6C" w14:textId="61F69F03" w:rsidR="00337933" w:rsidRPr="004E46FE" w:rsidRDefault="00337933" w:rsidP="004E46FE">
            <w:pPr>
              <w:spacing w:after="120"/>
              <w:jc w:val="both"/>
              <w:rPr>
                <w:rFonts w:ascii="Times New Roman" w:hAnsi="Times New Roman" w:cs="Times New Roman"/>
                <w:sz w:val="20"/>
                <w:szCs w:val="20"/>
              </w:rPr>
            </w:pPr>
            <w:r w:rsidRPr="00745B44">
              <w:rPr>
                <w:rFonts w:ascii="Times New Roman" w:hAnsi="Times New Roman" w:cs="Times New Roman"/>
                <w:sz w:val="20"/>
              </w:rPr>
              <w:t>Szczegółowe stanowisko projektodawcy zostało zamieszczone na stronie</w:t>
            </w:r>
            <w:r>
              <w:rPr>
                <w:rFonts w:ascii="Times New Roman" w:hAnsi="Times New Roman" w:cs="Times New Roman"/>
                <w:sz w:val="20"/>
              </w:rPr>
              <w:t xml:space="preserve"> </w:t>
            </w:r>
            <w:r w:rsidR="00255E39">
              <w:rPr>
                <w:rFonts w:ascii="Times New Roman" w:hAnsi="Times New Roman" w:cs="Times New Roman"/>
                <w:sz w:val="20"/>
              </w:rPr>
              <w:t>31</w:t>
            </w:r>
            <w:r w:rsidRPr="00745B44">
              <w:rPr>
                <w:rFonts w:ascii="Times New Roman" w:hAnsi="Times New Roman" w:cs="Times New Roman"/>
                <w:sz w:val="20"/>
              </w:rPr>
              <w:t xml:space="preserve"> </w:t>
            </w:r>
            <w:r w:rsidRPr="00D44C5D">
              <w:rPr>
                <w:rFonts w:ascii="Times New Roman" w:hAnsi="Times New Roman" w:cs="Times New Roman"/>
                <w:i/>
                <w:iCs/>
                <w:sz w:val="20"/>
              </w:rPr>
              <w:t>tabeli</w:t>
            </w:r>
            <w:r w:rsidRPr="00D44C5D">
              <w:rPr>
                <w:i/>
                <w:iCs/>
              </w:rPr>
              <w:t xml:space="preserve"> </w:t>
            </w:r>
            <w:r w:rsidRPr="00D44C5D">
              <w:rPr>
                <w:rFonts w:ascii="Times New Roman" w:hAnsi="Times New Roman" w:cs="Times New Roman"/>
                <w:i/>
                <w:iCs/>
                <w:sz w:val="20"/>
              </w:rPr>
              <w:t>przedstawiającej odniesienie do uwag</w:t>
            </w:r>
            <w:r w:rsidR="004E46FE">
              <w:rPr>
                <w:rFonts w:ascii="Times New Roman" w:hAnsi="Times New Roman" w:cs="Times New Roman"/>
                <w:i/>
                <w:iCs/>
                <w:sz w:val="20"/>
              </w:rPr>
              <w:t xml:space="preserve"> </w:t>
            </w:r>
            <w:r w:rsidR="004E46FE" w:rsidRPr="009D4717">
              <w:rPr>
                <w:rFonts w:ascii="Times New Roman" w:hAnsi="Times New Roman" w:cs="Times New Roman"/>
                <w:sz w:val="20"/>
                <w:szCs w:val="20"/>
              </w:rPr>
              <w:t>zgłoszonych w ramach konsultacji publicznych do projektu z dnia 15 grudnia 2021 r</w:t>
            </w:r>
            <w:r w:rsidR="004E46FE">
              <w:rPr>
                <w:rFonts w:ascii="Times New Roman" w:hAnsi="Times New Roman" w:cs="Times New Roman"/>
                <w:sz w:val="20"/>
                <w:szCs w:val="20"/>
              </w:rPr>
              <w:t>.</w:t>
            </w:r>
          </w:p>
          <w:p w14:paraId="519C3F6A" w14:textId="77777777" w:rsidR="00337933" w:rsidRDefault="00337933" w:rsidP="00B1774B">
            <w:pPr>
              <w:keepNext/>
              <w:jc w:val="both"/>
              <w:rPr>
                <w:rStyle w:val="FontStyle53"/>
                <w:rFonts w:eastAsiaTheme="minorEastAsia"/>
                <w:b/>
                <w:bCs/>
                <w:sz w:val="20"/>
                <w:szCs w:val="20"/>
                <w:lang w:eastAsia="pl-PL"/>
              </w:rPr>
            </w:pPr>
          </w:p>
          <w:p w14:paraId="609662B1" w14:textId="6DD5471D" w:rsidR="00B1774B" w:rsidRPr="00255E39" w:rsidRDefault="00255E39" w:rsidP="00B1774B">
            <w:pPr>
              <w:keepNext/>
              <w:jc w:val="both"/>
              <w:rPr>
                <w:rFonts w:ascii="Times New Roman" w:hAnsi="Times New Roman" w:cs="Times New Roman"/>
                <w:sz w:val="20"/>
                <w:szCs w:val="20"/>
              </w:rPr>
            </w:pPr>
            <w:r w:rsidRPr="00255E39">
              <w:rPr>
                <w:rFonts w:ascii="Times New Roman" w:hAnsi="Times New Roman" w:cs="Times New Roman"/>
                <w:sz w:val="20"/>
                <w:szCs w:val="20"/>
              </w:rPr>
              <w:t>Podkreślenia wymaga, że uwaga ta została częściowo uwzględniona</w:t>
            </w:r>
            <w:r>
              <w:rPr>
                <w:rFonts w:ascii="Times New Roman" w:hAnsi="Times New Roman" w:cs="Times New Roman"/>
                <w:sz w:val="20"/>
                <w:szCs w:val="20"/>
              </w:rPr>
              <w:t xml:space="preserve"> w ten sposób, że zmieniono brzmienie </w:t>
            </w:r>
            <w:r w:rsidRPr="00442731">
              <w:rPr>
                <w:rFonts w:ascii="Times New Roman" w:hAnsi="Times New Roman" w:cs="Times New Roman"/>
                <w:sz w:val="20"/>
                <w:szCs w:val="20"/>
              </w:rPr>
              <w:t>projektowanemu art. 1 pkt 4</w:t>
            </w:r>
            <w:r>
              <w:rPr>
                <w:rFonts w:ascii="Times New Roman" w:hAnsi="Times New Roman" w:cs="Times New Roman"/>
                <w:sz w:val="20"/>
                <w:szCs w:val="20"/>
              </w:rPr>
              <w:t>.</w:t>
            </w:r>
          </w:p>
          <w:p w14:paraId="66F60DBA" w14:textId="736DF5E9" w:rsidR="00D95599" w:rsidRPr="00322BC5" w:rsidRDefault="00D95599" w:rsidP="00B1774B">
            <w:pPr>
              <w:spacing w:before="120" w:after="120"/>
              <w:jc w:val="both"/>
              <w:rPr>
                <w:rFonts w:ascii="Times New Roman" w:eastAsia="Times New Roman" w:hAnsi="Times New Roman" w:cs="Times New Roman"/>
                <w:sz w:val="20"/>
                <w:szCs w:val="20"/>
                <w:lang w:eastAsia="pl-PL"/>
              </w:rPr>
            </w:pPr>
          </w:p>
        </w:tc>
      </w:tr>
      <w:bookmarkEnd w:id="2"/>
      <w:tr w:rsidR="00B1774B" w14:paraId="63982260" w14:textId="77777777" w:rsidTr="00B241C8">
        <w:trPr>
          <w:jc w:val="center"/>
        </w:trPr>
        <w:tc>
          <w:tcPr>
            <w:tcW w:w="562" w:type="dxa"/>
          </w:tcPr>
          <w:p w14:paraId="210B04AA" w14:textId="5317B149" w:rsidR="00B1774B" w:rsidRDefault="008C150E" w:rsidP="00B1774B">
            <w:pPr>
              <w:spacing w:before="120"/>
              <w:ind w:right="-534"/>
              <w:rPr>
                <w:rFonts w:ascii="Times New Roman" w:hAnsi="Times New Roman" w:cs="Times New Roman"/>
                <w:b/>
                <w:sz w:val="20"/>
              </w:rPr>
            </w:pPr>
            <w:r>
              <w:rPr>
                <w:rFonts w:ascii="Times New Roman" w:hAnsi="Times New Roman" w:cs="Times New Roman"/>
                <w:b/>
                <w:sz w:val="20"/>
              </w:rPr>
              <w:t>5</w:t>
            </w:r>
            <w:r w:rsidR="00B1774B">
              <w:rPr>
                <w:rFonts w:ascii="Times New Roman" w:hAnsi="Times New Roman" w:cs="Times New Roman"/>
                <w:b/>
                <w:sz w:val="20"/>
              </w:rPr>
              <w:t>.</w:t>
            </w:r>
          </w:p>
        </w:tc>
        <w:tc>
          <w:tcPr>
            <w:tcW w:w="1843" w:type="dxa"/>
            <w:vAlign w:val="center"/>
          </w:tcPr>
          <w:p w14:paraId="3EBEBE02" w14:textId="4FF57AA7" w:rsidR="00B1774B" w:rsidRPr="005B3FB5" w:rsidRDefault="00B1774B" w:rsidP="00B1774B">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368C1ACF" w14:textId="140C22EF" w:rsidR="00B1774B" w:rsidRPr="005B3FB5" w:rsidRDefault="00B1774B" w:rsidP="00B1774B">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1 pkt </w:t>
            </w:r>
            <w:r>
              <w:rPr>
                <w:rFonts w:ascii="Times New Roman" w:hAnsi="Times New Roman" w:cs="Times New Roman"/>
                <w:sz w:val="20"/>
                <w:szCs w:val="20"/>
              </w:rPr>
              <w:t>5</w:t>
            </w:r>
            <w:r w:rsidRPr="005B3FB5">
              <w:rPr>
                <w:rFonts w:ascii="Times New Roman" w:hAnsi="Times New Roman" w:cs="Times New Roman"/>
                <w:sz w:val="20"/>
                <w:szCs w:val="20"/>
              </w:rPr>
              <w:t xml:space="preserve"> projektu</w:t>
            </w:r>
          </w:p>
        </w:tc>
        <w:tc>
          <w:tcPr>
            <w:tcW w:w="5670" w:type="dxa"/>
            <w:vAlign w:val="center"/>
          </w:tcPr>
          <w:p w14:paraId="37ED4700" w14:textId="61AFF1AD" w:rsidR="00B1774B" w:rsidRPr="000A5E3D" w:rsidRDefault="004E46FE" w:rsidP="00B1774B">
            <w:pPr>
              <w:pStyle w:val="Style28"/>
              <w:widowControl/>
              <w:spacing w:line="240" w:lineRule="auto"/>
              <w:rPr>
                <w:sz w:val="20"/>
                <w:szCs w:val="20"/>
              </w:rPr>
            </w:pPr>
            <w:r>
              <w:rPr>
                <w:rFonts w:eastAsia="Times New Roman"/>
                <w:sz w:val="20"/>
                <w:szCs w:val="20"/>
              </w:rPr>
              <w:t>P</w:t>
            </w:r>
            <w:r w:rsidR="00B1774B" w:rsidRPr="005B3FB5">
              <w:rPr>
                <w:rFonts w:eastAsia="Times New Roman"/>
                <w:sz w:val="20"/>
                <w:szCs w:val="20"/>
              </w:rPr>
              <w:t xml:space="preserve">rzepis ten jest zbędny a nawet szkodliwy. Jego wprowadzenie zmuszałoby wierzycieli do wszczynania kosztownych postępowań nawet w przypadkach niewielkich wierzytelności. Uwagę tą można zobrazować następującym przykładem „Spadek po X, bezdzietnym kawalerze, jedynaku, którego dziadkowie i rodzice byli jedynakami, nabyła gmina Y. W </w:t>
            </w:r>
            <w:r w:rsidR="007B7C30" w:rsidRPr="005B3FB5">
              <w:rPr>
                <w:rFonts w:eastAsia="Times New Roman"/>
                <w:sz w:val="20"/>
                <w:szCs w:val="20"/>
              </w:rPr>
              <w:t>skład spadku</w:t>
            </w:r>
            <w:r w:rsidR="00B1774B" w:rsidRPr="005B3FB5">
              <w:rPr>
                <w:rFonts w:eastAsia="Times New Roman"/>
                <w:sz w:val="20"/>
                <w:szCs w:val="20"/>
              </w:rPr>
              <w:t xml:space="preserve"> wchodzi prawo własności lokalu mieszkalnego. X pozostawił dług w kwocie 2000 złotych wynikający z umowy pożyczki zawartej z </w:t>
            </w:r>
            <w:proofErr w:type="spellStart"/>
            <w:r w:rsidR="00B1774B" w:rsidRPr="005B3FB5">
              <w:rPr>
                <w:rFonts w:eastAsia="Times New Roman"/>
                <w:sz w:val="20"/>
                <w:szCs w:val="20"/>
              </w:rPr>
              <w:t>Z</w:t>
            </w:r>
            <w:proofErr w:type="spellEnd"/>
            <w:r w:rsidR="00B1774B" w:rsidRPr="005B3FB5">
              <w:rPr>
                <w:rFonts w:eastAsia="Times New Roman"/>
                <w:sz w:val="20"/>
                <w:szCs w:val="20"/>
              </w:rPr>
              <w:t xml:space="preserve">. Wierzyciel spadkodawcy zainicjował postępowanie o stwierdzeniu nabycia spadku. Po jego zakończeniu i przeprowadzeniu postępowania o spis inwentarza, w celu realizacji swojego roszczenia jest zmuszony do wszczęcia postępowania egzekucyjnego z lokalu który nabyła Gmina. </w:t>
            </w:r>
            <w:r w:rsidR="00B1774B" w:rsidRPr="000A5E3D">
              <w:rPr>
                <w:rFonts w:eastAsia="Times New Roman"/>
                <w:sz w:val="20"/>
                <w:szCs w:val="20"/>
              </w:rPr>
              <w:t>Co więcej wobec brzmienia tego przepisu Gmina nie może zaspokoić roszczenia wierzyciela z innych środków”.</w:t>
            </w:r>
            <w:r w:rsidR="00B1774B" w:rsidRPr="005B3FB5">
              <w:rPr>
                <w:rFonts w:eastAsia="Times New Roman"/>
                <w:sz w:val="20"/>
                <w:szCs w:val="20"/>
              </w:rPr>
              <w:t xml:space="preserve"> Absurdalność tego przepisu uwidacznia się w sytuacji zbycia przez spadkodawcę składnika majątku spadkowego. W razie gdyby po stwierdzeniu </w:t>
            </w:r>
            <w:r w:rsidR="00B1774B" w:rsidRPr="005B3FB5">
              <w:rPr>
                <w:rFonts w:eastAsia="Times New Roman"/>
                <w:sz w:val="20"/>
                <w:szCs w:val="20"/>
              </w:rPr>
              <w:lastRenderedPageBreak/>
              <w:t xml:space="preserve">nabycia spadku Gmina sprzedała lokal Z i nie było innego majątku wówczas nie ponosiłaby odpowiedzialności wobec wierzycieli spadkowych.  Wraz z projektowaną zmianą nie wprowadza się żadnych przepisów nakazujących Skarbowi Państwa lub gminie zachowanie spadku, jego likwidację przypominającą likwidację majątku osoby </w:t>
            </w:r>
            <w:r w:rsidR="007B7C30" w:rsidRPr="005B3FB5">
              <w:rPr>
                <w:rFonts w:eastAsia="Times New Roman"/>
                <w:sz w:val="20"/>
                <w:szCs w:val="20"/>
              </w:rPr>
              <w:t>prawnej itp.</w:t>
            </w:r>
            <w:r w:rsidR="00B1774B" w:rsidRPr="005B3FB5">
              <w:rPr>
                <w:rFonts w:eastAsia="Times New Roman"/>
                <w:sz w:val="20"/>
                <w:szCs w:val="20"/>
              </w:rPr>
              <w:t xml:space="preserve"> Uzasadnienie projektu wskazujące na uprzywilejowaną sytuację wierzyciela pomija fakt, iż zarówno Gmina ostatniego miejsca zamieszkania spadkodawcy jak i </w:t>
            </w:r>
            <w:r w:rsidR="007B7C30" w:rsidRPr="005B3FB5">
              <w:rPr>
                <w:rFonts w:eastAsia="Times New Roman"/>
                <w:sz w:val="20"/>
                <w:szCs w:val="20"/>
              </w:rPr>
              <w:t>Skarb Państwa</w:t>
            </w:r>
            <w:r w:rsidR="00B1774B" w:rsidRPr="005B3FB5">
              <w:rPr>
                <w:rFonts w:eastAsia="Times New Roman"/>
                <w:sz w:val="20"/>
                <w:szCs w:val="20"/>
              </w:rPr>
              <w:t xml:space="preserve"> spadek nabywają z dobrodziejstwem inwentarza. Z tego względu odpowiedzialność tych podmiotów jest ograniczona kwotowo do stanu czynnego spadku. Z tego względu teza o uprzywilejowanej pozycji wierzyciela jest fałszywa.</w:t>
            </w:r>
          </w:p>
        </w:tc>
        <w:tc>
          <w:tcPr>
            <w:tcW w:w="4076" w:type="dxa"/>
          </w:tcPr>
          <w:p w14:paraId="7E4C2A45" w14:textId="5ED12701" w:rsidR="001A5626" w:rsidRDefault="001A5626" w:rsidP="001A5626">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Uwaga powtórzona</w:t>
            </w:r>
          </w:p>
          <w:p w14:paraId="18D242E2" w14:textId="77777777" w:rsidR="001A5626" w:rsidRPr="00B1774B" w:rsidRDefault="001A5626" w:rsidP="001A5626">
            <w:pPr>
              <w:autoSpaceDE w:val="0"/>
              <w:autoSpaceDN w:val="0"/>
              <w:adjustRightInd w:val="0"/>
              <w:jc w:val="both"/>
              <w:rPr>
                <w:rStyle w:val="FontStyle53"/>
                <w:rFonts w:eastAsia="Times New Roman"/>
                <w:b/>
                <w:bCs/>
                <w:sz w:val="20"/>
                <w:szCs w:val="20"/>
                <w:lang w:eastAsia="pl-PL"/>
              </w:rPr>
            </w:pPr>
          </w:p>
          <w:p w14:paraId="220617F0" w14:textId="0E136EF3" w:rsidR="001A5626" w:rsidRPr="004E46FE" w:rsidRDefault="001A5626" w:rsidP="004E46FE">
            <w:pPr>
              <w:spacing w:after="120"/>
              <w:jc w:val="both"/>
              <w:rPr>
                <w:rFonts w:ascii="Times New Roman" w:hAnsi="Times New Roman" w:cs="Times New Roman"/>
                <w:sz w:val="20"/>
                <w:szCs w:val="20"/>
              </w:rPr>
            </w:pPr>
            <w:r w:rsidRPr="00745B44">
              <w:rPr>
                <w:rFonts w:ascii="Times New Roman" w:hAnsi="Times New Roman" w:cs="Times New Roman"/>
                <w:sz w:val="20"/>
              </w:rPr>
              <w:t>Szczegółowe stanowisko projektodawcy zostało zamieszczone na stronie</w:t>
            </w:r>
            <w:r>
              <w:rPr>
                <w:rFonts w:ascii="Times New Roman" w:hAnsi="Times New Roman" w:cs="Times New Roman"/>
                <w:sz w:val="20"/>
              </w:rPr>
              <w:t xml:space="preserve"> 32 i 33</w:t>
            </w:r>
            <w:r w:rsidRPr="00745B44">
              <w:rPr>
                <w:rFonts w:ascii="Times New Roman" w:hAnsi="Times New Roman" w:cs="Times New Roman"/>
                <w:sz w:val="20"/>
              </w:rPr>
              <w:t xml:space="preserve"> </w:t>
            </w:r>
            <w:r w:rsidRPr="00D44C5D">
              <w:rPr>
                <w:rFonts w:ascii="Times New Roman" w:hAnsi="Times New Roman" w:cs="Times New Roman"/>
                <w:i/>
                <w:iCs/>
                <w:sz w:val="20"/>
              </w:rPr>
              <w:t>tabeli</w:t>
            </w:r>
            <w:r w:rsidRPr="00D44C5D">
              <w:rPr>
                <w:i/>
                <w:iCs/>
              </w:rPr>
              <w:t xml:space="preserve"> </w:t>
            </w:r>
            <w:r w:rsidRPr="00D44C5D">
              <w:rPr>
                <w:rFonts w:ascii="Times New Roman" w:hAnsi="Times New Roman" w:cs="Times New Roman"/>
                <w:i/>
                <w:iCs/>
                <w:sz w:val="20"/>
              </w:rPr>
              <w:t>przedstawiającej odniesienie do uwag</w:t>
            </w:r>
            <w:r w:rsidR="004E46FE">
              <w:rPr>
                <w:rFonts w:ascii="Times New Roman" w:hAnsi="Times New Roman" w:cs="Times New Roman"/>
                <w:i/>
                <w:iCs/>
                <w:sz w:val="20"/>
              </w:rPr>
              <w:t xml:space="preserve"> </w:t>
            </w:r>
            <w:r w:rsidR="004E46FE" w:rsidRPr="009D4717">
              <w:rPr>
                <w:rFonts w:ascii="Times New Roman" w:hAnsi="Times New Roman" w:cs="Times New Roman"/>
                <w:sz w:val="20"/>
                <w:szCs w:val="20"/>
              </w:rPr>
              <w:t>zgłoszonych w ramach konsultacji publicznych do projektu z dnia 15 grudnia 2021 r.</w:t>
            </w:r>
          </w:p>
          <w:p w14:paraId="24C98FA3" w14:textId="36BF6E4E" w:rsidR="00B1774B" w:rsidRPr="00322BC5" w:rsidRDefault="00016B16" w:rsidP="00F869BF">
            <w:pPr>
              <w:spacing w:before="120"/>
              <w:jc w:val="both"/>
              <w:rPr>
                <w:rFonts w:ascii="Times New Roman" w:eastAsia="Times New Roman" w:hAnsi="Times New Roman" w:cs="Times New Roman"/>
                <w:sz w:val="20"/>
                <w:szCs w:val="20"/>
                <w:lang w:eastAsia="pl-PL"/>
              </w:rPr>
            </w:pPr>
            <w:r>
              <w:rPr>
                <w:rFonts w:ascii="Times New Roman" w:eastAsia="Calibri" w:hAnsi="Times New Roman" w:cs="Times New Roman"/>
                <w:sz w:val="20"/>
                <w:szCs w:val="20"/>
              </w:rPr>
              <w:t xml:space="preserve">Projektodawca po dokonaniu szczegółowej analizy uwag zgłoszonych w ramach konsultacji publicznych, opiniowania i uzgodnień międzyresortowych oraz po zasięgnięciu dodatkowej opinii zdecydował się </w:t>
            </w:r>
            <w:r w:rsidR="007B7C30">
              <w:rPr>
                <w:rFonts w:ascii="Times New Roman" w:eastAsia="Calibri" w:hAnsi="Times New Roman" w:cs="Times New Roman"/>
                <w:sz w:val="20"/>
                <w:szCs w:val="20"/>
              </w:rPr>
              <w:t xml:space="preserve">na </w:t>
            </w:r>
            <w:r w:rsidR="007B7C30">
              <w:rPr>
                <w:rFonts w:ascii="Times New Roman" w:eastAsia="Times New Roman" w:hAnsi="Times New Roman" w:cs="Times New Roman"/>
                <w:sz w:val="20"/>
                <w:szCs w:val="20"/>
                <w:lang w:eastAsia="pl-PL"/>
              </w:rPr>
              <w:t>rezygnację</w:t>
            </w:r>
            <w:r w:rsidR="006F7936">
              <w:rPr>
                <w:rFonts w:ascii="Times New Roman" w:eastAsia="Times New Roman" w:hAnsi="Times New Roman" w:cs="Times New Roman"/>
                <w:sz w:val="20"/>
                <w:szCs w:val="20"/>
                <w:lang w:eastAsia="pl-PL"/>
              </w:rPr>
              <w:t xml:space="preserve"> z tej zmiany. A zatem uwagi w tym zakresie stały się bezprzedmiotowe.</w:t>
            </w:r>
          </w:p>
        </w:tc>
      </w:tr>
      <w:tr w:rsidR="00050AFF" w14:paraId="025BF75A" w14:textId="77777777" w:rsidTr="00B241C8">
        <w:trPr>
          <w:jc w:val="center"/>
        </w:trPr>
        <w:tc>
          <w:tcPr>
            <w:tcW w:w="562" w:type="dxa"/>
          </w:tcPr>
          <w:p w14:paraId="40100DE2" w14:textId="48888D7C" w:rsidR="00050AFF" w:rsidRDefault="008C150E" w:rsidP="00B1774B">
            <w:pPr>
              <w:spacing w:before="120"/>
              <w:ind w:right="-534"/>
              <w:rPr>
                <w:rFonts w:ascii="Times New Roman" w:hAnsi="Times New Roman" w:cs="Times New Roman"/>
                <w:b/>
                <w:sz w:val="20"/>
              </w:rPr>
            </w:pPr>
            <w:r>
              <w:rPr>
                <w:rFonts w:ascii="Times New Roman" w:hAnsi="Times New Roman" w:cs="Times New Roman"/>
                <w:b/>
                <w:sz w:val="20"/>
              </w:rPr>
              <w:t>6</w:t>
            </w:r>
            <w:r w:rsidR="00050AFF">
              <w:rPr>
                <w:rFonts w:ascii="Times New Roman" w:hAnsi="Times New Roman" w:cs="Times New Roman"/>
                <w:b/>
                <w:sz w:val="20"/>
              </w:rPr>
              <w:t>.</w:t>
            </w:r>
          </w:p>
        </w:tc>
        <w:tc>
          <w:tcPr>
            <w:tcW w:w="1843" w:type="dxa"/>
            <w:vAlign w:val="center"/>
          </w:tcPr>
          <w:p w14:paraId="42F15C69" w14:textId="613F17FE" w:rsidR="00050AFF" w:rsidRPr="005B3FB5" w:rsidRDefault="00050AFF" w:rsidP="00B1774B">
            <w:pPr>
              <w:spacing w:before="120" w:after="120"/>
              <w:jc w:val="center"/>
              <w:rPr>
                <w:rFonts w:ascii="Times New Roman" w:hAnsi="Times New Roman" w:cs="Times New Roman"/>
                <w:sz w:val="20"/>
                <w:szCs w:val="20"/>
              </w:rPr>
            </w:pPr>
            <w:bookmarkStart w:id="4" w:name="_Hlk101872407"/>
            <w:r>
              <w:rPr>
                <w:rFonts w:ascii="Times New Roman" w:hAnsi="Times New Roman" w:cs="Times New Roman"/>
                <w:sz w:val="20"/>
              </w:rPr>
              <w:t xml:space="preserve">Sad Rejonowy dla </w:t>
            </w:r>
            <w:proofErr w:type="spellStart"/>
            <w:r>
              <w:rPr>
                <w:rFonts w:ascii="Times New Roman" w:hAnsi="Times New Roman" w:cs="Times New Roman"/>
                <w:sz w:val="20"/>
              </w:rPr>
              <w:t>Krakowa-Nowej</w:t>
            </w:r>
            <w:proofErr w:type="spellEnd"/>
            <w:r>
              <w:rPr>
                <w:rFonts w:ascii="Times New Roman" w:hAnsi="Times New Roman" w:cs="Times New Roman"/>
                <w:sz w:val="20"/>
              </w:rPr>
              <w:t xml:space="preserve"> –Huty w Krakowie I Wydział Cywilny</w:t>
            </w:r>
            <w:bookmarkEnd w:id="4"/>
          </w:p>
        </w:tc>
        <w:tc>
          <w:tcPr>
            <w:tcW w:w="1843" w:type="dxa"/>
            <w:vAlign w:val="center"/>
          </w:tcPr>
          <w:p w14:paraId="407302A9" w14:textId="71F95C87" w:rsidR="00050AFF" w:rsidRPr="005B3FB5" w:rsidRDefault="00050AFF" w:rsidP="00B1774B">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2</w:t>
            </w:r>
            <w:r w:rsidRPr="005B3FB5">
              <w:rPr>
                <w:rFonts w:ascii="Times New Roman" w:hAnsi="Times New Roman" w:cs="Times New Roman"/>
                <w:sz w:val="20"/>
                <w:szCs w:val="20"/>
              </w:rPr>
              <w:t xml:space="preserve"> pkt </w:t>
            </w:r>
            <w:r>
              <w:rPr>
                <w:rFonts w:ascii="Times New Roman" w:hAnsi="Times New Roman" w:cs="Times New Roman"/>
                <w:sz w:val="20"/>
                <w:szCs w:val="20"/>
              </w:rPr>
              <w:t>1</w:t>
            </w:r>
            <w:r w:rsidRPr="005B3FB5">
              <w:rPr>
                <w:rFonts w:ascii="Times New Roman" w:hAnsi="Times New Roman" w:cs="Times New Roman"/>
                <w:sz w:val="20"/>
                <w:szCs w:val="20"/>
              </w:rPr>
              <w:t xml:space="preserve"> projektu</w:t>
            </w:r>
          </w:p>
        </w:tc>
        <w:tc>
          <w:tcPr>
            <w:tcW w:w="5670" w:type="dxa"/>
            <w:vAlign w:val="center"/>
          </w:tcPr>
          <w:p w14:paraId="1739D10F" w14:textId="69BAC962" w:rsidR="00050AFF" w:rsidRPr="00050AFF" w:rsidRDefault="00CF7C2B" w:rsidP="00050AFF">
            <w:pPr>
              <w:spacing w:before="120" w:after="120"/>
              <w:jc w:val="both"/>
              <w:rPr>
                <w:rFonts w:ascii="Times New Roman" w:hAnsi="Times New Roman" w:cs="Times New Roman"/>
                <w:sz w:val="20"/>
                <w:szCs w:val="20"/>
              </w:rPr>
            </w:pPr>
            <w:r>
              <w:rPr>
                <w:rFonts w:ascii="Times New Roman" w:hAnsi="Times New Roman" w:cs="Times New Roman"/>
                <w:sz w:val="20"/>
                <w:szCs w:val="20"/>
              </w:rPr>
              <w:t>P</w:t>
            </w:r>
            <w:r w:rsidR="00050AFF">
              <w:rPr>
                <w:rFonts w:ascii="Times New Roman" w:hAnsi="Times New Roman" w:cs="Times New Roman"/>
                <w:sz w:val="20"/>
                <w:szCs w:val="20"/>
              </w:rPr>
              <w:t>ozytywnie opiniuję odstąpienie od konieczności zgody Sądu rodzinnego na odrzucenie spadku w imieniu małoletniego , w sytuacji, gdy jest on powołany do dziedziczenia na skutek odrzucenia spadku przez swojego rodzi</w:t>
            </w:r>
            <w:r>
              <w:rPr>
                <w:rFonts w:ascii="Times New Roman" w:hAnsi="Times New Roman" w:cs="Times New Roman"/>
                <w:sz w:val="20"/>
                <w:szCs w:val="20"/>
              </w:rPr>
              <w:t>ca</w:t>
            </w:r>
            <w:r w:rsidR="00050AFF">
              <w:rPr>
                <w:rFonts w:ascii="Times New Roman" w:hAnsi="Times New Roman" w:cs="Times New Roman"/>
                <w:sz w:val="20"/>
                <w:szCs w:val="20"/>
              </w:rPr>
              <w:t xml:space="preserve">. Wprowadzone przepisy nie regulują jednak w jakiej </w:t>
            </w:r>
            <w:r w:rsidR="00050AFF" w:rsidRPr="00246E3D">
              <w:rPr>
                <w:rFonts w:ascii="Times New Roman" w:hAnsi="Times New Roman" w:cs="Times New Roman"/>
                <w:sz w:val="20"/>
                <w:szCs w:val="20"/>
              </w:rPr>
              <w:t xml:space="preserve">formie (pisemna, akt notarialny?) ma nastąpić zgoda drugiego rodzica na </w:t>
            </w:r>
            <w:bookmarkStart w:id="5" w:name="_Hlk101872581"/>
            <w:r w:rsidR="00050AFF" w:rsidRPr="00246E3D">
              <w:rPr>
                <w:rFonts w:ascii="Times New Roman" w:hAnsi="Times New Roman" w:cs="Times New Roman"/>
                <w:sz w:val="20"/>
                <w:szCs w:val="20"/>
              </w:rPr>
              <w:t>złożenie oświadczenia o odrzuceniu spadku</w:t>
            </w:r>
            <w:bookmarkEnd w:id="5"/>
            <w:r w:rsidR="00050AFF" w:rsidRPr="00246E3D">
              <w:rPr>
                <w:rFonts w:ascii="Times New Roman" w:hAnsi="Times New Roman" w:cs="Times New Roman"/>
                <w:sz w:val="20"/>
                <w:szCs w:val="20"/>
              </w:rPr>
              <w:t xml:space="preserve">. </w:t>
            </w:r>
          </w:p>
        </w:tc>
        <w:tc>
          <w:tcPr>
            <w:tcW w:w="4076" w:type="dxa"/>
          </w:tcPr>
          <w:p w14:paraId="141E3B95" w14:textId="2C0FF4A6" w:rsidR="00050AFF" w:rsidRDefault="00D266B0" w:rsidP="00F869BF">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Wyjaśnienie</w:t>
            </w:r>
          </w:p>
          <w:p w14:paraId="7B294C28" w14:textId="77777777" w:rsidR="00D266B0" w:rsidRDefault="00D266B0" w:rsidP="00F869BF">
            <w:pPr>
              <w:autoSpaceDE w:val="0"/>
              <w:autoSpaceDN w:val="0"/>
              <w:adjustRightInd w:val="0"/>
              <w:jc w:val="both"/>
              <w:rPr>
                <w:rFonts w:ascii="Times New Roman" w:eastAsia="Times New Roman" w:hAnsi="Times New Roman" w:cs="Times New Roman"/>
                <w:b/>
                <w:bCs/>
                <w:sz w:val="20"/>
                <w:szCs w:val="20"/>
                <w:lang w:eastAsia="pl-PL"/>
              </w:rPr>
            </w:pPr>
          </w:p>
          <w:p w14:paraId="70F58E70" w14:textId="35C92F52" w:rsidR="003E6552" w:rsidRPr="00142F04" w:rsidRDefault="003E6552" w:rsidP="00F869BF">
            <w:pPr>
              <w:autoSpaceDE w:val="0"/>
              <w:autoSpaceDN w:val="0"/>
              <w:adjustRightInd w:val="0"/>
              <w:jc w:val="both"/>
              <w:rPr>
                <w:rFonts w:ascii="Times New Roman" w:eastAsia="Times New Roman" w:hAnsi="Times New Roman" w:cs="Times New Roman"/>
                <w:b/>
                <w:bCs/>
                <w:sz w:val="20"/>
                <w:szCs w:val="20"/>
                <w:lang w:eastAsia="pl-PL"/>
              </w:rPr>
            </w:pPr>
            <w:r w:rsidRPr="00142F04">
              <w:rPr>
                <w:rFonts w:ascii="Times New Roman" w:eastAsia="Times New Roman" w:hAnsi="Times New Roman" w:cs="Times New Roman"/>
                <w:b/>
                <w:bCs/>
                <w:sz w:val="20"/>
                <w:szCs w:val="20"/>
                <w:lang w:eastAsia="pl-PL"/>
              </w:rPr>
              <w:t xml:space="preserve">Aktualnie </w:t>
            </w:r>
            <w:r w:rsidR="008146E0" w:rsidRPr="00142F04">
              <w:rPr>
                <w:rFonts w:ascii="Times New Roman" w:eastAsia="Times New Roman" w:hAnsi="Times New Roman" w:cs="Times New Roman"/>
                <w:b/>
                <w:bCs/>
                <w:sz w:val="20"/>
                <w:szCs w:val="20"/>
                <w:lang w:eastAsia="pl-PL"/>
              </w:rPr>
              <w:t xml:space="preserve">art. 101 § </w:t>
            </w:r>
            <w:r w:rsidR="00EE1CCD" w:rsidRPr="00142F04">
              <w:rPr>
                <w:rFonts w:ascii="Times New Roman" w:eastAsia="Times New Roman" w:hAnsi="Times New Roman" w:cs="Times New Roman"/>
                <w:b/>
                <w:bCs/>
                <w:sz w:val="20"/>
                <w:szCs w:val="20"/>
                <w:lang w:eastAsia="pl-PL"/>
              </w:rPr>
              <w:t>4</w:t>
            </w:r>
            <w:r w:rsidR="008146E0" w:rsidRPr="00142F04">
              <w:rPr>
                <w:rFonts w:ascii="Times New Roman" w:eastAsia="Times New Roman" w:hAnsi="Times New Roman" w:cs="Times New Roman"/>
                <w:b/>
                <w:bCs/>
                <w:sz w:val="20"/>
                <w:szCs w:val="20"/>
                <w:lang w:eastAsia="pl-PL"/>
              </w:rPr>
              <w:t xml:space="preserve"> </w:t>
            </w:r>
            <w:r w:rsidRPr="00142F04">
              <w:rPr>
                <w:rFonts w:ascii="Times New Roman" w:eastAsia="Times New Roman" w:hAnsi="Times New Roman" w:cs="Times New Roman"/>
                <w:b/>
                <w:bCs/>
                <w:sz w:val="20"/>
                <w:szCs w:val="20"/>
                <w:lang w:eastAsia="pl-PL"/>
              </w:rPr>
              <w:t xml:space="preserve">projekt </w:t>
            </w:r>
            <w:r w:rsidR="00E3783E" w:rsidRPr="00142F04">
              <w:rPr>
                <w:rFonts w:ascii="Times New Roman" w:eastAsia="Times New Roman" w:hAnsi="Times New Roman" w:cs="Times New Roman"/>
                <w:b/>
                <w:bCs/>
                <w:sz w:val="20"/>
                <w:szCs w:val="20"/>
                <w:lang w:eastAsia="pl-PL"/>
              </w:rPr>
              <w:t>przybrał inne brzmienie:</w:t>
            </w:r>
            <w:r w:rsidRPr="00142F04">
              <w:rPr>
                <w:rFonts w:ascii="Times New Roman" w:eastAsia="Times New Roman" w:hAnsi="Times New Roman" w:cs="Times New Roman"/>
                <w:b/>
                <w:bCs/>
                <w:sz w:val="20"/>
                <w:szCs w:val="20"/>
                <w:lang w:eastAsia="pl-PL"/>
              </w:rPr>
              <w:t xml:space="preserve"> </w:t>
            </w:r>
          </w:p>
          <w:p w14:paraId="2015E0C0" w14:textId="39F08233" w:rsidR="008146E0" w:rsidRPr="00142F04" w:rsidRDefault="00E3783E" w:rsidP="00877098">
            <w:pPr>
              <w:pStyle w:val="ZLITUSTzmustliter"/>
              <w:spacing w:line="240" w:lineRule="auto"/>
              <w:ind w:left="0" w:firstLine="0"/>
              <w:rPr>
                <w:i/>
                <w:iCs/>
                <w:sz w:val="20"/>
              </w:rPr>
            </w:pPr>
            <w:r w:rsidRPr="004E46FE">
              <w:rPr>
                <w:i/>
                <w:iCs/>
                <w:sz w:val="20"/>
              </w:rPr>
              <w:t>„</w:t>
            </w:r>
            <w:r w:rsidR="008146E0" w:rsidRPr="004E46FE">
              <w:rPr>
                <w:i/>
                <w:iCs/>
                <w:sz w:val="20"/>
              </w:rPr>
              <w:t xml:space="preserve">§ </w:t>
            </w:r>
            <w:r w:rsidR="00142F04" w:rsidRPr="004E46FE">
              <w:rPr>
                <w:i/>
                <w:iCs/>
                <w:sz w:val="20"/>
              </w:rPr>
              <w:t>4</w:t>
            </w:r>
            <w:r w:rsidR="008146E0" w:rsidRPr="004E46FE">
              <w:rPr>
                <w:i/>
                <w:iCs/>
                <w:sz w:val="20"/>
              </w:rPr>
              <w:t>.</w:t>
            </w:r>
            <w:r w:rsidR="004E46FE" w:rsidRPr="004E46FE">
              <w:rPr>
                <w:i/>
                <w:iCs/>
                <w:sz w:val="20"/>
              </w:rPr>
              <w:t xml:space="preserve"> Nie wymaga zezwolenia sądu opiekuńczego albo, w przypadkach wskazanych w przepisach szczególnych, sądu spadku, czynność polegająca na odrzuceniu spadku w imieniu dziecka, przez rodzica, któremu w tym zakresie przysługuje władza rodzicielska, gdy jest dokonywana za zgodą drugiego z rodziców, któremu w tym zakresie przysługuje władza rodzicielska albo jest dokonywana wspólnie, jeżeli dziecko jest powołane do dziedziczenia wskutek uprzedniego odrzucenia spadku przez rodzica, chyba że inny zstępny rodziców tego dziecka przyjmuje spadek. W braku porozumienia rodziców stosuje się § 3.”</w:t>
            </w:r>
          </w:p>
        </w:tc>
      </w:tr>
      <w:tr w:rsidR="00C02C32" w14:paraId="3FED2515" w14:textId="77777777" w:rsidTr="00B241C8">
        <w:trPr>
          <w:jc w:val="center"/>
        </w:trPr>
        <w:tc>
          <w:tcPr>
            <w:tcW w:w="562" w:type="dxa"/>
          </w:tcPr>
          <w:p w14:paraId="5A5BCD7E" w14:textId="17B8F012" w:rsidR="00C02C32" w:rsidRDefault="008C150E" w:rsidP="00B1774B">
            <w:pPr>
              <w:spacing w:before="120"/>
              <w:ind w:right="-534"/>
              <w:rPr>
                <w:rFonts w:ascii="Times New Roman" w:hAnsi="Times New Roman" w:cs="Times New Roman"/>
                <w:b/>
                <w:sz w:val="20"/>
              </w:rPr>
            </w:pPr>
            <w:r>
              <w:rPr>
                <w:rFonts w:ascii="Times New Roman" w:hAnsi="Times New Roman" w:cs="Times New Roman"/>
                <w:b/>
                <w:sz w:val="20"/>
              </w:rPr>
              <w:t>7</w:t>
            </w:r>
            <w:r w:rsidR="00C02C32">
              <w:rPr>
                <w:rFonts w:ascii="Times New Roman" w:hAnsi="Times New Roman" w:cs="Times New Roman"/>
                <w:b/>
                <w:sz w:val="20"/>
              </w:rPr>
              <w:t>.</w:t>
            </w:r>
          </w:p>
        </w:tc>
        <w:tc>
          <w:tcPr>
            <w:tcW w:w="1843" w:type="dxa"/>
            <w:vAlign w:val="center"/>
          </w:tcPr>
          <w:p w14:paraId="0EE73B5C" w14:textId="0180CE4E" w:rsidR="00C02C32" w:rsidRDefault="00C02C32" w:rsidP="00B1774B">
            <w:pPr>
              <w:spacing w:before="120" w:after="120"/>
              <w:jc w:val="center"/>
              <w:rPr>
                <w:rFonts w:ascii="Times New Roman" w:hAnsi="Times New Roman" w:cs="Times New Roman"/>
                <w:sz w:val="20"/>
              </w:rPr>
            </w:pPr>
            <w:bookmarkStart w:id="6" w:name="_Hlk101872696"/>
            <w:r>
              <w:rPr>
                <w:rFonts w:ascii="Times New Roman" w:hAnsi="Times New Roman" w:cs="Times New Roman"/>
                <w:sz w:val="20"/>
              </w:rPr>
              <w:t>Sąd Rejonowy Poznań – Stare Miasto w Poznaniu</w:t>
            </w:r>
            <w:bookmarkEnd w:id="6"/>
          </w:p>
        </w:tc>
        <w:tc>
          <w:tcPr>
            <w:tcW w:w="1843" w:type="dxa"/>
            <w:vAlign w:val="center"/>
          </w:tcPr>
          <w:p w14:paraId="57DCF111" w14:textId="3F5246C9" w:rsidR="00C02C32" w:rsidRPr="005B3FB5" w:rsidRDefault="00C02C32" w:rsidP="00B1774B">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2</w:t>
            </w:r>
            <w:r w:rsidRPr="005B3FB5">
              <w:rPr>
                <w:rFonts w:ascii="Times New Roman" w:hAnsi="Times New Roman" w:cs="Times New Roman"/>
                <w:sz w:val="20"/>
                <w:szCs w:val="20"/>
              </w:rPr>
              <w:t xml:space="preserve"> pkt </w:t>
            </w:r>
            <w:r>
              <w:rPr>
                <w:rFonts w:ascii="Times New Roman" w:hAnsi="Times New Roman" w:cs="Times New Roman"/>
                <w:sz w:val="20"/>
                <w:szCs w:val="20"/>
              </w:rPr>
              <w:t>1</w:t>
            </w:r>
            <w:r w:rsidRPr="005B3FB5">
              <w:rPr>
                <w:rFonts w:ascii="Times New Roman" w:hAnsi="Times New Roman" w:cs="Times New Roman"/>
                <w:sz w:val="20"/>
                <w:szCs w:val="20"/>
              </w:rPr>
              <w:t xml:space="preserve"> projektu</w:t>
            </w:r>
          </w:p>
        </w:tc>
        <w:tc>
          <w:tcPr>
            <w:tcW w:w="5670" w:type="dxa"/>
            <w:vAlign w:val="center"/>
          </w:tcPr>
          <w:p w14:paraId="5218FF4D" w14:textId="5ACF3FF2" w:rsidR="00C02C32" w:rsidRPr="00C02C32" w:rsidRDefault="00C02C32" w:rsidP="00C02C32">
            <w:pPr>
              <w:pStyle w:val="Style8"/>
              <w:widowControl/>
              <w:spacing w:line="302" w:lineRule="exact"/>
              <w:rPr>
                <w:sz w:val="18"/>
                <w:szCs w:val="18"/>
              </w:rPr>
            </w:pPr>
            <w:r w:rsidRPr="00C02C32">
              <w:rPr>
                <w:rFonts w:eastAsiaTheme="minorHAnsi"/>
                <w:sz w:val="20"/>
                <w:szCs w:val="20"/>
                <w:lang w:eastAsia="en-US"/>
              </w:rPr>
              <w:t xml:space="preserve">Co w </w:t>
            </w:r>
            <w:r w:rsidR="007B7C30" w:rsidRPr="00C02C32">
              <w:rPr>
                <w:rFonts w:eastAsiaTheme="minorHAnsi"/>
                <w:sz w:val="20"/>
                <w:szCs w:val="20"/>
                <w:lang w:eastAsia="en-US"/>
              </w:rPr>
              <w:t>przypadku,</w:t>
            </w:r>
            <w:r w:rsidRPr="00C02C32">
              <w:rPr>
                <w:rFonts w:eastAsiaTheme="minorHAnsi"/>
                <w:sz w:val="20"/>
                <w:szCs w:val="20"/>
                <w:lang w:eastAsia="en-US"/>
              </w:rPr>
              <w:t xml:space="preserve"> gdy miejsce pobytu drugiego rodzica nie jest znane, kontakt z nim jest utrudniony?</w:t>
            </w:r>
          </w:p>
        </w:tc>
        <w:tc>
          <w:tcPr>
            <w:tcW w:w="4076" w:type="dxa"/>
          </w:tcPr>
          <w:p w14:paraId="1B624F98" w14:textId="23C2BA46" w:rsidR="00C02C32" w:rsidRDefault="00716127" w:rsidP="00F869BF">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Wyjaśnienie</w:t>
            </w:r>
          </w:p>
          <w:p w14:paraId="27873439" w14:textId="77777777" w:rsidR="009C2B2D" w:rsidRDefault="009C2B2D" w:rsidP="00F869BF">
            <w:pPr>
              <w:autoSpaceDE w:val="0"/>
              <w:autoSpaceDN w:val="0"/>
              <w:adjustRightInd w:val="0"/>
              <w:jc w:val="both"/>
              <w:rPr>
                <w:rFonts w:ascii="Times New Roman" w:eastAsia="Times New Roman" w:hAnsi="Times New Roman" w:cs="Times New Roman"/>
                <w:sz w:val="20"/>
                <w:szCs w:val="20"/>
                <w:lang w:eastAsia="pl-PL"/>
              </w:rPr>
            </w:pPr>
          </w:p>
          <w:p w14:paraId="7BCF0ED8" w14:textId="77777777" w:rsidR="00142F04" w:rsidRPr="00142F04" w:rsidRDefault="00142F04" w:rsidP="00142F04">
            <w:pPr>
              <w:autoSpaceDE w:val="0"/>
              <w:autoSpaceDN w:val="0"/>
              <w:adjustRightInd w:val="0"/>
              <w:jc w:val="both"/>
              <w:rPr>
                <w:rFonts w:ascii="Times New Roman" w:eastAsia="Times New Roman" w:hAnsi="Times New Roman" w:cs="Times New Roman"/>
                <w:b/>
                <w:bCs/>
                <w:sz w:val="20"/>
                <w:szCs w:val="20"/>
                <w:lang w:eastAsia="pl-PL"/>
              </w:rPr>
            </w:pPr>
            <w:r w:rsidRPr="00142F04">
              <w:rPr>
                <w:rFonts w:ascii="Times New Roman" w:eastAsia="Times New Roman" w:hAnsi="Times New Roman" w:cs="Times New Roman"/>
                <w:b/>
                <w:bCs/>
                <w:sz w:val="20"/>
                <w:szCs w:val="20"/>
                <w:lang w:eastAsia="pl-PL"/>
              </w:rPr>
              <w:t xml:space="preserve">Aktualnie art. 101 § 4 projekt przybrał inne brzmienie: </w:t>
            </w:r>
          </w:p>
          <w:p w14:paraId="24071CEB" w14:textId="2F8DA2F4" w:rsidR="004E46FE" w:rsidRPr="001E3C74" w:rsidRDefault="00142F04" w:rsidP="001E3C74">
            <w:pPr>
              <w:pStyle w:val="ZLITUSTzmustliter"/>
              <w:spacing w:line="240" w:lineRule="auto"/>
              <w:ind w:left="0" w:firstLine="0"/>
              <w:rPr>
                <w:i/>
                <w:iCs/>
                <w:sz w:val="20"/>
              </w:rPr>
            </w:pPr>
            <w:r w:rsidRPr="00C65401">
              <w:rPr>
                <w:i/>
                <w:iCs/>
                <w:sz w:val="20"/>
              </w:rPr>
              <w:t xml:space="preserve">„§ 4. </w:t>
            </w:r>
            <w:r w:rsidR="00C65401" w:rsidRPr="00C65401">
              <w:rPr>
                <w:i/>
                <w:iCs/>
                <w:sz w:val="20"/>
              </w:rPr>
              <w:t xml:space="preserve">Nie wymaga zezwolenia sądu opiekuńczego albo, w przypadkach wskazanych w przepisach szczególnych, sądu spadku, czynność polegająca na odrzuceniu spadku w </w:t>
            </w:r>
            <w:r w:rsidR="00C65401" w:rsidRPr="00C65401">
              <w:rPr>
                <w:i/>
                <w:iCs/>
                <w:sz w:val="20"/>
              </w:rPr>
              <w:lastRenderedPageBreak/>
              <w:t>imieniu dziecka, przez rodzica, któremu w tym zakresie przysługuje władza rodzicielska, gdy jest dokonywana za zgodą drugiego z rodziców, któremu w tym zakresie przysługuje władza rodzicielska albo jest dokonywana wspólnie, jeżeli dziecko jest powołane do dziedziczenia wskutek uprzedniego odrzucenia spadku przez rodzica, chyba że inny zstępny rodziców tego dziecka przyjmuje spadek.</w:t>
            </w:r>
            <w:r w:rsidR="00C65401">
              <w:rPr>
                <w:i/>
                <w:iCs/>
                <w:sz w:val="20"/>
              </w:rPr>
              <w:t xml:space="preserve"> </w:t>
            </w:r>
            <w:r w:rsidR="00C65401" w:rsidRPr="00C65401">
              <w:rPr>
                <w:i/>
                <w:iCs/>
                <w:sz w:val="20"/>
              </w:rPr>
              <w:t xml:space="preserve">W braku porozumienia rodziców stosuje się § 3.” </w:t>
            </w:r>
          </w:p>
        </w:tc>
      </w:tr>
      <w:tr w:rsidR="00050AFF" w14:paraId="39E020E1" w14:textId="77777777" w:rsidTr="00B241C8">
        <w:trPr>
          <w:jc w:val="center"/>
        </w:trPr>
        <w:tc>
          <w:tcPr>
            <w:tcW w:w="562" w:type="dxa"/>
          </w:tcPr>
          <w:p w14:paraId="7D35D031" w14:textId="711435CC" w:rsidR="00050AFF" w:rsidRDefault="008C150E" w:rsidP="00B1774B">
            <w:pPr>
              <w:spacing w:before="120"/>
              <w:ind w:right="-534"/>
              <w:rPr>
                <w:rFonts w:ascii="Times New Roman" w:hAnsi="Times New Roman" w:cs="Times New Roman"/>
                <w:b/>
                <w:sz w:val="20"/>
              </w:rPr>
            </w:pPr>
            <w:r>
              <w:rPr>
                <w:rFonts w:ascii="Times New Roman" w:hAnsi="Times New Roman" w:cs="Times New Roman"/>
                <w:b/>
                <w:sz w:val="20"/>
              </w:rPr>
              <w:lastRenderedPageBreak/>
              <w:t>8</w:t>
            </w:r>
            <w:r w:rsidR="00476CB1">
              <w:rPr>
                <w:rFonts w:ascii="Times New Roman" w:hAnsi="Times New Roman" w:cs="Times New Roman"/>
                <w:b/>
                <w:sz w:val="20"/>
              </w:rPr>
              <w:t>.</w:t>
            </w:r>
          </w:p>
        </w:tc>
        <w:tc>
          <w:tcPr>
            <w:tcW w:w="1843" w:type="dxa"/>
            <w:vAlign w:val="center"/>
          </w:tcPr>
          <w:p w14:paraId="1480F053" w14:textId="76B74412" w:rsidR="00050AFF" w:rsidRDefault="00476CB1" w:rsidP="00B1774B">
            <w:pPr>
              <w:spacing w:before="120" w:after="120"/>
              <w:jc w:val="center"/>
              <w:rPr>
                <w:rFonts w:ascii="Times New Roman" w:hAnsi="Times New Roman" w:cs="Times New Roman"/>
                <w:sz w:val="20"/>
              </w:rPr>
            </w:pPr>
            <w:r>
              <w:rPr>
                <w:rFonts w:ascii="Times New Roman" w:hAnsi="Times New Roman" w:cs="Times New Roman"/>
                <w:sz w:val="20"/>
              </w:rPr>
              <w:t xml:space="preserve">Sad Rejonowy dla </w:t>
            </w:r>
            <w:proofErr w:type="spellStart"/>
            <w:r>
              <w:rPr>
                <w:rFonts w:ascii="Times New Roman" w:hAnsi="Times New Roman" w:cs="Times New Roman"/>
                <w:sz w:val="20"/>
              </w:rPr>
              <w:t>Krakowa-Nowej</w:t>
            </w:r>
            <w:proofErr w:type="spellEnd"/>
            <w:r>
              <w:rPr>
                <w:rFonts w:ascii="Times New Roman" w:hAnsi="Times New Roman" w:cs="Times New Roman"/>
                <w:sz w:val="20"/>
              </w:rPr>
              <w:t xml:space="preserve"> –Huty w Krakowie I Wydział Cywilny</w:t>
            </w:r>
          </w:p>
        </w:tc>
        <w:tc>
          <w:tcPr>
            <w:tcW w:w="1843" w:type="dxa"/>
            <w:vAlign w:val="center"/>
          </w:tcPr>
          <w:p w14:paraId="319051D5" w14:textId="0047FC78" w:rsidR="00050AFF" w:rsidRPr="005B3FB5" w:rsidRDefault="00476CB1" w:rsidP="00B1774B">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2</w:t>
            </w:r>
            <w:r w:rsidRPr="005B3FB5">
              <w:rPr>
                <w:rFonts w:ascii="Times New Roman" w:hAnsi="Times New Roman" w:cs="Times New Roman"/>
                <w:sz w:val="20"/>
                <w:szCs w:val="20"/>
              </w:rPr>
              <w:t xml:space="preserve"> pkt </w:t>
            </w:r>
            <w:r>
              <w:rPr>
                <w:rFonts w:ascii="Times New Roman" w:hAnsi="Times New Roman" w:cs="Times New Roman"/>
                <w:sz w:val="20"/>
                <w:szCs w:val="20"/>
              </w:rPr>
              <w:t>2</w:t>
            </w:r>
            <w:r w:rsidRPr="005B3FB5">
              <w:rPr>
                <w:rFonts w:ascii="Times New Roman" w:hAnsi="Times New Roman" w:cs="Times New Roman"/>
                <w:sz w:val="20"/>
                <w:szCs w:val="20"/>
              </w:rPr>
              <w:t xml:space="preserve"> projektu</w:t>
            </w:r>
          </w:p>
        </w:tc>
        <w:tc>
          <w:tcPr>
            <w:tcW w:w="5670" w:type="dxa"/>
            <w:vAlign w:val="center"/>
          </w:tcPr>
          <w:p w14:paraId="08A01C45" w14:textId="6CA4F927" w:rsidR="00050AFF" w:rsidRDefault="003E6552" w:rsidP="00050AFF">
            <w:pPr>
              <w:spacing w:before="120" w:after="120"/>
              <w:jc w:val="both"/>
              <w:rPr>
                <w:rFonts w:ascii="Times New Roman" w:hAnsi="Times New Roman" w:cs="Times New Roman"/>
                <w:sz w:val="20"/>
                <w:szCs w:val="20"/>
              </w:rPr>
            </w:pPr>
            <w:r>
              <w:rPr>
                <w:rFonts w:ascii="Times New Roman" w:hAnsi="Times New Roman" w:cs="Times New Roman"/>
                <w:sz w:val="20"/>
                <w:szCs w:val="20"/>
              </w:rPr>
              <w:t>W</w:t>
            </w:r>
            <w:r w:rsidR="00476CB1" w:rsidRPr="00246E3D">
              <w:rPr>
                <w:rFonts w:ascii="Times New Roman" w:hAnsi="Times New Roman" w:cs="Times New Roman"/>
                <w:sz w:val="20"/>
                <w:szCs w:val="20"/>
              </w:rPr>
              <w:t>prowadzenie możliwości prowadzenia spraw o wyrażenie zgody na odrzucenie spadku w imieniu małoletniego zarówno przez Sąd rodzinny jak i Sąd cywilny (spadku) wprowadzi niepotrzebne zamieszkanie związane z ustaleniem, który sąd i który wydział w danym przypadku ma sprawę rozpoznawać. Nadto wprowadzi utrudnienie dla rodziców czy też opiekunów, których wnioski będzie miał rozpoznać sąd spadku – często znacznie oddalony od miejsca ich zamieszkania. Należy też zauważyć, że ocena zasadności wniosku o wyrażenie zgody na dokonanie czynności przekraczającej zakres zwykłego zarządu majątkiem dziecka lub osoby pozostającej pod opieką wymaga zbadania sytuacji danej rodziny, nie ogranicza się wyłącznie do kwestii spadkowych, a zatem pozostają w kręgu zainteresowań i zakresu właściwości sądu rodzinnego</w:t>
            </w:r>
          </w:p>
        </w:tc>
        <w:tc>
          <w:tcPr>
            <w:tcW w:w="4076" w:type="dxa"/>
          </w:tcPr>
          <w:p w14:paraId="245C4129" w14:textId="77777777" w:rsidR="00016B16" w:rsidRDefault="00016B16" w:rsidP="00016B16">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Uwaga nieuwzględniona</w:t>
            </w:r>
          </w:p>
          <w:p w14:paraId="2EB10507" w14:textId="77777777" w:rsidR="00050AFF" w:rsidRDefault="00050AFF" w:rsidP="00F869BF">
            <w:pPr>
              <w:autoSpaceDE w:val="0"/>
              <w:autoSpaceDN w:val="0"/>
              <w:adjustRightInd w:val="0"/>
              <w:jc w:val="both"/>
              <w:rPr>
                <w:rFonts w:ascii="Times New Roman" w:eastAsia="Times New Roman" w:hAnsi="Times New Roman" w:cs="Times New Roman"/>
                <w:b/>
                <w:bCs/>
                <w:sz w:val="20"/>
                <w:szCs w:val="20"/>
                <w:lang w:eastAsia="pl-PL"/>
              </w:rPr>
            </w:pPr>
          </w:p>
          <w:p w14:paraId="47CA8BF2" w14:textId="3ADF8114" w:rsidR="003E6552" w:rsidRDefault="004D5AD4" w:rsidP="003E6552">
            <w:pPr>
              <w:jc w:val="both"/>
              <w:rPr>
                <w:rFonts w:ascii="Times New Roman" w:eastAsia="Calibri" w:hAnsi="Times New Roman" w:cs="Times New Roman"/>
                <w:sz w:val="20"/>
              </w:rPr>
            </w:pPr>
            <w:r>
              <w:rPr>
                <w:rFonts w:ascii="Times New Roman" w:eastAsia="Calibri" w:hAnsi="Times New Roman" w:cs="Times New Roman"/>
                <w:sz w:val="20"/>
              </w:rPr>
              <w:t>Aktualnie projektowane rozwiązanie zakłada, że nie wymaga zezwolenia sądu opiekuńczego albo w przypadkach wskazanych w przepisach szczególnych</w:t>
            </w:r>
            <w:r w:rsidR="003E6552">
              <w:rPr>
                <w:rFonts w:ascii="Times New Roman" w:eastAsia="Calibri" w:hAnsi="Times New Roman" w:cs="Times New Roman"/>
                <w:sz w:val="20"/>
              </w:rPr>
              <w:t xml:space="preserve"> -</w:t>
            </w:r>
            <w:r>
              <w:rPr>
                <w:rFonts w:ascii="Times New Roman" w:eastAsia="Calibri" w:hAnsi="Times New Roman" w:cs="Times New Roman"/>
                <w:sz w:val="20"/>
              </w:rPr>
              <w:t xml:space="preserve"> sądu spadku</w:t>
            </w:r>
            <w:r w:rsidR="003E6552">
              <w:rPr>
                <w:rFonts w:ascii="Times New Roman" w:eastAsia="Calibri" w:hAnsi="Times New Roman" w:cs="Times New Roman"/>
                <w:sz w:val="20"/>
              </w:rPr>
              <w:t>,</w:t>
            </w:r>
            <w:r w:rsidR="00142F04">
              <w:rPr>
                <w:rFonts w:ascii="Times New Roman" w:eastAsia="Calibri" w:hAnsi="Times New Roman" w:cs="Times New Roman"/>
                <w:sz w:val="20"/>
              </w:rPr>
              <w:t xml:space="preserve"> </w:t>
            </w:r>
            <w:r w:rsidRPr="00142F04">
              <w:rPr>
                <w:rFonts w:ascii="Times New Roman" w:eastAsia="Calibri" w:hAnsi="Times New Roman" w:cs="Times New Roman"/>
                <w:sz w:val="20"/>
              </w:rPr>
              <w:t xml:space="preserve">czynność </w:t>
            </w:r>
            <w:r w:rsidR="00142F04" w:rsidRPr="00142F04">
              <w:rPr>
                <w:rFonts w:ascii="Times New Roman" w:eastAsia="Calibri" w:hAnsi="Times New Roman" w:cs="Times New Roman"/>
                <w:sz w:val="20"/>
              </w:rPr>
              <w:t>polegająca</w:t>
            </w:r>
            <w:r w:rsidR="00142F04">
              <w:rPr>
                <w:rFonts w:ascii="Times New Roman" w:eastAsia="Calibri" w:hAnsi="Times New Roman" w:cs="Times New Roman"/>
                <w:sz w:val="20"/>
              </w:rPr>
              <w:t xml:space="preserve"> </w:t>
            </w:r>
            <w:r w:rsidR="00142F04" w:rsidRPr="00142F04">
              <w:rPr>
                <w:rFonts w:ascii="Times New Roman" w:eastAsia="Calibri" w:hAnsi="Times New Roman" w:cs="Times New Roman"/>
                <w:sz w:val="20"/>
              </w:rPr>
              <w:t>na odrzuceniu spadku przez rodzic</w:t>
            </w:r>
            <w:r w:rsidR="001E3C74">
              <w:rPr>
                <w:rFonts w:ascii="Times New Roman" w:eastAsia="Calibri" w:hAnsi="Times New Roman" w:cs="Times New Roman"/>
                <w:sz w:val="20"/>
              </w:rPr>
              <w:t>a</w:t>
            </w:r>
            <w:r w:rsidR="00142F04" w:rsidRPr="00142F04">
              <w:rPr>
                <w:rFonts w:ascii="Times New Roman" w:eastAsia="Calibri" w:hAnsi="Times New Roman" w:cs="Times New Roman"/>
                <w:sz w:val="20"/>
              </w:rPr>
              <w:t xml:space="preserve"> w imieniu dziecka, któr</w:t>
            </w:r>
            <w:r w:rsidR="001E3C74">
              <w:rPr>
                <w:rFonts w:ascii="Times New Roman" w:eastAsia="Calibri" w:hAnsi="Times New Roman" w:cs="Times New Roman"/>
                <w:sz w:val="20"/>
              </w:rPr>
              <w:t>emu</w:t>
            </w:r>
            <w:r w:rsidR="00142F04" w:rsidRPr="00142F04">
              <w:rPr>
                <w:rFonts w:ascii="Times New Roman" w:eastAsia="Calibri" w:hAnsi="Times New Roman" w:cs="Times New Roman"/>
                <w:sz w:val="20"/>
              </w:rPr>
              <w:t xml:space="preserve"> w tym zakresie przysługuje władza rodzicielska, gdy jest dokonywana za zgodą drugiego z rodziców albo jest dokonywana wspólnie, jeżeli dziecko jest powołane do dziedziczenia wskutek uprzedniego odrzucenia spadku przez rodzica, chyba że inny zstępny rodziców tego dziecka przyjmuje spadek</w:t>
            </w:r>
            <w:r w:rsidRPr="00142F04">
              <w:rPr>
                <w:rFonts w:ascii="Times New Roman" w:eastAsia="Calibri" w:hAnsi="Times New Roman" w:cs="Times New Roman"/>
                <w:sz w:val="20"/>
              </w:rPr>
              <w:t>.</w:t>
            </w:r>
          </w:p>
          <w:p w14:paraId="254D31E0" w14:textId="20743369" w:rsidR="003E6552" w:rsidRDefault="00F3367A" w:rsidP="003E6552">
            <w:pPr>
              <w:jc w:val="both"/>
              <w:rPr>
                <w:rFonts w:ascii="Times New Roman" w:eastAsia="Calibri" w:hAnsi="Times New Roman" w:cs="Times New Roman"/>
                <w:sz w:val="20"/>
              </w:rPr>
            </w:pPr>
            <w:r w:rsidRPr="00F3367A">
              <w:rPr>
                <w:rFonts w:ascii="Times New Roman" w:eastAsia="Calibri" w:hAnsi="Times New Roman" w:cs="Times New Roman"/>
                <w:sz w:val="20"/>
              </w:rPr>
              <w:t>Głównym założeniem</w:t>
            </w:r>
            <w:r>
              <w:rPr>
                <w:rFonts w:ascii="Times New Roman" w:eastAsia="Calibri" w:hAnsi="Times New Roman" w:cs="Times New Roman"/>
                <w:sz w:val="20"/>
              </w:rPr>
              <w:t xml:space="preserve"> projektowanej regulacji jest zatem ograniczenie ilości </w:t>
            </w:r>
            <w:r w:rsidR="003E6552">
              <w:rPr>
                <w:rFonts w:ascii="Times New Roman" w:eastAsia="Calibri" w:hAnsi="Times New Roman" w:cs="Times New Roman"/>
                <w:sz w:val="20"/>
              </w:rPr>
              <w:t xml:space="preserve">spraw, w których wymagane jest </w:t>
            </w:r>
            <w:r w:rsidR="009C2B2D">
              <w:rPr>
                <w:rFonts w:ascii="Times New Roman" w:eastAsia="Calibri" w:hAnsi="Times New Roman" w:cs="Times New Roman"/>
                <w:sz w:val="20"/>
              </w:rPr>
              <w:t>zezwolenie sądu na dokonanie przez rodzica czynności odrzucenia spadku w imieniu dziecka.</w:t>
            </w:r>
          </w:p>
          <w:p w14:paraId="1F291813" w14:textId="77777777" w:rsidR="009B1DB0" w:rsidRDefault="009B1DB0" w:rsidP="00F869BF">
            <w:pPr>
              <w:autoSpaceDE w:val="0"/>
              <w:autoSpaceDN w:val="0"/>
              <w:adjustRightInd w:val="0"/>
              <w:jc w:val="both"/>
              <w:rPr>
                <w:rFonts w:ascii="Times New Roman" w:eastAsia="Calibri" w:hAnsi="Times New Roman" w:cs="Times New Roman"/>
                <w:sz w:val="20"/>
              </w:rPr>
            </w:pPr>
            <w:r>
              <w:rPr>
                <w:rFonts w:ascii="Times New Roman" w:eastAsia="Calibri" w:hAnsi="Times New Roman" w:cs="Times New Roman"/>
                <w:sz w:val="20"/>
              </w:rPr>
              <w:t xml:space="preserve">Jednocześnie trzeba wskazać, że ustalenie, który sąd – rodzinny czy spadku – nie powinno nastręczać trudności, skoro sąd spadku będzie właściwy jedynie w sytuacji, gdy toczy się postępowanie spadkowe po spadkodawcy. </w:t>
            </w:r>
          </w:p>
          <w:p w14:paraId="6A0C9161" w14:textId="0042D66F" w:rsidR="00E036E7" w:rsidRDefault="00F3367A" w:rsidP="00F869BF">
            <w:pPr>
              <w:autoSpaceDE w:val="0"/>
              <w:autoSpaceDN w:val="0"/>
              <w:adjustRightInd w:val="0"/>
              <w:jc w:val="both"/>
              <w:rPr>
                <w:rFonts w:ascii="Times New Roman" w:eastAsia="Calibri" w:hAnsi="Times New Roman" w:cs="Times New Roman"/>
                <w:sz w:val="20"/>
              </w:rPr>
            </w:pPr>
            <w:r>
              <w:rPr>
                <w:rFonts w:ascii="Times New Roman" w:eastAsia="Calibri" w:hAnsi="Times New Roman" w:cs="Times New Roman"/>
                <w:sz w:val="20"/>
              </w:rPr>
              <w:t>Z kolei w sprawa</w:t>
            </w:r>
            <w:r w:rsidR="00463607">
              <w:rPr>
                <w:rFonts w:ascii="Times New Roman" w:eastAsia="Calibri" w:hAnsi="Times New Roman" w:cs="Times New Roman"/>
                <w:sz w:val="20"/>
              </w:rPr>
              <w:t>ch</w:t>
            </w:r>
            <w:r w:rsidR="00982633">
              <w:rPr>
                <w:rFonts w:ascii="Times New Roman" w:eastAsia="Calibri" w:hAnsi="Times New Roman" w:cs="Times New Roman"/>
                <w:sz w:val="20"/>
              </w:rPr>
              <w:t xml:space="preserve">, </w:t>
            </w:r>
            <w:r>
              <w:rPr>
                <w:rFonts w:ascii="Times New Roman" w:eastAsia="Calibri" w:hAnsi="Times New Roman" w:cs="Times New Roman"/>
                <w:sz w:val="20"/>
              </w:rPr>
              <w:t xml:space="preserve">w których dochodzi do odrzucenia spadku a jednocześnie toczy się postępowanie spadkowe przyznanie </w:t>
            </w:r>
            <w:r>
              <w:rPr>
                <w:rFonts w:ascii="Times New Roman" w:eastAsia="Calibri" w:hAnsi="Times New Roman" w:cs="Times New Roman"/>
                <w:sz w:val="20"/>
              </w:rPr>
              <w:lastRenderedPageBreak/>
              <w:t xml:space="preserve">kompetencji sądowi spadku przyczyni się do </w:t>
            </w:r>
            <w:r w:rsidR="00E036E7">
              <w:rPr>
                <w:rFonts w:ascii="Times New Roman" w:eastAsia="Calibri" w:hAnsi="Times New Roman" w:cs="Times New Roman"/>
                <w:sz w:val="20"/>
              </w:rPr>
              <w:t xml:space="preserve">uproszczenia i </w:t>
            </w:r>
            <w:r>
              <w:rPr>
                <w:rFonts w:ascii="Times New Roman" w:eastAsia="Calibri" w:hAnsi="Times New Roman" w:cs="Times New Roman"/>
                <w:sz w:val="20"/>
              </w:rPr>
              <w:t xml:space="preserve">przyspieszenia </w:t>
            </w:r>
            <w:r w:rsidR="00E036E7" w:rsidRPr="00E036E7">
              <w:rPr>
                <w:rFonts w:ascii="Times New Roman" w:eastAsia="Calibri" w:hAnsi="Times New Roman" w:cs="Times New Roman"/>
                <w:sz w:val="20"/>
              </w:rPr>
              <w:t>toczących się postępowań, w których jako uczestnik postępowania występuje małoletni lub osoba ubezwłasnowolniona</w:t>
            </w:r>
            <w:r w:rsidR="00982633">
              <w:rPr>
                <w:rFonts w:ascii="Times New Roman" w:eastAsia="Calibri" w:hAnsi="Times New Roman" w:cs="Times New Roman"/>
                <w:sz w:val="20"/>
              </w:rPr>
              <w:t xml:space="preserve"> całkowicie</w:t>
            </w:r>
            <w:r>
              <w:rPr>
                <w:rFonts w:ascii="Times New Roman" w:eastAsia="Calibri" w:hAnsi="Times New Roman" w:cs="Times New Roman"/>
                <w:sz w:val="20"/>
              </w:rPr>
              <w:t xml:space="preserve">. </w:t>
            </w:r>
          </w:p>
          <w:p w14:paraId="70F4C0D7" w14:textId="77777777" w:rsidR="008206F4" w:rsidRDefault="008206F4" w:rsidP="00F869BF">
            <w:pPr>
              <w:autoSpaceDE w:val="0"/>
              <w:autoSpaceDN w:val="0"/>
              <w:adjustRightInd w:val="0"/>
              <w:jc w:val="both"/>
              <w:rPr>
                <w:rFonts w:ascii="Times New Roman" w:eastAsia="Times New Roman" w:hAnsi="Times New Roman" w:cs="Times New Roman"/>
                <w:b/>
                <w:bCs/>
                <w:sz w:val="20"/>
                <w:szCs w:val="20"/>
                <w:lang w:eastAsia="pl-PL"/>
              </w:rPr>
            </w:pPr>
          </w:p>
          <w:p w14:paraId="46C961C0" w14:textId="4316727B" w:rsidR="00982633" w:rsidRPr="00982633" w:rsidRDefault="00982633" w:rsidP="00982633">
            <w:pPr>
              <w:autoSpaceDE w:val="0"/>
              <w:autoSpaceDN w:val="0"/>
              <w:adjustRightInd w:val="0"/>
              <w:jc w:val="both"/>
              <w:rPr>
                <w:rFonts w:ascii="Times New Roman" w:hAnsi="Times New Roman" w:cs="Times New Roman"/>
                <w:sz w:val="20"/>
                <w:szCs w:val="20"/>
              </w:rPr>
            </w:pPr>
            <w:r w:rsidRPr="00982633">
              <w:rPr>
                <w:rFonts w:ascii="Times New Roman" w:hAnsi="Times New Roman" w:cs="Times New Roman"/>
                <w:sz w:val="20"/>
                <w:szCs w:val="20"/>
              </w:rPr>
              <w:t>W zakresie kolejnej uwagi zgłoszonej przez Sąd Rejonowy dla Krakowa – Nowej</w:t>
            </w:r>
            <w:r>
              <w:rPr>
                <w:rFonts w:ascii="Times New Roman" w:hAnsi="Times New Roman" w:cs="Times New Roman"/>
                <w:sz w:val="20"/>
                <w:szCs w:val="20"/>
              </w:rPr>
              <w:t xml:space="preserve"> </w:t>
            </w:r>
            <w:r w:rsidRPr="00982633">
              <w:rPr>
                <w:rFonts w:ascii="Times New Roman" w:hAnsi="Times New Roman" w:cs="Times New Roman"/>
                <w:sz w:val="20"/>
                <w:szCs w:val="20"/>
              </w:rPr>
              <w:t>Huty w Krakowie odnoszącej się do możliwości prowadzenia spraw o wyrażenie zgody na</w:t>
            </w:r>
            <w:r>
              <w:rPr>
                <w:rFonts w:ascii="Times New Roman" w:hAnsi="Times New Roman" w:cs="Times New Roman"/>
                <w:sz w:val="20"/>
                <w:szCs w:val="20"/>
              </w:rPr>
              <w:t xml:space="preserve"> </w:t>
            </w:r>
            <w:r w:rsidRPr="00982633">
              <w:rPr>
                <w:rFonts w:ascii="Times New Roman" w:hAnsi="Times New Roman" w:cs="Times New Roman"/>
                <w:sz w:val="20"/>
                <w:szCs w:val="20"/>
              </w:rPr>
              <w:t>odrzucenie spadku w imieniu małoletniego zarówno przez sąd opiekuńczy, jak i przez sąd</w:t>
            </w:r>
            <w:r>
              <w:rPr>
                <w:rFonts w:ascii="Times New Roman" w:hAnsi="Times New Roman" w:cs="Times New Roman"/>
                <w:sz w:val="20"/>
                <w:szCs w:val="20"/>
              </w:rPr>
              <w:t xml:space="preserve"> </w:t>
            </w:r>
            <w:r w:rsidRPr="00982633">
              <w:rPr>
                <w:rFonts w:ascii="Times New Roman" w:hAnsi="Times New Roman" w:cs="Times New Roman"/>
                <w:sz w:val="20"/>
                <w:szCs w:val="20"/>
              </w:rPr>
              <w:t>spadku, co może stanowić utrudnienie dla rodziców czy opiekunów, gdyż sąd spadku może</w:t>
            </w:r>
          </w:p>
          <w:p w14:paraId="6695D350" w14:textId="73141B77" w:rsidR="008D75C3" w:rsidRDefault="00982633" w:rsidP="00982633">
            <w:pPr>
              <w:autoSpaceDE w:val="0"/>
              <w:autoSpaceDN w:val="0"/>
              <w:adjustRightInd w:val="0"/>
              <w:jc w:val="both"/>
              <w:rPr>
                <w:rFonts w:ascii="Times New Roman" w:hAnsi="Times New Roman" w:cs="Times New Roman"/>
                <w:sz w:val="20"/>
                <w:szCs w:val="20"/>
              </w:rPr>
            </w:pPr>
            <w:r w:rsidRPr="00982633">
              <w:rPr>
                <w:rFonts w:ascii="Times New Roman" w:hAnsi="Times New Roman" w:cs="Times New Roman"/>
                <w:sz w:val="20"/>
                <w:szCs w:val="20"/>
              </w:rPr>
              <w:t>być znacznie oddalony od miejsca ich zamieszkania, to należy zauważyć, że istnieje</w:t>
            </w:r>
            <w:r>
              <w:rPr>
                <w:rFonts w:ascii="Times New Roman" w:hAnsi="Times New Roman" w:cs="Times New Roman"/>
                <w:sz w:val="20"/>
                <w:szCs w:val="20"/>
              </w:rPr>
              <w:t xml:space="preserve"> </w:t>
            </w:r>
            <w:r w:rsidRPr="00982633">
              <w:rPr>
                <w:rFonts w:ascii="Times New Roman" w:hAnsi="Times New Roman" w:cs="Times New Roman"/>
                <w:sz w:val="20"/>
                <w:szCs w:val="20"/>
              </w:rPr>
              <w:t>możliwość dokonywania czynności w toku postępowania cywilnego w drodze pomocy</w:t>
            </w:r>
            <w:r>
              <w:rPr>
                <w:rFonts w:ascii="Times New Roman" w:hAnsi="Times New Roman" w:cs="Times New Roman"/>
                <w:sz w:val="20"/>
                <w:szCs w:val="20"/>
              </w:rPr>
              <w:t xml:space="preserve"> </w:t>
            </w:r>
            <w:r w:rsidRPr="00982633">
              <w:rPr>
                <w:rFonts w:ascii="Times New Roman" w:hAnsi="Times New Roman" w:cs="Times New Roman"/>
                <w:sz w:val="20"/>
                <w:szCs w:val="20"/>
              </w:rPr>
              <w:t>sądowej (art. 235 k.p.c.), a samo oświadczenie o przyjęciu albo odrzuceniu spadku może być</w:t>
            </w:r>
            <w:r>
              <w:rPr>
                <w:rFonts w:ascii="Times New Roman" w:hAnsi="Times New Roman" w:cs="Times New Roman"/>
                <w:sz w:val="20"/>
                <w:szCs w:val="20"/>
              </w:rPr>
              <w:t xml:space="preserve"> </w:t>
            </w:r>
            <w:r w:rsidRPr="00982633">
              <w:rPr>
                <w:rFonts w:ascii="Times New Roman" w:hAnsi="Times New Roman" w:cs="Times New Roman"/>
                <w:sz w:val="20"/>
                <w:szCs w:val="20"/>
              </w:rPr>
              <w:t>złożone przed notariuszem lub w sądzie rejonowym, w którego okręgu znajduje się miejsce</w:t>
            </w:r>
            <w:r>
              <w:rPr>
                <w:rFonts w:ascii="Times New Roman" w:hAnsi="Times New Roman" w:cs="Times New Roman"/>
                <w:sz w:val="20"/>
                <w:szCs w:val="20"/>
              </w:rPr>
              <w:t xml:space="preserve"> </w:t>
            </w:r>
            <w:r w:rsidRPr="00982633">
              <w:rPr>
                <w:rFonts w:ascii="Times New Roman" w:hAnsi="Times New Roman" w:cs="Times New Roman"/>
                <w:sz w:val="20"/>
                <w:szCs w:val="20"/>
              </w:rPr>
              <w:t>zamieszkania lub pobytu składającego oświadczenie (art. 640 k.p.c.)</w:t>
            </w:r>
            <w:r>
              <w:rPr>
                <w:rFonts w:ascii="Times New Roman" w:hAnsi="Times New Roman" w:cs="Times New Roman"/>
                <w:sz w:val="20"/>
                <w:szCs w:val="20"/>
              </w:rPr>
              <w:t>.</w:t>
            </w:r>
          </w:p>
          <w:p w14:paraId="656E8AA8" w14:textId="77777777" w:rsidR="00982633" w:rsidRDefault="00982633" w:rsidP="00982633">
            <w:pPr>
              <w:autoSpaceDE w:val="0"/>
              <w:autoSpaceDN w:val="0"/>
              <w:adjustRightInd w:val="0"/>
              <w:jc w:val="both"/>
              <w:rPr>
                <w:rFonts w:ascii="Times New Roman" w:hAnsi="Times New Roman" w:cs="Times New Roman"/>
                <w:sz w:val="20"/>
                <w:szCs w:val="20"/>
              </w:rPr>
            </w:pPr>
          </w:p>
          <w:p w14:paraId="1CD88818" w14:textId="77777777" w:rsidR="008D75C3" w:rsidRPr="00266854" w:rsidRDefault="008D75C3" w:rsidP="008D75C3">
            <w:pPr>
              <w:autoSpaceDE w:val="0"/>
              <w:autoSpaceDN w:val="0"/>
              <w:adjustRightInd w:val="0"/>
              <w:jc w:val="both"/>
              <w:rPr>
                <w:rFonts w:ascii="Times New Roman" w:eastAsia="Times New Roman" w:hAnsi="Times New Roman" w:cs="Times New Roman"/>
                <w:sz w:val="20"/>
                <w:szCs w:val="20"/>
                <w:lang w:eastAsia="pl-PL"/>
              </w:rPr>
            </w:pPr>
            <w:r w:rsidRPr="00266854">
              <w:rPr>
                <w:rFonts w:ascii="Times New Roman" w:eastAsia="Times New Roman" w:hAnsi="Times New Roman" w:cs="Times New Roman"/>
                <w:sz w:val="20"/>
                <w:szCs w:val="20"/>
                <w:lang w:eastAsia="pl-PL"/>
              </w:rPr>
              <w:t>Sąd spadku, rozpoznający sprawę o stwierdzenie</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nabycia spadku, znający materiał dowodowy zebrany w sprawie oraz okoliczności związane z</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podejmowaniem przez uczestników postępowania czynności w toku tej sprawy, ma</w:t>
            </w:r>
          </w:p>
          <w:p w14:paraId="016925EA" w14:textId="2B67AD1D" w:rsidR="00E34A38" w:rsidRPr="008D75C3" w:rsidRDefault="008D75C3" w:rsidP="00F869BF">
            <w:pPr>
              <w:autoSpaceDE w:val="0"/>
              <w:autoSpaceDN w:val="0"/>
              <w:adjustRightInd w:val="0"/>
              <w:jc w:val="both"/>
              <w:rPr>
                <w:rFonts w:ascii="Times New Roman" w:eastAsia="Times New Roman" w:hAnsi="Times New Roman" w:cs="Times New Roman"/>
                <w:sz w:val="20"/>
                <w:szCs w:val="20"/>
                <w:lang w:eastAsia="pl-PL"/>
              </w:rPr>
            </w:pPr>
            <w:r w:rsidRPr="00266854">
              <w:rPr>
                <w:rFonts w:ascii="Times New Roman" w:eastAsia="Times New Roman" w:hAnsi="Times New Roman" w:cs="Times New Roman"/>
                <w:sz w:val="20"/>
                <w:szCs w:val="20"/>
                <w:lang w:eastAsia="pl-PL"/>
              </w:rPr>
              <w:t>możliwość dokonania należytej oceny czynności, jaka miałaby zostać dokonana w imieniu</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 xml:space="preserve">małoletniego, w świetle zasady dobra dziecka </w:t>
            </w:r>
            <w:r w:rsidR="0086247D">
              <w:rPr>
                <w:rFonts w:ascii="Times New Roman" w:eastAsia="Times New Roman" w:hAnsi="Times New Roman" w:cs="Times New Roman"/>
                <w:sz w:val="20"/>
                <w:szCs w:val="20"/>
                <w:lang w:eastAsia="pl-PL"/>
              </w:rPr>
              <w:t xml:space="preserve">albo </w:t>
            </w:r>
            <w:r w:rsidRPr="00266854">
              <w:rPr>
                <w:rFonts w:ascii="Times New Roman" w:eastAsia="Times New Roman" w:hAnsi="Times New Roman" w:cs="Times New Roman"/>
                <w:sz w:val="20"/>
                <w:szCs w:val="20"/>
                <w:lang w:eastAsia="pl-PL"/>
              </w:rPr>
              <w:t xml:space="preserve">osoby </w:t>
            </w:r>
            <w:r w:rsidR="0086247D">
              <w:rPr>
                <w:rFonts w:ascii="Times New Roman" w:eastAsia="Times New Roman" w:hAnsi="Times New Roman" w:cs="Times New Roman"/>
                <w:sz w:val="20"/>
                <w:szCs w:val="20"/>
                <w:lang w:eastAsia="pl-PL"/>
              </w:rPr>
              <w:t>znajdującej się pod opieką</w:t>
            </w:r>
            <w:r w:rsidRPr="00266854">
              <w:rPr>
                <w:rFonts w:ascii="Times New Roman" w:eastAsia="Times New Roman" w:hAnsi="Times New Roman" w:cs="Times New Roman"/>
                <w:sz w:val="20"/>
                <w:szCs w:val="20"/>
                <w:lang w:eastAsia="pl-PL"/>
              </w:rPr>
              <w:t xml:space="preserve"> i prawidłowej</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 xml:space="preserve">ochrony </w:t>
            </w:r>
            <w:r w:rsidR="0086247D">
              <w:rPr>
                <w:rFonts w:ascii="Times New Roman" w:eastAsia="Times New Roman" w:hAnsi="Times New Roman" w:cs="Times New Roman"/>
                <w:sz w:val="20"/>
                <w:szCs w:val="20"/>
                <w:lang w:eastAsia="pl-PL"/>
              </w:rPr>
              <w:t>ich</w:t>
            </w:r>
            <w:r w:rsidRPr="00266854">
              <w:rPr>
                <w:rFonts w:ascii="Times New Roman" w:eastAsia="Times New Roman" w:hAnsi="Times New Roman" w:cs="Times New Roman"/>
                <w:sz w:val="20"/>
                <w:szCs w:val="20"/>
                <w:lang w:eastAsia="pl-PL"/>
              </w:rPr>
              <w:t xml:space="preserve"> interesów majątkowych.</w:t>
            </w:r>
          </w:p>
        </w:tc>
      </w:tr>
      <w:tr w:rsidR="008022DD" w14:paraId="26B81E54" w14:textId="77777777" w:rsidTr="00B241C8">
        <w:trPr>
          <w:jc w:val="center"/>
        </w:trPr>
        <w:tc>
          <w:tcPr>
            <w:tcW w:w="562" w:type="dxa"/>
          </w:tcPr>
          <w:p w14:paraId="7D9A8810" w14:textId="2DCE95E2" w:rsidR="008022DD" w:rsidRDefault="008C150E" w:rsidP="008022DD">
            <w:pPr>
              <w:spacing w:before="120"/>
              <w:ind w:right="-534"/>
              <w:rPr>
                <w:rFonts w:ascii="Times New Roman" w:hAnsi="Times New Roman" w:cs="Times New Roman"/>
                <w:b/>
                <w:sz w:val="20"/>
              </w:rPr>
            </w:pPr>
            <w:r>
              <w:rPr>
                <w:rFonts w:ascii="Times New Roman" w:hAnsi="Times New Roman" w:cs="Times New Roman"/>
                <w:b/>
                <w:sz w:val="20"/>
              </w:rPr>
              <w:lastRenderedPageBreak/>
              <w:t>9</w:t>
            </w:r>
            <w:r w:rsidR="008022DD">
              <w:rPr>
                <w:rFonts w:ascii="Times New Roman" w:hAnsi="Times New Roman" w:cs="Times New Roman"/>
                <w:b/>
                <w:sz w:val="20"/>
              </w:rPr>
              <w:t>.</w:t>
            </w:r>
          </w:p>
        </w:tc>
        <w:tc>
          <w:tcPr>
            <w:tcW w:w="1843" w:type="dxa"/>
            <w:vAlign w:val="center"/>
          </w:tcPr>
          <w:p w14:paraId="2C62D655" w14:textId="7AA7A953" w:rsidR="008022DD" w:rsidRPr="005B3FB5" w:rsidRDefault="008022DD" w:rsidP="008022DD">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Sąd Rejonowy Lublin – Wschód w </w:t>
            </w:r>
            <w:r w:rsidRPr="005B3FB5">
              <w:rPr>
                <w:rFonts w:ascii="Times New Roman" w:hAnsi="Times New Roman" w:cs="Times New Roman"/>
                <w:sz w:val="20"/>
                <w:szCs w:val="20"/>
              </w:rPr>
              <w:lastRenderedPageBreak/>
              <w:t>Lublinie z siedzibą w Świdniku I Wydział Cywilny</w:t>
            </w:r>
          </w:p>
        </w:tc>
        <w:tc>
          <w:tcPr>
            <w:tcW w:w="1843" w:type="dxa"/>
            <w:vAlign w:val="center"/>
          </w:tcPr>
          <w:p w14:paraId="66C552EB" w14:textId="5BF1404C" w:rsidR="008022DD" w:rsidRPr="005B3FB5" w:rsidRDefault="008022DD" w:rsidP="008022DD">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lastRenderedPageBreak/>
              <w:t xml:space="preserve">art. 3 pkt </w:t>
            </w:r>
            <w:r>
              <w:rPr>
                <w:rFonts w:ascii="Times New Roman" w:hAnsi="Times New Roman" w:cs="Times New Roman"/>
                <w:sz w:val="20"/>
                <w:szCs w:val="20"/>
              </w:rPr>
              <w:t>3</w:t>
            </w:r>
            <w:r w:rsidRPr="005B3FB5">
              <w:rPr>
                <w:rFonts w:ascii="Times New Roman" w:hAnsi="Times New Roman" w:cs="Times New Roman"/>
                <w:sz w:val="20"/>
                <w:szCs w:val="20"/>
              </w:rPr>
              <w:t xml:space="preserve"> projektu</w:t>
            </w:r>
          </w:p>
        </w:tc>
        <w:tc>
          <w:tcPr>
            <w:tcW w:w="5670" w:type="dxa"/>
            <w:vAlign w:val="center"/>
          </w:tcPr>
          <w:p w14:paraId="22974F0A" w14:textId="77777777" w:rsidR="008022DD" w:rsidRPr="005B3FB5" w:rsidRDefault="008022DD" w:rsidP="009B1DB0">
            <w:pPr>
              <w:jc w:val="both"/>
              <w:rPr>
                <w:rFonts w:ascii="Times New Roman" w:hAnsi="Times New Roman" w:cs="Times New Roman"/>
                <w:sz w:val="20"/>
                <w:szCs w:val="20"/>
              </w:rPr>
            </w:pPr>
            <w:r w:rsidRPr="005B3FB5">
              <w:rPr>
                <w:rFonts w:ascii="Times New Roman" w:hAnsi="Times New Roman" w:cs="Times New Roman"/>
                <w:sz w:val="20"/>
                <w:szCs w:val="20"/>
              </w:rPr>
              <w:t xml:space="preserve">Zmiana przepisów Kodeksu rodzinnego i opiekuńczego, Kodeksu postępowania cywilnego, której celem jest wyposażenie Sądu </w:t>
            </w:r>
            <w:r w:rsidRPr="005B3FB5">
              <w:rPr>
                <w:rFonts w:ascii="Times New Roman" w:hAnsi="Times New Roman" w:cs="Times New Roman"/>
                <w:sz w:val="20"/>
                <w:szCs w:val="20"/>
              </w:rPr>
              <w:lastRenderedPageBreak/>
              <w:t>spadku w kompetencje sądu opiekuńczego nie znajduje żadnego racjonalnego uzasadnienia. Nie ulega wątpliwości, że zmiany te nie zabezpieczą praw spadkobierców zwłaszcza małoletnich i ubezwłasnowolnionych.  Zmiana ta nie doprowadzi też do oczekiwanego w uzasadnieniu projektu przyśpieszenia postępowań spadkowych ani nie doprowadzi do udostępnienia prawa do sądu.  Przeciwko proponowanemu rozwiązaniu przemawiają następujące argumenty:</w:t>
            </w:r>
          </w:p>
          <w:p w14:paraId="21BFF9D1" w14:textId="256B39C1" w:rsidR="008022DD" w:rsidRPr="005B3FB5" w:rsidRDefault="008022DD" w:rsidP="008022DD">
            <w:pPr>
              <w:pStyle w:val="Akapitzlist"/>
              <w:numPr>
                <w:ilvl w:val="0"/>
                <w:numId w:val="24"/>
              </w:numPr>
              <w:spacing w:after="160"/>
              <w:jc w:val="both"/>
              <w:rPr>
                <w:rFonts w:ascii="Times New Roman" w:hAnsi="Times New Roman" w:cs="Times New Roman"/>
                <w:sz w:val="20"/>
                <w:szCs w:val="20"/>
              </w:rPr>
            </w:pPr>
            <w:r w:rsidRPr="005B3FB5">
              <w:rPr>
                <w:rFonts w:ascii="Times New Roman" w:hAnsi="Times New Roman" w:cs="Times New Roman"/>
                <w:sz w:val="20"/>
                <w:szCs w:val="20"/>
              </w:rPr>
              <w:t xml:space="preserve">Postępowanie prowadzone przed sądem opiekuńczym dotyczące wyrażenia zgody na dokonanie czynności przekraczających zakres zwykłego zarządu majątkiem dziecka ma charakter kameralny, uczestniczą w nim przedstawiciele prawni małoletniego, niekiedy kurator ustanowiony przez sąd w przypadku sprzeczności interesów. Jest to uzasadnione, gdyż rozstrzygnięcie w tym zakresie oparte jest m.in. na badaniu kondycji majątkowej małoletniego, analizie ewentualnych skutków nabycia przez niego majątku, sytuacji jego rodziców lub przedstawicieli a także stanu majątku spadku. Natomiast postępowanie o stwierdzenie nabycia spadku nie gwarantuje ograniczenia kręgu uczestników. Niejednokrotnie postępowania te są inicjowane na wniosek wierzycieli spadkodawcy, współwłaścicieli (razem ze spadkodawcą) rzeczy, a nawet organów państwa- a więc osób całkowicie obcych w stosunku do małoletniego, którzy jako uczestnicy (łącznie z licznym kręgiem spadkobierców) uzyskają nie tylko wiadomości o stanie majątkowym i sytuacji </w:t>
            </w:r>
            <w:r w:rsidR="007B7C30" w:rsidRPr="005B3FB5">
              <w:rPr>
                <w:rFonts w:ascii="Times New Roman" w:hAnsi="Times New Roman" w:cs="Times New Roman"/>
                <w:sz w:val="20"/>
                <w:szCs w:val="20"/>
              </w:rPr>
              <w:t>małoletniego,</w:t>
            </w:r>
            <w:r w:rsidRPr="005B3FB5">
              <w:rPr>
                <w:rFonts w:ascii="Times New Roman" w:hAnsi="Times New Roman" w:cs="Times New Roman"/>
                <w:sz w:val="20"/>
                <w:szCs w:val="20"/>
              </w:rPr>
              <w:t xml:space="preserve"> ale również prawo do zgłaszania w tym zakresie oczekiwań w odniesieniu do rozstrzygnięcia sądu, wnoszenia środków odwoławczych. W ten sposób drażliwe dane małoletniego będą podlegały upowszechnieniu szerokiemu gronu osób i podmiotów, co jest – w sposób oczywisty – nie do pogodzenia z koniecznością ochrony jaką Państwo powinno gwarantować zwłaszcza małoletnim obywatelom;</w:t>
            </w:r>
          </w:p>
          <w:p w14:paraId="5CDF8FD4" w14:textId="77777777" w:rsidR="008022DD" w:rsidRPr="005B3FB5" w:rsidRDefault="008022DD" w:rsidP="008022DD">
            <w:pPr>
              <w:pStyle w:val="Akapitzlist"/>
              <w:numPr>
                <w:ilvl w:val="0"/>
                <w:numId w:val="24"/>
              </w:numPr>
              <w:spacing w:after="160"/>
              <w:jc w:val="both"/>
              <w:rPr>
                <w:rFonts w:ascii="Times New Roman" w:hAnsi="Times New Roman" w:cs="Times New Roman"/>
                <w:sz w:val="20"/>
                <w:szCs w:val="20"/>
              </w:rPr>
            </w:pPr>
            <w:r w:rsidRPr="005B3FB5">
              <w:rPr>
                <w:rFonts w:ascii="Times New Roman" w:hAnsi="Times New Roman" w:cs="Times New Roman"/>
                <w:sz w:val="20"/>
                <w:szCs w:val="20"/>
              </w:rPr>
              <w:lastRenderedPageBreak/>
              <w:t>Przepisy dokładnie określają sąd spadku. Dotychczas postępowania dotyczące wyrażenia zgody na czynność przekraczającą zakres zwykłego zarządu majątkiem małoletniego są prowadzone przed sądem opiekuńczym – właściwym według miejsca zamieszkania małoletniego. Nie jest rzadka sytuacja, gdy małoletni i jego przedstawiciele mieszkają na obszarze właściwości innego sądu aniżeli sąd spadku. W tym przypadku ich dostęp do sądu staje się utrudniony, gdyż postępowanie w przedmiocie wyrażenia zgody na złożenie oświadczenia w zakresie przyjęcia lub odrzucenia spadku będzie mogło być prowadzone jedynie przed jednym sądem – sądem spadku;</w:t>
            </w:r>
          </w:p>
          <w:p w14:paraId="079DAE1B" w14:textId="127AF70A" w:rsidR="008022DD" w:rsidRPr="005B3FB5" w:rsidRDefault="008022DD" w:rsidP="008022DD">
            <w:pPr>
              <w:pStyle w:val="Akapitzlist"/>
              <w:numPr>
                <w:ilvl w:val="0"/>
                <w:numId w:val="24"/>
              </w:numPr>
              <w:spacing w:after="160"/>
              <w:jc w:val="both"/>
              <w:rPr>
                <w:rFonts w:ascii="Times New Roman" w:hAnsi="Times New Roman" w:cs="Times New Roman"/>
                <w:sz w:val="20"/>
                <w:szCs w:val="20"/>
              </w:rPr>
            </w:pPr>
            <w:r w:rsidRPr="005B3FB5">
              <w:rPr>
                <w:rFonts w:ascii="Times New Roman" w:hAnsi="Times New Roman" w:cs="Times New Roman"/>
                <w:sz w:val="20"/>
                <w:szCs w:val="20"/>
              </w:rPr>
              <w:t xml:space="preserve">Sąd spadku – a więc sąd cywilny – nie dysponuje, w przeciwieństwie do sądu opiekuńczego narzędziami do prowadzenia postępowania dowodowego, ustaleń </w:t>
            </w:r>
            <w:r w:rsidR="007B7C30" w:rsidRPr="005B3FB5">
              <w:rPr>
                <w:rFonts w:ascii="Times New Roman" w:hAnsi="Times New Roman" w:cs="Times New Roman"/>
                <w:sz w:val="20"/>
                <w:szCs w:val="20"/>
              </w:rPr>
              <w:t>odnośnie do</w:t>
            </w:r>
            <w:r w:rsidRPr="005B3FB5">
              <w:rPr>
                <w:rFonts w:ascii="Times New Roman" w:hAnsi="Times New Roman" w:cs="Times New Roman"/>
                <w:sz w:val="20"/>
                <w:szCs w:val="20"/>
              </w:rPr>
              <w:t xml:space="preserve"> faktów istotnych dla rozstrzygnięcia wniosku;</w:t>
            </w:r>
          </w:p>
          <w:p w14:paraId="415C9A60" w14:textId="45C7F7F6" w:rsidR="008022DD" w:rsidRDefault="008022DD" w:rsidP="008022DD">
            <w:pPr>
              <w:pStyle w:val="Akapitzlist"/>
              <w:numPr>
                <w:ilvl w:val="0"/>
                <w:numId w:val="24"/>
              </w:numPr>
              <w:spacing w:after="160"/>
              <w:jc w:val="both"/>
              <w:rPr>
                <w:rFonts w:ascii="Times New Roman" w:hAnsi="Times New Roman" w:cs="Times New Roman"/>
                <w:sz w:val="20"/>
                <w:szCs w:val="20"/>
              </w:rPr>
            </w:pPr>
            <w:r w:rsidRPr="005B3FB5">
              <w:rPr>
                <w:rFonts w:ascii="Times New Roman" w:hAnsi="Times New Roman" w:cs="Times New Roman"/>
                <w:sz w:val="20"/>
                <w:szCs w:val="20"/>
              </w:rPr>
              <w:t>W uzupełnieniu wywodu wyrażonego w punkcie 1) należy stwierdzić, iż wysoce wątpliwa jest teza o ewentualnym przyśpieszeniu postępowań. Projektowany przepis art. 640</w:t>
            </w:r>
            <w:r w:rsidRPr="005B3FB5">
              <w:rPr>
                <w:rFonts w:ascii="Times New Roman" w:hAnsi="Times New Roman" w:cs="Times New Roman"/>
                <w:sz w:val="20"/>
                <w:szCs w:val="20"/>
                <w:vertAlign w:val="superscript"/>
              </w:rPr>
              <w:t xml:space="preserve">1 </w:t>
            </w:r>
            <w:r w:rsidRPr="005B3FB5">
              <w:rPr>
                <w:rFonts w:ascii="Times New Roman" w:hAnsi="Times New Roman" w:cs="Times New Roman"/>
                <w:sz w:val="20"/>
                <w:szCs w:val="20"/>
              </w:rPr>
              <w:t xml:space="preserve">§1 k.p.c. nie zawiera w swojej treści wskazania w jaki sposób sąd spadku miałby wydawać zezwolenie na złożenie oświadczenia o przyjęciu lub odrzuceniu spadku. Wydaje się, że decyzja taka powinna być poddawana kontroli </w:t>
            </w:r>
            <w:r w:rsidR="007B7C30" w:rsidRPr="005B3FB5">
              <w:rPr>
                <w:rFonts w:ascii="Times New Roman" w:hAnsi="Times New Roman" w:cs="Times New Roman"/>
                <w:sz w:val="20"/>
                <w:szCs w:val="20"/>
              </w:rPr>
              <w:t>instancyjnej,</w:t>
            </w:r>
            <w:r w:rsidRPr="005B3FB5">
              <w:rPr>
                <w:rFonts w:ascii="Times New Roman" w:hAnsi="Times New Roman" w:cs="Times New Roman"/>
                <w:sz w:val="20"/>
                <w:szCs w:val="20"/>
              </w:rPr>
              <w:t xml:space="preserve"> a więc zapadać w postaci orzeczenia zaskarżalnego zwykłym środkiem odwoławczym, nie zaś w postaci wyrażenia zgody na podpisanie odpowiedniego oświadczenia przez przedstawiciela małoletniego lub osoby ubezwłasnowolnionej. Postanowienie takie – jak należy przypuszczać – miałoby postać postanowienia wstępnego. W </w:t>
            </w:r>
            <w:r w:rsidR="007B7C30" w:rsidRPr="005B3FB5">
              <w:rPr>
                <w:rFonts w:ascii="Times New Roman" w:hAnsi="Times New Roman" w:cs="Times New Roman"/>
                <w:sz w:val="20"/>
                <w:szCs w:val="20"/>
              </w:rPr>
              <w:t>przypadku,</w:t>
            </w:r>
            <w:r w:rsidRPr="005B3FB5">
              <w:rPr>
                <w:rFonts w:ascii="Times New Roman" w:hAnsi="Times New Roman" w:cs="Times New Roman"/>
                <w:sz w:val="20"/>
                <w:szCs w:val="20"/>
              </w:rPr>
              <w:t xml:space="preserve"> gdyby do spadku było powołanych wielu małoletnich lub ubezwłasnowolnionych projektowane rozwiązanie prowadziłoby do wydania w jednym postępowaniu spadkowym wielu postanowień </w:t>
            </w:r>
            <w:r w:rsidRPr="005B3FB5">
              <w:rPr>
                <w:rFonts w:ascii="Times New Roman" w:hAnsi="Times New Roman" w:cs="Times New Roman"/>
                <w:sz w:val="20"/>
                <w:szCs w:val="20"/>
              </w:rPr>
              <w:lastRenderedPageBreak/>
              <w:t>wstępnych, od uprawomocnienia się których uzależnione byłoby wydanie postanowienia o stwierdzeniu nabycia spadku;</w:t>
            </w:r>
          </w:p>
          <w:p w14:paraId="3B0AEB9F" w14:textId="1D46D4C0" w:rsidR="008022DD" w:rsidRPr="008022DD" w:rsidRDefault="008022DD" w:rsidP="008022DD">
            <w:pPr>
              <w:pStyle w:val="Akapitzlist"/>
              <w:numPr>
                <w:ilvl w:val="0"/>
                <w:numId w:val="24"/>
              </w:numPr>
              <w:jc w:val="both"/>
              <w:rPr>
                <w:rFonts w:ascii="Times New Roman" w:hAnsi="Times New Roman" w:cs="Times New Roman"/>
                <w:sz w:val="20"/>
                <w:szCs w:val="20"/>
              </w:rPr>
            </w:pPr>
            <w:r w:rsidRPr="008022DD">
              <w:rPr>
                <w:rFonts w:ascii="Times New Roman" w:hAnsi="Times New Roman" w:cs="Times New Roman"/>
                <w:sz w:val="20"/>
                <w:szCs w:val="20"/>
              </w:rPr>
              <w:t xml:space="preserve">Postępowanie w przedmiocie stwierdzenia nabycia spadku, co do zasady nie obejmuje badania samego stanu spadku (czynnego i biernego). Zgodnie z treścią art. 670 </w:t>
            </w:r>
            <w:r w:rsidRPr="008022DD">
              <w:rPr>
                <w:rFonts w:ascii="Times New Roman" w:eastAsia="Times New Roman" w:hAnsi="Times New Roman" w:cs="Times New Roman"/>
                <w:color w:val="333333"/>
                <w:sz w:val="20"/>
                <w:szCs w:val="20"/>
                <w:lang w:eastAsia="pl-PL"/>
              </w:rPr>
              <w:t>§ 1 i 2 . Sąd spadku bada z urzędu, kto jest spadkobiercą oraz ustala, czy w skład spadku wchodzi przedsiębiorstwo objęte zarządem sukcesyjnym. Natomiast</w:t>
            </w:r>
            <w:r w:rsidRPr="008022DD">
              <w:rPr>
                <w:rFonts w:ascii="Times New Roman" w:hAnsi="Times New Roman" w:cs="Times New Roman"/>
                <w:sz w:val="20"/>
                <w:szCs w:val="20"/>
              </w:rPr>
              <w:t xml:space="preserve"> dla oceny zasadności wniosku   o wyrażenie zgody na przyjęcie lub odrzucenie spadku zakres badania przez sąd spadku uległby znacznemu rozszerzeniu. W zasadzie każda decyzja w tym zakresie musiałaby być poprzedzona sporządzeniem spisu inwentarza. W sposób oczywisty doprowadziłoby to do przedłużenia, o ile nie paraliżu tych postępowań. </w:t>
            </w:r>
          </w:p>
        </w:tc>
        <w:tc>
          <w:tcPr>
            <w:tcW w:w="4076" w:type="dxa"/>
          </w:tcPr>
          <w:p w14:paraId="65E80E7B" w14:textId="3E341C1F" w:rsidR="008022DD" w:rsidRPr="008022DD" w:rsidRDefault="008022DD" w:rsidP="008022DD">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Uwaga powtórzona</w:t>
            </w:r>
          </w:p>
          <w:p w14:paraId="64D90845" w14:textId="77777777" w:rsidR="008022DD" w:rsidRDefault="008022DD" w:rsidP="008022DD">
            <w:pPr>
              <w:autoSpaceDE w:val="0"/>
              <w:autoSpaceDN w:val="0"/>
              <w:adjustRightInd w:val="0"/>
              <w:jc w:val="both"/>
              <w:rPr>
                <w:rFonts w:ascii="Times New Roman" w:hAnsi="Times New Roman" w:cs="Times New Roman"/>
                <w:b/>
                <w:bCs/>
                <w:sz w:val="20"/>
                <w:szCs w:val="20"/>
                <w:lang w:eastAsia="pl-PL"/>
              </w:rPr>
            </w:pPr>
          </w:p>
          <w:p w14:paraId="6F5210AF" w14:textId="07AAAA62" w:rsidR="00C31940" w:rsidRPr="004E46FE" w:rsidRDefault="00463607" w:rsidP="00C31940">
            <w:pPr>
              <w:spacing w:after="120"/>
              <w:jc w:val="both"/>
              <w:rPr>
                <w:rFonts w:ascii="Times New Roman" w:hAnsi="Times New Roman" w:cs="Times New Roman"/>
                <w:sz w:val="20"/>
                <w:szCs w:val="20"/>
              </w:rPr>
            </w:pPr>
            <w:r w:rsidRPr="00745B44">
              <w:rPr>
                <w:rFonts w:ascii="Times New Roman" w:hAnsi="Times New Roman" w:cs="Times New Roman"/>
                <w:sz w:val="20"/>
              </w:rPr>
              <w:lastRenderedPageBreak/>
              <w:t>Szczegółowe stanowisko projektodawcy zostało zamieszczone na stronie</w:t>
            </w:r>
            <w:r>
              <w:rPr>
                <w:rFonts w:ascii="Times New Roman" w:hAnsi="Times New Roman" w:cs="Times New Roman"/>
                <w:sz w:val="20"/>
              </w:rPr>
              <w:t xml:space="preserve"> 49</w:t>
            </w:r>
            <w:r w:rsidR="00D44C5D">
              <w:rPr>
                <w:rFonts w:ascii="Times New Roman" w:hAnsi="Times New Roman" w:cs="Times New Roman"/>
                <w:sz w:val="20"/>
              </w:rPr>
              <w:t>-</w:t>
            </w:r>
            <w:r>
              <w:rPr>
                <w:rFonts w:ascii="Times New Roman" w:hAnsi="Times New Roman" w:cs="Times New Roman"/>
                <w:sz w:val="20"/>
              </w:rPr>
              <w:t>51</w:t>
            </w:r>
            <w:r w:rsidRPr="00745B44">
              <w:rPr>
                <w:rFonts w:ascii="Times New Roman" w:hAnsi="Times New Roman" w:cs="Times New Roman"/>
                <w:sz w:val="20"/>
              </w:rPr>
              <w:t xml:space="preserve"> </w:t>
            </w:r>
            <w:r w:rsidRPr="00D44C5D">
              <w:rPr>
                <w:rFonts w:ascii="Times New Roman" w:hAnsi="Times New Roman" w:cs="Times New Roman"/>
                <w:i/>
                <w:iCs/>
                <w:sz w:val="20"/>
              </w:rPr>
              <w:t>tabeli</w:t>
            </w:r>
            <w:r w:rsidRPr="00D44C5D">
              <w:rPr>
                <w:i/>
                <w:iCs/>
              </w:rPr>
              <w:t xml:space="preserve"> </w:t>
            </w:r>
            <w:r w:rsidRPr="00D44C5D">
              <w:rPr>
                <w:rFonts w:ascii="Times New Roman" w:hAnsi="Times New Roman" w:cs="Times New Roman"/>
                <w:i/>
                <w:iCs/>
                <w:sz w:val="20"/>
              </w:rPr>
              <w:t>przedstawiającej odniesienie do uwag</w:t>
            </w:r>
            <w:r w:rsidR="00C31940">
              <w:rPr>
                <w:rFonts w:ascii="Times New Roman" w:hAnsi="Times New Roman" w:cs="Times New Roman"/>
                <w:i/>
                <w:iCs/>
                <w:sz w:val="20"/>
              </w:rPr>
              <w:t xml:space="preserve"> </w:t>
            </w:r>
            <w:r w:rsidR="00C31940" w:rsidRPr="009D4717">
              <w:rPr>
                <w:rFonts w:ascii="Times New Roman" w:hAnsi="Times New Roman" w:cs="Times New Roman"/>
                <w:sz w:val="20"/>
                <w:szCs w:val="20"/>
              </w:rPr>
              <w:t>zgłoszonych w ramach konsultacji publicznych do projektu z dnia 15 grudnia 2021 r</w:t>
            </w:r>
            <w:r w:rsidR="00C31940">
              <w:rPr>
                <w:rFonts w:ascii="Times New Roman" w:hAnsi="Times New Roman" w:cs="Times New Roman"/>
                <w:sz w:val="20"/>
                <w:szCs w:val="20"/>
              </w:rPr>
              <w:t>.</w:t>
            </w:r>
          </w:p>
          <w:p w14:paraId="508A011F" w14:textId="3A56F6E5" w:rsidR="00463607" w:rsidRPr="00D44C5D" w:rsidRDefault="00463607" w:rsidP="00463607">
            <w:pPr>
              <w:autoSpaceDE w:val="0"/>
              <w:autoSpaceDN w:val="0"/>
              <w:adjustRightInd w:val="0"/>
              <w:jc w:val="both"/>
              <w:rPr>
                <w:rFonts w:ascii="Times New Roman" w:eastAsia="Times New Roman" w:hAnsi="Times New Roman" w:cs="Times New Roman"/>
                <w:b/>
                <w:bCs/>
                <w:i/>
                <w:iCs/>
                <w:sz w:val="20"/>
                <w:szCs w:val="20"/>
                <w:lang w:eastAsia="pl-PL"/>
              </w:rPr>
            </w:pPr>
          </w:p>
          <w:p w14:paraId="6E72AAFD" w14:textId="258D7379" w:rsidR="008022DD" w:rsidRDefault="008D75C3" w:rsidP="008022DD">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tym miejscu ponownego</w:t>
            </w:r>
            <w:r w:rsidR="00E036E7">
              <w:rPr>
                <w:rFonts w:ascii="Times New Roman" w:eastAsia="Times New Roman" w:hAnsi="Times New Roman" w:cs="Times New Roman"/>
                <w:sz w:val="20"/>
                <w:szCs w:val="20"/>
                <w:lang w:eastAsia="pl-PL"/>
              </w:rPr>
              <w:t xml:space="preserve"> p</w:t>
            </w:r>
            <w:r w:rsidR="008022DD">
              <w:rPr>
                <w:rFonts w:ascii="Times New Roman" w:eastAsia="Times New Roman" w:hAnsi="Times New Roman" w:cs="Times New Roman"/>
                <w:sz w:val="20"/>
                <w:szCs w:val="20"/>
                <w:lang w:eastAsia="pl-PL"/>
              </w:rPr>
              <w:t xml:space="preserve">odkreślenia wymaga, że </w:t>
            </w:r>
            <w:r w:rsidR="008022DD" w:rsidRPr="00F85D2F">
              <w:rPr>
                <w:rFonts w:ascii="Times New Roman" w:eastAsia="Times New Roman" w:hAnsi="Times New Roman" w:cs="Times New Roman"/>
                <w:sz w:val="20"/>
                <w:szCs w:val="20"/>
                <w:lang w:eastAsia="pl-PL"/>
              </w:rPr>
              <w:t>powierzenie sądowi spadku orzekania w kwestii zezwolenia na</w:t>
            </w:r>
            <w:r w:rsidR="008022DD">
              <w:rPr>
                <w:rFonts w:ascii="Times New Roman" w:eastAsia="Times New Roman" w:hAnsi="Times New Roman" w:cs="Times New Roman"/>
                <w:sz w:val="20"/>
                <w:szCs w:val="20"/>
                <w:lang w:eastAsia="pl-PL"/>
              </w:rPr>
              <w:t xml:space="preserve"> </w:t>
            </w:r>
            <w:r w:rsidR="008022DD" w:rsidRPr="00F85D2F">
              <w:rPr>
                <w:rFonts w:ascii="Times New Roman" w:eastAsia="Times New Roman" w:hAnsi="Times New Roman" w:cs="Times New Roman"/>
                <w:sz w:val="20"/>
                <w:szCs w:val="20"/>
                <w:lang w:eastAsia="pl-PL"/>
              </w:rPr>
              <w:t>dokonanie czynności przekraczającej zakres zwykłego zarządu majątkiem małoletniego</w:t>
            </w:r>
            <w:r w:rsidR="008022DD">
              <w:rPr>
                <w:rFonts w:ascii="Times New Roman" w:eastAsia="Times New Roman" w:hAnsi="Times New Roman" w:cs="Times New Roman"/>
                <w:sz w:val="20"/>
                <w:szCs w:val="20"/>
                <w:lang w:eastAsia="pl-PL"/>
              </w:rPr>
              <w:t xml:space="preserve"> </w:t>
            </w:r>
            <w:r w:rsidR="008022DD" w:rsidRPr="00F85D2F">
              <w:rPr>
                <w:rFonts w:ascii="Times New Roman" w:eastAsia="Times New Roman" w:hAnsi="Times New Roman" w:cs="Times New Roman"/>
                <w:sz w:val="20"/>
                <w:szCs w:val="20"/>
                <w:lang w:eastAsia="pl-PL"/>
              </w:rPr>
              <w:t>dziecka i osoby ubezwłasnowolnionej całkowicie polegającej na przyjęciu spadku wprost lub</w:t>
            </w:r>
            <w:r w:rsidR="008022DD">
              <w:rPr>
                <w:rFonts w:ascii="Times New Roman" w:eastAsia="Times New Roman" w:hAnsi="Times New Roman" w:cs="Times New Roman"/>
                <w:sz w:val="20"/>
                <w:szCs w:val="20"/>
                <w:lang w:eastAsia="pl-PL"/>
              </w:rPr>
              <w:t xml:space="preserve"> </w:t>
            </w:r>
            <w:r w:rsidR="008022DD" w:rsidRPr="00F85D2F">
              <w:rPr>
                <w:rFonts w:ascii="Times New Roman" w:eastAsia="Times New Roman" w:hAnsi="Times New Roman" w:cs="Times New Roman"/>
                <w:sz w:val="20"/>
                <w:szCs w:val="20"/>
                <w:lang w:eastAsia="pl-PL"/>
              </w:rPr>
              <w:t>odrzuceniu spadku w toku sprawy o stwierdzenie nabycia spadku – jest zmian</w:t>
            </w:r>
            <w:r w:rsidR="008022DD">
              <w:rPr>
                <w:rFonts w:ascii="Times New Roman" w:eastAsia="Times New Roman" w:hAnsi="Times New Roman" w:cs="Times New Roman"/>
                <w:sz w:val="20"/>
                <w:szCs w:val="20"/>
                <w:lang w:eastAsia="pl-PL"/>
              </w:rPr>
              <w:t xml:space="preserve">ą </w:t>
            </w:r>
            <w:r w:rsidR="008022DD" w:rsidRPr="00F85D2F">
              <w:rPr>
                <w:rFonts w:ascii="Times New Roman" w:eastAsia="Times New Roman" w:hAnsi="Times New Roman" w:cs="Times New Roman"/>
                <w:sz w:val="20"/>
                <w:szCs w:val="20"/>
                <w:lang w:eastAsia="pl-PL"/>
              </w:rPr>
              <w:t>kierunkową, zgodną z regulacjami zawartymi w Rozporządzenia Rady (UE) 2019/1111 z dnia</w:t>
            </w:r>
            <w:r w:rsidR="008022DD">
              <w:rPr>
                <w:rFonts w:ascii="Times New Roman" w:eastAsia="Times New Roman" w:hAnsi="Times New Roman" w:cs="Times New Roman"/>
                <w:sz w:val="20"/>
                <w:szCs w:val="20"/>
                <w:lang w:eastAsia="pl-PL"/>
              </w:rPr>
              <w:t xml:space="preserve"> </w:t>
            </w:r>
            <w:r w:rsidR="008022DD" w:rsidRPr="00F85D2F">
              <w:rPr>
                <w:rFonts w:ascii="Times New Roman" w:eastAsia="Times New Roman" w:hAnsi="Times New Roman" w:cs="Times New Roman"/>
                <w:sz w:val="20"/>
                <w:szCs w:val="20"/>
                <w:lang w:eastAsia="pl-PL"/>
              </w:rPr>
              <w:t>25 czerwca 2019 r. w sprawie jurysdykcji,</w:t>
            </w:r>
            <w:r w:rsidR="008022DD">
              <w:rPr>
                <w:rFonts w:ascii="Times New Roman" w:eastAsia="Times New Roman" w:hAnsi="Times New Roman" w:cs="Times New Roman"/>
                <w:sz w:val="20"/>
                <w:szCs w:val="20"/>
                <w:lang w:eastAsia="pl-PL"/>
              </w:rPr>
              <w:t xml:space="preserve"> </w:t>
            </w:r>
            <w:r w:rsidR="008022DD" w:rsidRPr="00F85D2F">
              <w:rPr>
                <w:rFonts w:ascii="Times New Roman" w:eastAsia="Times New Roman" w:hAnsi="Times New Roman" w:cs="Times New Roman"/>
                <w:sz w:val="20"/>
                <w:szCs w:val="20"/>
                <w:lang w:eastAsia="pl-PL"/>
              </w:rPr>
              <w:t>uznawania i wykonywania orzeczeń w sprawach</w:t>
            </w:r>
            <w:r w:rsidR="008022DD">
              <w:rPr>
                <w:rFonts w:ascii="Times New Roman" w:eastAsia="Times New Roman" w:hAnsi="Times New Roman" w:cs="Times New Roman"/>
                <w:sz w:val="20"/>
                <w:szCs w:val="20"/>
                <w:lang w:eastAsia="pl-PL"/>
              </w:rPr>
              <w:t xml:space="preserve"> </w:t>
            </w:r>
            <w:r w:rsidR="008022DD" w:rsidRPr="00F85D2F">
              <w:rPr>
                <w:rFonts w:ascii="Times New Roman" w:eastAsia="Times New Roman" w:hAnsi="Times New Roman" w:cs="Times New Roman"/>
                <w:sz w:val="20"/>
                <w:szCs w:val="20"/>
                <w:lang w:eastAsia="pl-PL"/>
              </w:rPr>
              <w:t>małżeńskich i w sprawach dotyczących odpowiedzialności rodzicielskiej oraz w sprawie</w:t>
            </w:r>
            <w:r>
              <w:rPr>
                <w:rFonts w:ascii="Times New Roman" w:eastAsia="Times New Roman" w:hAnsi="Times New Roman" w:cs="Times New Roman"/>
                <w:sz w:val="20"/>
                <w:szCs w:val="20"/>
                <w:lang w:eastAsia="pl-PL"/>
              </w:rPr>
              <w:t xml:space="preserve"> </w:t>
            </w:r>
            <w:r w:rsidR="008022DD" w:rsidRPr="00F85D2F">
              <w:rPr>
                <w:rFonts w:ascii="Times New Roman" w:eastAsia="Times New Roman" w:hAnsi="Times New Roman" w:cs="Times New Roman"/>
                <w:sz w:val="20"/>
                <w:szCs w:val="20"/>
                <w:lang w:eastAsia="pl-PL"/>
              </w:rPr>
              <w:t>uprowadzenia dziecka za granicę (</w:t>
            </w:r>
            <w:proofErr w:type="spellStart"/>
            <w:r w:rsidR="008022DD" w:rsidRPr="00F85D2F">
              <w:rPr>
                <w:rFonts w:ascii="Times New Roman" w:eastAsia="Times New Roman" w:hAnsi="Times New Roman" w:cs="Times New Roman"/>
                <w:sz w:val="20"/>
                <w:szCs w:val="20"/>
                <w:lang w:eastAsia="pl-PL"/>
              </w:rPr>
              <w:t>Dz.Urz</w:t>
            </w:r>
            <w:proofErr w:type="spellEnd"/>
            <w:r w:rsidR="008022DD" w:rsidRPr="00F85D2F">
              <w:rPr>
                <w:rFonts w:ascii="Times New Roman" w:eastAsia="Times New Roman" w:hAnsi="Times New Roman" w:cs="Times New Roman"/>
                <w:sz w:val="20"/>
                <w:szCs w:val="20"/>
                <w:lang w:eastAsia="pl-PL"/>
              </w:rPr>
              <w:t>. UE L. 178/1)</w:t>
            </w:r>
            <w:r w:rsidR="00E036E7">
              <w:rPr>
                <w:rFonts w:ascii="Times New Roman" w:eastAsia="Times New Roman" w:hAnsi="Times New Roman" w:cs="Times New Roman"/>
                <w:sz w:val="20"/>
                <w:szCs w:val="20"/>
                <w:lang w:eastAsia="pl-PL"/>
              </w:rPr>
              <w:t>.</w:t>
            </w:r>
            <w:r w:rsidR="008022DD" w:rsidRPr="00F85D2F">
              <w:rPr>
                <w:rFonts w:ascii="Times New Roman" w:eastAsia="Times New Roman" w:hAnsi="Times New Roman" w:cs="Times New Roman"/>
                <w:sz w:val="20"/>
                <w:szCs w:val="20"/>
                <w:lang w:eastAsia="pl-PL"/>
              </w:rPr>
              <w:t xml:space="preserve"> </w:t>
            </w:r>
          </w:p>
          <w:p w14:paraId="4016AB10" w14:textId="28663F81" w:rsidR="008022DD" w:rsidRDefault="008022DD" w:rsidP="008022DD">
            <w:pPr>
              <w:autoSpaceDE w:val="0"/>
              <w:autoSpaceDN w:val="0"/>
              <w:adjustRightInd w:val="0"/>
              <w:jc w:val="both"/>
              <w:rPr>
                <w:rFonts w:ascii="Times New Roman" w:hAnsi="Times New Roman" w:cs="Times New Roman"/>
                <w:sz w:val="20"/>
                <w:szCs w:val="20"/>
              </w:rPr>
            </w:pPr>
            <w:r w:rsidRPr="008968B7">
              <w:rPr>
                <w:rFonts w:ascii="Times New Roman" w:hAnsi="Times New Roman" w:cs="Times New Roman"/>
                <w:sz w:val="20"/>
                <w:szCs w:val="20"/>
              </w:rPr>
              <w:t xml:space="preserve">Art. 16 ust. 3 rozporządzenia Rady 2019/1111 stanowi, że „jeżeli ważność czynności prawnej, która została lub ma zostać dokonana w imieniu dziecka w postępowaniu spadkowym toczącym się przed sądem państwa członkowskiego, wymaga zezwolenia lub zatwierdzenia ze strony sądu, sąd w tym państwie członkowskim może podjąć decyzję, czy zezwolić na tę czynność prawną lub zatwierdzić taką czynność, nawet jeżeli nie ma on jurysdykcji na podstawie niniejszego rozporządzenia.”. Również na podstawie obecnie stosowanego rozporządzenia Rady (WE) NR 2201/2003 z dnia 27 listopada 2003 r. dotyczącego jurysdykcji oraz uznawania i wykonywania orzeczeń w sprawach małżeńskich oraz w sprawach dotyczących </w:t>
            </w:r>
            <w:r w:rsidRPr="008968B7">
              <w:rPr>
                <w:rFonts w:ascii="Times New Roman" w:hAnsi="Times New Roman" w:cs="Times New Roman"/>
                <w:sz w:val="20"/>
                <w:szCs w:val="20"/>
              </w:rPr>
              <w:lastRenderedPageBreak/>
              <w:t>odpowiedzialności rodzicielskiej, uchylającego rozporządzenie (WE) nr 1347/2000 (</w:t>
            </w:r>
            <w:proofErr w:type="spellStart"/>
            <w:r w:rsidRPr="008968B7">
              <w:rPr>
                <w:rFonts w:ascii="Times New Roman" w:hAnsi="Times New Roman" w:cs="Times New Roman"/>
                <w:sz w:val="20"/>
                <w:szCs w:val="20"/>
              </w:rPr>
              <w:t>Dz.Urz</w:t>
            </w:r>
            <w:proofErr w:type="spellEnd"/>
            <w:r w:rsidRPr="008968B7">
              <w:rPr>
                <w:rFonts w:ascii="Times New Roman" w:hAnsi="Times New Roman" w:cs="Times New Roman"/>
                <w:sz w:val="20"/>
                <w:szCs w:val="20"/>
              </w:rPr>
              <w:t>. UE L. 338/1),</w:t>
            </w:r>
            <w:r>
              <w:rPr>
                <w:rFonts w:ascii="Times New Roman" w:hAnsi="Times New Roman" w:cs="Times New Roman"/>
                <w:sz w:val="20"/>
                <w:szCs w:val="20"/>
              </w:rPr>
              <w:t xml:space="preserve"> </w:t>
            </w:r>
            <w:r w:rsidRPr="008968B7">
              <w:rPr>
                <w:rFonts w:ascii="Times New Roman" w:hAnsi="Times New Roman" w:cs="Times New Roman"/>
                <w:sz w:val="20"/>
                <w:szCs w:val="20"/>
              </w:rPr>
              <w:t>istnieje możliwość rozpoznania sprawy dotyczącej odpowiedzialności rodzicielskiej – wyrażenie przez sąd spadku zgody na złożenie oświadczenia o przyjęciu lub odrzuceniu spadku w imieniu dziecka, na podstawie art. 12 ust. 3 tego rozporządzenia, po spełnieniu przewidzianych tam warunków.</w:t>
            </w:r>
          </w:p>
          <w:p w14:paraId="759EF467" w14:textId="77777777" w:rsidR="00E036E7" w:rsidRDefault="00E036E7" w:rsidP="008022DD">
            <w:pPr>
              <w:autoSpaceDE w:val="0"/>
              <w:autoSpaceDN w:val="0"/>
              <w:adjustRightInd w:val="0"/>
              <w:jc w:val="both"/>
              <w:rPr>
                <w:rFonts w:ascii="Times New Roman" w:hAnsi="Times New Roman" w:cs="Times New Roman"/>
                <w:sz w:val="20"/>
                <w:szCs w:val="20"/>
              </w:rPr>
            </w:pPr>
          </w:p>
          <w:p w14:paraId="2CFDFBF8" w14:textId="6CC87999" w:rsidR="008022DD" w:rsidRDefault="008022DD" w:rsidP="008D75C3">
            <w:pPr>
              <w:autoSpaceDE w:val="0"/>
              <w:autoSpaceDN w:val="0"/>
              <w:adjustRightInd w:val="0"/>
              <w:jc w:val="both"/>
              <w:rPr>
                <w:rFonts w:ascii="Times New Roman" w:eastAsia="Times New Roman" w:hAnsi="Times New Roman" w:cs="Times New Roman"/>
                <w:b/>
                <w:bCs/>
                <w:sz w:val="20"/>
                <w:szCs w:val="20"/>
                <w:lang w:eastAsia="pl-PL"/>
              </w:rPr>
            </w:pPr>
          </w:p>
        </w:tc>
      </w:tr>
      <w:tr w:rsidR="00A57140" w14:paraId="3A92C578" w14:textId="77777777" w:rsidTr="00B241C8">
        <w:trPr>
          <w:jc w:val="center"/>
        </w:trPr>
        <w:tc>
          <w:tcPr>
            <w:tcW w:w="562" w:type="dxa"/>
          </w:tcPr>
          <w:p w14:paraId="65616F9C" w14:textId="4EE23FE5" w:rsidR="00A57140" w:rsidRDefault="00A57140" w:rsidP="008022DD">
            <w:pPr>
              <w:spacing w:before="120"/>
              <w:ind w:right="-534"/>
              <w:rPr>
                <w:rFonts w:ascii="Times New Roman" w:hAnsi="Times New Roman" w:cs="Times New Roman"/>
                <w:b/>
                <w:sz w:val="20"/>
              </w:rPr>
            </w:pPr>
            <w:r>
              <w:rPr>
                <w:rFonts w:ascii="Times New Roman" w:hAnsi="Times New Roman" w:cs="Times New Roman"/>
                <w:b/>
                <w:sz w:val="20"/>
              </w:rPr>
              <w:lastRenderedPageBreak/>
              <w:t>10.</w:t>
            </w:r>
          </w:p>
        </w:tc>
        <w:tc>
          <w:tcPr>
            <w:tcW w:w="1843" w:type="dxa"/>
            <w:vAlign w:val="center"/>
          </w:tcPr>
          <w:p w14:paraId="66039F58" w14:textId="6B4154A7" w:rsidR="00A57140" w:rsidRPr="005B3FB5" w:rsidRDefault="00A57140" w:rsidP="008022DD">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Notariuszy RP</w:t>
            </w:r>
          </w:p>
        </w:tc>
        <w:tc>
          <w:tcPr>
            <w:tcW w:w="1843" w:type="dxa"/>
            <w:vAlign w:val="center"/>
          </w:tcPr>
          <w:p w14:paraId="3404CD7C" w14:textId="1283B954" w:rsidR="00A57140" w:rsidRPr="005B3FB5" w:rsidRDefault="00A57140" w:rsidP="008022DD">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3</w:t>
            </w:r>
            <w:r w:rsidRPr="005B3FB5">
              <w:rPr>
                <w:rFonts w:ascii="Times New Roman" w:hAnsi="Times New Roman" w:cs="Times New Roman"/>
                <w:sz w:val="20"/>
                <w:szCs w:val="20"/>
              </w:rPr>
              <w:t xml:space="preserve"> pkt </w:t>
            </w:r>
            <w:r>
              <w:rPr>
                <w:rFonts w:ascii="Times New Roman" w:hAnsi="Times New Roman" w:cs="Times New Roman"/>
                <w:sz w:val="20"/>
                <w:szCs w:val="20"/>
              </w:rPr>
              <w:t>4</w:t>
            </w:r>
            <w:r w:rsidRPr="005B3FB5">
              <w:rPr>
                <w:rFonts w:ascii="Times New Roman" w:hAnsi="Times New Roman" w:cs="Times New Roman"/>
                <w:sz w:val="20"/>
                <w:szCs w:val="20"/>
              </w:rPr>
              <w:t xml:space="preserve"> projektu</w:t>
            </w:r>
          </w:p>
        </w:tc>
        <w:tc>
          <w:tcPr>
            <w:tcW w:w="5670" w:type="dxa"/>
            <w:vAlign w:val="center"/>
          </w:tcPr>
          <w:p w14:paraId="2F4070DD" w14:textId="77777777" w:rsidR="00A57140" w:rsidRPr="00A57140" w:rsidRDefault="00A57140" w:rsidP="00A57140">
            <w:pPr>
              <w:rPr>
                <w:rFonts w:ascii="Times New Roman" w:hAnsi="Times New Roman" w:cs="Times New Roman"/>
                <w:b/>
                <w:sz w:val="20"/>
                <w:szCs w:val="20"/>
              </w:rPr>
            </w:pPr>
            <w:r w:rsidRPr="00A57140">
              <w:rPr>
                <w:rFonts w:ascii="Times New Roman" w:hAnsi="Times New Roman" w:cs="Times New Roman"/>
                <w:b/>
                <w:sz w:val="20"/>
                <w:szCs w:val="20"/>
              </w:rPr>
              <w:t>w art. 641 § 1 pkt 1 otrzymuje brzmienie:</w:t>
            </w:r>
          </w:p>
          <w:p w14:paraId="5636A6D9" w14:textId="77777777" w:rsidR="00A57140" w:rsidRPr="00A57140" w:rsidRDefault="00A57140" w:rsidP="00A57140">
            <w:pPr>
              <w:ind w:firstLine="34"/>
              <w:jc w:val="both"/>
              <w:rPr>
                <w:rFonts w:ascii="Times New Roman" w:hAnsi="Times New Roman" w:cs="Times New Roman"/>
                <w:color w:val="000000"/>
                <w:sz w:val="20"/>
                <w:szCs w:val="20"/>
                <w:shd w:val="clear" w:color="auto" w:fill="FFFFFF"/>
              </w:rPr>
            </w:pPr>
            <w:r w:rsidRPr="00A57140">
              <w:rPr>
                <w:rFonts w:ascii="Times New Roman" w:hAnsi="Times New Roman" w:cs="Times New Roman"/>
                <w:color w:val="000000"/>
                <w:sz w:val="20"/>
                <w:szCs w:val="20"/>
                <w:shd w:val="clear" w:color="auto" w:fill="FFFFFF"/>
              </w:rPr>
              <w:t xml:space="preserve">„1) imię i nazwisko spadkodawcy, datę i miejsce jego śmierci oraz miejsce jego zwykłego pobytu w chwili śmierci,”; </w:t>
            </w:r>
          </w:p>
          <w:p w14:paraId="09ABC780" w14:textId="77777777" w:rsidR="00A57140" w:rsidRPr="00A57140" w:rsidRDefault="00A57140" w:rsidP="00A57140">
            <w:pPr>
              <w:jc w:val="both"/>
              <w:rPr>
                <w:rFonts w:ascii="Times New Roman" w:hAnsi="Times New Roman" w:cs="Times New Roman"/>
                <w:color w:val="000000"/>
                <w:sz w:val="20"/>
                <w:szCs w:val="20"/>
                <w:shd w:val="clear" w:color="auto" w:fill="FFFFFF"/>
              </w:rPr>
            </w:pPr>
            <w:r w:rsidRPr="00A57140">
              <w:rPr>
                <w:rFonts w:ascii="Times New Roman" w:hAnsi="Times New Roman" w:cs="Times New Roman"/>
                <w:color w:val="000000"/>
                <w:sz w:val="20"/>
                <w:szCs w:val="20"/>
                <w:shd w:val="clear" w:color="auto" w:fill="FFFFFF"/>
              </w:rPr>
              <w:t xml:space="preserve">treść art. 641 § 1 pkt 1 pozostała niezmieniona, pomimo że w obecnym stanie prawnym przesłanką wyznaczającą jurysdykcje oraz właściwość miejscową sądu wyznacza miejsce zwykłego pobytu spadkodawcy w chwili jego śmierci, zgodnie z art. 4 </w:t>
            </w:r>
            <w:proofErr w:type="spellStart"/>
            <w:r w:rsidRPr="00A57140">
              <w:rPr>
                <w:rFonts w:ascii="Times New Roman" w:hAnsi="Times New Roman" w:cs="Times New Roman"/>
                <w:color w:val="000000"/>
                <w:sz w:val="20"/>
                <w:szCs w:val="20"/>
                <w:shd w:val="clear" w:color="auto" w:fill="FFFFFF"/>
              </w:rPr>
              <w:t>rozp</w:t>
            </w:r>
            <w:proofErr w:type="spellEnd"/>
            <w:r w:rsidRPr="00A57140">
              <w:rPr>
                <w:rFonts w:ascii="Times New Roman" w:hAnsi="Times New Roman" w:cs="Times New Roman"/>
                <w:color w:val="000000"/>
                <w:sz w:val="20"/>
                <w:szCs w:val="20"/>
                <w:shd w:val="clear" w:color="auto" w:fill="FFFFFF"/>
              </w:rPr>
              <w:t>. PE i Rady (UE) nr 650/12 oraz art. 628 k.p.c.;</w:t>
            </w:r>
          </w:p>
          <w:p w14:paraId="1E1125DC" w14:textId="77777777" w:rsidR="00A57140" w:rsidRPr="00A57140" w:rsidRDefault="00A57140" w:rsidP="00A57140">
            <w:pPr>
              <w:rPr>
                <w:rFonts w:ascii="Times New Roman" w:hAnsi="Times New Roman" w:cs="Times New Roman"/>
                <w:b/>
                <w:sz w:val="20"/>
                <w:szCs w:val="20"/>
              </w:rPr>
            </w:pPr>
            <w:r w:rsidRPr="00A57140">
              <w:rPr>
                <w:rFonts w:ascii="Times New Roman" w:hAnsi="Times New Roman" w:cs="Times New Roman"/>
                <w:b/>
                <w:sz w:val="20"/>
                <w:szCs w:val="20"/>
              </w:rPr>
              <w:t>odnośnie uchylenia art. 641 § 3</w:t>
            </w:r>
          </w:p>
          <w:p w14:paraId="12E630C8" w14:textId="77777777" w:rsidR="00A57140" w:rsidRPr="00A57140" w:rsidRDefault="00A57140" w:rsidP="00A57140">
            <w:pPr>
              <w:jc w:val="both"/>
              <w:rPr>
                <w:rFonts w:ascii="Times New Roman" w:hAnsi="Times New Roman" w:cs="Times New Roman"/>
                <w:sz w:val="20"/>
                <w:szCs w:val="20"/>
              </w:rPr>
            </w:pPr>
            <w:r w:rsidRPr="00A57140">
              <w:rPr>
                <w:rFonts w:ascii="Times New Roman" w:hAnsi="Times New Roman" w:cs="Times New Roman"/>
                <w:sz w:val="20"/>
                <w:szCs w:val="20"/>
              </w:rPr>
              <w:t xml:space="preserve">Uchylenie § 3 powoduje, że przed notariuszem będzie można złożyć oświadczenie spadkowe nie przedkładając dowodu śmierci spadkodawcy. W konsekwencji możliwa będzie sytuacja, w której ktoś złoży przed notariuszem oświadczenie spadkowe po osobie żyjącej, notariusz prześle oświadczenie do sądu spadku, który w trybie art. 643 k.p.c. powiadomi spadkobierców „o śmierci” bliskiej im osoby. Dodać należy, że oświadczenie spadkowe nie jest składane pod rygorem odpowiedzialności karnej. </w:t>
            </w:r>
          </w:p>
          <w:p w14:paraId="374BD1B5" w14:textId="7E435C56" w:rsidR="00A57140" w:rsidRPr="00A57140" w:rsidRDefault="00A57140" w:rsidP="00A57140">
            <w:pPr>
              <w:jc w:val="both"/>
              <w:rPr>
                <w:rFonts w:ascii="Times New Roman" w:hAnsi="Times New Roman" w:cs="Times New Roman"/>
                <w:sz w:val="20"/>
                <w:szCs w:val="20"/>
              </w:rPr>
            </w:pPr>
            <w:r w:rsidRPr="00A57140">
              <w:rPr>
                <w:rFonts w:ascii="Times New Roman" w:hAnsi="Times New Roman" w:cs="Times New Roman"/>
                <w:sz w:val="20"/>
                <w:szCs w:val="20"/>
              </w:rPr>
              <w:t xml:space="preserve">Mając na uwadze powyższe wydaje się, że decyzja o uchyleniu § 3 wymaga szczególnej ostrożności. </w:t>
            </w:r>
          </w:p>
        </w:tc>
        <w:tc>
          <w:tcPr>
            <w:tcW w:w="4076" w:type="dxa"/>
          </w:tcPr>
          <w:p w14:paraId="66607C91" w14:textId="0AF440D0" w:rsidR="005F6C15" w:rsidRPr="005F6C15" w:rsidRDefault="005F6C15" w:rsidP="00BA4C6D">
            <w:pPr>
              <w:pStyle w:val="ti-art"/>
              <w:shd w:val="clear" w:color="auto" w:fill="FFFFFF"/>
              <w:spacing w:before="0" w:beforeAutospacing="0" w:after="0" w:afterAutospacing="0"/>
              <w:jc w:val="both"/>
              <w:rPr>
                <w:b/>
                <w:bCs/>
                <w:sz w:val="20"/>
                <w:szCs w:val="20"/>
              </w:rPr>
            </w:pPr>
            <w:r w:rsidRPr="005F6C15">
              <w:rPr>
                <w:b/>
                <w:bCs/>
                <w:sz w:val="20"/>
                <w:szCs w:val="20"/>
              </w:rPr>
              <w:t>Uwaga częściowo uwzględniona</w:t>
            </w:r>
            <w:r w:rsidR="009B1DB0">
              <w:rPr>
                <w:b/>
                <w:bCs/>
                <w:sz w:val="20"/>
                <w:szCs w:val="20"/>
              </w:rPr>
              <w:t xml:space="preserve">. </w:t>
            </w:r>
          </w:p>
          <w:p w14:paraId="3BECC2FE" w14:textId="77777777" w:rsidR="005F6C15" w:rsidRDefault="005F6C15" w:rsidP="00BA4C6D">
            <w:pPr>
              <w:pStyle w:val="ti-art"/>
              <w:shd w:val="clear" w:color="auto" w:fill="FFFFFF"/>
              <w:spacing w:before="0" w:beforeAutospacing="0" w:after="0" w:afterAutospacing="0"/>
              <w:jc w:val="both"/>
              <w:rPr>
                <w:sz w:val="20"/>
                <w:szCs w:val="20"/>
              </w:rPr>
            </w:pPr>
          </w:p>
          <w:p w14:paraId="40B59458" w14:textId="1E97ADA1" w:rsidR="00BA4C6D" w:rsidRDefault="00BA4C6D" w:rsidP="00BA4C6D">
            <w:pPr>
              <w:pStyle w:val="ti-art"/>
              <w:shd w:val="clear" w:color="auto" w:fill="FFFFFF"/>
              <w:spacing w:before="0" w:beforeAutospacing="0" w:after="0" w:afterAutospacing="0"/>
              <w:jc w:val="both"/>
              <w:rPr>
                <w:sz w:val="20"/>
                <w:szCs w:val="20"/>
              </w:rPr>
            </w:pPr>
            <w:r>
              <w:rPr>
                <w:sz w:val="20"/>
                <w:szCs w:val="20"/>
              </w:rPr>
              <w:t xml:space="preserve">Uwaga w zakresie art. 641 </w:t>
            </w:r>
            <w:r w:rsidRPr="00BA4C6D">
              <w:rPr>
                <w:sz w:val="20"/>
                <w:szCs w:val="20"/>
              </w:rPr>
              <w:t>§ 1 pkt 1 została uwzględniona</w:t>
            </w:r>
            <w:r>
              <w:rPr>
                <w:sz w:val="20"/>
                <w:szCs w:val="20"/>
              </w:rPr>
              <w:t xml:space="preserve"> w ten sposób, że pkt 1 nadano następujące brzmienie:</w:t>
            </w:r>
          </w:p>
          <w:p w14:paraId="61C84014" w14:textId="7A94DAFC" w:rsidR="00BA4C6D" w:rsidRPr="00BA4C6D" w:rsidRDefault="00BA4C6D" w:rsidP="00BA4C6D">
            <w:pPr>
              <w:pStyle w:val="ti-art"/>
              <w:shd w:val="clear" w:color="auto" w:fill="FFFFFF"/>
              <w:spacing w:before="0" w:beforeAutospacing="0" w:after="0" w:afterAutospacing="0"/>
              <w:jc w:val="both"/>
              <w:rPr>
                <w:i/>
                <w:iCs/>
                <w:sz w:val="20"/>
                <w:szCs w:val="20"/>
              </w:rPr>
            </w:pPr>
            <w:r w:rsidRPr="00BA4C6D">
              <w:rPr>
                <w:i/>
                <w:iCs/>
                <w:sz w:val="20"/>
                <w:szCs w:val="20"/>
              </w:rPr>
              <w:t>„imię i nazwisko spadkodawcy, datę i miejsce jego śmierci oraz ostatnie miejsce jego zwykłego pobytu”.</w:t>
            </w:r>
          </w:p>
          <w:p w14:paraId="5C907D77" w14:textId="56762778" w:rsidR="00716127" w:rsidRDefault="007E1713" w:rsidP="007E1713">
            <w:pPr>
              <w:pStyle w:val="Normalny1"/>
              <w:shd w:val="clear" w:color="auto" w:fill="FFFFFF"/>
              <w:spacing w:before="120" w:beforeAutospacing="0" w:after="0" w:afterAutospacing="0"/>
              <w:jc w:val="both"/>
              <w:rPr>
                <w:sz w:val="20"/>
                <w:szCs w:val="20"/>
              </w:rPr>
            </w:pPr>
            <w:r>
              <w:rPr>
                <w:sz w:val="20"/>
                <w:szCs w:val="20"/>
              </w:rPr>
              <w:t xml:space="preserve">Odnosząc się do uwagi </w:t>
            </w:r>
            <w:r w:rsidR="007B7C30">
              <w:rPr>
                <w:sz w:val="20"/>
                <w:szCs w:val="20"/>
              </w:rPr>
              <w:t>odnośnie do</w:t>
            </w:r>
            <w:r>
              <w:rPr>
                <w:sz w:val="20"/>
                <w:szCs w:val="20"/>
              </w:rPr>
              <w:t xml:space="preserve"> uchylenia art. 641 § 3</w:t>
            </w:r>
            <w:r w:rsidR="001A599A">
              <w:rPr>
                <w:sz w:val="20"/>
                <w:szCs w:val="20"/>
              </w:rPr>
              <w:t xml:space="preserve"> k.p.c.</w:t>
            </w:r>
            <w:r>
              <w:rPr>
                <w:sz w:val="20"/>
                <w:szCs w:val="20"/>
              </w:rPr>
              <w:t xml:space="preserve"> wskazać należy, że </w:t>
            </w:r>
            <w:r w:rsidR="009B1DB0">
              <w:rPr>
                <w:sz w:val="20"/>
                <w:szCs w:val="20"/>
              </w:rPr>
              <w:t>p</w:t>
            </w:r>
            <w:r w:rsidR="009B1DB0" w:rsidRPr="00C726F7">
              <w:rPr>
                <w:sz w:val="20"/>
                <w:szCs w:val="20"/>
              </w:rPr>
              <w:t xml:space="preserve">rzepis </w:t>
            </w:r>
            <w:r w:rsidR="009B1DB0">
              <w:rPr>
                <w:sz w:val="20"/>
                <w:szCs w:val="20"/>
              </w:rPr>
              <w:t>ten wywołuje</w:t>
            </w:r>
            <w:r w:rsidR="009B1DB0" w:rsidRPr="00C726F7">
              <w:rPr>
                <w:sz w:val="20"/>
                <w:szCs w:val="20"/>
              </w:rPr>
              <w:t xml:space="preserve"> rozbieżności w zakresie podejmowanych przez sąd czynności</w:t>
            </w:r>
            <w:r w:rsidR="009B1DB0">
              <w:rPr>
                <w:sz w:val="20"/>
                <w:szCs w:val="20"/>
              </w:rPr>
              <w:t xml:space="preserve"> (szczegółowe omówienie zawarto w </w:t>
            </w:r>
            <w:r w:rsidR="009B1DB0" w:rsidRPr="009B1DB0">
              <w:rPr>
                <w:sz w:val="20"/>
                <w:szCs w:val="20"/>
              </w:rPr>
              <w:t>uzasadnieniu projektowanych zmian). Wyjaśniając</w:t>
            </w:r>
            <w:r w:rsidR="00716127">
              <w:rPr>
                <w:sz w:val="20"/>
                <w:szCs w:val="20"/>
              </w:rPr>
              <w:t>,</w:t>
            </w:r>
            <w:r w:rsidR="009B1DB0" w:rsidRPr="009B1DB0">
              <w:rPr>
                <w:sz w:val="20"/>
                <w:szCs w:val="20"/>
              </w:rPr>
              <w:t xml:space="preserve"> dodatkowo trzeba podnieść, że czynność sądu w postępowaniu o odebranie oświadczenia</w:t>
            </w:r>
            <w:r w:rsidR="009B1DB0" w:rsidRPr="00C726F7">
              <w:rPr>
                <w:sz w:val="20"/>
                <w:szCs w:val="20"/>
              </w:rPr>
              <w:t xml:space="preserve"> spadkowego polega na odebraniu stosownego oświadczenia od spadkobiercy, bez potrzeby a nawet obowiązku prowadzenia jakiegokolwiek postępowania dowodowego. Przepis ten wprowadza tymczasem </w:t>
            </w:r>
            <w:r w:rsidR="009B1DB0" w:rsidRPr="00AA3928">
              <w:rPr>
                <w:i/>
                <w:iCs/>
                <w:sz w:val="20"/>
                <w:szCs w:val="20"/>
              </w:rPr>
              <w:t>quasi</w:t>
            </w:r>
            <w:r w:rsidR="009B1DB0" w:rsidRPr="00C726F7">
              <w:rPr>
                <w:sz w:val="20"/>
                <w:szCs w:val="20"/>
              </w:rPr>
              <w:t xml:space="preserve"> postępowanie dowodowe, przy czym </w:t>
            </w:r>
            <w:r w:rsidR="009B1DB0" w:rsidRPr="00C726F7">
              <w:rPr>
                <w:sz w:val="20"/>
                <w:szCs w:val="20"/>
              </w:rPr>
              <w:lastRenderedPageBreak/>
              <w:t xml:space="preserve">jednocześnie art. 641 § 1 k.p.c. wskazuje, że oświadczenie o odrzuceniu lub przyjęciu spadku powinno zawierać: </w:t>
            </w:r>
          </w:p>
          <w:p w14:paraId="1FB67E8B" w14:textId="77777777" w:rsidR="00716127" w:rsidRDefault="009B1DB0" w:rsidP="00716127">
            <w:pPr>
              <w:pStyle w:val="Normalny1"/>
              <w:shd w:val="clear" w:color="auto" w:fill="FFFFFF"/>
              <w:spacing w:before="0" w:beforeAutospacing="0" w:after="0" w:afterAutospacing="0"/>
              <w:jc w:val="both"/>
              <w:rPr>
                <w:sz w:val="20"/>
                <w:szCs w:val="20"/>
              </w:rPr>
            </w:pPr>
            <w:r w:rsidRPr="00C726F7">
              <w:rPr>
                <w:sz w:val="20"/>
                <w:szCs w:val="20"/>
              </w:rPr>
              <w:t xml:space="preserve">1) imię i nazwisko spadkodawcy, datę i miejsce jego śmierci oraz miejsce jego ostatniego zamieszkania, </w:t>
            </w:r>
          </w:p>
          <w:p w14:paraId="1346204E" w14:textId="77777777" w:rsidR="00716127" w:rsidRDefault="009B1DB0" w:rsidP="00716127">
            <w:pPr>
              <w:pStyle w:val="Normalny1"/>
              <w:shd w:val="clear" w:color="auto" w:fill="FFFFFF"/>
              <w:spacing w:before="0" w:beforeAutospacing="0" w:after="0" w:afterAutospacing="0"/>
              <w:jc w:val="both"/>
              <w:rPr>
                <w:sz w:val="20"/>
                <w:szCs w:val="20"/>
              </w:rPr>
            </w:pPr>
            <w:r w:rsidRPr="00C726F7">
              <w:rPr>
                <w:sz w:val="20"/>
                <w:szCs w:val="20"/>
              </w:rPr>
              <w:t xml:space="preserve">2) tytuł powołania do spadku, </w:t>
            </w:r>
          </w:p>
          <w:p w14:paraId="5B0CC15A" w14:textId="77777777" w:rsidR="00716127" w:rsidRDefault="009B1DB0" w:rsidP="00716127">
            <w:pPr>
              <w:pStyle w:val="Normalny1"/>
              <w:shd w:val="clear" w:color="auto" w:fill="FFFFFF"/>
              <w:spacing w:before="0" w:beforeAutospacing="0" w:after="0" w:afterAutospacing="0"/>
              <w:jc w:val="both"/>
              <w:rPr>
                <w:sz w:val="20"/>
                <w:szCs w:val="20"/>
              </w:rPr>
            </w:pPr>
            <w:r w:rsidRPr="00C726F7">
              <w:rPr>
                <w:sz w:val="20"/>
                <w:szCs w:val="20"/>
              </w:rPr>
              <w:t xml:space="preserve">3) treść złożonego oświadczenia. </w:t>
            </w:r>
          </w:p>
          <w:p w14:paraId="44B78C44" w14:textId="3F677508" w:rsidR="00716127" w:rsidRDefault="009B1DB0" w:rsidP="00716127">
            <w:pPr>
              <w:pStyle w:val="Normalny1"/>
              <w:shd w:val="clear" w:color="auto" w:fill="FFFFFF"/>
              <w:spacing w:before="0" w:beforeAutospacing="0" w:after="0" w:afterAutospacing="0"/>
              <w:jc w:val="both"/>
              <w:rPr>
                <w:sz w:val="20"/>
                <w:szCs w:val="20"/>
              </w:rPr>
            </w:pPr>
            <w:r w:rsidRPr="00C726F7">
              <w:rPr>
                <w:sz w:val="20"/>
                <w:szCs w:val="20"/>
              </w:rPr>
              <w:t xml:space="preserve">Oświadczenie powinno również zawierać wymienienie wszelkich wiadomych składającemu oświadczenie osób należących do kręgu spadkobierców ustawowych, jak również wszelkich testamentów, chociażby składający oświadczenie uważał je za </w:t>
            </w:r>
            <w:r w:rsidR="007B7C30" w:rsidRPr="00C726F7">
              <w:rPr>
                <w:sz w:val="20"/>
                <w:szCs w:val="20"/>
              </w:rPr>
              <w:t>nieważne</w:t>
            </w:r>
            <w:r w:rsidRPr="00C726F7">
              <w:rPr>
                <w:sz w:val="20"/>
                <w:szCs w:val="20"/>
              </w:rPr>
              <w:t xml:space="preserve"> oraz danych dotyczących treści i miejsca przechowania testamentów (art. 641 § 2 k.p.c.). </w:t>
            </w:r>
          </w:p>
          <w:p w14:paraId="5422C436" w14:textId="13627F3A" w:rsidR="009B1DB0" w:rsidRDefault="009B1DB0" w:rsidP="007E1713">
            <w:pPr>
              <w:pStyle w:val="Normalny1"/>
              <w:shd w:val="clear" w:color="auto" w:fill="FFFFFF"/>
              <w:spacing w:before="120" w:beforeAutospacing="0" w:after="0" w:afterAutospacing="0"/>
              <w:jc w:val="both"/>
              <w:rPr>
                <w:sz w:val="20"/>
                <w:szCs w:val="20"/>
              </w:rPr>
            </w:pPr>
            <w:r w:rsidRPr="00C726F7">
              <w:rPr>
                <w:sz w:val="20"/>
                <w:szCs w:val="20"/>
              </w:rPr>
              <w:t>W tym stanie, mając na uwadze zakres informacji zawartych w oświadczeniu, charakter postępowania o odebranie oświadczenia spadkowego i ograniczony w nim zakres kognicji sądu, uchylenie § 3, wywołującego rozbieżności w stosowaniu go w praktyce sądowej, wydaje się pożądane.</w:t>
            </w:r>
          </w:p>
          <w:p w14:paraId="72B8E76A" w14:textId="43505DB8" w:rsidR="00C726F7" w:rsidRPr="007E1713" w:rsidRDefault="009B1DB0" w:rsidP="007E1713">
            <w:pPr>
              <w:pStyle w:val="Normalny1"/>
              <w:shd w:val="clear" w:color="auto" w:fill="FFFFFF"/>
              <w:spacing w:before="120" w:beforeAutospacing="0" w:after="0" w:afterAutospacing="0"/>
              <w:jc w:val="both"/>
              <w:rPr>
                <w:sz w:val="20"/>
                <w:szCs w:val="20"/>
              </w:rPr>
            </w:pPr>
            <w:r>
              <w:rPr>
                <w:sz w:val="20"/>
                <w:szCs w:val="20"/>
              </w:rPr>
              <w:t xml:space="preserve">Dodatkowo należy podnieść, że </w:t>
            </w:r>
            <w:r w:rsidR="007E1713" w:rsidRPr="007E1713">
              <w:rPr>
                <w:sz w:val="20"/>
                <w:szCs w:val="20"/>
              </w:rPr>
              <w:t>jakiekolwiek wątpliwości sądu w kwestii osoby spadkodawcy, sąd odbierający przedmiotowe oświadczenie spadkowe będzie mógł zweryfikować w trybie bezpośredniego dostępu do rejestru aktów stanu cywilnego (</w:t>
            </w:r>
            <w:r>
              <w:rPr>
                <w:sz w:val="20"/>
                <w:szCs w:val="20"/>
              </w:rPr>
              <w:t xml:space="preserve">co przewiduje </w:t>
            </w:r>
            <w:r w:rsidR="007E1713" w:rsidRPr="007E1713">
              <w:rPr>
                <w:sz w:val="20"/>
                <w:szCs w:val="20"/>
              </w:rPr>
              <w:t xml:space="preserve">projektowany art. </w:t>
            </w:r>
            <w:r w:rsidR="00AA3928">
              <w:rPr>
                <w:sz w:val="20"/>
                <w:szCs w:val="20"/>
              </w:rPr>
              <w:t>7</w:t>
            </w:r>
            <w:r w:rsidR="007E1713" w:rsidRPr="007E1713">
              <w:rPr>
                <w:sz w:val="20"/>
                <w:szCs w:val="20"/>
              </w:rPr>
              <w:t xml:space="preserve">). </w:t>
            </w:r>
          </w:p>
        </w:tc>
      </w:tr>
      <w:tr w:rsidR="000C0550" w14:paraId="4CCF4407" w14:textId="77777777" w:rsidTr="00B241C8">
        <w:trPr>
          <w:jc w:val="center"/>
        </w:trPr>
        <w:tc>
          <w:tcPr>
            <w:tcW w:w="562" w:type="dxa"/>
          </w:tcPr>
          <w:p w14:paraId="236C3DBA" w14:textId="7856B0EF" w:rsidR="000C0550" w:rsidRDefault="008C150E" w:rsidP="000C0550">
            <w:pPr>
              <w:spacing w:before="120"/>
              <w:ind w:right="-534"/>
              <w:rPr>
                <w:rFonts w:ascii="Times New Roman" w:hAnsi="Times New Roman" w:cs="Times New Roman"/>
                <w:b/>
                <w:sz w:val="20"/>
              </w:rPr>
            </w:pPr>
            <w:r>
              <w:rPr>
                <w:rFonts w:ascii="Times New Roman" w:hAnsi="Times New Roman" w:cs="Times New Roman"/>
                <w:b/>
                <w:sz w:val="20"/>
              </w:rPr>
              <w:lastRenderedPageBreak/>
              <w:t>1</w:t>
            </w:r>
            <w:r w:rsidR="00A57140">
              <w:rPr>
                <w:rFonts w:ascii="Times New Roman" w:hAnsi="Times New Roman" w:cs="Times New Roman"/>
                <w:b/>
                <w:sz w:val="20"/>
              </w:rPr>
              <w:t>1</w:t>
            </w:r>
            <w:r w:rsidR="000C0550">
              <w:rPr>
                <w:rFonts w:ascii="Times New Roman" w:hAnsi="Times New Roman" w:cs="Times New Roman"/>
                <w:b/>
                <w:sz w:val="20"/>
              </w:rPr>
              <w:t>.</w:t>
            </w:r>
          </w:p>
        </w:tc>
        <w:tc>
          <w:tcPr>
            <w:tcW w:w="1843" w:type="dxa"/>
            <w:vAlign w:val="center"/>
          </w:tcPr>
          <w:p w14:paraId="0A88D17B" w14:textId="2B5B5961" w:rsidR="000C0550" w:rsidRPr="005B3FB5" w:rsidRDefault="000C0550" w:rsidP="000C0550">
            <w:pPr>
              <w:spacing w:before="120" w:after="120"/>
              <w:jc w:val="center"/>
              <w:rPr>
                <w:rFonts w:ascii="Times New Roman" w:hAnsi="Times New Roman" w:cs="Times New Roman"/>
                <w:sz w:val="20"/>
                <w:szCs w:val="20"/>
              </w:rPr>
            </w:pPr>
            <w:r>
              <w:rPr>
                <w:rFonts w:ascii="Times New Roman" w:hAnsi="Times New Roman" w:cs="Times New Roman"/>
                <w:sz w:val="20"/>
              </w:rPr>
              <w:t xml:space="preserve">Sad Rejonowy dla </w:t>
            </w:r>
            <w:proofErr w:type="spellStart"/>
            <w:r>
              <w:rPr>
                <w:rFonts w:ascii="Times New Roman" w:hAnsi="Times New Roman" w:cs="Times New Roman"/>
                <w:sz w:val="20"/>
              </w:rPr>
              <w:t>Krakowa-Nowej</w:t>
            </w:r>
            <w:proofErr w:type="spellEnd"/>
            <w:r>
              <w:rPr>
                <w:rFonts w:ascii="Times New Roman" w:hAnsi="Times New Roman" w:cs="Times New Roman"/>
                <w:sz w:val="20"/>
              </w:rPr>
              <w:t xml:space="preserve"> –Huty w Krakowie I Wydział Cywilny</w:t>
            </w:r>
          </w:p>
        </w:tc>
        <w:tc>
          <w:tcPr>
            <w:tcW w:w="1843" w:type="dxa"/>
            <w:vAlign w:val="center"/>
          </w:tcPr>
          <w:p w14:paraId="3DD9050B" w14:textId="1120B67B" w:rsidR="000C0550" w:rsidRPr="005B3FB5" w:rsidRDefault="000C0550" w:rsidP="000C0550">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3</w:t>
            </w:r>
            <w:r w:rsidRPr="005B3FB5">
              <w:rPr>
                <w:rFonts w:ascii="Times New Roman" w:hAnsi="Times New Roman" w:cs="Times New Roman"/>
                <w:sz w:val="20"/>
                <w:szCs w:val="20"/>
              </w:rPr>
              <w:t xml:space="preserve"> pkt </w:t>
            </w:r>
            <w:r>
              <w:rPr>
                <w:rFonts w:ascii="Times New Roman" w:hAnsi="Times New Roman" w:cs="Times New Roman"/>
                <w:sz w:val="20"/>
                <w:szCs w:val="20"/>
              </w:rPr>
              <w:t>7</w:t>
            </w:r>
            <w:r w:rsidRPr="005B3FB5">
              <w:rPr>
                <w:rFonts w:ascii="Times New Roman" w:hAnsi="Times New Roman" w:cs="Times New Roman"/>
                <w:sz w:val="20"/>
                <w:szCs w:val="20"/>
              </w:rPr>
              <w:t xml:space="preserve"> projektu</w:t>
            </w:r>
          </w:p>
        </w:tc>
        <w:tc>
          <w:tcPr>
            <w:tcW w:w="5670" w:type="dxa"/>
            <w:vAlign w:val="center"/>
          </w:tcPr>
          <w:p w14:paraId="40C52B0A" w14:textId="0EA298AF" w:rsidR="000C0550" w:rsidRDefault="00E034DC" w:rsidP="00AA3928">
            <w:pPr>
              <w:spacing w:after="120"/>
              <w:jc w:val="both"/>
              <w:rPr>
                <w:rFonts w:ascii="Times New Roman" w:hAnsi="Times New Roman" w:cs="Times New Roman"/>
                <w:sz w:val="20"/>
                <w:szCs w:val="20"/>
              </w:rPr>
            </w:pPr>
            <w:r>
              <w:rPr>
                <w:rFonts w:ascii="Times New Roman" w:hAnsi="Times New Roman" w:cs="Times New Roman"/>
                <w:sz w:val="20"/>
                <w:szCs w:val="20"/>
              </w:rPr>
              <w:t xml:space="preserve">1. </w:t>
            </w:r>
            <w:r w:rsidR="00716127">
              <w:rPr>
                <w:rFonts w:ascii="Times New Roman" w:hAnsi="Times New Roman" w:cs="Times New Roman"/>
                <w:sz w:val="20"/>
                <w:szCs w:val="20"/>
              </w:rPr>
              <w:t>P</w:t>
            </w:r>
            <w:r w:rsidR="000C0550">
              <w:rPr>
                <w:rFonts w:ascii="Times New Roman" w:hAnsi="Times New Roman" w:cs="Times New Roman"/>
                <w:sz w:val="20"/>
                <w:szCs w:val="20"/>
              </w:rPr>
              <w:t>roponowana treść art. 669 k.p.c. budzi wątpliwość. Z jego literalnego brzmienia wynika konieczność wezwania na rozprawę wskazanych tam spadkobierców tj. małżonka, zstępnych, osób przysposobionych, rodziców i rodzeństwo. Brak jest uzasadnienia dla konieczności wzywania osób, które znajdują się w drugim kręgu spadkobierców ustawowych (rodzice i rodzeństwo) w sytuacji, gdy nie będą oni dziedziczyć, ponieważ spadkodawca pozostawił dzieci.</w:t>
            </w:r>
          </w:p>
          <w:p w14:paraId="49A35B06" w14:textId="4059B9D8" w:rsidR="000C0550" w:rsidRPr="005B3FB5" w:rsidRDefault="00E034DC" w:rsidP="000C0550">
            <w:pPr>
              <w:spacing w:before="120" w:after="120"/>
              <w:jc w:val="both"/>
              <w:rPr>
                <w:rFonts w:ascii="Times New Roman" w:hAnsi="Times New Roman" w:cs="Times New Roman"/>
                <w:sz w:val="20"/>
                <w:szCs w:val="20"/>
              </w:rPr>
            </w:pPr>
            <w:r>
              <w:rPr>
                <w:rFonts w:ascii="Times New Roman" w:hAnsi="Times New Roman" w:cs="Times New Roman"/>
                <w:sz w:val="20"/>
                <w:szCs w:val="20"/>
              </w:rPr>
              <w:lastRenderedPageBreak/>
              <w:t xml:space="preserve">2. </w:t>
            </w:r>
            <w:r w:rsidR="00716127">
              <w:rPr>
                <w:rFonts w:ascii="Times New Roman" w:hAnsi="Times New Roman" w:cs="Times New Roman"/>
                <w:sz w:val="20"/>
                <w:szCs w:val="20"/>
              </w:rPr>
              <w:t>W</w:t>
            </w:r>
            <w:r w:rsidR="000C0550">
              <w:rPr>
                <w:rFonts w:ascii="Times New Roman" w:hAnsi="Times New Roman" w:cs="Times New Roman"/>
                <w:sz w:val="20"/>
                <w:szCs w:val="20"/>
              </w:rPr>
              <w:t>prowadzenie zapisu o wezwaniu innych spadkobierców, w sytuacji gdy są S</w:t>
            </w:r>
            <w:r w:rsidR="002A6D62">
              <w:rPr>
                <w:rFonts w:ascii="Times New Roman" w:hAnsi="Times New Roman" w:cs="Times New Roman"/>
                <w:sz w:val="20"/>
                <w:szCs w:val="20"/>
              </w:rPr>
              <w:t>ą</w:t>
            </w:r>
            <w:r w:rsidR="000C0550">
              <w:rPr>
                <w:rFonts w:ascii="Times New Roman" w:hAnsi="Times New Roman" w:cs="Times New Roman"/>
                <w:sz w:val="20"/>
                <w:szCs w:val="20"/>
              </w:rPr>
              <w:t xml:space="preserve">dowi znani (art. 669 k.p.c.), </w:t>
            </w:r>
            <w:r w:rsidR="00E84602">
              <w:rPr>
                <w:rFonts w:ascii="Times New Roman" w:hAnsi="Times New Roman" w:cs="Times New Roman"/>
                <w:sz w:val="20"/>
                <w:szCs w:val="20"/>
              </w:rPr>
              <w:t>również nie</w:t>
            </w:r>
            <w:r w:rsidR="000C0550">
              <w:rPr>
                <w:rFonts w:ascii="Times New Roman" w:hAnsi="Times New Roman" w:cs="Times New Roman"/>
                <w:sz w:val="20"/>
                <w:szCs w:val="20"/>
              </w:rPr>
              <w:t xml:space="preserve"> znajduje uzasadnienia. Oczywiste jest, że znanych spadkobierców Sąd wzywa na rozprawę celem złożenia zapewnienia spadkowego, a wyłącznie osoby nieznane są wzywane poprzez ogłoszenie (art. 672 k.p.c.),</w:t>
            </w:r>
          </w:p>
        </w:tc>
        <w:tc>
          <w:tcPr>
            <w:tcW w:w="4076" w:type="dxa"/>
          </w:tcPr>
          <w:p w14:paraId="2747DC85" w14:textId="030210E2" w:rsidR="000C0550" w:rsidRDefault="00A5722E" w:rsidP="000C0550">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Wyjaśnienie</w:t>
            </w:r>
          </w:p>
          <w:p w14:paraId="014E59B7" w14:textId="77777777" w:rsidR="00F521E5" w:rsidRDefault="00F521E5" w:rsidP="000C0550">
            <w:pPr>
              <w:autoSpaceDE w:val="0"/>
              <w:autoSpaceDN w:val="0"/>
              <w:adjustRightInd w:val="0"/>
              <w:jc w:val="both"/>
              <w:rPr>
                <w:rFonts w:ascii="Times New Roman" w:eastAsia="Times New Roman" w:hAnsi="Times New Roman" w:cs="Times New Roman"/>
                <w:b/>
                <w:bCs/>
                <w:sz w:val="20"/>
                <w:szCs w:val="20"/>
                <w:lang w:eastAsia="pl-PL"/>
              </w:rPr>
            </w:pPr>
          </w:p>
          <w:p w14:paraId="7948F570" w14:textId="129EEA95" w:rsidR="002A6D62" w:rsidRPr="0018581D" w:rsidRDefault="00E034DC" w:rsidP="000C0550">
            <w:pPr>
              <w:autoSpaceDE w:val="0"/>
              <w:autoSpaceDN w:val="0"/>
              <w:adjustRightInd w:val="0"/>
              <w:jc w:val="both"/>
              <w:rPr>
                <w:rFonts w:ascii="Times New Roman" w:eastAsia="Times New Roman" w:hAnsi="Times New Roman" w:cs="Times New Roman"/>
                <w:i/>
                <w:iCs/>
                <w:sz w:val="20"/>
                <w:szCs w:val="20"/>
                <w:lang w:eastAsia="pl-PL"/>
              </w:rPr>
            </w:pPr>
            <w:r>
              <w:rPr>
                <w:rFonts w:ascii="Times New Roman" w:eastAsia="Times New Roman" w:hAnsi="Times New Roman" w:cs="Times New Roman"/>
                <w:sz w:val="20"/>
                <w:szCs w:val="20"/>
                <w:lang w:eastAsia="pl-PL"/>
              </w:rPr>
              <w:t xml:space="preserve">1. </w:t>
            </w:r>
            <w:r w:rsidR="005E4B41" w:rsidRPr="005E4B41">
              <w:rPr>
                <w:rFonts w:ascii="Times New Roman" w:eastAsia="Times New Roman" w:hAnsi="Times New Roman" w:cs="Times New Roman"/>
                <w:sz w:val="20"/>
                <w:szCs w:val="20"/>
                <w:lang w:eastAsia="pl-PL"/>
              </w:rPr>
              <w:t xml:space="preserve">Treść przepisu została zmodyfikowana tak, by była jasność co do tego, że sąd wzywa na rozprawę wskazanych w przepisie </w:t>
            </w:r>
            <w:r w:rsidR="005E4B41">
              <w:rPr>
                <w:rFonts w:ascii="Times New Roman" w:eastAsia="Times New Roman" w:hAnsi="Times New Roman" w:cs="Times New Roman"/>
                <w:sz w:val="20"/>
                <w:szCs w:val="20"/>
                <w:lang w:eastAsia="pl-PL"/>
              </w:rPr>
              <w:t xml:space="preserve">spadkobierców ustawowych, jeśli w ogóle wchodzą w rachubę jako tacy spadkobiercy. Stosując projektowany przepis nie należy tracić </w:t>
            </w:r>
            <w:r w:rsidR="005E4B41">
              <w:rPr>
                <w:rFonts w:ascii="Times New Roman" w:eastAsia="Times New Roman" w:hAnsi="Times New Roman" w:cs="Times New Roman"/>
                <w:sz w:val="20"/>
                <w:szCs w:val="20"/>
                <w:lang w:eastAsia="pl-PL"/>
              </w:rPr>
              <w:lastRenderedPageBreak/>
              <w:t>z pola widzenia jego części pierwszej, gdzie jest mowa o „wchodzących w rachubę” spadkobiercach. „Wchodzący w rachubę”</w:t>
            </w:r>
            <w:r w:rsidR="002A6D62">
              <w:rPr>
                <w:rFonts w:ascii="Times New Roman" w:eastAsia="Times New Roman" w:hAnsi="Times New Roman" w:cs="Times New Roman"/>
                <w:sz w:val="20"/>
                <w:szCs w:val="20"/>
                <w:lang w:eastAsia="pl-PL"/>
              </w:rPr>
              <w:t xml:space="preserve"> spadkobiercy to tacy, którzy w danych </w:t>
            </w:r>
            <w:r w:rsidR="002A6D62" w:rsidRPr="00E034DC">
              <w:rPr>
                <w:rFonts w:ascii="Times New Roman" w:eastAsia="Times New Roman" w:hAnsi="Times New Roman" w:cs="Times New Roman"/>
                <w:sz w:val="20"/>
                <w:szCs w:val="20"/>
                <w:lang w:eastAsia="pl-PL"/>
              </w:rPr>
              <w:t>okolicznościach faktycznych mają realną szansę na stwierdzenie nabycia przez nich spadku</w:t>
            </w:r>
            <w:r w:rsidR="0054422C">
              <w:rPr>
                <w:rStyle w:val="Odwoanieprzypisudolnego"/>
                <w:rFonts w:ascii="Times New Roman" w:eastAsia="Times New Roman" w:hAnsi="Times New Roman" w:cs="Times New Roman"/>
                <w:sz w:val="20"/>
                <w:szCs w:val="20"/>
                <w:lang w:eastAsia="pl-PL"/>
              </w:rPr>
              <w:footnoteReference w:id="2"/>
            </w:r>
            <w:r w:rsidRPr="0018581D">
              <w:rPr>
                <w:rFonts w:ascii="Times New Roman" w:eastAsia="Times New Roman" w:hAnsi="Times New Roman" w:cs="Times New Roman"/>
                <w:i/>
                <w:iCs/>
                <w:sz w:val="20"/>
                <w:szCs w:val="20"/>
                <w:lang w:eastAsia="pl-PL"/>
              </w:rPr>
              <w:t xml:space="preserve">. </w:t>
            </w:r>
            <w:r w:rsidR="00175345" w:rsidRPr="00175345">
              <w:rPr>
                <w:rFonts w:ascii="Times New Roman" w:eastAsia="Times New Roman" w:hAnsi="Times New Roman" w:cs="Times New Roman"/>
                <w:sz w:val="20"/>
                <w:szCs w:val="20"/>
                <w:lang w:eastAsia="pl-PL"/>
              </w:rPr>
              <w:t>Tym samym obawa zgłaszającego uwagę co do konieczności wzywania osób z dalszych kręgów spadkobierców podczas gdy nie będą dziedziczyć jest nieuzasadniona.</w:t>
            </w:r>
            <w:r w:rsidR="00175345">
              <w:rPr>
                <w:rFonts w:ascii="Times New Roman" w:eastAsia="Times New Roman" w:hAnsi="Times New Roman" w:cs="Times New Roman"/>
                <w:i/>
                <w:iCs/>
                <w:sz w:val="20"/>
                <w:szCs w:val="20"/>
                <w:lang w:eastAsia="pl-PL"/>
              </w:rPr>
              <w:t xml:space="preserve"> </w:t>
            </w:r>
          </w:p>
          <w:p w14:paraId="1AE7E1D4" w14:textId="5EB53ED0" w:rsidR="00716127" w:rsidRPr="005E4B41" w:rsidRDefault="00E034DC" w:rsidP="000C0550">
            <w:pPr>
              <w:autoSpaceDE w:val="0"/>
              <w:autoSpaceDN w:val="0"/>
              <w:adjustRightInd w:val="0"/>
              <w:jc w:val="both"/>
              <w:rPr>
                <w:rFonts w:ascii="Times New Roman" w:eastAsia="Times New Roman" w:hAnsi="Times New Roman" w:cs="Times New Roman"/>
                <w:sz w:val="20"/>
                <w:szCs w:val="20"/>
                <w:lang w:eastAsia="pl-PL"/>
              </w:rPr>
            </w:pPr>
            <w:r w:rsidRPr="00AC4127">
              <w:rPr>
                <w:rFonts w:ascii="Times New Roman" w:eastAsia="Times New Roman" w:hAnsi="Times New Roman" w:cs="Times New Roman"/>
                <w:sz w:val="20"/>
                <w:szCs w:val="20"/>
                <w:lang w:eastAsia="pl-PL"/>
              </w:rPr>
              <w:t xml:space="preserve">2. </w:t>
            </w:r>
            <w:r w:rsidR="002A6D62" w:rsidRPr="00AC4127">
              <w:rPr>
                <w:rFonts w:ascii="Times New Roman" w:eastAsia="Times New Roman" w:hAnsi="Times New Roman" w:cs="Times New Roman"/>
                <w:sz w:val="20"/>
                <w:szCs w:val="20"/>
                <w:lang w:eastAsia="pl-PL"/>
              </w:rPr>
              <w:t>Odnośnie do wezwania innych spadkobierców, jeśli są sądowi znani</w:t>
            </w:r>
            <w:r w:rsidRPr="00AC4127">
              <w:rPr>
                <w:rFonts w:ascii="Times New Roman" w:eastAsia="Times New Roman" w:hAnsi="Times New Roman" w:cs="Times New Roman"/>
                <w:sz w:val="20"/>
                <w:szCs w:val="20"/>
                <w:lang w:eastAsia="pl-PL"/>
              </w:rPr>
              <w:t xml:space="preserve">, należy wskazać, że przepis ma na celu ograniczenie poszukiwania przez sąd z urzędu spadkobierców, co do których </w:t>
            </w:r>
            <w:r w:rsidR="00175345">
              <w:rPr>
                <w:rFonts w:ascii="Times New Roman" w:eastAsia="Times New Roman" w:hAnsi="Times New Roman" w:cs="Times New Roman"/>
                <w:sz w:val="20"/>
                <w:szCs w:val="20"/>
                <w:lang w:eastAsia="pl-PL"/>
              </w:rPr>
              <w:t xml:space="preserve">sąd </w:t>
            </w:r>
            <w:r w:rsidRPr="00AC4127">
              <w:rPr>
                <w:rFonts w:ascii="Times New Roman" w:eastAsia="Times New Roman" w:hAnsi="Times New Roman" w:cs="Times New Roman"/>
                <w:sz w:val="20"/>
                <w:szCs w:val="20"/>
                <w:lang w:eastAsia="pl-PL"/>
              </w:rPr>
              <w:t>nie ma żadnych informacji,</w:t>
            </w:r>
            <w:r w:rsidR="00175345">
              <w:rPr>
                <w:rFonts w:ascii="Times New Roman" w:eastAsia="Times New Roman" w:hAnsi="Times New Roman" w:cs="Times New Roman"/>
                <w:sz w:val="20"/>
                <w:szCs w:val="20"/>
                <w:lang w:eastAsia="pl-PL"/>
              </w:rPr>
              <w:t xml:space="preserve"> które umożliwiałyby wezwanie tych osób na rozprawę,</w:t>
            </w:r>
            <w:r w:rsidRPr="00AC4127">
              <w:rPr>
                <w:rFonts w:ascii="Times New Roman" w:eastAsia="Times New Roman" w:hAnsi="Times New Roman" w:cs="Times New Roman"/>
                <w:sz w:val="20"/>
                <w:szCs w:val="20"/>
                <w:lang w:eastAsia="pl-PL"/>
              </w:rPr>
              <w:t xml:space="preserve"> nawet, jeśli osoby te „wchodzą w rachubę” jako spadkobiercy ustawowi</w:t>
            </w:r>
            <w:r w:rsidR="00175345">
              <w:rPr>
                <w:rFonts w:ascii="Times New Roman" w:eastAsia="Times New Roman" w:hAnsi="Times New Roman" w:cs="Times New Roman"/>
                <w:sz w:val="20"/>
                <w:szCs w:val="20"/>
                <w:lang w:eastAsia="pl-PL"/>
              </w:rPr>
              <w:t xml:space="preserve">. </w:t>
            </w:r>
            <w:r w:rsidRPr="00AC4127">
              <w:rPr>
                <w:rFonts w:ascii="Times New Roman" w:eastAsia="Times New Roman" w:hAnsi="Times New Roman" w:cs="Times New Roman"/>
                <w:sz w:val="20"/>
                <w:szCs w:val="20"/>
                <w:lang w:eastAsia="pl-PL"/>
              </w:rPr>
              <w:t xml:space="preserve">Sąd będzie miał obowiązek wezwać ich na rozprawę tylko wówczas, jeśli są sądowi znani </w:t>
            </w:r>
            <w:r w:rsidR="00175345">
              <w:rPr>
                <w:rFonts w:ascii="Times New Roman" w:eastAsia="Times New Roman" w:hAnsi="Times New Roman" w:cs="Times New Roman"/>
                <w:sz w:val="20"/>
                <w:szCs w:val="20"/>
                <w:lang w:eastAsia="pl-PL"/>
              </w:rPr>
              <w:t xml:space="preserve">(w praktyce, jeśli sami złożą wniosek lub zgłoszą się do postępowania w jego toku) </w:t>
            </w:r>
            <w:r w:rsidRPr="00AC4127">
              <w:rPr>
                <w:rFonts w:ascii="Times New Roman" w:eastAsia="Times New Roman" w:hAnsi="Times New Roman" w:cs="Times New Roman"/>
                <w:sz w:val="20"/>
                <w:szCs w:val="20"/>
                <w:lang w:eastAsia="pl-PL"/>
              </w:rPr>
              <w:t xml:space="preserve">– w przeciwnym wypadku sąd dokona ogłoszenia w trybie art. 672 k.p.c. </w:t>
            </w:r>
          </w:p>
        </w:tc>
      </w:tr>
      <w:tr w:rsidR="002F2645" w14:paraId="5719985A" w14:textId="77777777" w:rsidTr="00B241C8">
        <w:trPr>
          <w:jc w:val="center"/>
        </w:trPr>
        <w:tc>
          <w:tcPr>
            <w:tcW w:w="562" w:type="dxa"/>
          </w:tcPr>
          <w:p w14:paraId="1449ECCD" w14:textId="035AA320" w:rsidR="002F2645" w:rsidRDefault="008C150E" w:rsidP="000C0550">
            <w:pPr>
              <w:spacing w:before="120"/>
              <w:ind w:right="-534"/>
              <w:rPr>
                <w:rFonts w:ascii="Times New Roman" w:hAnsi="Times New Roman" w:cs="Times New Roman"/>
                <w:b/>
                <w:sz w:val="20"/>
              </w:rPr>
            </w:pPr>
            <w:r>
              <w:rPr>
                <w:rFonts w:ascii="Times New Roman" w:hAnsi="Times New Roman" w:cs="Times New Roman"/>
                <w:b/>
                <w:sz w:val="20"/>
              </w:rPr>
              <w:lastRenderedPageBreak/>
              <w:t>1</w:t>
            </w:r>
            <w:r w:rsidR="00A57140">
              <w:rPr>
                <w:rFonts w:ascii="Times New Roman" w:hAnsi="Times New Roman" w:cs="Times New Roman"/>
                <w:b/>
                <w:sz w:val="20"/>
              </w:rPr>
              <w:t>2</w:t>
            </w:r>
            <w:r w:rsidR="002F2645">
              <w:rPr>
                <w:rFonts w:ascii="Times New Roman" w:hAnsi="Times New Roman" w:cs="Times New Roman"/>
                <w:b/>
                <w:sz w:val="20"/>
              </w:rPr>
              <w:t>.</w:t>
            </w:r>
          </w:p>
        </w:tc>
        <w:tc>
          <w:tcPr>
            <w:tcW w:w="1843" w:type="dxa"/>
            <w:vAlign w:val="center"/>
          </w:tcPr>
          <w:p w14:paraId="730E2A91" w14:textId="520ACEC8" w:rsidR="002F2645" w:rsidRDefault="002F2645" w:rsidP="000C0550">
            <w:pPr>
              <w:spacing w:before="120" w:after="120"/>
              <w:jc w:val="center"/>
              <w:rPr>
                <w:rFonts w:ascii="Times New Roman" w:hAnsi="Times New Roman" w:cs="Times New Roman"/>
                <w:sz w:val="20"/>
              </w:rPr>
            </w:pPr>
            <w:r>
              <w:rPr>
                <w:rFonts w:ascii="Times New Roman" w:hAnsi="Times New Roman" w:cs="Times New Roman"/>
                <w:sz w:val="20"/>
              </w:rPr>
              <w:t>Krajowa Szkoła Sądownictwa i Prokuratury</w:t>
            </w:r>
          </w:p>
        </w:tc>
        <w:tc>
          <w:tcPr>
            <w:tcW w:w="1843" w:type="dxa"/>
            <w:vAlign w:val="center"/>
          </w:tcPr>
          <w:p w14:paraId="0184026D" w14:textId="1679764A" w:rsidR="002F2645" w:rsidRPr="005B3FB5" w:rsidRDefault="002F2645" w:rsidP="000C0550">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3</w:t>
            </w:r>
            <w:r w:rsidRPr="005B3FB5">
              <w:rPr>
                <w:rFonts w:ascii="Times New Roman" w:hAnsi="Times New Roman" w:cs="Times New Roman"/>
                <w:sz w:val="20"/>
                <w:szCs w:val="20"/>
              </w:rPr>
              <w:t xml:space="preserve"> pkt </w:t>
            </w:r>
            <w:r>
              <w:rPr>
                <w:rFonts w:ascii="Times New Roman" w:hAnsi="Times New Roman" w:cs="Times New Roman"/>
                <w:sz w:val="20"/>
                <w:szCs w:val="20"/>
              </w:rPr>
              <w:t>7</w:t>
            </w:r>
            <w:r w:rsidRPr="005B3FB5">
              <w:rPr>
                <w:rFonts w:ascii="Times New Roman" w:hAnsi="Times New Roman" w:cs="Times New Roman"/>
                <w:sz w:val="20"/>
                <w:szCs w:val="20"/>
              </w:rPr>
              <w:t xml:space="preserve"> projektu</w:t>
            </w:r>
          </w:p>
        </w:tc>
        <w:tc>
          <w:tcPr>
            <w:tcW w:w="5670" w:type="dxa"/>
            <w:vAlign w:val="center"/>
          </w:tcPr>
          <w:p w14:paraId="405DCBEA" w14:textId="51AAAB65" w:rsidR="002F2645" w:rsidRPr="00650A55" w:rsidRDefault="002F2645" w:rsidP="000C0550">
            <w:pPr>
              <w:spacing w:before="120" w:after="120"/>
              <w:jc w:val="both"/>
              <w:rPr>
                <w:rFonts w:ascii="Times New Roman" w:hAnsi="Times New Roman" w:cs="Times New Roman"/>
                <w:sz w:val="20"/>
                <w:szCs w:val="20"/>
              </w:rPr>
            </w:pPr>
            <w:r w:rsidRPr="00650A55">
              <w:rPr>
                <w:rFonts w:ascii="Times New Roman" w:hAnsi="Times New Roman" w:cs="Times New Roman"/>
                <w:sz w:val="20"/>
                <w:szCs w:val="20"/>
              </w:rPr>
              <w:t>Przepis wydaje się wprowadzać obowiązek wzywania na rozprawę wszystkich wskazanych tam osób, nawet gdy oczywiste jest, że do spadku dochodzą tylko niektóre z nich (np. małżonek i dzieci)</w:t>
            </w:r>
          </w:p>
        </w:tc>
        <w:tc>
          <w:tcPr>
            <w:tcW w:w="4076" w:type="dxa"/>
          </w:tcPr>
          <w:p w14:paraId="6650DB18" w14:textId="42BFF191" w:rsidR="00A5722E" w:rsidRDefault="00A5722E" w:rsidP="000C0550">
            <w:pPr>
              <w:autoSpaceDE w:val="0"/>
              <w:autoSpaceDN w:val="0"/>
              <w:adjustRightInd w:val="0"/>
              <w:jc w:val="both"/>
              <w:rPr>
                <w:rFonts w:ascii="Times New Roman" w:eastAsia="Times New Roman" w:hAnsi="Times New Roman" w:cs="Times New Roman"/>
                <w:b/>
                <w:bCs/>
                <w:sz w:val="20"/>
                <w:szCs w:val="20"/>
                <w:lang w:eastAsia="pl-PL"/>
              </w:rPr>
            </w:pPr>
            <w:r w:rsidRPr="00A5722E">
              <w:rPr>
                <w:rFonts w:ascii="Times New Roman" w:eastAsia="Times New Roman" w:hAnsi="Times New Roman" w:cs="Times New Roman"/>
                <w:b/>
                <w:bCs/>
                <w:sz w:val="20"/>
                <w:szCs w:val="20"/>
                <w:lang w:eastAsia="pl-PL"/>
              </w:rPr>
              <w:t>Wyjaśnienie</w:t>
            </w:r>
          </w:p>
          <w:p w14:paraId="58A3124E" w14:textId="77777777" w:rsidR="00F521E5" w:rsidRPr="00A5722E" w:rsidRDefault="00F521E5" w:rsidP="000C0550">
            <w:pPr>
              <w:autoSpaceDE w:val="0"/>
              <w:autoSpaceDN w:val="0"/>
              <w:adjustRightInd w:val="0"/>
              <w:jc w:val="both"/>
              <w:rPr>
                <w:rFonts w:ascii="Times New Roman" w:eastAsia="Times New Roman" w:hAnsi="Times New Roman" w:cs="Times New Roman"/>
                <w:b/>
                <w:bCs/>
                <w:sz w:val="20"/>
                <w:szCs w:val="20"/>
                <w:lang w:eastAsia="pl-PL"/>
              </w:rPr>
            </w:pPr>
          </w:p>
          <w:p w14:paraId="6964B250" w14:textId="0E7E5981" w:rsidR="009436DD" w:rsidRDefault="00A5722E" w:rsidP="000C0550">
            <w:pPr>
              <w:autoSpaceDE w:val="0"/>
              <w:autoSpaceDN w:val="0"/>
              <w:adjustRightInd w:val="0"/>
              <w:jc w:val="both"/>
              <w:rPr>
                <w:rFonts w:ascii="Times New Roman" w:eastAsia="Times New Roman" w:hAnsi="Times New Roman" w:cs="Times New Roman"/>
                <w:b/>
                <w:bCs/>
                <w:sz w:val="20"/>
                <w:szCs w:val="20"/>
                <w:lang w:eastAsia="pl-PL"/>
              </w:rPr>
            </w:pPr>
            <w:r w:rsidRPr="005E4B41">
              <w:rPr>
                <w:rFonts w:ascii="Times New Roman" w:eastAsia="Times New Roman" w:hAnsi="Times New Roman" w:cs="Times New Roman"/>
                <w:sz w:val="20"/>
                <w:szCs w:val="20"/>
                <w:lang w:eastAsia="pl-PL"/>
              </w:rPr>
              <w:t xml:space="preserve">Treść przepisu została zmodyfikowana tak, by była jasność co do tego, że sąd wzywa na rozprawę wskazanych w przepisie </w:t>
            </w:r>
            <w:r>
              <w:rPr>
                <w:rFonts w:ascii="Times New Roman" w:eastAsia="Times New Roman" w:hAnsi="Times New Roman" w:cs="Times New Roman"/>
                <w:sz w:val="20"/>
                <w:szCs w:val="20"/>
                <w:lang w:eastAsia="pl-PL"/>
              </w:rPr>
              <w:t xml:space="preserve">spadkobierców ustawowych, jeśli w ogóle wchodzą w rachubę jako tacy spadkobiercy. Stosując projektowany przepis nie należy tracić z pola widzenia jego części pierwszej, gdzie jest mowa o „wchodzących w rachubę” </w:t>
            </w:r>
            <w:r>
              <w:rPr>
                <w:rFonts w:ascii="Times New Roman" w:eastAsia="Times New Roman" w:hAnsi="Times New Roman" w:cs="Times New Roman"/>
                <w:sz w:val="20"/>
                <w:szCs w:val="20"/>
                <w:lang w:eastAsia="pl-PL"/>
              </w:rPr>
              <w:lastRenderedPageBreak/>
              <w:t xml:space="preserve">spadkobiercach. „Wchodzący w rachubę” spadkobiercy to tacy, którzy w danych </w:t>
            </w:r>
            <w:r w:rsidRPr="00E034DC">
              <w:rPr>
                <w:rFonts w:ascii="Times New Roman" w:eastAsia="Times New Roman" w:hAnsi="Times New Roman" w:cs="Times New Roman"/>
                <w:sz w:val="20"/>
                <w:szCs w:val="20"/>
                <w:lang w:eastAsia="pl-PL"/>
              </w:rPr>
              <w:t>okolicznościach faktycznych mają realną szansę na stwierdzenie nabycia przez nich spadku</w:t>
            </w:r>
            <w:r w:rsidR="0054422C">
              <w:rPr>
                <w:rStyle w:val="Odwoanieprzypisudolnego"/>
                <w:rFonts w:ascii="Times New Roman" w:eastAsia="Times New Roman" w:hAnsi="Times New Roman" w:cs="Times New Roman"/>
                <w:sz w:val="20"/>
                <w:szCs w:val="20"/>
                <w:lang w:eastAsia="pl-PL"/>
              </w:rPr>
              <w:footnoteReference w:id="3"/>
            </w:r>
            <w:r w:rsidRPr="0018581D">
              <w:rPr>
                <w:rFonts w:ascii="Times New Roman" w:eastAsia="Times New Roman" w:hAnsi="Times New Roman" w:cs="Times New Roman"/>
                <w:i/>
                <w:iCs/>
                <w:sz w:val="20"/>
                <w:szCs w:val="20"/>
                <w:lang w:eastAsia="pl-PL"/>
              </w:rPr>
              <w:t>.</w:t>
            </w:r>
          </w:p>
        </w:tc>
      </w:tr>
      <w:tr w:rsidR="00C02C32" w14:paraId="6328C058" w14:textId="77777777" w:rsidTr="008335E2">
        <w:trPr>
          <w:trHeight w:val="2897"/>
          <w:jc w:val="center"/>
        </w:trPr>
        <w:tc>
          <w:tcPr>
            <w:tcW w:w="562" w:type="dxa"/>
          </w:tcPr>
          <w:p w14:paraId="11843FB8" w14:textId="343F642D" w:rsidR="00C02C32" w:rsidRDefault="008C150E" w:rsidP="000C0550">
            <w:pPr>
              <w:spacing w:before="120"/>
              <w:ind w:right="-534"/>
              <w:rPr>
                <w:rFonts w:ascii="Times New Roman" w:hAnsi="Times New Roman" w:cs="Times New Roman"/>
                <w:b/>
                <w:sz w:val="20"/>
              </w:rPr>
            </w:pPr>
            <w:r>
              <w:rPr>
                <w:rFonts w:ascii="Times New Roman" w:hAnsi="Times New Roman" w:cs="Times New Roman"/>
                <w:b/>
                <w:sz w:val="20"/>
              </w:rPr>
              <w:lastRenderedPageBreak/>
              <w:t>1</w:t>
            </w:r>
            <w:r w:rsidR="00A57140">
              <w:rPr>
                <w:rFonts w:ascii="Times New Roman" w:hAnsi="Times New Roman" w:cs="Times New Roman"/>
                <w:b/>
                <w:sz w:val="20"/>
              </w:rPr>
              <w:t>3</w:t>
            </w:r>
            <w:r w:rsidR="00C02C32">
              <w:rPr>
                <w:rFonts w:ascii="Times New Roman" w:hAnsi="Times New Roman" w:cs="Times New Roman"/>
                <w:b/>
                <w:sz w:val="20"/>
              </w:rPr>
              <w:t>.</w:t>
            </w:r>
          </w:p>
        </w:tc>
        <w:tc>
          <w:tcPr>
            <w:tcW w:w="1843" w:type="dxa"/>
            <w:vAlign w:val="center"/>
          </w:tcPr>
          <w:p w14:paraId="198D3982" w14:textId="400EB867" w:rsidR="00C02C32" w:rsidRDefault="00C02C32" w:rsidP="000C0550">
            <w:pPr>
              <w:spacing w:before="120" w:after="120"/>
              <w:jc w:val="center"/>
              <w:rPr>
                <w:rFonts w:ascii="Times New Roman" w:hAnsi="Times New Roman" w:cs="Times New Roman"/>
                <w:sz w:val="20"/>
              </w:rPr>
            </w:pPr>
            <w:r>
              <w:rPr>
                <w:rFonts w:ascii="Times New Roman" w:hAnsi="Times New Roman" w:cs="Times New Roman"/>
                <w:sz w:val="20"/>
              </w:rPr>
              <w:t>Sąd Rejonowy Poznań – Stare Miasto w Poznaniu</w:t>
            </w:r>
          </w:p>
        </w:tc>
        <w:tc>
          <w:tcPr>
            <w:tcW w:w="1843" w:type="dxa"/>
            <w:vAlign w:val="center"/>
          </w:tcPr>
          <w:p w14:paraId="59E3E486" w14:textId="0E4FEAA4" w:rsidR="00C02C32" w:rsidRPr="005B3FB5" w:rsidRDefault="00C02C32" w:rsidP="000C0550">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3</w:t>
            </w:r>
            <w:r w:rsidRPr="005B3FB5">
              <w:rPr>
                <w:rFonts w:ascii="Times New Roman" w:hAnsi="Times New Roman" w:cs="Times New Roman"/>
                <w:sz w:val="20"/>
                <w:szCs w:val="20"/>
              </w:rPr>
              <w:t xml:space="preserve"> pkt </w:t>
            </w:r>
            <w:r>
              <w:rPr>
                <w:rFonts w:ascii="Times New Roman" w:hAnsi="Times New Roman" w:cs="Times New Roman"/>
                <w:sz w:val="20"/>
                <w:szCs w:val="20"/>
              </w:rPr>
              <w:t>7</w:t>
            </w:r>
            <w:r w:rsidRPr="005B3FB5">
              <w:rPr>
                <w:rFonts w:ascii="Times New Roman" w:hAnsi="Times New Roman" w:cs="Times New Roman"/>
                <w:sz w:val="20"/>
                <w:szCs w:val="20"/>
              </w:rPr>
              <w:t xml:space="preserve"> projektu</w:t>
            </w:r>
          </w:p>
        </w:tc>
        <w:tc>
          <w:tcPr>
            <w:tcW w:w="5670" w:type="dxa"/>
            <w:vAlign w:val="center"/>
          </w:tcPr>
          <w:p w14:paraId="16C2E0A5" w14:textId="64FF8FAE" w:rsidR="009B03B3" w:rsidRPr="009B03B3" w:rsidRDefault="00E5144B" w:rsidP="009B03B3">
            <w:pPr>
              <w:spacing w:before="120" w:after="120"/>
              <w:jc w:val="both"/>
              <w:rPr>
                <w:rFonts w:ascii="Times New Roman" w:hAnsi="Times New Roman" w:cs="Times New Roman"/>
                <w:sz w:val="20"/>
                <w:szCs w:val="20"/>
              </w:rPr>
            </w:pPr>
            <w:r w:rsidRPr="005C593B">
              <w:rPr>
                <w:rFonts w:ascii="Times New Roman" w:hAnsi="Times New Roman" w:cs="Times New Roman"/>
                <w:sz w:val="20"/>
                <w:szCs w:val="20"/>
              </w:rPr>
              <w:t xml:space="preserve">Taki zwrot „wchodzi w rachubę'" nie powinien znaleźć się w przepisie ustawy to jest </w:t>
            </w:r>
            <w:r w:rsidR="009436DD">
              <w:rPr>
                <w:rFonts w:ascii="Times New Roman" w:hAnsi="Times New Roman" w:cs="Times New Roman"/>
                <w:sz w:val="20"/>
                <w:szCs w:val="20"/>
              </w:rPr>
              <w:t>”</w:t>
            </w:r>
            <w:proofErr w:type="spellStart"/>
            <w:r w:rsidRPr="005C593B">
              <w:rPr>
                <w:rFonts w:ascii="Times New Roman" w:hAnsi="Times New Roman" w:cs="Times New Roman"/>
                <w:sz w:val="20"/>
                <w:szCs w:val="20"/>
              </w:rPr>
              <w:t>potocyzm</w:t>
            </w:r>
            <w:proofErr w:type="spellEnd"/>
            <w:r w:rsidRPr="005C593B">
              <w:rPr>
                <w:rFonts w:ascii="Times New Roman" w:hAnsi="Times New Roman" w:cs="Times New Roman"/>
                <w:sz w:val="20"/>
                <w:szCs w:val="20"/>
              </w:rPr>
              <w:t>", należałoby rozważyć zwrot „osoby, które należą do kręgu spadkobierców testamentowych i ustawowych w t</w:t>
            </w:r>
            <w:r w:rsidR="008C150E" w:rsidRPr="005C593B">
              <w:rPr>
                <w:rFonts w:ascii="Times New Roman" w:hAnsi="Times New Roman" w:cs="Times New Roman"/>
                <w:sz w:val="20"/>
                <w:szCs w:val="20"/>
              </w:rPr>
              <w:t>y</w:t>
            </w:r>
            <w:r w:rsidRPr="005C593B">
              <w:rPr>
                <w:rFonts w:ascii="Times New Roman" w:hAnsi="Times New Roman" w:cs="Times New Roman"/>
                <w:sz w:val="20"/>
                <w:szCs w:val="20"/>
              </w:rPr>
              <w:t>m..."</w:t>
            </w:r>
          </w:p>
        </w:tc>
        <w:tc>
          <w:tcPr>
            <w:tcW w:w="4076" w:type="dxa"/>
          </w:tcPr>
          <w:p w14:paraId="2601F900" w14:textId="3A653D7E" w:rsidR="00C02C32" w:rsidRDefault="004B050A" w:rsidP="000C0550">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Uwaga nieuwzględniona</w:t>
            </w:r>
          </w:p>
          <w:p w14:paraId="58F4CF42" w14:textId="77777777" w:rsidR="00F521E5" w:rsidRDefault="00F521E5" w:rsidP="000C0550">
            <w:pPr>
              <w:autoSpaceDE w:val="0"/>
              <w:autoSpaceDN w:val="0"/>
              <w:adjustRightInd w:val="0"/>
              <w:jc w:val="both"/>
              <w:rPr>
                <w:rFonts w:ascii="Times New Roman" w:eastAsia="Times New Roman" w:hAnsi="Times New Roman" w:cs="Times New Roman"/>
                <w:b/>
                <w:bCs/>
                <w:sz w:val="20"/>
                <w:szCs w:val="20"/>
                <w:lang w:eastAsia="pl-PL"/>
              </w:rPr>
            </w:pPr>
          </w:p>
          <w:p w14:paraId="4D30C600" w14:textId="034C00E6" w:rsidR="009B03B3" w:rsidRPr="009B03B3" w:rsidRDefault="004B050A" w:rsidP="009B03B3">
            <w:pPr>
              <w:autoSpaceDE w:val="0"/>
              <w:autoSpaceDN w:val="0"/>
              <w:adjustRightInd w:val="0"/>
              <w:jc w:val="both"/>
              <w:rPr>
                <w:rFonts w:ascii="Times New Roman" w:eastAsia="Times New Roman" w:hAnsi="Times New Roman" w:cs="Times New Roman"/>
                <w:sz w:val="20"/>
                <w:szCs w:val="20"/>
                <w:lang w:eastAsia="pl-PL"/>
              </w:rPr>
            </w:pPr>
            <w:r w:rsidRPr="004B050A">
              <w:rPr>
                <w:rFonts w:ascii="Times New Roman" w:eastAsia="Times New Roman" w:hAnsi="Times New Roman" w:cs="Times New Roman"/>
                <w:sz w:val="20"/>
                <w:szCs w:val="20"/>
                <w:lang w:eastAsia="pl-PL"/>
              </w:rPr>
              <w:t xml:space="preserve">Obecnie przepis art. 669 k.p.c. posługuje się </w:t>
            </w:r>
            <w:r w:rsidR="009436DD">
              <w:rPr>
                <w:rFonts w:ascii="Times New Roman" w:eastAsia="Times New Roman" w:hAnsi="Times New Roman" w:cs="Times New Roman"/>
                <w:sz w:val="20"/>
                <w:szCs w:val="20"/>
                <w:lang w:eastAsia="pl-PL"/>
              </w:rPr>
              <w:t>s</w:t>
            </w:r>
            <w:r w:rsidRPr="004B050A">
              <w:rPr>
                <w:rFonts w:ascii="Times New Roman" w:eastAsia="Times New Roman" w:hAnsi="Times New Roman" w:cs="Times New Roman"/>
                <w:sz w:val="20"/>
                <w:szCs w:val="20"/>
                <w:lang w:eastAsia="pl-PL"/>
              </w:rPr>
              <w:t>formułowaniem</w:t>
            </w:r>
            <w:r w:rsidR="009436DD">
              <w:rPr>
                <w:rFonts w:ascii="Times New Roman" w:eastAsia="Times New Roman" w:hAnsi="Times New Roman" w:cs="Times New Roman"/>
                <w:sz w:val="20"/>
                <w:szCs w:val="20"/>
                <w:lang w:eastAsia="pl-PL"/>
              </w:rPr>
              <w:t xml:space="preserve"> „wchodzący w rachubę”</w:t>
            </w:r>
            <w:r w:rsidRPr="004B050A">
              <w:rPr>
                <w:rFonts w:ascii="Times New Roman" w:eastAsia="Times New Roman" w:hAnsi="Times New Roman" w:cs="Times New Roman"/>
                <w:sz w:val="20"/>
                <w:szCs w:val="20"/>
                <w:lang w:eastAsia="pl-PL"/>
              </w:rPr>
              <w:t xml:space="preserve">. W tym zakresie projekt niczego nie zmienia. </w:t>
            </w:r>
            <w:r w:rsidR="00A5722E">
              <w:rPr>
                <w:rFonts w:ascii="Times New Roman" w:eastAsia="Times New Roman" w:hAnsi="Times New Roman" w:cs="Times New Roman"/>
                <w:sz w:val="20"/>
                <w:szCs w:val="20"/>
                <w:lang w:eastAsia="pl-PL"/>
              </w:rPr>
              <w:t xml:space="preserve">„Wchodzący w rachubę” spadkobiercy to tacy, którzy w danych </w:t>
            </w:r>
            <w:r w:rsidR="00A5722E" w:rsidRPr="00E034DC">
              <w:rPr>
                <w:rFonts w:ascii="Times New Roman" w:eastAsia="Times New Roman" w:hAnsi="Times New Roman" w:cs="Times New Roman"/>
                <w:sz w:val="20"/>
                <w:szCs w:val="20"/>
                <w:lang w:eastAsia="pl-PL"/>
              </w:rPr>
              <w:t>okolicznościach faktycznych mają realną szansę na stwierdzenie nabycia przez nich spadku</w:t>
            </w:r>
            <w:r w:rsidR="00D06E69">
              <w:rPr>
                <w:rStyle w:val="Odwoanieprzypisudolnego"/>
                <w:rFonts w:ascii="Times New Roman" w:eastAsia="Times New Roman" w:hAnsi="Times New Roman" w:cs="Times New Roman"/>
                <w:sz w:val="20"/>
                <w:szCs w:val="20"/>
                <w:lang w:eastAsia="pl-PL"/>
              </w:rPr>
              <w:footnoteReference w:id="4"/>
            </w:r>
            <w:r w:rsidR="00D06E69">
              <w:rPr>
                <w:rFonts w:ascii="Times New Roman" w:eastAsia="Times New Roman" w:hAnsi="Times New Roman" w:cs="Times New Roman"/>
                <w:sz w:val="20"/>
                <w:szCs w:val="20"/>
                <w:lang w:eastAsia="pl-PL"/>
              </w:rPr>
              <w:t>.</w:t>
            </w:r>
          </w:p>
        </w:tc>
      </w:tr>
      <w:tr w:rsidR="00650A55" w14:paraId="26349F09" w14:textId="77777777" w:rsidTr="008335E2">
        <w:trPr>
          <w:jc w:val="center"/>
        </w:trPr>
        <w:tc>
          <w:tcPr>
            <w:tcW w:w="562" w:type="dxa"/>
          </w:tcPr>
          <w:p w14:paraId="25186C1A" w14:textId="47E024AC" w:rsidR="00650A55" w:rsidRDefault="008C150E" w:rsidP="000C0550">
            <w:pPr>
              <w:spacing w:before="120"/>
              <w:ind w:right="-534"/>
              <w:rPr>
                <w:rFonts w:ascii="Times New Roman" w:hAnsi="Times New Roman" w:cs="Times New Roman"/>
                <w:b/>
                <w:sz w:val="20"/>
              </w:rPr>
            </w:pPr>
            <w:r>
              <w:rPr>
                <w:rFonts w:ascii="Times New Roman" w:hAnsi="Times New Roman" w:cs="Times New Roman"/>
                <w:b/>
                <w:sz w:val="20"/>
              </w:rPr>
              <w:t>1</w:t>
            </w:r>
            <w:r w:rsidR="00A57140">
              <w:rPr>
                <w:rFonts w:ascii="Times New Roman" w:hAnsi="Times New Roman" w:cs="Times New Roman"/>
                <w:b/>
                <w:sz w:val="20"/>
              </w:rPr>
              <w:t>4</w:t>
            </w:r>
            <w:r w:rsidR="00650A55">
              <w:rPr>
                <w:rFonts w:ascii="Times New Roman" w:hAnsi="Times New Roman" w:cs="Times New Roman"/>
                <w:b/>
                <w:sz w:val="20"/>
              </w:rPr>
              <w:t>.</w:t>
            </w:r>
          </w:p>
        </w:tc>
        <w:tc>
          <w:tcPr>
            <w:tcW w:w="1843" w:type="dxa"/>
            <w:vAlign w:val="center"/>
          </w:tcPr>
          <w:p w14:paraId="34F7F178" w14:textId="7EB287EC" w:rsidR="00650A55" w:rsidRDefault="00650A55" w:rsidP="000C0550">
            <w:pPr>
              <w:spacing w:before="120" w:after="120"/>
              <w:jc w:val="center"/>
              <w:rPr>
                <w:rFonts w:ascii="Times New Roman" w:hAnsi="Times New Roman" w:cs="Times New Roman"/>
                <w:sz w:val="20"/>
              </w:rPr>
            </w:pPr>
            <w:r>
              <w:rPr>
                <w:rFonts w:ascii="Times New Roman" w:hAnsi="Times New Roman" w:cs="Times New Roman"/>
                <w:sz w:val="20"/>
              </w:rPr>
              <w:t>Krajowa Szkoła Sądownictwa i Prokuratury</w:t>
            </w:r>
          </w:p>
        </w:tc>
        <w:tc>
          <w:tcPr>
            <w:tcW w:w="1843" w:type="dxa"/>
            <w:vAlign w:val="center"/>
          </w:tcPr>
          <w:p w14:paraId="26F76223" w14:textId="474A28AD" w:rsidR="00650A55" w:rsidRPr="005B3FB5" w:rsidRDefault="00650A55" w:rsidP="000C0550">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3</w:t>
            </w:r>
            <w:r w:rsidRPr="005B3FB5">
              <w:rPr>
                <w:rFonts w:ascii="Times New Roman" w:hAnsi="Times New Roman" w:cs="Times New Roman"/>
                <w:sz w:val="20"/>
                <w:szCs w:val="20"/>
              </w:rPr>
              <w:t xml:space="preserve"> pkt </w:t>
            </w:r>
            <w:r>
              <w:rPr>
                <w:rFonts w:ascii="Times New Roman" w:hAnsi="Times New Roman" w:cs="Times New Roman"/>
                <w:sz w:val="20"/>
                <w:szCs w:val="20"/>
              </w:rPr>
              <w:t>9</w:t>
            </w:r>
            <w:r w:rsidRPr="005B3FB5">
              <w:rPr>
                <w:rFonts w:ascii="Times New Roman" w:hAnsi="Times New Roman" w:cs="Times New Roman"/>
                <w:sz w:val="20"/>
                <w:szCs w:val="20"/>
              </w:rPr>
              <w:t xml:space="preserve"> projektu</w:t>
            </w:r>
          </w:p>
        </w:tc>
        <w:tc>
          <w:tcPr>
            <w:tcW w:w="5670" w:type="dxa"/>
            <w:vAlign w:val="center"/>
          </w:tcPr>
          <w:p w14:paraId="7B7C8E83" w14:textId="47B48A07" w:rsidR="00650A55" w:rsidRPr="00650A55" w:rsidRDefault="00650A55" w:rsidP="00650A55">
            <w:pPr>
              <w:jc w:val="both"/>
              <w:rPr>
                <w:rFonts w:ascii="Times New Roman" w:hAnsi="Times New Roman" w:cs="Times New Roman"/>
                <w:sz w:val="20"/>
                <w:szCs w:val="20"/>
              </w:rPr>
            </w:pPr>
            <w:r w:rsidRPr="00650A55">
              <w:rPr>
                <w:rFonts w:ascii="Times New Roman" w:hAnsi="Times New Roman" w:cs="Times New Roman"/>
                <w:sz w:val="20"/>
                <w:szCs w:val="20"/>
              </w:rPr>
              <w:t xml:space="preserve">Projekt nie rezygnuje ze szczególnej wagi zapewnienia spadkowego, co nie wydaje się zasadne: np. w wypadku, gdy krąg spadkobierców jest niewątpliwy, gdyż wynika z a.s.c., a zapewnienie nie może być złożone, gdyż spadkobierca już zmarł, konieczne jest ogłoszenie, co generuje koszty i przedłuża postępowanie. Zapewnienie może złożyć bowiem jedynie spadkobierca (art. 671 par. 1 k.p.c.), a już nie jego zstępni, którzy sami nie dochodzą do spadku, choć jako następcy prawni biorą udział w postepowaniu spadkowym. Wydaje się, że ogłoszenie powinno być obowiązkowe jedynie w wypadku, </w:t>
            </w:r>
            <w:r w:rsidRPr="00650A55">
              <w:rPr>
                <w:rFonts w:ascii="Times New Roman" w:hAnsi="Times New Roman" w:cs="Times New Roman"/>
                <w:sz w:val="20"/>
                <w:szCs w:val="20"/>
                <w:u w:val="single"/>
              </w:rPr>
              <w:t xml:space="preserve">gdy zapewnienie lub inne dowody nie będą uznane przez sąd za wystarczające. </w:t>
            </w:r>
            <w:r w:rsidRPr="00650A55">
              <w:rPr>
                <w:rFonts w:ascii="Times New Roman" w:hAnsi="Times New Roman" w:cs="Times New Roman"/>
                <w:sz w:val="20"/>
                <w:szCs w:val="20"/>
              </w:rPr>
              <w:t>Zbędne jest też zdanie „w szczególności, gdy nie udało się ustalić spadkobierców, o których mowa w art. 669”.</w:t>
            </w:r>
          </w:p>
        </w:tc>
        <w:tc>
          <w:tcPr>
            <w:tcW w:w="4076" w:type="dxa"/>
            <w:shd w:val="clear" w:color="auto" w:fill="auto"/>
          </w:tcPr>
          <w:p w14:paraId="7867CD60" w14:textId="77777777" w:rsidR="0054422C" w:rsidRDefault="0054422C" w:rsidP="0054422C">
            <w:pPr>
              <w:autoSpaceDE w:val="0"/>
              <w:autoSpaceDN w:val="0"/>
              <w:adjustRightInd w:val="0"/>
              <w:jc w:val="both"/>
              <w:rPr>
                <w:rFonts w:ascii="Times New Roman" w:eastAsia="Times New Roman" w:hAnsi="Times New Roman" w:cs="Times New Roman"/>
                <w:b/>
                <w:bCs/>
                <w:sz w:val="20"/>
                <w:szCs w:val="20"/>
                <w:lang w:eastAsia="pl-PL"/>
              </w:rPr>
            </w:pPr>
            <w:r w:rsidRPr="00A5722E">
              <w:rPr>
                <w:rFonts w:ascii="Times New Roman" w:eastAsia="Times New Roman" w:hAnsi="Times New Roman" w:cs="Times New Roman"/>
                <w:b/>
                <w:bCs/>
                <w:sz w:val="20"/>
                <w:szCs w:val="20"/>
                <w:lang w:eastAsia="pl-PL"/>
              </w:rPr>
              <w:t>Wyjaśnienie</w:t>
            </w:r>
          </w:p>
          <w:p w14:paraId="30DA4D4E" w14:textId="77777777" w:rsidR="0054422C" w:rsidRDefault="0054422C" w:rsidP="008335E2">
            <w:pPr>
              <w:jc w:val="both"/>
              <w:rPr>
                <w:rFonts w:ascii="Times New Roman" w:hAnsi="Times New Roman" w:cs="Times New Roman"/>
                <w:sz w:val="20"/>
                <w:szCs w:val="20"/>
              </w:rPr>
            </w:pPr>
          </w:p>
          <w:p w14:paraId="74742176" w14:textId="6C4EC5D7" w:rsidR="00531DE4" w:rsidRPr="0054422C" w:rsidRDefault="008C71FC" w:rsidP="008335E2">
            <w:pPr>
              <w:jc w:val="both"/>
              <w:rPr>
                <w:rFonts w:ascii="Times New Roman" w:hAnsi="Times New Roman" w:cs="Times New Roman"/>
                <w:sz w:val="20"/>
                <w:szCs w:val="20"/>
              </w:rPr>
            </w:pPr>
            <w:r w:rsidRPr="008335E2">
              <w:rPr>
                <w:rFonts w:ascii="Times New Roman" w:hAnsi="Times New Roman" w:cs="Times New Roman"/>
                <w:sz w:val="20"/>
                <w:szCs w:val="20"/>
              </w:rPr>
              <w:t>Należy podkreślić szczególną moc dowodową zapewnienia spadkowego. Zapewnienie</w:t>
            </w:r>
            <w:r w:rsidR="008335E2" w:rsidRPr="008335E2">
              <w:rPr>
                <w:rFonts w:ascii="Times New Roman" w:hAnsi="Times New Roman" w:cs="Times New Roman"/>
                <w:sz w:val="20"/>
                <w:szCs w:val="20"/>
              </w:rPr>
              <w:t xml:space="preserve"> </w:t>
            </w:r>
            <w:r w:rsidRPr="008335E2">
              <w:rPr>
                <w:rFonts w:ascii="Times New Roman" w:hAnsi="Times New Roman" w:cs="Times New Roman"/>
                <w:sz w:val="20"/>
                <w:szCs w:val="20"/>
              </w:rPr>
              <w:t>służy do uzyskania przez sąd wyczerpujących informacji, że nie ma innych spadkobierców, poza wskazanymi przez składającego zapewnienie, z kręgu osób wezwanych na rozprawę, mogących wchodzić w rachubę jako spadkobiercy ustawowi. </w:t>
            </w:r>
            <w:r w:rsidR="008335E2">
              <w:rPr>
                <w:rFonts w:ascii="Times New Roman" w:hAnsi="Times New Roman" w:cs="Times New Roman"/>
                <w:sz w:val="20"/>
                <w:szCs w:val="20"/>
              </w:rPr>
              <w:t xml:space="preserve">Nadto </w:t>
            </w:r>
            <w:r w:rsidR="002C71DB">
              <w:rPr>
                <w:rFonts w:ascii="Times New Roman" w:hAnsi="Times New Roman" w:cs="Times New Roman"/>
                <w:sz w:val="20"/>
                <w:szCs w:val="20"/>
              </w:rPr>
              <w:t>przyjmuje się, że</w:t>
            </w:r>
            <w:r w:rsidR="00E6542F">
              <w:rPr>
                <w:rFonts w:ascii="Times New Roman" w:hAnsi="Times New Roman" w:cs="Times New Roman"/>
                <w:sz w:val="20"/>
                <w:szCs w:val="20"/>
              </w:rPr>
              <w:t xml:space="preserve"> </w:t>
            </w:r>
            <w:r w:rsidR="00531DE4">
              <w:rPr>
                <w:rFonts w:ascii="Times New Roman" w:hAnsi="Times New Roman" w:cs="Times New Roman"/>
                <w:sz w:val="20"/>
                <w:szCs w:val="20"/>
              </w:rPr>
              <w:t>możliwe jest</w:t>
            </w:r>
            <w:r w:rsidR="0054422C">
              <w:rPr>
                <w:rFonts w:ascii="Times New Roman" w:hAnsi="Times New Roman" w:cs="Times New Roman"/>
                <w:sz w:val="20"/>
                <w:szCs w:val="20"/>
              </w:rPr>
              <w:t xml:space="preserve"> </w:t>
            </w:r>
            <w:r w:rsidR="00531DE4">
              <w:rPr>
                <w:rFonts w:ascii="Times New Roman" w:hAnsi="Times New Roman" w:cs="Times New Roman"/>
                <w:sz w:val="20"/>
                <w:szCs w:val="20"/>
              </w:rPr>
              <w:t>złożenie zapewnienia spadkowego także przez spadkobiercę spadkobiercy</w:t>
            </w:r>
            <w:r w:rsidR="0054422C">
              <w:rPr>
                <w:rStyle w:val="Odwoanieprzypisudolnego"/>
                <w:rFonts w:ascii="Times New Roman" w:hAnsi="Times New Roman" w:cs="Times New Roman"/>
                <w:sz w:val="20"/>
                <w:szCs w:val="20"/>
              </w:rPr>
              <w:footnoteReference w:id="5"/>
            </w:r>
            <w:r w:rsidR="00C928E1">
              <w:rPr>
                <w:rFonts w:ascii="Times New Roman" w:hAnsi="Times New Roman" w:cs="Times New Roman"/>
                <w:sz w:val="20"/>
                <w:szCs w:val="20"/>
              </w:rPr>
              <w:t xml:space="preserve">. </w:t>
            </w:r>
          </w:p>
        </w:tc>
      </w:tr>
      <w:tr w:rsidR="000C0550" w14:paraId="3FD8159A" w14:textId="77777777" w:rsidTr="00B241C8">
        <w:trPr>
          <w:jc w:val="center"/>
        </w:trPr>
        <w:tc>
          <w:tcPr>
            <w:tcW w:w="562" w:type="dxa"/>
          </w:tcPr>
          <w:p w14:paraId="210970D2" w14:textId="7732BFB0" w:rsidR="000C0550" w:rsidRDefault="008C150E" w:rsidP="000C0550">
            <w:pPr>
              <w:spacing w:before="120"/>
              <w:ind w:right="-534"/>
              <w:rPr>
                <w:rFonts w:ascii="Times New Roman" w:hAnsi="Times New Roman" w:cs="Times New Roman"/>
                <w:b/>
                <w:sz w:val="20"/>
              </w:rPr>
            </w:pPr>
            <w:r>
              <w:rPr>
                <w:rFonts w:ascii="Times New Roman" w:hAnsi="Times New Roman" w:cs="Times New Roman"/>
                <w:b/>
                <w:sz w:val="20"/>
              </w:rPr>
              <w:t>1</w:t>
            </w:r>
            <w:r w:rsidR="00A57140">
              <w:rPr>
                <w:rFonts w:ascii="Times New Roman" w:hAnsi="Times New Roman" w:cs="Times New Roman"/>
                <w:b/>
                <w:sz w:val="20"/>
              </w:rPr>
              <w:t>5</w:t>
            </w:r>
            <w:r w:rsidR="000C0550">
              <w:rPr>
                <w:rFonts w:ascii="Times New Roman" w:hAnsi="Times New Roman" w:cs="Times New Roman"/>
                <w:b/>
                <w:sz w:val="20"/>
              </w:rPr>
              <w:t>.</w:t>
            </w:r>
          </w:p>
        </w:tc>
        <w:tc>
          <w:tcPr>
            <w:tcW w:w="1843" w:type="dxa"/>
            <w:vAlign w:val="center"/>
          </w:tcPr>
          <w:p w14:paraId="0239DC98" w14:textId="4138C6F0" w:rsidR="000C0550" w:rsidRDefault="000C0550" w:rsidP="000C0550">
            <w:pPr>
              <w:spacing w:before="120" w:after="120"/>
              <w:jc w:val="center"/>
              <w:rPr>
                <w:rFonts w:ascii="Times New Roman" w:hAnsi="Times New Roman" w:cs="Times New Roman"/>
                <w:sz w:val="20"/>
              </w:rPr>
            </w:pPr>
            <w:r>
              <w:rPr>
                <w:rFonts w:ascii="Times New Roman" w:hAnsi="Times New Roman" w:cs="Times New Roman"/>
                <w:sz w:val="20"/>
              </w:rPr>
              <w:t xml:space="preserve">Sad Rejonowy dla </w:t>
            </w:r>
            <w:proofErr w:type="spellStart"/>
            <w:r>
              <w:rPr>
                <w:rFonts w:ascii="Times New Roman" w:hAnsi="Times New Roman" w:cs="Times New Roman"/>
                <w:sz w:val="20"/>
              </w:rPr>
              <w:t>Krakowa-Nowej</w:t>
            </w:r>
            <w:proofErr w:type="spellEnd"/>
            <w:r>
              <w:rPr>
                <w:rFonts w:ascii="Times New Roman" w:hAnsi="Times New Roman" w:cs="Times New Roman"/>
                <w:sz w:val="20"/>
              </w:rPr>
              <w:t xml:space="preserve"> –Huty w Krakowie I Wydział Cywilny</w:t>
            </w:r>
          </w:p>
        </w:tc>
        <w:tc>
          <w:tcPr>
            <w:tcW w:w="1843" w:type="dxa"/>
            <w:vAlign w:val="center"/>
          </w:tcPr>
          <w:p w14:paraId="00D05E75" w14:textId="61E652CE" w:rsidR="000C0550" w:rsidRPr="005B3FB5" w:rsidRDefault="000C0550" w:rsidP="000C0550">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3</w:t>
            </w:r>
            <w:r w:rsidRPr="005B3FB5">
              <w:rPr>
                <w:rFonts w:ascii="Times New Roman" w:hAnsi="Times New Roman" w:cs="Times New Roman"/>
                <w:sz w:val="20"/>
                <w:szCs w:val="20"/>
              </w:rPr>
              <w:t xml:space="preserve"> pkt </w:t>
            </w:r>
            <w:r>
              <w:rPr>
                <w:rFonts w:ascii="Times New Roman" w:hAnsi="Times New Roman" w:cs="Times New Roman"/>
                <w:sz w:val="20"/>
                <w:szCs w:val="20"/>
              </w:rPr>
              <w:t>10</w:t>
            </w:r>
            <w:r w:rsidRPr="005B3FB5">
              <w:rPr>
                <w:rFonts w:ascii="Times New Roman" w:hAnsi="Times New Roman" w:cs="Times New Roman"/>
                <w:sz w:val="20"/>
                <w:szCs w:val="20"/>
              </w:rPr>
              <w:t xml:space="preserve"> projektu</w:t>
            </w:r>
          </w:p>
        </w:tc>
        <w:tc>
          <w:tcPr>
            <w:tcW w:w="5670" w:type="dxa"/>
            <w:vAlign w:val="center"/>
          </w:tcPr>
          <w:p w14:paraId="54C45A90" w14:textId="5EEB874D" w:rsidR="000C0550" w:rsidRDefault="008C71FC" w:rsidP="000C0550">
            <w:pPr>
              <w:spacing w:before="120" w:after="120"/>
              <w:jc w:val="both"/>
              <w:rPr>
                <w:rFonts w:ascii="Times New Roman" w:hAnsi="Times New Roman" w:cs="Times New Roman"/>
                <w:sz w:val="20"/>
                <w:szCs w:val="20"/>
              </w:rPr>
            </w:pPr>
            <w:r>
              <w:rPr>
                <w:rFonts w:ascii="Times New Roman" w:hAnsi="Times New Roman" w:cs="Times New Roman"/>
                <w:sz w:val="20"/>
                <w:szCs w:val="20"/>
              </w:rPr>
              <w:t>Z</w:t>
            </w:r>
            <w:r w:rsidR="000C0550">
              <w:rPr>
                <w:rFonts w:ascii="Times New Roman" w:hAnsi="Times New Roman" w:cs="Times New Roman"/>
                <w:sz w:val="20"/>
                <w:szCs w:val="20"/>
              </w:rPr>
              <w:t xml:space="preserve">byt szeroki zakres informacji, które będą miały być wpisywane w treści postanowienia o stwierdzeniu nabycia spadku (art. 677 k.p.c.). W mojej ocenie brak potrzeby dopisywania informacji o dacie i </w:t>
            </w:r>
            <w:r w:rsidR="000C0550">
              <w:rPr>
                <w:rFonts w:ascii="Times New Roman" w:hAnsi="Times New Roman" w:cs="Times New Roman"/>
                <w:sz w:val="20"/>
                <w:szCs w:val="20"/>
              </w:rPr>
              <w:lastRenderedPageBreak/>
              <w:t>miejscu urodzenia spadkobierców czy też powołanie szczegółowych informacji</w:t>
            </w:r>
            <w:r>
              <w:rPr>
                <w:rFonts w:ascii="Times New Roman" w:hAnsi="Times New Roman" w:cs="Times New Roman"/>
                <w:sz w:val="20"/>
                <w:szCs w:val="20"/>
              </w:rPr>
              <w:t xml:space="preserve"> o</w:t>
            </w:r>
            <w:r w:rsidR="000C0550">
              <w:rPr>
                <w:rFonts w:ascii="Times New Roman" w:hAnsi="Times New Roman" w:cs="Times New Roman"/>
                <w:sz w:val="20"/>
                <w:szCs w:val="20"/>
              </w:rPr>
              <w:t xml:space="preserve"> otwarciu i ogłoszeniu testamentu</w:t>
            </w:r>
            <w:r>
              <w:rPr>
                <w:rFonts w:ascii="Times New Roman" w:hAnsi="Times New Roman" w:cs="Times New Roman"/>
                <w:sz w:val="20"/>
                <w:szCs w:val="20"/>
              </w:rPr>
              <w:t xml:space="preserve">. </w:t>
            </w:r>
          </w:p>
        </w:tc>
        <w:tc>
          <w:tcPr>
            <w:tcW w:w="4076" w:type="dxa"/>
          </w:tcPr>
          <w:p w14:paraId="4D89B27F" w14:textId="6AD05910" w:rsidR="000C0550" w:rsidRDefault="00531DE4" w:rsidP="000C0550">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Uwaga nieuwzględniona</w:t>
            </w:r>
          </w:p>
          <w:p w14:paraId="55F59DCB" w14:textId="77777777" w:rsidR="00F521E5" w:rsidRDefault="00F521E5" w:rsidP="000C0550">
            <w:pPr>
              <w:autoSpaceDE w:val="0"/>
              <w:autoSpaceDN w:val="0"/>
              <w:adjustRightInd w:val="0"/>
              <w:jc w:val="both"/>
              <w:rPr>
                <w:rFonts w:ascii="Times New Roman" w:eastAsia="Times New Roman" w:hAnsi="Times New Roman" w:cs="Times New Roman"/>
                <w:b/>
                <w:bCs/>
                <w:sz w:val="20"/>
                <w:szCs w:val="20"/>
                <w:lang w:eastAsia="pl-PL"/>
              </w:rPr>
            </w:pPr>
          </w:p>
          <w:p w14:paraId="0BD32FA9" w14:textId="27E41106" w:rsidR="00531DE4" w:rsidRPr="00531DE4" w:rsidRDefault="009148F0" w:rsidP="000C0550">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Wzbogacenie treści postanowienia o dodatkowe elementy </w:t>
            </w:r>
            <w:r w:rsidR="00A108F6">
              <w:rPr>
                <w:rFonts w:ascii="Times New Roman" w:eastAsia="Times New Roman" w:hAnsi="Times New Roman" w:cs="Times New Roman"/>
                <w:sz w:val="20"/>
                <w:szCs w:val="20"/>
                <w:lang w:eastAsia="pl-PL"/>
              </w:rPr>
              <w:t xml:space="preserve">podyktowane zostało dążeniem projektodawcy do ujednolicenia treści </w:t>
            </w:r>
            <w:r w:rsidR="00A108F6">
              <w:rPr>
                <w:rFonts w:ascii="Times New Roman" w:eastAsia="Times New Roman" w:hAnsi="Times New Roman" w:cs="Times New Roman"/>
                <w:sz w:val="20"/>
                <w:szCs w:val="20"/>
                <w:lang w:eastAsia="pl-PL"/>
              </w:rPr>
              <w:lastRenderedPageBreak/>
              <w:t xml:space="preserve">postanowienia spadkowego z aktem poświadczenia dziedziczenia. Nie wydaje się właściwe stosowanie w tym zakresie rozróżnienia w zakresie brzmienia obu aktów, tym bardziej, że z zarejestrowanego aktu poświadczenia dziedziczenia jak i postanowienia spadkowego wiążą się jednakowe skutki prawne. </w:t>
            </w:r>
            <w:r w:rsidR="00531DE4" w:rsidRPr="00531DE4">
              <w:rPr>
                <w:rFonts w:ascii="Times New Roman" w:eastAsia="Times New Roman" w:hAnsi="Times New Roman" w:cs="Times New Roman"/>
                <w:sz w:val="20"/>
                <w:szCs w:val="20"/>
                <w:lang w:eastAsia="pl-PL"/>
              </w:rPr>
              <w:t xml:space="preserve"> </w:t>
            </w:r>
          </w:p>
        </w:tc>
      </w:tr>
      <w:tr w:rsidR="00E5144B" w14:paraId="3C7F73D8" w14:textId="77777777" w:rsidTr="00B241C8">
        <w:trPr>
          <w:jc w:val="center"/>
        </w:trPr>
        <w:tc>
          <w:tcPr>
            <w:tcW w:w="562" w:type="dxa"/>
          </w:tcPr>
          <w:p w14:paraId="6ACFF029" w14:textId="5C78B07C" w:rsidR="00E5144B" w:rsidRDefault="008C150E" w:rsidP="000C0550">
            <w:pPr>
              <w:spacing w:before="120"/>
              <w:ind w:right="-534"/>
              <w:rPr>
                <w:rFonts w:ascii="Times New Roman" w:hAnsi="Times New Roman" w:cs="Times New Roman"/>
                <w:b/>
                <w:sz w:val="20"/>
              </w:rPr>
            </w:pPr>
            <w:r>
              <w:rPr>
                <w:rFonts w:ascii="Times New Roman" w:hAnsi="Times New Roman" w:cs="Times New Roman"/>
                <w:b/>
                <w:sz w:val="20"/>
              </w:rPr>
              <w:lastRenderedPageBreak/>
              <w:t>1</w:t>
            </w:r>
            <w:r w:rsidR="00A57140">
              <w:rPr>
                <w:rFonts w:ascii="Times New Roman" w:hAnsi="Times New Roman" w:cs="Times New Roman"/>
                <w:b/>
                <w:sz w:val="20"/>
              </w:rPr>
              <w:t>6</w:t>
            </w:r>
            <w:r w:rsidR="00E5144B">
              <w:rPr>
                <w:rFonts w:ascii="Times New Roman" w:hAnsi="Times New Roman" w:cs="Times New Roman"/>
                <w:b/>
                <w:sz w:val="20"/>
              </w:rPr>
              <w:t>.</w:t>
            </w:r>
          </w:p>
        </w:tc>
        <w:tc>
          <w:tcPr>
            <w:tcW w:w="1843" w:type="dxa"/>
            <w:vAlign w:val="center"/>
          </w:tcPr>
          <w:p w14:paraId="463D4836" w14:textId="35FE6AC4" w:rsidR="00E5144B" w:rsidRDefault="00E5144B" w:rsidP="000C0550">
            <w:pPr>
              <w:spacing w:before="120" w:after="120"/>
              <w:jc w:val="center"/>
              <w:rPr>
                <w:rFonts w:ascii="Times New Roman" w:hAnsi="Times New Roman" w:cs="Times New Roman"/>
                <w:sz w:val="20"/>
              </w:rPr>
            </w:pPr>
            <w:r>
              <w:rPr>
                <w:rFonts w:ascii="Times New Roman" w:hAnsi="Times New Roman" w:cs="Times New Roman"/>
                <w:sz w:val="20"/>
              </w:rPr>
              <w:t>Sąd Rejonowy Poznań – Stare Miasto w Poznaniu</w:t>
            </w:r>
          </w:p>
        </w:tc>
        <w:tc>
          <w:tcPr>
            <w:tcW w:w="1843" w:type="dxa"/>
            <w:vAlign w:val="center"/>
          </w:tcPr>
          <w:p w14:paraId="38080813" w14:textId="76DEF2C6" w:rsidR="00E5144B" w:rsidRPr="005B3FB5" w:rsidRDefault="00E5144B" w:rsidP="000C0550">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art. </w:t>
            </w:r>
            <w:r>
              <w:rPr>
                <w:rFonts w:ascii="Times New Roman" w:hAnsi="Times New Roman" w:cs="Times New Roman"/>
                <w:sz w:val="20"/>
                <w:szCs w:val="20"/>
              </w:rPr>
              <w:t>3</w:t>
            </w:r>
            <w:r w:rsidRPr="005B3FB5">
              <w:rPr>
                <w:rFonts w:ascii="Times New Roman" w:hAnsi="Times New Roman" w:cs="Times New Roman"/>
                <w:sz w:val="20"/>
                <w:szCs w:val="20"/>
              </w:rPr>
              <w:t xml:space="preserve"> pkt </w:t>
            </w:r>
            <w:r>
              <w:rPr>
                <w:rFonts w:ascii="Times New Roman" w:hAnsi="Times New Roman" w:cs="Times New Roman"/>
                <w:sz w:val="20"/>
                <w:szCs w:val="20"/>
              </w:rPr>
              <w:t>10</w:t>
            </w:r>
            <w:r w:rsidRPr="005B3FB5">
              <w:rPr>
                <w:rFonts w:ascii="Times New Roman" w:hAnsi="Times New Roman" w:cs="Times New Roman"/>
                <w:sz w:val="20"/>
                <w:szCs w:val="20"/>
              </w:rPr>
              <w:t xml:space="preserve"> projektu</w:t>
            </w:r>
          </w:p>
        </w:tc>
        <w:tc>
          <w:tcPr>
            <w:tcW w:w="5670" w:type="dxa"/>
            <w:vAlign w:val="center"/>
          </w:tcPr>
          <w:p w14:paraId="3781DBE2" w14:textId="77777777" w:rsidR="00C06062" w:rsidRPr="006B5661" w:rsidRDefault="00E5144B" w:rsidP="009148F0">
            <w:pPr>
              <w:pStyle w:val="Style8"/>
              <w:widowControl/>
              <w:spacing w:before="72"/>
              <w:rPr>
                <w:rStyle w:val="FontStyle47"/>
                <w:sz w:val="20"/>
                <w:szCs w:val="20"/>
              </w:rPr>
            </w:pPr>
            <w:r w:rsidRPr="006B5661">
              <w:rPr>
                <w:sz w:val="20"/>
                <w:szCs w:val="20"/>
              </w:rPr>
              <w:t>Sposób nabycia spadku, czy to dotyczy dziedziczenia z dobrodziejstwem</w:t>
            </w:r>
            <w:r w:rsidR="00C06062" w:rsidRPr="006B5661">
              <w:rPr>
                <w:sz w:val="20"/>
                <w:szCs w:val="20"/>
              </w:rPr>
              <w:t xml:space="preserve"> </w:t>
            </w:r>
            <w:r w:rsidR="00C06062" w:rsidRPr="006B5661">
              <w:rPr>
                <w:rStyle w:val="FontStyle47"/>
                <w:b w:val="0"/>
                <w:bCs w:val="0"/>
                <w:sz w:val="20"/>
                <w:szCs w:val="20"/>
              </w:rPr>
              <w:t>inwentarza czy wprost ? Jeżeli tak to wymagałoby to doprecyzowania.</w:t>
            </w:r>
          </w:p>
          <w:p w14:paraId="272A8D2E" w14:textId="0F6EDB99" w:rsidR="00E5144B" w:rsidRPr="00C06062" w:rsidRDefault="00C06062" w:rsidP="009148F0">
            <w:pPr>
              <w:pStyle w:val="Style4"/>
              <w:widowControl/>
              <w:rPr>
                <w:sz w:val="18"/>
                <w:szCs w:val="18"/>
              </w:rPr>
            </w:pPr>
            <w:r w:rsidRPr="006B5661">
              <w:rPr>
                <w:rStyle w:val="FontStyle32"/>
                <w:sz w:val="20"/>
                <w:szCs w:val="20"/>
              </w:rPr>
              <w:t>4) sposób nabycia spadku, a w razie dziedziczenia testamentowego określenie formy testamentu i powołanie protokołu otwarcia i ogłoszenia testamentu;</w:t>
            </w:r>
          </w:p>
        </w:tc>
        <w:tc>
          <w:tcPr>
            <w:tcW w:w="4076" w:type="dxa"/>
          </w:tcPr>
          <w:p w14:paraId="6DD60671" w14:textId="2FEE4A3A" w:rsidR="00E5144B" w:rsidRDefault="005F54FC" w:rsidP="000C0550">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Uwaga uwzględniona</w:t>
            </w:r>
          </w:p>
          <w:p w14:paraId="63744629" w14:textId="77777777" w:rsidR="00F521E5" w:rsidRDefault="00F521E5" w:rsidP="000C0550">
            <w:pPr>
              <w:autoSpaceDE w:val="0"/>
              <w:autoSpaceDN w:val="0"/>
              <w:adjustRightInd w:val="0"/>
              <w:jc w:val="both"/>
              <w:rPr>
                <w:rFonts w:ascii="Times New Roman" w:eastAsia="Times New Roman" w:hAnsi="Times New Roman" w:cs="Times New Roman"/>
                <w:b/>
                <w:bCs/>
                <w:sz w:val="20"/>
                <w:szCs w:val="20"/>
                <w:lang w:eastAsia="pl-PL"/>
              </w:rPr>
            </w:pPr>
          </w:p>
          <w:p w14:paraId="1CB323FF" w14:textId="7AA10F98" w:rsidR="005F54FC" w:rsidRDefault="005F54FC" w:rsidP="000C0550">
            <w:pPr>
              <w:autoSpaceDE w:val="0"/>
              <w:autoSpaceDN w:val="0"/>
              <w:adjustRightInd w:val="0"/>
              <w:jc w:val="both"/>
              <w:rPr>
                <w:rFonts w:ascii="Times New Roman" w:eastAsia="Times New Roman" w:hAnsi="Times New Roman" w:cs="Times New Roman"/>
                <w:sz w:val="20"/>
                <w:szCs w:val="20"/>
                <w:lang w:eastAsia="pl-PL"/>
              </w:rPr>
            </w:pPr>
            <w:r w:rsidRPr="005F54FC">
              <w:rPr>
                <w:rFonts w:ascii="Times New Roman" w:eastAsia="Times New Roman" w:hAnsi="Times New Roman" w:cs="Times New Roman"/>
                <w:sz w:val="20"/>
                <w:szCs w:val="20"/>
                <w:lang w:eastAsia="pl-PL"/>
              </w:rPr>
              <w:t>W ocenie projektodawcy proponowane</w:t>
            </w:r>
            <w:r>
              <w:rPr>
                <w:rFonts w:ascii="Times New Roman" w:eastAsia="Times New Roman" w:hAnsi="Times New Roman" w:cs="Times New Roman"/>
                <w:sz w:val="20"/>
                <w:szCs w:val="20"/>
                <w:lang w:eastAsia="pl-PL"/>
              </w:rPr>
              <w:t xml:space="preserve"> brzmienie</w:t>
            </w:r>
            <w:r w:rsidRPr="005F54FC">
              <w:rPr>
                <w:rFonts w:ascii="Times New Roman" w:eastAsia="Times New Roman" w:hAnsi="Times New Roman" w:cs="Times New Roman"/>
                <w:sz w:val="20"/>
                <w:szCs w:val="20"/>
                <w:lang w:eastAsia="pl-PL"/>
              </w:rPr>
              <w:t xml:space="preserve"> przepisu </w:t>
            </w:r>
            <w:r w:rsidR="002C71DB">
              <w:rPr>
                <w:rFonts w:ascii="Times New Roman" w:eastAsia="Times New Roman" w:hAnsi="Times New Roman" w:cs="Times New Roman"/>
                <w:sz w:val="20"/>
                <w:szCs w:val="20"/>
                <w:lang w:eastAsia="pl-PL"/>
              </w:rPr>
              <w:t xml:space="preserve">w zakresie, w jakim odnosi się do „sposobu nabycia spadku” </w:t>
            </w:r>
            <w:r w:rsidRPr="005F54FC">
              <w:rPr>
                <w:rFonts w:ascii="Times New Roman" w:eastAsia="Times New Roman" w:hAnsi="Times New Roman" w:cs="Times New Roman"/>
                <w:sz w:val="20"/>
                <w:szCs w:val="20"/>
                <w:lang w:eastAsia="pl-PL"/>
              </w:rPr>
              <w:t>jest jasn</w:t>
            </w:r>
            <w:r>
              <w:rPr>
                <w:rFonts w:ascii="Times New Roman" w:eastAsia="Times New Roman" w:hAnsi="Times New Roman" w:cs="Times New Roman"/>
                <w:sz w:val="20"/>
                <w:szCs w:val="20"/>
                <w:lang w:eastAsia="pl-PL"/>
              </w:rPr>
              <w:t>e i nie wymaga doprecyzowania. Przepis w</w:t>
            </w:r>
            <w:r w:rsidRPr="005F54FC">
              <w:rPr>
                <w:rFonts w:ascii="Times New Roman" w:eastAsia="Times New Roman" w:hAnsi="Times New Roman" w:cs="Times New Roman"/>
                <w:sz w:val="20"/>
                <w:szCs w:val="20"/>
                <w:lang w:eastAsia="pl-PL"/>
              </w:rPr>
              <w:t xml:space="preserve">skazuje na </w:t>
            </w:r>
            <w:r>
              <w:rPr>
                <w:rFonts w:ascii="Times New Roman" w:eastAsia="Times New Roman" w:hAnsi="Times New Roman" w:cs="Times New Roman"/>
                <w:sz w:val="20"/>
                <w:szCs w:val="20"/>
                <w:lang w:eastAsia="pl-PL"/>
              </w:rPr>
              <w:t>„</w:t>
            </w:r>
            <w:r w:rsidRPr="005F54FC">
              <w:rPr>
                <w:rFonts w:ascii="Times New Roman" w:eastAsia="Times New Roman" w:hAnsi="Times New Roman" w:cs="Times New Roman"/>
                <w:sz w:val="20"/>
                <w:szCs w:val="20"/>
                <w:lang w:eastAsia="pl-PL"/>
              </w:rPr>
              <w:t>sposób nabycia spadku</w:t>
            </w:r>
            <w:r>
              <w:rPr>
                <w:rFonts w:ascii="Times New Roman" w:eastAsia="Times New Roman" w:hAnsi="Times New Roman" w:cs="Times New Roman"/>
                <w:sz w:val="20"/>
                <w:szCs w:val="20"/>
                <w:lang w:eastAsia="pl-PL"/>
              </w:rPr>
              <w:t>”</w:t>
            </w:r>
            <w:r w:rsidRPr="005F54FC">
              <w:rPr>
                <w:rFonts w:ascii="Times New Roman" w:eastAsia="Times New Roman" w:hAnsi="Times New Roman" w:cs="Times New Roman"/>
                <w:sz w:val="20"/>
                <w:szCs w:val="20"/>
                <w:lang w:eastAsia="pl-PL"/>
              </w:rPr>
              <w:t>, co oznacza, że w postanowieniu o stwierdzeniu nabycia spadku będzie musiał</w:t>
            </w:r>
            <w:r>
              <w:rPr>
                <w:rFonts w:ascii="Times New Roman" w:eastAsia="Times New Roman" w:hAnsi="Times New Roman" w:cs="Times New Roman"/>
                <w:sz w:val="20"/>
                <w:szCs w:val="20"/>
                <w:lang w:eastAsia="pl-PL"/>
              </w:rPr>
              <w:t>o</w:t>
            </w:r>
            <w:r w:rsidRPr="005F54FC">
              <w:rPr>
                <w:rFonts w:ascii="Times New Roman" w:eastAsia="Times New Roman" w:hAnsi="Times New Roman" w:cs="Times New Roman"/>
                <w:sz w:val="20"/>
                <w:szCs w:val="20"/>
                <w:lang w:eastAsia="pl-PL"/>
              </w:rPr>
              <w:t xml:space="preserve"> znaleźć się </w:t>
            </w:r>
            <w:r w:rsidR="00E84602" w:rsidRPr="005F54FC">
              <w:rPr>
                <w:rFonts w:ascii="Times New Roman" w:eastAsia="Times New Roman" w:hAnsi="Times New Roman" w:cs="Times New Roman"/>
                <w:sz w:val="20"/>
                <w:szCs w:val="20"/>
                <w:lang w:eastAsia="pl-PL"/>
              </w:rPr>
              <w:t>stwierdzenie</w:t>
            </w:r>
            <w:r w:rsidRPr="005F54FC">
              <w:rPr>
                <w:rFonts w:ascii="Times New Roman" w:eastAsia="Times New Roman" w:hAnsi="Times New Roman" w:cs="Times New Roman"/>
                <w:sz w:val="20"/>
                <w:szCs w:val="20"/>
                <w:lang w:eastAsia="pl-PL"/>
              </w:rPr>
              <w:t xml:space="preserve"> czy spadek został nabyty wprost czy też z dobrodziejstwem inwentarza. </w:t>
            </w:r>
          </w:p>
          <w:p w14:paraId="2676F41B" w14:textId="103495EE" w:rsidR="002C71DB" w:rsidRPr="005F54FC" w:rsidRDefault="00666F54" w:rsidP="000C0550">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Na marginesie należy wskazać, że wskazany przepis został przeredagowany i obecnie projektowany art. 677 </w:t>
            </w:r>
            <w:r w:rsidRPr="00666F54">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1</w:t>
            </w:r>
            <w:r>
              <w:rPr>
                <w:rFonts w:ascii="Times New Roman" w:eastAsia="Times New Roman" w:hAnsi="Times New Roman" w:cs="Times New Roman"/>
                <w:sz w:val="20"/>
                <w:szCs w:val="20"/>
                <w:vertAlign w:val="superscript"/>
                <w:lang w:eastAsia="pl-PL"/>
              </w:rPr>
              <w:t>1</w:t>
            </w:r>
            <w:r>
              <w:rPr>
                <w:rFonts w:ascii="Times New Roman" w:eastAsia="Times New Roman" w:hAnsi="Times New Roman" w:cs="Times New Roman"/>
                <w:sz w:val="20"/>
                <w:szCs w:val="20"/>
                <w:lang w:eastAsia="pl-PL"/>
              </w:rPr>
              <w:t xml:space="preserve"> p. 4 otrzymał brzmienie: „4) </w:t>
            </w:r>
            <w:r w:rsidRPr="006B5661">
              <w:rPr>
                <w:rFonts w:ascii="Times New Roman" w:eastAsia="Times New Roman" w:hAnsi="Times New Roman" w:cs="Times New Roman"/>
                <w:i/>
                <w:iCs/>
                <w:sz w:val="20"/>
                <w:szCs w:val="20"/>
                <w:lang w:eastAsia="pl-PL"/>
              </w:rPr>
              <w:t>sposób nabycia spadku</w:t>
            </w:r>
            <w:r>
              <w:rPr>
                <w:rFonts w:ascii="Times New Roman" w:eastAsia="Times New Roman" w:hAnsi="Times New Roman" w:cs="Times New Roman"/>
                <w:sz w:val="20"/>
                <w:szCs w:val="20"/>
                <w:lang w:eastAsia="pl-PL"/>
              </w:rPr>
              <w:t>”</w:t>
            </w:r>
            <w:r w:rsidR="002C71DB">
              <w:rPr>
                <w:rFonts w:ascii="Times New Roman" w:eastAsia="Times New Roman" w:hAnsi="Times New Roman" w:cs="Times New Roman"/>
                <w:sz w:val="20"/>
                <w:szCs w:val="20"/>
                <w:lang w:eastAsia="pl-PL"/>
              </w:rPr>
              <w:t xml:space="preserve">, zaś fragment </w:t>
            </w:r>
            <w:r w:rsidR="002C71DB" w:rsidRPr="002C71DB">
              <w:rPr>
                <w:rFonts w:ascii="Times New Roman" w:eastAsia="Times New Roman" w:hAnsi="Times New Roman" w:cs="Times New Roman"/>
                <w:i/>
                <w:iCs/>
                <w:sz w:val="20"/>
                <w:szCs w:val="20"/>
                <w:lang w:eastAsia="pl-PL"/>
              </w:rPr>
              <w:t>„</w:t>
            </w:r>
            <w:r w:rsidR="002C71DB" w:rsidRPr="002C71DB">
              <w:rPr>
                <w:rStyle w:val="FontStyle32"/>
                <w:i/>
                <w:iCs/>
                <w:sz w:val="20"/>
                <w:szCs w:val="20"/>
              </w:rPr>
              <w:t>a w razie dziedziczenia testamentowego określenie formy testamentu i powołanie protokołu otwarcia i ogłoszenia testamentu”</w:t>
            </w:r>
            <w:r w:rsidR="002C71DB">
              <w:rPr>
                <w:rStyle w:val="FontStyle32"/>
                <w:sz w:val="20"/>
                <w:szCs w:val="20"/>
              </w:rPr>
              <w:t xml:space="preserve"> został przeniesiony do pkt 3 tego przepisu. </w:t>
            </w:r>
          </w:p>
        </w:tc>
      </w:tr>
      <w:tr w:rsidR="002F2645" w14:paraId="572A1189" w14:textId="77777777" w:rsidTr="00B241C8">
        <w:trPr>
          <w:jc w:val="center"/>
        </w:trPr>
        <w:tc>
          <w:tcPr>
            <w:tcW w:w="562" w:type="dxa"/>
          </w:tcPr>
          <w:p w14:paraId="3578C898" w14:textId="24667EBA" w:rsidR="002F2645" w:rsidRDefault="008C150E" w:rsidP="000C0550">
            <w:pPr>
              <w:spacing w:before="120"/>
              <w:ind w:right="-534"/>
              <w:rPr>
                <w:rFonts w:ascii="Times New Roman" w:hAnsi="Times New Roman" w:cs="Times New Roman"/>
                <w:b/>
                <w:sz w:val="20"/>
              </w:rPr>
            </w:pPr>
            <w:r>
              <w:rPr>
                <w:rFonts w:ascii="Times New Roman" w:hAnsi="Times New Roman" w:cs="Times New Roman"/>
                <w:b/>
                <w:sz w:val="20"/>
              </w:rPr>
              <w:t>1</w:t>
            </w:r>
            <w:r w:rsidR="00A57140">
              <w:rPr>
                <w:rFonts w:ascii="Times New Roman" w:hAnsi="Times New Roman" w:cs="Times New Roman"/>
                <w:b/>
                <w:sz w:val="20"/>
              </w:rPr>
              <w:t>7</w:t>
            </w:r>
            <w:r w:rsidR="002F2645">
              <w:rPr>
                <w:rFonts w:ascii="Times New Roman" w:hAnsi="Times New Roman" w:cs="Times New Roman"/>
                <w:b/>
                <w:sz w:val="20"/>
              </w:rPr>
              <w:t>.</w:t>
            </w:r>
          </w:p>
        </w:tc>
        <w:tc>
          <w:tcPr>
            <w:tcW w:w="1843" w:type="dxa"/>
            <w:vAlign w:val="center"/>
          </w:tcPr>
          <w:p w14:paraId="75B44529" w14:textId="19223645" w:rsidR="002F2645" w:rsidRDefault="002F2645" w:rsidP="000C0550">
            <w:pPr>
              <w:spacing w:before="120" w:after="120"/>
              <w:jc w:val="center"/>
              <w:rPr>
                <w:rFonts w:ascii="Times New Roman" w:hAnsi="Times New Roman" w:cs="Times New Roman"/>
                <w:sz w:val="20"/>
              </w:rPr>
            </w:pPr>
            <w:r>
              <w:rPr>
                <w:rFonts w:ascii="Times New Roman" w:hAnsi="Times New Roman" w:cs="Times New Roman"/>
                <w:sz w:val="20"/>
              </w:rPr>
              <w:t>Krajowa Szkoła Sądownictwa i Prokuratury</w:t>
            </w:r>
          </w:p>
        </w:tc>
        <w:tc>
          <w:tcPr>
            <w:tcW w:w="1843" w:type="dxa"/>
            <w:vAlign w:val="center"/>
          </w:tcPr>
          <w:p w14:paraId="1FCE1CD9" w14:textId="264283AC" w:rsidR="002F2645" w:rsidRPr="005B3FB5" w:rsidRDefault="002F2645" w:rsidP="000C0550">
            <w:pPr>
              <w:spacing w:before="120" w:after="120"/>
              <w:jc w:val="center"/>
              <w:rPr>
                <w:rFonts w:ascii="Times New Roman" w:hAnsi="Times New Roman" w:cs="Times New Roman"/>
                <w:sz w:val="20"/>
                <w:szCs w:val="20"/>
              </w:rPr>
            </w:pPr>
            <w:r>
              <w:rPr>
                <w:rFonts w:ascii="Times New Roman" w:hAnsi="Times New Roman" w:cs="Times New Roman"/>
                <w:sz w:val="20"/>
              </w:rPr>
              <w:t>art. 9 i 10 projektu</w:t>
            </w:r>
          </w:p>
        </w:tc>
        <w:tc>
          <w:tcPr>
            <w:tcW w:w="5670" w:type="dxa"/>
            <w:vAlign w:val="center"/>
          </w:tcPr>
          <w:p w14:paraId="332CD406" w14:textId="77777777" w:rsidR="002F2645" w:rsidRPr="002F2645" w:rsidRDefault="002F2645" w:rsidP="002F2645">
            <w:pPr>
              <w:jc w:val="both"/>
              <w:rPr>
                <w:rFonts w:ascii="Times New Roman" w:hAnsi="Times New Roman" w:cs="Times New Roman"/>
                <w:sz w:val="20"/>
                <w:szCs w:val="20"/>
              </w:rPr>
            </w:pPr>
            <w:r w:rsidRPr="002F2645">
              <w:rPr>
                <w:rFonts w:ascii="Times New Roman" w:hAnsi="Times New Roman" w:cs="Times New Roman"/>
                <w:sz w:val="20"/>
                <w:szCs w:val="20"/>
              </w:rPr>
              <w:t xml:space="preserve">Należy rozważyć modyfikację przepisów przejściowych, np. przez wprowadzenie przepisu: "Przepisów ustawy zmienianej w art. 1, w brzmieniu nadanym niniejszą ustawą, nie stosuje się do spadków otwartych przed dniem wejścia w życie niniejszej ustawy”. </w:t>
            </w:r>
          </w:p>
          <w:p w14:paraId="59CEB52F" w14:textId="77777777" w:rsidR="002F2645" w:rsidRPr="002F2645" w:rsidRDefault="002F2645" w:rsidP="002F2645">
            <w:pPr>
              <w:jc w:val="both"/>
              <w:rPr>
                <w:rFonts w:ascii="Times New Roman" w:hAnsi="Times New Roman" w:cs="Times New Roman"/>
                <w:sz w:val="20"/>
                <w:szCs w:val="20"/>
              </w:rPr>
            </w:pPr>
            <w:r w:rsidRPr="002F2645">
              <w:rPr>
                <w:rFonts w:ascii="Times New Roman" w:hAnsi="Times New Roman" w:cs="Times New Roman"/>
                <w:sz w:val="20"/>
                <w:szCs w:val="20"/>
              </w:rPr>
              <w:t xml:space="preserve">Zaznaczyć trzeba, że zmieniają się zasady dziedziczenia określone w art. 934 k.c. (ograniczenie dziedziczenia dalszych zstępnych dziadków spadkodawcy), art. 928 k.c. (niegodność dziedziczenia)  i 1030 k.c. (odpowiedzialność za długi spadkowe SP i gminy), a także przepisy o biegu terminu złożenia oświadczenia o przyjęciu lub odrzuceniu spadku. </w:t>
            </w:r>
          </w:p>
          <w:p w14:paraId="6A099F18" w14:textId="77777777" w:rsidR="002F2645" w:rsidRPr="002F2645" w:rsidRDefault="002F2645" w:rsidP="002F2645">
            <w:pPr>
              <w:jc w:val="both"/>
              <w:rPr>
                <w:rFonts w:ascii="Times New Roman" w:hAnsi="Times New Roman" w:cs="Times New Roman"/>
                <w:b/>
                <w:bCs/>
                <w:sz w:val="20"/>
                <w:szCs w:val="20"/>
              </w:rPr>
            </w:pPr>
          </w:p>
          <w:p w14:paraId="0E293F74" w14:textId="77777777" w:rsidR="002F2645" w:rsidRPr="002F2645" w:rsidRDefault="002F2645" w:rsidP="002F2645">
            <w:pPr>
              <w:jc w:val="both"/>
              <w:rPr>
                <w:rFonts w:ascii="Times New Roman" w:hAnsi="Times New Roman" w:cs="Times New Roman"/>
                <w:bCs/>
                <w:sz w:val="20"/>
                <w:szCs w:val="20"/>
              </w:rPr>
            </w:pPr>
            <w:r w:rsidRPr="002F2645">
              <w:rPr>
                <w:rFonts w:ascii="Times New Roman" w:hAnsi="Times New Roman" w:cs="Times New Roman"/>
                <w:bCs/>
                <w:sz w:val="20"/>
                <w:szCs w:val="20"/>
              </w:rPr>
              <w:t xml:space="preserve">Zasadą było, że o stosowaniu właściwych przepisów materialnoprawnych w przedmiocie dziedziczenia decyduje chwila otwarcia spadku (prawo nie działa wstecz). </w:t>
            </w:r>
          </w:p>
          <w:p w14:paraId="5F73EF8C" w14:textId="77777777" w:rsidR="002F2645" w:rsidRPr="002F2645" w:rsidRDefault="002F2645" w:rsidP="002F2645">
            <w:pPr>
              <w:jc w:val="both"/>
              <w:rPr>
                <w:rFonts w:ascii="Times New Roman" w:hAnsi="Times New Roman" w:cs="Times New Roman"/>
                <w:b/>
                <w:bCs/>
                <w:sz w:val="20"/>
                <w:szCs w:val="20"/>
              </w:rPr>
            </w:pPr>
          </w:p>
          <w:p w14:paraId="7DB9C6B7" w14:textId="77777777" w:rsidR="002F2645" w:rsidRPr="002F2645" w:rsidRDefault="002F2645" w:rsidP="002F2645">
            <w:pPr>
              <w:jc w:val="both"/>
              <w:rPr>
                <w:rFonts w:ascii="Times New Roman" w:hAnsi="Times New Roman" w:cs="Times New Roman"/>
                <w:sz w:val="20"/>
                <w:szCs w:val="20"/>
              </w:rPr>
            </w:pPr>
            <w:r w:rsidRPr="002F2645">
              <w:rPr>
                <w:rFonts w:ascii="Times New Roman" w:hAnsi="Times New Roman" w:cs="Times New Roman"/>
                <w:sz w:val="20"/>
                <w:szCs w:val="20"/>
              </w:rPr>
              <w:t xml:space="preserve">Art. 10 projektowanej ustawy stanowi: „Do postępowań w przedmiocie stwierdzenia nabycia spadku (...) wszczętych i niezakończonych przed dniem wejścia w życie niniejszej ustawy, stosuje się przepisy dotychczasowe.”. </w:t>
            </w:r>
          </w:p>
          <w:p w14:paraId="41357A7D" w14:textId="475B8799" w:rsidR="002F2645" w:rsidRPr="002F2645" w:rsidRDefault="002F2645" w:rsidP="002F2645">
            <w:pPr>
              <w:jc w:val="both"/>
              <w:rPr>
                <w:rFonts w:ascii="Times New Roman" w:hAnsi="Times New Roman" w:cs="Times New Roman"/>
                <w:szCs w:val="24"/>
              </w:rPr>
            </w:pPr>
            <w:r w:rsidRPr="002F2645">
              <w:rPr>
                <w:rFonts w:ascii="Times New Roman" w:hAnsi="Times New Roman" w:cs="Times New Roman"/>
                <w:bCs/>
                <w:sz w:val="20"/>
                <w:szCs w:val="20"/>
              </w:rPr>
              <w:t>Powstaje pytanie, czy sformułowanie „Do postępowań w przedmiocie stwierdzenia nabycia spadku” oznacza, że chodzi o przepisy ściśle proceduralne (a zatem ujęte w art. 3 projektowanej ustawy), czy też o wszystkie przepisy, które stosuje się w takim postępowaniu, a zatem także materialnoprawne.</w:t>
            </w:r>
            <w:r w:rsidRPr="002F2645">
              <w:rPr>
                <w:rFonts w:ascii="Times New Roman" w:hAnsi="Times New Roman" w:cs="Times New Roman"/>
                <w:sz w:val="20"/>
                <w:szCs w:val="20"/>
              </w:rPr>
              <w:t xml:space="preserve"> Tego typu kwestia, z uwagi na swą doniosłość, nie powinna budzić żadnych wątpliwości.</w:t>
            </w:r>
            <w:r w:rsidRPr="0041332B">
              <w:rPr>
                <w:rFonts w:ascii="Times New Roman" w:hAnsi="Times New Roman" w:cs="Times New Roman"/>
                <w:szCs w:val="24"/>
              </w:rPr>
              <w:t xml:space="preserve"> </w:t>
            </w:r>
          </w:p>
        </w:tc>
        <w:tc>
          <w:tcPr>
            <w:tcW w:w="4076" w:type="dxa"/>
          </w:tcPr>
          <w:p w14:paraId="0AE2C1B9" w14:textId="1AFF1F31" w:rsidR="002F2645" w:rsidRDefault="00A108F6" w:rsidP="000C0550">
            <w:pPr>
              <w:autoSpaceDE w:val="0"/>
              <w:autoSpaceDN w:val="0"/>
              <w:adjustRightInd w:val="0"/>
              <w:jc w:val="both"/>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lastRenderedPageBreak/>
              <w:t xml:space="preserve">Uwaga </w:t>
            </w:r>
            <w:r w:rsidR="002C71DB">
              <w:rPr>
                <w:rFonts w:ascii="Times New Roman" w:eastAsia="Times New Roman" w:hAnsi="Times New Roman" w:cs="Times New Roman"/>
                <w:b/>
                <w:bCs/>
                <w:sz w:val="20"/>
                <w:szCs w:val="20"/>
                <w:lang w:eastAsia="pl-PL"/>
              </w:rPr>
              <w:t xml:space="preserve">częściowo </w:t>
            </w:r>
            <w:r>
              <w:rPr>
                <w:rFonts w:ascii="Times New Roman" w:eastAsia="Times New Roman" w:hAnsi="Times New Roman" w:cs="Times New Roman"/>
                <w:b/>
                <w:bCs/>
                <w:sz w:val="20"/>
                <w:szCs w:val="20"/>
                <w:lang w:eastAsia="pl-PL"/>
              </w:rPr>
              <w:t xml:space="preserve">uwzględniona </w:t>
            </w:r>
          </w:p>
          <w:p w14:paraId="2FA96214" w14:textId="77777777" w:rsidR="00A108F6" w:rsidRDefault="00A108F6" w:rsidP="000C0550">
            <w:pPr>
              <w:autoSpaceDE w:val="0"/>
              <w:autoSpaceDN w:val="0"/>
              <w:adjustRightInd w:val="0"/>
              <w:jc w:val="both"/>
              <w:rPr>
                <w:rFonts w:ascii="Times New Roman" w:eastAsia="Times New Roman" w:hAnsi="Times New Roman" w:cs="Times New Roman"/>
                <w:b/>
                <w:bCs/>
                <w:sz w:val="20"/>
                <w:szCs w:val="20"/>
                <w:lang w:eastAsia="pl-PL"/>
              </w:rPr>
            </w:pPr>
          </w:p>
          <w:p w14:paraId="295076C0" w14:textId="038192C9" w:rsidR="00A108F6" w:rsidRDefault="002C71DB" w:rsidP="000C0550">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Przepisy przejściowe zostały zmodyfikowane, przy czym odnośnie do przedstawionej propozycji nie znalazła ona odzwierciedlenia w projekcie.  </w:t>
            </w:r>
          </w:p>
          <w:p w14:paraId="2C43071A" w14:textId="2CD14A5F" w:rsidR="00A942E8" w:rsidRPr="005040FC" w:rsidRDefault="00A942E8" w:rsidP="00A942E8">
            <w:pPr>
              <w:pStyle w:val="Tekstkomentarza"/>
              <w:spacing w:line="240" w:lineRule="auto"/>
              <w:jc w:val="both"/>
              <w:rPr>
                <w:rFonts w:ascii="Times New Roman" w:hAnsi="Times New Roman"/>
                <w:sz w:val="20"/>
                <w:szCs w:val="20"/>
              </w:rPr>
            </w:pPr>
            <w:r>
              <w:rPr>
                <w:rFonts w:ascii="Times New Roman" w:hAnsi="Times New Roman"/>
                <w:sz w:val="20"/>
                <w:szCs w:val="20"/>
              </w:rPr>
              <w:t>Projektodawca uznał, że z</w:t>
            </w:r>
            <w:r w:rsidRPr="005040FC">
              <w:rPr>
                <w:rFonts w:ascii="Times New Roman" w:hAnsi="Times New Roman"/>
                <w:sz w:val="20"/>
                <w:szCs w:val="20"/>
              </w:rPr>
              <w:t xml:space="preserve">będne jest </w:t>
            </w:r>
            <w:r>
              <w:rPr>
                <w:rFonts w:ascii="Times New Roman" w:hAnsi="Times New Roman"/>
                <w:sz w:val="20"/>
                <w:szCs w:val="20"/>
              </w:rPr>
              <w:t xml:space="preserve">powtarzanie przepisów intertemporalnych w zakresie przepisów dotyczących </w:t>
            </w:r>
            <w:r w:rsidRPr="005040FC">
              <w:rPr>
                <w:rFonts w:ascii="Times New Roman" w:hAnsi="Times New Roman"/>
                <w:sz w:val="20"/>
                <w:szCs w:val="20"/>
              </w:rPr>
              <w:t xml:space="preserve">spadków otwartych przed dniem wejścia w życie ustawy - kwestia </w:t>
            </w:r>
            <w:r w:rsidRPr="005040FC">
              <w:rPr>
                <w:rFonts w:ascii="Times New Roman" w:hAnsi="Times New Roman"/>
                <w:sz w:val="20"/>
                <w:szCs w:val="20"/>
              </w:rPr>
              <w:lastRenderedPageBreak/>
              <w:t>stosowania przepisów spadkowych została bowiem uregulowana w przepisach wprowadzających Kodeks cywilny (art. LI ustawy z dnia 23 kwietnia 1964 r. - Przepisy wprowadzające kodeks cywilny</w:t>
            </w:r>
            <w:r>
              <w:rPr>
                <w:rFonts w:ascii="Times New Roman" w:hAnsi="Times New Roman"/>
                <w:sz w:val="20"/>
                <w:szCs w:val="20"/>
              </w:rPr>
              <w:t>,</w:t>
            </w:r>
            <w:r w:rsidRPr="005040FC">
              <w:rPr>
                <w:rFonts w:ascii="Times New Roman" w:hAnsi="Times New Roman"/>
                <w:sz w:val="20"/>
                <w:szCs w:val="20"/>
              </w:rPr>
              <w:t xml:space="preserve"> stanowiący, że do spraw spadkowych stosuje się prawo obowiązujące w chwili śmierci spadkodawcy, o ile przepisy tej ustawy nie stanowią inaczej). </w:t>
            </w:r>
          </w:p>
          <w:p w14:paraId="3BA8D617" w14:textId="4C6877AB" w:rsidR="00A108F6" w:rsidRPr="009B03B3" w:rsidRDefault="00A942E8" w:rsidP="009B03B3">
            <w:pPr>
              <w:autoSpaceDE w:val="0"/>
              <w:autoSpaceDN w:val="0"/>
              <w:adjustRightInd w:val="0"/>
              <w:jc w:val="both"/>
              <w:rPr>
                <w:rFonts w:ascii="Times New Roman" w:eastAsia="Times New Roman" w:hAnsi="Times New Roman" w:cs="Times New Roman"/>
                <w:sz w:val="20"/>
                <w:szCs w:val="20"/>
                <w:lang w:eastAsia="pl-PL"/>
              </w:rPr>
            </w:pPr>
            <w:r w:rsidRPr="005040FC">
              <w:rPr>
                <w:rFonts w:ascii="Times New Roman" w:hAnsi="Times New Roman" w:cs="Times New Roman"/>
                <w:sz w:val="20"/>
                <w:szCs w:val="20"/>
              </w:rPr>
              <w:t xml:space="preserve">Mając powyższe na względzie oraz to, że intencją projektodawcy jest, aby przepisy w brzmieniu nadanym niniejsza ustawą </w:t>
            </w:r>
            <w:r>
              <w:rPr>
                <w:rFonts w:ascii="Times New Roman" w:hAnsi="Times New Roman"/>
                <w:sz w:val="20"/>
                <w:szCs w:val="20"/>
              </w:rPr>
              <w:t xml:space="preserve">(niezależnie od chwili otwarcia spadku) </w:t>
            </w:r>
            <w:r w:rsidRPr="005040FC">
              <w:rPr>
                <w:rFonts w:ascii="Times New Roman" w:hAnsi="Times New Roman" w:cs="Times New Roman"/>
                <w:sz w:val="20"/>
                <w:szCs w:val="20"/>
              </w:rPr>
              <w:t>znalazły zastosowanie w odniesieniu do terminów złożenia oświadczenia o przyjęciu lub odrzuceniu spadku albo uchylenia się od skutków prawnych tego oświadczenia (złożonego pod wpływem błędu lub groźby),</w:t>
            </w:r>
            <w:r>
              <w:rPr>
                <w:rFonts w:ascii="Times New Roman" w:hAnsi="Times New Roman"/>
                <w:sz w:val="20"/>
                <w:szCs w:val="20"/>
              </w:rPr>
              <w:t xml:space="preserve"> projektowany przepis art. 8 ust. 1 odnosi się </w:t>
            </w:r>
            <w:r w:rsidRPr="005040FC">
              <w:rPr>
                <w:rFonts w:ascii="Times New Roman" w:hAnsi="Times New Roman" w:cs="Times New Roman"/>
                <w:sz w:val="20"/>
                <w:szCs w:val="20"/>
              </w:rPr>
              <w:t xml:space="preserve">wyłącznie do </w:t>
            </w:r>
            <w:r>
              <w:rPr>
                <w:rFonts w:ascii="Times New Roman" w:hAnsi="Times New Roman"/>
                <w:sz w:val="20"/>
                <w:szCs w:val="20"/>
              </w:rPr>
              <w:t xml:space="preserve">tej </w:t>
            </w:r>
            <w:r w:rsidRPr="005040FC">
              <w:rPr>
                <w:rFonts w:ascii="Times New Roman" w:hAnsi="Times New Roman" w:cs="Times New Roman"/>
                <w:sz w:val="20"/>
                <w:szCs w:val="20"/>
              </w:rPr>
              <w:t>kwestii</w:t>
            </w:r>
            <w:r>
              <w:rPr>
                <w:rFonts w:ascii="Times New Roman" w:hAnsi="Times New Roman"/>
                <w:sz w:val="20"/>
                <w:szCs w:val="20"/>
              </w:rPr>
              <w:t xml:space="preserve"> – jest to bowiem </w:t>
            </w:r>
            <w:r w:rsidRPr="005040FC">
              <w:rPr>
                <w:rFonts w:ascii="Times New Roman" w:hAnsi="Times New Roman" w:cs="Times New Roman"/>
                <w:sz w:val="20"/>
                <w:szCs w:val="20"/>
              </w:rPr>
              <w:t>odstępstwo od zasady określonej w art. LI przepisów wprowadzających KC</w:t>
            </w:r>
            <w:r>
              <w:rPr>
                <w:rFonts w:ascii="Times New Roman" w:hAnsi="Times New Roman"/>
                <w:sz w:val="20"/>
                <w:szCs w:val="20"/>
              </w:rPr>
              <w:t>.</w:t>
            </w:r>
          </w:p>
        </w:tc>
      </w:tr>
      <w:tr w:rsidR="000C0550" w14:paraId="1CA5AB4D" w14:textId="77777777" w:rsidTr="00B919AF">
        <w:trPr>
          <w:jc w:val="center"/>
        </w:trPr>
        <w:tc>
          <w:tcPr>
            <w:tcW w:w="13994" w:type="dxa"/>
            <w:gridSpan w:val="5"/>
            <w:shd w:val="clear" w:color="auto" w:fill="A6A6A6" w:themeFill="background1" w:themeFillShade="A6"/>
          </w:tcPr>
          <w:p w14:paraId="24A9AEDA" w14:textId="5134C805" w:rsidR="000C0550" w:rsidRPr="00D54DB1" w:rsidRDefault="000C0550" w:rsidP="000C0550">
            <w:pPr>
              <w:spacing w:before="120" w:after="12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Uwagi do uzasadnienia projektu</w:t>
            </w:r>
          </w:p>
        </w:tc>
      </w:tr>
      <w:tr w:rsidR="000C0550" w:rsidRPr="00322BC5" w14:paraId="2156F658" w14:textId="77777777" w:rsidTr="00B241C8">
        <w:trPr>
          <w:jc w:val="center"/>
        </w:trPr>
        <w:tc>
          <w:tcPr>
            <w:tcW w:w="562" w:type="dxa"/>
          </w:tcPr>
          <w:p w14:paraId="79AAA3D9" w14:textId="3DE50848" w:rsidR="000C0550" w:rsidRPr="00B919AF" w:rsidRDefault="000C0550" w:rsidP="000C0550">
            <w:pPr>
              <w:spacing w:before="120"/>
              <w:ind w:right="-534"/>
              <w:rPr>
                <w:rFonts w:ascii="Times New Roman" w:hAnsi="Times New Roman" w:cs="Times New Roman"/>
                <w:b/>
                <w:sz w:val="20"/>
              </w:rPr>
            </w:pPr>
            <w:r>
              <w:rPr>
                <w:rFonts w:ascii="Times New Roman" w:hAnsi="Times New Roman" w:cs="Times New Roman"/>
                <w:b/>
                <w:sz w:val="20"/>
              </w:rPr>
              <w:t>1.</w:t>
            </w:r>
          </w:p>
        </w:tc>
        <w:tc>
          <w:tcPr>
            <w:tcW w:w="1843" w:type="dxa"/>
            <w:vAlign w:val="center"/>
          </w:tcPr>
          <w:p w14:paraId="225CC122" w14:textId="77777777" w:rsidR="000C0550" w:rsidRDefault="000C0550" w:rsidP="000C0550">
            <w:pPr>
              <w:spacing w:before="120" w:after="120"/>
              <w:jc w:val="center"/>
              <w:rPr>
                <w:rFonts w:ascii="Times New Roman" w:hAnsi="Times New Roman" w:cs="Times New Roman"/>
                <w:sz w:val="20"/>
              </w:rPr>
            </w:pPr>
          </w:p>
        </w:tc>
        <w:tc>
          <w:tcPr>
            <w:tcW w:w="1843" w:type="dxa"/>
            <w:vAlign w:val="center"/>
          </w:tcPr>
          <w:p w14:paraId="5B69EE39" w14:textId="77777777" w:rsidR="000C0550" w:rsidRDefault="000C0550" w:rsidP="000C0550">
            <w:pPr>
              <w:spacing w:before="120" w:after="120"/>
              <w:jc w:val="center"/>
              <w:rPr>
                <w:rFonts w:ascii="Times New Roman" w:hAnsi="Times New Roman" w:cs="Times New Roman"/>
                <w:sz w:val="20"/>
              </w:rPr>
            </w:pPr>
          </w:p>
        </w:tc>
        <w:tc>
          <w:tcPr>
            <w:tcW w:w="5670" w:type="dxa"/>
            <w:vAlign w:val="center"/>
          </w:tcPr>
          <w:p w14:paraId="09E4D561" w14:textId="77777777" w:rsidR="000C0550" w:rsidRPr="00322BC5" w:rsidRDefault="000C0550" w:rsidP="000C0550">
            <w:pPr>
              <w:ind w:firstLine="708"/>
              <w:jc w:val="center"/>
              <w:rPr>
                <w:rFonts w:ascii="Times New Roman" w:eastAsia="Times New Roman" w:hAnsi="Times New Roman" w:cs="Times New Roman"/>
                <w:sz w:val="20"/>
                <w:szCs w:val="20"/>
                <w:lang w:eastAsia="pl-PL"/>
              </w:rPr>
            </w:pPr>
          </w:p>
        </w:tc>
        <w:tc>
          <w:tcPr>
            <w:tcW w:w="4076" w:type="dxa"/>
          </w:tcPr>
          <w:p w14:paraId="2ADAA775" w14:textId="77777777" w:rsidR="000C0550" w:rsidRPr="00322BC5" w:rsidRDefault="000C0550" w:rsidP="000C0550">
            <w:pPr>
              <w:spacing w:before="120" w:after="120"/>
              <w:jc w:val="center"/>
              <w:rPr>
                <w:rFonts w:ascii="Times New Roman" w:eastAsia="Times New Roman" w:hAnsi="Times New Roman" w:cs="Times New Roman"/>
                <w:sz w:val="20"/>
                <w:szCs w:val="20"/>
                <w:lang w:eastAsia="pl-PL"/>
              </w:rPr>
            </w:pPr>
          </w:p>
        </w:tc>
      </w:tr>
      <w:tr w:rsidR="000C0550" w:rsidRPr="00322BC5" w14:paraId="62827CBE" w14:textId="77777777" w:rsidTr="00B919AF">
        <w:trPr>
          <w:jc w:val="center"/>
        </w:trPr>
        <w:tc>
          <w:tcPr>
            <w:tcW w:w="13994" w:type="dxa"/>
            <w:gridSpan w:val="5"/>
            <w:shd w:val="clear" w:color="auto" w:fill="A6A6A6" w:themeFill="background1" w:themeFillShade="A6"/>
          </w:tcPr>
          <w:p w14:paraId="6DD01354" w14:textId="00E3688E" w:rsidR="000C0550" w:rsidRPr="00322BC5" w:rsidRDefault="000C0550" w:rsidP="000C0550">
            <w:pPr>
              <w:spacing w:before="120" w:after="120"/>
              <w:jc w:val="center"/>
              <w:rPr>
                <w:rFonts w:ascii="Times New Roman" w:eastAsia="Times New Roman" w:hAnsi="Times New Roman" w:cs="Times New Roman"/>
                <w:sz w:val="20"/>
                <w:szCs w:val="20"/>
                <w:lang w:eastAsia="pl-PL"/>
              </w:rPr>
            </w:pPr>
            <w:r>
              <w:rPr>
                <w:rFonts w:ascii="Times New Roman" w:hAnsi="Times New Roman" w:cs="Times New Roman"/>
                <w:b/>
                <w:bCs/>
                <w:color w:val="000000" w:themeColor="text1"/>
                <w:sz w:val="24"/>
                <w:szCs w:val="24"/>
              </w:rPr>
              <w:t>Uwagi do Oceny Skutków Regulacji</w:t>
            </w:r>
          </w:p>
        </w:tc>
      </w:tr>
      <w:tr w:rsidR="000C0550" w:rsidRPr="00322BC5" w14:paraId="70AF4D21" w14:textId="77777777" w:rsidTr="00B241C8">
        <w:tblPrEx>
          <w:jc w:val="left"/>
        </w:tblPrEx>
        <w:tc>
          <w:tcPr>
            <w:tcW w:w="562" w:type="dxa"/>
          </w:tcPr>
          <w:p w14:paraId="2A511012" w14:textId="182C5783" w:rsidR="000C0550" w:rsidRPr="00B919AF" w:rsidRDefault="000C0550" w:rsidP="000C0550">
            <w:pPr>
              <w:spacing w:before="120"/>
              <w:ind w:right="-534"/>
              <w:rPr>
                <w:rFonts w:ascii="Times New Roman" w:hAnsi="Times New Roman" w:cs="Times New Roman"/>
                <w:b/>
                <w:sz w:val="20"/>
              </w:rPr>
            </w:pPr>
            <w:r>
              <w:rPr>
                <w:rFonts w:ascii="Times New Roman" w:hAnsi="Times New Roman" w:cs="Times New Roman"/>
                <w:b/>
                <w:sz w:val="20"/>
              </w:rPr>
              <w:t>1.</w:t>
            </w:r>
          </w:p>
        </w:tc>
        <w:tc>
          <w:tcPr>
            <w:tcW w:w="1843" w:type="dxa"/>
          </w:tcPr>
          <w:p w14:paraId="02E25544" w14:textId="77777777" w:rsidR="000C0550" w:rsidRDefault="000C0550" w:rsidP="000C0550">
            <w:pPr>
              <w:spacing w:before="120" w:after="120"/>
              <w:jc w:val="center"/>
              <w:rPr>
                <w:rFonts w:ascii="Times New Roman" w:hAnsi="Times New Roman" w:cs="Times New Roman"/>
                <w:sz w:val="20"/>
              </w:rPr>
            </w:pPr>
          </w:p>
        </w:tc>
        <w:tc>
          <w:tcPr>
            <w:tcW w:w="1843" w:type="dxa"/>
          </w:tcPr>
          <w:p w14:paraId="3FEDB332" w14:textId="77777777" w:rsidR="000C0550" w:rsidRDefault="000C0550" w:rsidP="000C0550">
            <w:pPr>
              <w:spacing w:before="120" w:after="120"/>
              <w:jc w:val="center"/>
              <w:rPr>
                <w:rFonts w:ascii="Times New Roman" w:hAnsi="Times New Roman" w:cs="Times New Roman"/>
                <w:sz w:val="20"/>
              </w:rPr>
            </w:pPr>
          </w:p>
        </w:tc>
        <w:tc>
          <w:tcPr>
            <w:tcW w:w="5670" w:type="dxa"/>
          </w:tcPr>
          <w:p w14:paraId="1D00666D" w14:textId="77777777" w:rsidR="000C0550" w:rsidRPr="00322BC5" w:rsidRDefault="000C0550" w:rsidP="000C0550">
            <w:pPr>
              <w:ind w:firstLine="708"/>
              <w:jc w:val="center"/>
              <w:rPr>
                <w:rFonts w:ascii="Times New Roman" w:eastAsia="Times New Roman" w:hAnsi="Times New Roman" w:cs="Times New Roman"/>
                <w:sz w:val="20"/>
                <w:szCs w:val="20"/>
                <w:lang w:eastAsia="pl-PL"/>
              </w:rPr>
            </w:pPr>
          </w:p>
        </w:tc>
        <w:tc>
          <w:tcPr>
            <w:tcW w:w="4076" w:type="dxa"/>
          </w:tcPr>
          <w:p w14:paraId="3366253C" w14:textId="77777777" w:rsidR="000C0550" w:rsidRPr="00322BC5" w:rsidRDefault="000C0550" w:rsidP="000C0550">
            <w:pPr>
              <w:spacing w:before="120" w:after="120"/>
              <w:jc w:val="center"/>
              <w:rPr>
                <w:rFonts w:ascii="Times New Roman" w:eastAsia="Times New Roman" w:hAnsi="Times New Roman" w:cs="Times New Roman"/>
                <w:sz w:val="20"/>
                <w:szCs w:val="20"/>
                <w:lang w:eastAsia="pl-PL"/>
              </w:rPr>
            </w:pPr>
          </w:p>
        </w:tc>
      </w:tr>
    </w:tbl>
    <w:p w14:paraId="3263BA22" w14:textId="77777777" w:rsidR="009A3389" w:rsidRPr="00FF4480" w:rsidRDefault="009A3389" w:rsidP="00E738A5">
      <w:pPr>
        <w:spacing w:line="240" w:lineRule="auto"/>
        <w:rPr>
          <w:rFonts w:ascii="Times New Roman" w:hAnsi="Times New Roman" w:cs="Times New Roman"/>
        </w:rPr>
      </w:pPr>
    </w:p>
    <w:sectPr w:rsidR="009A3389" w:rsidRPr="00FF4480" w:rsidSect="001F3A0F">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55D32" w14:textId="77777777" w:rsidR="00AC30EF" w:rsidRDefault="00AC30EF" w:rsidP="00735AA5">
      <w:pPr>
        <w:spacing w:after="0" w:line="240" w:lineRule="auto"/>
      </w:pPr>
      <w:r>
        <w:separator/>
      </w:r>
    </w:p>
  </w:endnote>
  <w:endnote w:type="continuationSeparator" w:id="0">
    <w:p w14:paraId="2B138733" w14:textId="77777777" w:rsidR="00AC30EF" w:rsidRDefault="00AC30EF"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EndPr/>
    <w:sdtContent>
      <w:p w14:paraId="3D1313F4" w14:textId="77777777" w:rsidR="000B346A" w:rsidRPr="000B346A" w:rsidRDefault="00E738A5">
        <w:pPr>
          <w:pStyle w:val="Stopka"/>
          <w:jc w:val="right"/>
          <w:rPr>
            <w:rFonts w:ascii="Arial" w:hAnsi="Arial" w:cs="Arial"/>
            <w:sz w:val="18"/>
          </w:rPr>
        </w:pPr>
        <w:r>
          <w:rPr>
            <w:rFonts w:ascii="Arial" w:hAnsi="Arial" w:cs="Arial"/>
            <w:sz w:val="18"/>
          </w:rPr>
          <w:t>S</w:t>
        </w:r>
        <w:r w:rsidR="000B346A" w:rsidRPr="000B346A">
          <w:rPr>
            <w:rFonts w:ascii="Arial" w:hAnsi="Arial" w:cs="Arial"/>
            <w:sz w:val="18"/>
          </w:rPr>
          <w:t xml:space="preserve">trona | </w:t>
        </w:r>
        <w:r w:rsidR="000B346A" w:rsidRPr="000B346A">
          <w:rPr>
            <w:rFonts w:ascii="Arial" w:hAnsi="Arial" w:cs="Arial"/>
            <w:sz w:val="18"/>
          </w:rPr>
          <w:fldChar w:fldCharType="begin"/>
        </w:r>
        <w:r w:rsidR="000B346A" w:rsidRPr="000B346A">
          <w:rPr>
            <w:rFonts w:ascii="Arial" w:hAnsi="Arial" w:cs="Arial"/>
            <w:sz w:val="18"/>
          </w:rPr>
          <w:instrText>PAGE   \* MERGEFORMAT</w:instrText>
        </w:r>
        <w:r w:rsidR="000B346A" w:rsidRPr="000B346A">
          <w:rPr>
            <w:rFonts w:ascii="Arial" w:hAnsi="Arial" w:cs="Arial"/>
            <w:sz w:val="18"/>
          </w:rPr>
          <w:fldChar w:fldCharType="separate"/>
        </w:r>
        <w:r w:rsidR="00E23A7D">
          <w:rPr>
            <w:rFonts w:ascii="Arial" w:hAnsi="Arial" w:cs="Arial"/>
            <w:noProof/>
            <w:sz w:val="18"/>
          </w:rPr>
          <w:t>1</w:t>
        </w:r>
        <w:r w:rsidR="000B346A" w:rsidRPr="000B346A">
          <w:rPr>
            <w:rFonts w:ascii="Arial" w:hAnsi="Arial" w:cs="Arial"/>
            <w:sz w:val="18"/>
          </w:rPr>
          <w:fldChar w:fldCharType="end"/>
        </w:r>
        <w:r w:rsidR="000B346A" w:rsidRPr="000B346A">
          <w:rPr>
            <w:rFonts w:ascii="Arial" w:hAnsi="Arial" w:cs="Arial"/>
            <w:sz w:val="18"/>
          </w:rPr>
          <w:t xml:space="preserve"> </w:t>
        </w:r>
      </w:p>
    </w:sdtContent>
  </w:sdt>
  <w:p w14:paraId="1FF13A2E"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0E8AD" w14:textId="77777777" w:rsidR="00AC30EF" w:rsidRDefault="00AC30EF" w:rsidP="00735AA5">
      <w:pPr>
        <w:spacing w:after="0" w:line="240" w:lineRule="auto"/>
      </w:pPr>
      <w:r>
        <w:separator/>
      </w:r>
    </w:p>
  </w:footnote>
  <w:footnote w:type="continuationSeparator" w:id="0">
    <w:p w14:paraId="5BD4D5C3" w14:textId="77777777" w:rsidR="00AC30EF" w:rsidRDefault="00AC30EF" w:rsidP="00735AA5">
      <w:pPr>
        <w:spacing w:after="0" w:line="240" w:lineRule="auto"/>
      </w:pPr>
      <w:r>
        <w:continuationSeparator/>
      </w:r>
    </w:p>
  </w:footnote>
  <w:footnote w:id="1">
    <w:p w14:paraId="2239F12E" w14:textId="5CDD6444" w:rsidR="00745B44" w:rsidRDefault="00745B44">
      <w:pPr>
        <w:pStyle w:val="Tekstprzypisudolnego"/>
      </w:pPr>
      <w:r>
        <w:rPr>
          <w:rStyle w:val="Odwoanieprzypisudolnego"/>
        </w:rPr>
        <w:footnoteRef/>
      </w:r>
      <w:r>
        <w:t xml:space="preserve"> </w:t>
      </w:r>
      <w:r w:rsidR="004C068F">
        <w:t xml:space="preserve">Źródło: </w:t>
      </w:r>
      <w:hyperlink r:id="rId1" w:anchor="12839203" w:history="1">
        <w:r w:rsidR="004C068F" w:rsidRPr="00713AA4">
          <w:rPr>
            <w:rStyle w:val="Hipercze"/>
          </w:rPr>
          <w:t>https://legislacja.rcl.gov.pl/projekt/12354503/katalog/12839203#12839203</w:t>
        </w:r>
      </w:hyperlink>
      <w:r w:rsidR="004C068F">
        <w:t xml:space="preserve"> (dostęp: 29 kwietnia 2022 r.)</w:t>
      </w:r>
      <w:r w:rsidR="00D76500">
        <w:t>; dalej: „</w:t>
      </w:r>
      <w:r w:rsidR="00D76500" w:rsidRPr="00D76500">
        <w:rPr>
          <w:i/>
          <w:iCs/>
        </w:rPr>
        <w:t>tabela przedstawiająca odniesienie do uwag</w:t>
      </w:r>
      <w:r w:rsidR="00D76500">
        <w:t>”</w:t>
      </w:r>
      <w:r w:rsidR="004C068F">
        <w:t>.</w:t>
      </w:r>
    </w:p>
  </w:footnote>
  <w:footnote w:id="2">
    <w:p w14:paraId="629E0568" w14:textId="19D3DA6D" w:rsidR="0054422C" w:rsidRPr="0054422C" w:rsidRDefault="0054422C">
      <w:pPr>
        <w:pStyle w:val="Tekstprzypisudolnego"/>
      </w:pPr>
      <w:r w:rsidRPr="0054422C">
        <w:rPr>
          <w:rStyle w:val="Odwoanieprzypisudolnego"/>
        </w:rPr>
        <w:footnoteRef/>
      </w:r>
      <w:r w:rsidRPr="0054422C">
        <w:t xml:space="preserve"> zob. p</w:t>
      </w:r>
      <w:r w:rsidRPr="0054422C">
        <w:rPr>
          <w:color w:val="333333"/>
          <w:shd w:val="clear" w:color="auto" w:fill="FFFFFF"/>
        </w:rPr>
        <w:t xml:space="preserve">ostanowienie Sądu Najwyższego z dnia 10 grudnia 1992 r., II CRN 135/92, </w:t>
      </w:r>
      <w:proofErr w:type="spellStart"/>
      <w:r w:rsidRPr="0054422C">
        <w:rPr>
          <w:color w:val="333333"/>
          <w:shd w:val="clear" w:color="auto" w:fill="FFFFFF"/>
        </w:rPr>
        <w:t>Legalis</w:t>
      </w:r>
      <w:proofErr w:type="spellEnd"/>
      <w:r w:rsidRPr="0054422C">
        <w:rPr>
          <w:color w:val="333333"/>
          <w:shd w:val="clear" w:color="auto" w:fill="FFFFFF"/>
        </w:rPr>
        <w:t xml:space="preserve"> nr 27907, </w:t>
      </w:r>
      <w:r w:rsidRPr="0054422C">
        <w:t xml:space="preserve">orzeczenie </w:t>
      </w:r>
      <w:r w:rsidRPr="0054422C">
        <w:rPr>
          <w:color w:val="333333"/>
          <w:shd w:val="clear" w:color="auto" w:fill="FFFFFF"/>
        </w:rPr>
        <w:t xml:space="preserve">Sądu Najwyższego z 28.1.1949 r., sygn. akt C 1089/48, </w:t>
      </w:r>
      <w:proofErr w:type="spellStart"/>
      <w:r w:rsidRPr="0054422C">
        <w:rPr>
          <w:color w:val="333333"/>
          <w:shd w:val="clear" w:color="auto" w:fill="FFFFFF"/>
        </w:rPr>
        <w:t>PiP</w:t>
      </w:r>
      <w:proofErr w:type="spellEnd"/>
      <w:r w:rsidRPr="0054422C">
        <w:rPr>
          <w:color w:val="333333"/>
          <w:shd w:val="clear" w:color="auto" w:fill="FFFFFF"/>
        </w:rPr>
        <w:t xml:space="preserve"> 1949, Nr 6–7, s. 149</w:t>
      </w:r>
    </w:p>
  </w:footnote>
  <w:footnote w:id="3">
    <w:p w14:paraId="1AF7A588" w14:textId="05AFD6C5" w:rsidR="0054422C" w:rsidRDefault="0054422C">
      <w:pPr>
        <w:pStyle w:val="Tekstprzypisudolnego"/>
      </w:pPr>
      <w:r>
        <w:rPr>
          <w:rStyle w:val="Odwoanieprzypisudolnego"/>
        </w:rPr>
        <w:footnoteRef/>
      </w:r>
      <w:r>
        <w:t xml:space="preserve"> Tamże</w:t>
      </w:r>
    </w:p>
  </w:footnote>
  <w:footnote w:id="4">
    <w:p w14:paraId="426382A7" w14:textId="279303EA" w:rsidR="00D06E69" w:rsidRDefault="00D06E69">
      <w:pPr>
        <w:pStyle w:val="Tekstprzypisudolnego"/>
      </w:pPr>
      <w:r>
        <w:rPr>
          <w:rStyle w:val="Odwoanieprzypisudolnego"/>
        </w:rPr>
        <w:footnoteRef/>
      </w:r>
      <w:r>
        <w:t xml:space="preserve"> Tamże</w:t>
      </w:r>
    </w:p>
  </w:footnote>
  <w:footnote w:id="5">
    <w:p w14:paraId="5EB9568B" w14:textId="1B3AC917" w:rsidR="0054422C" w:rsidRPr="0054422C" w:rsidRDefault="0054422C">
      <w:pPr>
        <w:pStyle w:val="Tekstprzypisudolnego"/>
      </w:pPr>
      <w:r w:rsidRPr="0054422C">
        <w:rPr>
          <w:rStyle w:val="Odwoanieprzypisudolnego"/>
        </w:rPr>
        <w:footnoteRef/>
      </w:r>
      <w:r w:rsidRPr="0054422C">
        <w:t xml:space="preserve"> zob. P. Bednarczyk „Postępowanie o stwierdzenie nabycia spadku” w Pierwsza Wokanda, wyd. 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Look w:val="04A0" w:firstRow="1" w:lastRow="0" w:firstColumn="1" w:lastColumn="0" w:noHBand="0" w:noVBand="1"/>
    </w:tblPr>
    <w:tblGrid>
      <w:gridCol w:w="553"/>
      <w:gridCol w:w="1912"/>
      <w:gridCol w:w="1857"/>
      <w:gridCol w:w="5558"/>
      <w:gridCol w:w="4114"/>
    </w:tblGrid>
    <w:tr w:rsidR="00136551" w:rsidRPr="00FF4480" w14:paraId="25235B4B" w14:textId="77777777" w:rsidTr="00CF31A7">
      <w:trPr>
        <w:trHeight w:val="592"/>
        <w:jc w:val="center"/>
      </w:trPr>
      <w:tc>
        <w:tcPr>
          <w:tcW w:w="554" w:type="dxa"/>
          <w:vAlign w:val="center"/>
        </w:tcPr>
        <w:p w14:paraId="3079F5C1" w14:textId="77777777" w:rsidR="00136551" w:rsidRPr="00FF4480" w:rsidRDefault="00136551" w:rsidP="00136551">
          <w:pPr>
            <w:jc w:val="center"/>
            <w:rPr>
              <w:rFonts w:ascii="Times New Roman" w:hAnsi="Times New Roman" w:cs="Times New Roman"/>
              <w:sz w:val="20"/>
            </w:rPr>
          </w:pPr>
          <w:r w:rsidRPr="00FF4480">
            <w:rPr>
              <w:rFonts w:ascii="Times New Roman" w:hAnsi="Times New Roman" w:cs="Times New Roman"/>
              <w:b/>
              <w:sz w:val="20"/>
            </w:rPr>
            <w:t>Lp</w:t>
          </w:r>
          <w:r w:rsidRPr="00FF4480">
            <w:rPr>
              <w:rFonts w:ascii="Times New Roman" w:hAnsi="Times New Roman" w:cs="Times New Roman"/>
              <w:sz w:val="20"/>
            </w:rPr>
            <w:t>.</w:t>
          </w:r>
        </w:p>
      </w:tc>
      <w:tc>
        <w:tcPr>
          <w:tcW w:w="1931" w:type="dxa"/>
          <w:vAlign w:val="center"/>
        </w:tcPr>
        <w:p w14:paraId="51D5B69E" w14:textId="77777777" w:rsidR="00136551" w:rsidRPr="00FF4480" w:rsidRDefault="00136551" w:rsidP="00136551">
          <w:pPr>
            <w:spacing w:after="60"/>
            <w:jc w:val="center"/>
            <w:rPr>
              <w:rFonts w:ascii="Times New Roman" w:hAnsi="Times New Roman" w:cs="Times New Roman"/>
              <w:b/>
              <w:bCs/>
              <w:sz w:val="20"/>
            </w:rPr>
          </w:pPr>
          <w:r w:rsidRPr="00FF4480">
            <w:rPr>
              <w:rFonts w:ascii="Times New Roman" w:hAnsi="Times New Roman" w:cs="Times New Roman"/>
              <w:b/>
              <w:bCs/>
              <w:sz w:val="20"/>
            </w:rPr>
            <w:t>Podmiot zgłaszający</w:t>
          </w:r>
          <w:r>
            <w:rPr>
              <w:rFonts w:ascii="Times New Roman" w:hAnsi="Times New Roman" w:cs="Times New Roman"/>
              <w:b/>
              <w:bCs/>
              <w:sz w:val="20"/>
            </w:rPr>
            <w:t xml:space="preserve"> uwagę</w:t>
          </w:r>
        </w:p>
      </w:tc>
      <w:tc>
        <w:tcPr>
          <w:tcW w:w="1876" w:type="dxa"/>
          <w:vAlign w:val="center"/>
        </w:tcPr>
        <w:p w14:paraId="0ECBAC82" w14:textId="77777777" w:rsidR="00136551" w:rsidRPr="00E738A5" w:rsidRDefault="00136551" w:rsidP="00136551">
          <w:pPr>
            <w:jc w:val="center"/>
            <w:rPr>
              <w:rFonts w:ascii="Times New Roman" w:hAnsi="Times New Roman" w:cs="Times New Roman"/>
              <w:sz w:val="16"/>
              <w:szCs w:val="16"/>
            </w:rPr>
          </w:pPr>
          <w:r w:rsidRPr="00E738A5">
            <w:rPr>
              <w:rFonts w:ascii="Times New Roman" w:hAnsi="Times New Roman" w:cs="Times New Roman"/>
              <w:b/>
              <w:bCs/>
              <w:sz w:val="16"/>
              <w:szCs w:val="16"/>
            </w:rPr>
            <w:t xml:space="preserve">Jednostka redakcyjna </w:t>
          </w:r>
          <w:r w:rsidRPr="00E738A5">
            <w:rPr>
              <w:rFonts w:ascii="Times New Roman" w:hAnsi="Times New Roman" w:cs="Times New Roman"/>
              <w:b/>
              <w:bCs/>
              <w:sz w:val="16"/>
              <w:szCs w:val="16"/>
            </w:rPr>
            <w:br/>
            <w:t>Str</w:t>
          </w:r>
          <w:r w:rsidR="00963B6A">
            <w:rPr>
              <w:rFonts w:ascii="Times New Roman" w:hAnsi="Times New Roman" w:cs="Times New Roman"/>
              <w:b/>
              <w:bCs/>
              <w:sz w:val="16"/>
              <w:szCs w:val="16"/>
            </w:rPr>
            <w:t>ona</w:t>
          </w:r>
          <w:r w:rsidRPr="00E738A5">
            <w:rPr>
              <w:rFonts w:ascii="Times New Roman" w:hAnsi="Times New Roman" w:cs="Times New Roman"/>
              <w:b/>
              <w:bCs/>
              <w:sz w:val="16"/>
              <w:szCs w:val="16"/>
            </w:rPr>
            <w:t xml:space="preserve"> uzasadnienia</w:t>
          </w:r>
          <w:r>
            <w:rPr>
              <w:rFonts w:ascii="Times New Roman" w:hAnsi="Times New Roman" w:cs="Times New Roman"/>
              <w:b/>
              <w:bCs/>
              <w:sz w:val="16"/>
              <w:szCs w:val="16"/>
            </w:rPr>
            <w:br/>
          </w:r>
          <w:r w:rsidRPr="00E738A5">
            <w:rPr>
              <w:rFonts w:ascii="Times New Roman" w:hAnsi="Times New Roman" w:cs="Times New Roman"/>
              <w:b/>
              <w:bCs/>
              <w:sz w:val="16"/>
              <w:szCs w:val="16"/>
            </w:rPr>
            <w:t>Pkt OSR</w:t>
          </w:r>
        </w:p>
      </w:tc>
      <w:tc>
        <w:tcPr>
          <w:tcW w:w="5670" w:type="dxa"/>
          <w:vAlign w:val="center"/>
        </w:tcPr>
        <w:p w14:paraId="36A5BA4A" w14:textId="77777777" w:rsidR="00136551" w:rsidRPr="00E35677" w:rsidRDefault="00136551" w:rsidP="00136551">
          <w:pPr>
            <w:jc w:val="center"/>
            <w:rPr>
              <w:rFonts w:ascii="Times New Roman" w:hAnsi="Times New Roman" w:cs="Times New Roman"/>
              <w:sz w:val="20"/>
            </w:rPr>
          </w:pPr>
          <w:r>
            <w:rPr>
              <w:rFonts w:ascii="Times New Roman" w:hAnsi="Times New Roman" w:cs="Times New Roman"/>
              <w:b/>
              <w:bCs/>
              <w:sz w:val="20"/>
            </w:rPr>
            <w:t>Treść uwagi / Propozycja zapisu</w:t>
          </w:r>
        </w:p>
      </w:tc>
      <w:tc>
        <w:tcPr>
          <w:tcW w:w="4189" w:type="dxa"/>
        </w:tcPr>
        <w:p w14:paraId="0EE8722A" w14:textId="77777777" w:rsidR="00136551" w:rsidRDefault="00136551" w:rsidP="00136551">
          <w:pPr>
            <w:jc w:val="center"/>
            <w:rPr>
              <w:rFonts w:ascii="Times New Roman" w:hAnsi="Times New Roman" w:cs="Times New Roman"/>
              <w:b/>
              <w:bCs/>
              <w:i/>
              <w:sz w:val="20"/>
            </w:rPr>
          </w:pPr>
        </w:p>
        <w:p w14:paraId="06708177" w14:textId="5FB44390" w:rsidR="00136551" w:rsidRPr="00E35677" w:rsidRDefault="00136551" w:rsidP="00136551">
          <w:pPr>
            <w:jc w:val="center"/>
            <w:rPr>
              <w:rFonts w:ascii="Times New Roman" w:hAnsi="Times New Roman" w:cs="Times New Roman"/>
              <w:b/>
              <w:bCs/>
              <w:sz w:val="20"/>
            </w:rPr>
          </w:pPr>
          <w:r>
            <w:rPr>
              <w:rFonts w:ascii="Times New Roman" w:hAnsi="Times New Roman" w:cs="Times New Roman"/>
              <w:b/>
              <w:bCs/>
              <w:sz w:val="20"/>
            </w:rPr>
            <w:t xml:space="preserve">Stanowisko </w:t>
          </w:r>
          <w:r w:rsidR="003514BB">
            <w:rPr>
              <w:rFonts w:ascii="Times New Roman" w:hAnsi="Times New Roman" w:cs="Times New Roman"/>
              <w:b/>
              <w:bCs/>
              <w:sz w:val="20"/>
            </w:rPr>
            <w:t>MS</w:t>
          </w:r>
        </w:p>
      </w:tc>
    </w:tr>
  </w:tbl>
  <w:p w14:paraId="58721467" w14:textId="77777777" w:rsidR="00136551" w:rsidRDefault="001365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02E7131"/>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 w15:restartNumberingAfterBreak="0">
    <w:nsid w:val="15772F5C"/>
    <w:multiLevelType w:val="hybridMultilevel"/>
    <w:tmpl w:val="62AA7BF8"/>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5"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6"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7" w15:restartNumberingAfterBreak="0">
    <w:nsid w:val="2035363E"/>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 w15:restartNumberingAfterBreak="0">
    <w:nsid w:val="331572DA"/>
    <w:multiLevelType w:val="hybridMultilevel"/>
    <w:tmpl w:val="BDA056DE"/>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416D46F4"/>
    <w:multiLevelType w:val="hybridMultilevel"/>
    <w:tmpl w:val="91BEBE3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 w15:restartNumberingAfterBreak="0">
    <w:nsid w:val="42F74FD3"/>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 w15:restartNumberingAfterBreak="0">
    <w:nsid w:val="49A45834"/>
    <w:multiLevelType w:val="multilevel"/>
    <w:tmpl w:val="082E21AE"/>
    <w:lvl w:ilvl="0">
      <w:start w:val="1"/>
      <w:numFmt w:val="decimal"/>
      <w:lvlText w:val="%1)"/>
      <w:lvlJc w:val="left"/>
      <w:pPr>
        <w:ind w:left="36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4C3D7A92"/>
    <w:multiLevelType w:val="hybridMultilevel"/>
    <w:tmpl w:val="A7086286"/>
    <w:lvl w:ilvl="0" w:tplc="81422714">
      <w:start w:val="1"/>
      <w:numFmt w:val="decimal"/>
      <w:lvlText w:val="%1)"/>
      <w:lvlJc w:val="left"/>
      <w:pPr>
        <w:ind w:left="870" w:hanging="360"/>
      </w:pPr>
      <w:rPr>
        <w:rFonts w:cs="Times New Roman"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3" w15:restartNumberingAfterBreak="0">
    <w:nsid w:val="4D2C5E34"/>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4" w15:restartNumberingAfterBreak="0">
    <w:nsid w:val="4EC052B0"/>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5" w15:restartNumberingAfterBreak="0">
    <w:nsid w:val="4EF37C0C"/>
    <w:multiLevelType w:val="hybridMultilevel"/>
    <w:tmpl w:val="6278FEC6"/>
    <w:lvl w:ilvl="0" w:tplc="21C62F42">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6" w15:restartNumberingAfterBreak="0">
    <w:nsid w:val="53DD0B2E"/>
    <w:multiLevelType w:val="hybridMultilevel"/>
    <w:tmpl w:val="6C7EC008"/>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800F7F"/>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8"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9" w15:restartNumberingAfterBreak="0">
    <w:nsid w:val="703E54E6"/>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0"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1"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2" w15:restartNumberingAfterBreak="0">
    <w:nsid w:val="7B47264F"/>
    <w:multiLevelType w:val="hybridMultilevel"/>
    <w:tmpl w:val="222087A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C81B9E"/>
    <w:multiLevelType w:val="hybridMultilevel"/>
    <w:tmpl w:val="DAFC9EEA"/>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num w:numId="1" w16cid:durableId="442111557">
    <w:abstractNumId w:val="5"/>
  </w:num>
  <w:num w:numId="2" w16cid:durableId="455609694">
    <w:abstractNumId w:val="6"/>
  </w:num>
  <w:num w:numId="3" w16cid:durableId="1195652553">
    <w:abstractNumId w:val="20"/>
  </w:num>
  <w:num w:numId="4" w16cid:durableId="1812822086">
    <w:abstractNumId w:val="2"/>
  </w:num>
  <w:num w:numId="5" w16cid:durableId="1751659128">
    <w:abstractNumId w:val="21"/>
  </w:num>
  <w:num w:numId="6" w16cid:durableId="1646734925">
    <w:abstractNumId w:val="18"/>
  </w:num>
  <w:num w:numId="7" w16cid:durableId="1937051267">
    <w:abstractNumId w:val="0"/>
  </w:num>
  <w:num w:numId="8" w16cid:durableId="826750393">
    <w:abstractNumId w:val="1"/>
  </w:num>
  <w:num w:numId="9" w16cid:durableId="1121456519">
    <w:abstractNumId w:val="16"/>
  </w:num>
  <w:num w:numId="10" w16cid:durableId="1797138504">
    <w:abstractNumId w:val="8"/>
  </w:num>
  <w:num w:numId="11" w16cid:durableId="1744907277">
    <w:abstractNumId w:val="23"/>
  </w:num>
  <w:num w:numId="12" w16cid:durableId="1944612653">
    <w:abstractNumId w:val="22"/>
  </w:num>
  <w:num w:numId="13" w16cid:durableId="1965695414">
    <w:abstractNumId w:val="17"/>
  </w:num>
  <w:num w:numId="14" w16cid:durableId="235552352">
    <w:abstractNumId w:val="13"/>
  </w:num>
  <w:num w:numId="15" w16cid:durableId="1522934600">
    <w:abstractNumId w:val="9"/>
  </w:num>
  <w:num w:numId="16" w16cid:durableId="1982415318">
    <w:abstractNumId w:val="4"/>
  </w:num>
  <w:num w:numId="17" w16cid:durableId="425926884">
    <w:abstractNumId w:val="11"/>
  </w:num>
  <w:num w:numId="18" w16cid:durableId="1880702666">
    <w:abstractNumId w:val="12"/>
  </w:num>
  <w:num w:numId="19" w16cid:durableId="283460945">
    <w:abstractNumId w:val="10"/>
  </w:num>
  <w:num w:numId="20" w16cid:durableId="2113435658">
    <w:abstractNumId w:val="7"/>
  </w:num>
  <w:num w:numId="21" w16cid:durableId="1629553318">
    <w:abstractNumId w:val="3"/>
  </w:num>
  <w:num w:numId="22" w16cid:durableId="989407976">
    <w:abstractNumId w:val="19"/>
  </w:num>
  <w:num w:numId="23" w16cid:durableId="1223373800">
    <w:abstractNumId w:val="14"/>
  </w:num>
  <w:num w:numId="24" w16cid:durableId="16806916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02F3"/>
    <w:rsid w:val="0001501B"/>
    <w:rsid w:val="000153D6"/>
    <w:rsid w:val="000161F5"/>
    <w:rsid w:val="00016B16"/>
    <w:rsid w:val="00017F99"/>
    <w:rsid w:val="0002291B"/>
    <w:rsid w:val="00026C56"/>
    <w:rsid w:val="000361E2"/>
    <w:rsid w:val="00050AFF"/>
    <w:rsid w:val="000566FC"/>
    <w:rsid w:val="000662BB"/>
    <w:rsid w:val="00084004"/>
    <w:rsid w:val="00084817"/>
    <w:rsid w:val="00084A2A"/>
    <w:rsid w:val="00085E2E"/>
    <w:rsid w:val="000911E2"/>
    <w:rsid w:val="00091F2A"/>
    <w:rsid w:val="000A32E5"/>
    <w:rsid w:val="000B1157"/>
    <w:rsid w:val="000B346A"/>
    <w:rsid w:val="000C00BA"/>
    <w:rsid w:val="000C0550"/>
    <w:rsid w:val="000C2E71"/>
    <w:rsid w:val="000D3780"/>
    <w:rsid w:val="000D5B0B"/>
    <w:rsid w:val="000F4153"/>
    <w:rsid w:val="001146C0"/>
    <w:rsid w:val="00114853"/>
    <w:rsid w:val="00122FAB"/>
    <w:rsid w:val="001308BB"/>
    <w:rsid w:val="001361B5"/>
    <w:rsid w:val="00136551"/>
    <w:rsid w:val="00140448"/>
    <w:rsid w:val="00141978"/>
    <w:rsid w:val="00142F04"/>
    <w:rsid w:val="00151C2E"/>
    <w:rsid w:val="00154734"/>
    <w:rsid w:val="00156333"/>
    <w:rsid w:val="00175345"/>
    <w:rsid w:val="001776AA"/>
    <w:rsid w:val="00177EC3"/>
    <w:rsid w:val="00183CD5"/>
    <w:rsid w:val="0018581D"/>
    <w:rsid w:val="00185AAF"/>
    <w:rsid w:val="00186B6F"/>
    <w:rsid w:val="00187E3D"/>
    <w:rsid w:val="00190C60"/>
    <w:rsid w:val="0019322F"/>
    <w:rsid w:val="00193AB3"/>
    <w:rsid w:val="001A5626"/>
    <w:rsid w:val="001A599A"/>
    <w:rsid w:val="001E01AE"/>
    <w:rsid w:val="001E3C74"/>
    <w:rsid w:val="001E5C93"/>
    <w:rsid w:val="001F0431"/>
    <w:rsid w:val="001F23BF"/>
    <w:rsid w:val="001F3785"/>
    <w:rsid w:val="001F3A0F"/>
    <w:rsid w:val="001F4958"/>
    <w:rsid w:val="001F51B9"/>
    <w:rsid w:val="0020383B"/>
    <w:rsid w:val="00211E49"/>
    <w:rsid w:val="00214D41"/>
    <w:rsid w:val="002329F3"/>
    <w:rsid w:val="00242233"/>
    <w:rsid w:val="0024476B"/>
    <w:rsid w:val="00252F32"/>
    <w:rsid w:val="00255E39"/>
    <w:rsid w:val="002662EA"/>
    <w:rsid w:val="00270903"/>
    <w:rsid w:val="00271B94"/>
    <w:rsid w:val="002724CC"/>
    <w:rsid w:val="0028475B"/>
    <w:rsid w:val="002936DB"/>
    <w:rsid w:val="002968CB"/>
    <w:rsid w:val="002A11F8"/>
    <w:rsid w:val="002A3F06"/>
    <w:rsid w:val="002A6D62"/>
    <w:rsid w:val="002A6ED8"/>
    <w:rsid w:val="002B6392"/>
    <w:rsid w:val="002C46ED"/>
    <w:rsid w:val="002C53B8"/>
    <w:rsid w:val="002C71DB"/>
    <w:rsid w:val="002E0918"/>
    <w:rsid w:val="002F2645"/>
    <w:rsid w:val="002F302C"/>
    <w:rsid w:val="00322BC5"/>
    <w:rsid w:val="003243F9"/>
    <w:rsid w:val="003246CB"/>
    <w:rsid w:val="00337933"/>
    <w:rsid w:val="0033797A"/>
    <w:rsid w:val="003462B1"/>
    <w:rsid w:val="003514BB"/>
    <w:rsid w:val="003565A1"/>
    <w:rsid w:val="003706A6"/>
    <w:rsid w:val="003A13D7"/>
    <w:rsid w:val="003A430E"/>
    <w:rsid w:val="003A4EDB"/>
    <w:rsid w:val="003B0040"/>
    <w:rsid w:val="003C1000"/>
    <w:rsid w:val="003D1CAB"/>
    <w:rsid w:val="003D7D21"/>
    <w:rsid w:val="003E5D74"/>
    <w:rsid w:val="003E5DD3"/>
    <w:rsid w:val="003E6552"/>
    <w:rsid w:val="003F0432"/>
    <w:rsid w:val="003F148E"/>
    <w:rsid w:val="003F2ED2"/>
    <w:rsid w:val="00400E97"/>
    <w:rsid w:val="00414EA2"/>
    <w:rsid w:val="0042584A"/>
    <w:rsid w:val="0042716F"/>
    <w:rsid w:val="004316F8"/>
    <w:rsid w:val="00443077"/>
    <w:rsid w:val="00452E52"/>
    <w:rsid w:val="004577CA"/>
    <w:rsid w:val="00462F0E"/>
    <w:rsid w:val="00463607"/>
    <w:rsid w:val="00476CB1"/>
    <w:rsid w:val="004977F7"/>
    <w:rsid w:val="004A28E0"/>
    <w:rsid w:val="004B050A"/>
    <w:rsid w:val="004B1553"/>
    <w:rsid w:val="004B1644"/>
    <w:rsid w:val="004C068F"/>
    <w:rsid w:val="004C4A0D"/>
    <w:rsid w:val="004D5AD4"/>
    <w:rsid w:val="004E0816"/>
    <w:rsid w:val="004E46FE"/>
    <w:rsid w:val="004E7994"/>
    <w:rsid w:val="004F5F18"/>
    <w:rsid w:val="0050045E"/>
    <w:rsid w:val="005040BC"/>
    <w:rsid w:val="005040FC"/>
    <w:rsid w:val="005054C0"/>
    <w:rsid w:val="0051434B"/>
    <w:rsid w:val="005206DB"/>
    <w:rsid w:val="00531DE4"/>
    <w:rsid w:val="00537F4C"/>
    <w:rsid w:val="005418E2"/>
    <w:rsid w:val="0054422C"/>
    <w:rsid w:val="00545CD3"/>
    <w:rsid w:val="005471C2"/>
    <w:rsid w:val="00550EAD"/>
    <w:rsid w:val="00555265"/>
    <w:rsid w:val="0057151E"/>
    <w:rsid w:val="005724CB"/>
    <w:rsid w:val="005756BE"/>
    <w:rsid w:val="00576D40"/>
    <w:rsid w:val="0058530C"/>
    <w:rsid w:val="00592953"/>
    <w:rsid w:val="005A7AD5"/>
    <w:rsid w:val="005C145B"/>
    <w:rsid w:val="005C23F7"/>
    <w:rsid w:val="005C593B"/>
    <w:rsid w:val="005C644D"/>
    <w:rsid w:val="005D442D"/>
    <w:rsid w:val="005E4B41"/>
    <w:rsid w:val="005F54FC"/>
    <w:rsid w:val="005F6C15"/>
    <w:rsid w:val="00602CEE"/>
    <w:rsid w:val="00611583"/>
    <w:rsid w:val="00614324"/>
    <w:rsid w:val="006156DE"/>
    <w:rsid w:val="00621334"/>
    <w:rsid w:val="006354CF"/>
    <w:rsid w:val="006375BD"/>
    <w:rsid w:val="00642662"/>
    <w:rsid w:val="00644344"/>
    <w:rsid w:val="00650A55"/>
    <w:rsid w:val="00650E16"/>
    <w:rsid w:val="006669AD"/>
    <w:rsid w:val="00666F54"/>
    <w:rsid w:val="0067271E"/>
    <w:rsid w:val="00674BCF"/>
    <w:rsid w:val="006771BA"/>
    <w:rsid w:val="00682C1C"/>
    <w:rsid w:val="0069368F"/>
    <w:rsid w:val="006B5661"/>
    <w:rsid w:val="006C2BC9"/>
    <w:rsid w:val="006C42B2"/>
    <w:rsid w:val="006C7994"/>
    <w:rsid w:val="006D0AE4"/>
    <w:rsid w:val="006E3541"/>
    <w:rsid w:val="006E3E8F"/>
    <w:rsid w:val="006F0D7B"/>
    <w:rsid w:val="006F1155"/>
    <w:rsid w:val="006F225D"/>
    <w:rsid w:val="006F60AB"/>
    <w:rsid w:val="006F6137"/>
    <w:rsid w:val="006F7936"/>
    <w:rsid w:val="007018E8"/>
    <w:rsid w:val="00703EFC"/>
    <w:rsid w:val="00716127"/>
    <w:rsid w:val="00730C35"/>
    <w:rsid w:val="00735AA5"/>
    <w:rsid w:val="00741A58"/>
    <w:rsid w:val="00742660"/>
    <w:rsid w:val="00745B44"/>
    <w:rsid w:val="00751B0F"/>
    <w:rsid w:val="00756A51"/>
    <w:rsid w:val="0076077D"/>
    <w:rsid w:val="007653FF"/>
    <w:rsid w:val="00766F26"/>
    <w:rsid w:val="007768A6"/>
    <w:rsid w:val="00791FE5"/>
    <w:rsid w:val="007A627A"/>
    <w:rsid w:val="007A7EE2"/>
    <w:rsid w:val="007B1BB1"/>
    <w:rsid w:val="007B7C30"/>
    <w:rsid w:val="007C2560"/>
    <w:rsid w:val="007C483C"/>
    <w:rsid w:val="007D0B00"/>
    <w:rsid w:val="007E1713"/>
    <w:rsid w:val="007E4CBE"/>
    <w:rsid w:val="007F39C0"/>
    <w:rsid w:val="008022DD"/>
    <w:rsid w:val="008146E0"/>
    <w:rsid w:val="00814CE9"/>
    <w:rsid w:val="008203CF"/>
    <w:rsid w:val="008206F4"/>
    <w:rsid w:val="00830132"/>
    <w:rsid w:val="00831113"/>
    <w:rsid w:val="008319B5"/>
    <w:rsid w:val="008335E2"/>
    <w:rsid w:val="0083519A"/>
    <w:rsid w:val="008377B2"/>
    <w:rsid w:val="00852D75"/>
    <w:rsid w:val="008531D9"/>
    <w:rsid w:val="0086247D"/>
    <w:rsid w:val="00865AF4"/>
    <w:rsid w:val="00877098"/>
    <w:rsid w:val="008842F2"/>
    <w:rsid w:val="008911D0"/>
    <w:rsid w:val="008931A5"/>
    <w:rsid w:val="008A736C"/>
    <w:rsid w:val="008A7F29"/>
    <w:rsid w:val="008C150E"/>
    <w:rsid w:val="008C71FC"/>
    <w:rsid w:val="008D75C3"/>
    <w:rsid w:val="008E3179"/>
    <w:rsid w:val="00907069"/>
    <w:rsid w:val="00912574"/>
    <w:rsid w:val="009148F0"/>
    <w:rsid w:val="00925F56"/>
    <w:rsid w:val="00933852"/>
    <w:rsid w:val="00941156"/>
    <w:rsid w:val="009436DD"/>
    <w:rsid w:val="009532CB"/>
    <w:rsid w:val="00954430"/>
    <w:rsid w:val="00954DA6"/>
    <w:rsid w:val="00957335"/>
    <w:rsid w:val="00963B6A"/>
    <w:rsid w:val="009672B1"/>
    <w:rsid w:val="009743F9"/>
    <w:rsid w:val="00975740"/>
    <w:rsid w:val="009768E8"/>
    <w:rsid w:val="00982633"/>
    <w:rsid w:val="00983A14"/>
    <w:rsid w:val="009923E7"/>
    <w:rsid w:val="009A3389"/>
    <w:rsid w:val="009A3470"/>
    <w:rsid w:val="009B03B3"/>
    <w:rsid w:val="009B1DB0"/>
    <w:rsid w:val="009B723C"/>
    <w:rsid w:val="009C2B2D"/>
    <w:rsid w:val="009C39F6"/>
    <w:rsid w:val="009C45A9"/>
    <w:rsid w:val="009D02A7"/>
    <w:rsid w:val="009D18BA"/>
    <w:rsid w:val="009D30E0"/>
    <w:rsid w:val="009D37DC"/>
    <w:rsid w:val="009D4717"/>
    <w:rsid w:val="009D4953"/>
    <w:rsid w:val="009F5BED"/>
    <w:rsid w:val="00A108F6"/>
    <w:rsid w:val="00A11E28"/>
    <w:rsid w:val="00A1326C"/>
    <w:rsid w:val="00A3318A"/>
    <w:rsid w:val="00A407A4"/>
    <w:rsid w:val="00A524C2"/>
    <w:rsid w:val="00A53CBC"/>
    <w:rsid w:val="00A57140"/>
    <w:rsid w:val="00A5722E"/>
    <w:rsid w:val="00A61639"/>
    <w:rsid w:val="00A64143"/>
    <w:rsid w:val="00A65542"/>
    <w:rsid w:val="00A92454"/>
    <w:rsid w:val="00A942E8"/>
    <w:rsid w:val="00AA3456"/>
    <w:rsid w:val="00AA3928"/>
    <w:rsid w:val="00AC0365"/>
    <w:rsid w:val="00AC30EF"/>
    <w:rsid w:val="00AC4127"/>
    <w:rsid w:val="00AD2E3B"/>
    <w:rsid w:val="00AF2DCB"/>
    <w:rsid w:val="00AF5CDF"/>
    <w:rsid w:val="00B0068C"/>
    <w:rsid w:val="00B03A96"/>
    <w:rsid w:val="00B0487A"/>
    <w:rsid w:val="00B04DC5"/>
    <w:rsid w:val="00B15F59"/>
    <w:rsid w:val="00B165E5"/>
    <w:rsid w:val="00B1774B"/>
    <w:rsid w:val="00B241C8"/>
    <w:rsid w:val="00B27B5A"/>
    <w:rsid w:val="00B3322F"/>
    <w:rsid w:val="00B4688A"/>
    <w:rsid w:val="00B54306"/>
    <w:rsid w:val="00B6038D"/>
    <w:rsid w:val="00B72216"/>
    <w:rsid w:val="00B809BB"/>
    <w:rsid w:val="00B919AF"/>
    <w:rsid w:val="00B936C2"/>
    <w:rsid w:val="00BA173B"/>
    <w:rsid w:val="00BA4C6D"/>
    <w:rsid w:val="00BA785D"/>
    <w:rsid w:val="00BB2FF9"/>
    <w:rsid w:val="00BD1AB7"/>
    <w:rsid w:val="00BD2DC7"/>
    <w:rsid w:val="00BD6AA6"/>
    <w:rsid w:val="00C02C32"/>
    <w:rsid w:val="00C06062"/>
    <w:rsid w:val="00C14830"/>
    <w:rsid w:val="00C14B5D"/>
    <w:rsid w:val="00C15B32"/>
    <w:rsid w:val="00C2074A"/>
    <w:rsid w:val="00C22A1F"/>
    <w:rsid w:val="00C30452"/>
    <w:rsid w:val="00C31940"/>
    <w:rsid w:val="00C60BA3"/>
    <w:rsid w:val="00C63F1E"/>
    <w:rsid w:val="00C65401"/>
    <w:rsid w:val="00C70BF5"/>
    <w:rsid w:val="00C71CAF"/>
    <w:rsid w:val="00C726F7"/>
    <w:rsid w:val="00C928E1"/>
    <w:rsid w:val="00C972A5"/>
    <w:rsid w:val="00CA2A44"/>
    <w:rsid w:val="00CB5636"/>
    <w:rsid w:val="00CE3975"/>
    <w:rsid w:val="00CE5444"/>
    <w:rsid w:val="00CE590D"/>
    <w:rsid w:val="00CE74C5"/>
    <w:rsid w:val="00CF7C2B"/>
    <w:rsid w:val="00D014F7"/>
    <w:rsid w:val="00D02157"/>
    <w:rsid w:val="00D067CA"/>
    <w:rsid w:val="00D06E69"/>
    <w:rsid w:val="00D11479"/>
    <w:rsid w:val="00D23483"/>
    <w:rsid w:val="00D266B0"/>
    <w:rsid w:val="00D34082"/>
    <w:rsid w:val="00D345DF"/>
    <w:rsid w:val="00D44C5D"/>
    <w:rsid w:val="00D53619"/>
    <w:rsid w:val="00D54DB1"/>
    <w:rsid w:val="00D64733"/>
    <w:rsid w:val="00D70B39"/>
    <w:rsid w:val="00D75ACA"/>
    <w:rsid w:val="00D76500"/>
    <w:rsid w:val="00D820CE"/>
    <w:rsid w:val="00D95599"/>
    <w:rsid w:val="00DB714E"/>
    <w:rsid w:val="00DC53ED"/>
    <w:rsid w:val="00DE13CD"/>
    <w:rsid w:val="00DE186F"/>
    <w:rsid w:val="00E034DC"/>
    <w:rsid w:val="00E036E7"/>
    <w:rsid w:val="00E1573E"/>
    <w:rsid w:val="00E23A7D"/>
    <w:rsid w:val="00E23F26"/>
    <w:rsid w:val="00E26868"/>
    <w:rsid w:val="00E2744F"/>
    <w:rsid w:val="00E34A38"/>
    <w:rsid w:val="00E35677"/>
    <w:rsid w:val="00E3630E"/>
    <w:rsid w:val="00E3783E"/>
    <w:rsid w:val="00E418E8"/>
    <w:rsid w:val="00E45467"/>
    <w:rsid w:val="00E511EC"/>
    <w:rsid w:val="00E5144B"/>
    <w:rsid w:val="00E5329B"/>
    <w:rsid w:val="00E559F1"/>
    <w:rsid w:val="00E64FC4"/>
    <w:rsid w:val="00E6542F"/>
    <w:rsid w:val="00E65C48"/>
    <w:rsid w:val="00E67BF3"/>
    <w:rsid w:val="00E7267B"/>
    <w:rsid w:val="00E738A5"/>
    <w:rsid w:val="00E75014"/>
    <w:rsid w:val="00E7699F"/>
    <w:rsid w:val="00E84602"/>
    <w:rsid w:val="00E92DC4"/>
    <w:rsid w:val="00EA2288"/>
    <w:rsid w:val="00EB2E3E"/>
    <w:rsid w:val="00EB3D0E"/>
    <w:rsid w:val="00EB5B1E"/>
    <w:rsid w:val="00EC33A8"/>
    <w:rsid w:val="00EC7543"/>
    <w:rsid w:val="00ED0778"/>
    <w:rsid w:val="00ED10E7"/>
    <w:rsid w:val="00EE1CCD"/>
    <w:rsid w:val="00EF3099"/>
    <w:rsid w:val="00F02D0E"/>
    <w:rsid w:val="00F10E5E"/>
    <w:rsid w:val="00F11CBF"/>
    <w:rsid w:val="00F3367A"/>
    <w:rsid w:val="00F35DDF"/>
    <w:rsid w:val="00F3660D"/>
    <w:rsid w:val="00F420A0"/>
    <w:rsid w:val="00F466C4"/>
    <w:rsid w:val="00F46BB7"/>
    <w:rsid w:val="00F521E5"/>
    <w:rsid w:val="00F73229"/>
    <w:rsid w:val="00F745F6"/>
    <w:rsid w:val="00F80086"/>
    <w:rsid w:val="00F81237"/>
    <w:rsid w:val="00F82FAD"/>
    <w:rsid w:val="00F869BF"/>
    <w:rsid w:val="00FA251F"/>
    <w:rsid w:val="00FA47E1"/>
    <w:rsid w:val="00FD21E7"/>
    <w:rsid w:val="00FD42A3"/>
    <w:rsid w:val="00FD481C"/>
    <w:rsid w:val="00FD4AAB"/>
    <w:rsid w:val="00FD7445"/>
    <w:rsid w:val="00FD7CD5"/>
    <w:rsid w:val="00FF0E71"/>
    <w:rsid w:val="00FF2888"/>
    <w:rsid w:val="00FF381F"/>
    <w:rsid w:val="00FF4480"/>
    <w:rsid w:val="00FF5B67"/>
    <w:rsid w:val="00FF6B0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AAD5C"/>
  <w15:docId w15:val="{D585241F-67E6-4E3E-BD64-3CB70F73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dolnego">
    <w:name w:val="footnote text"/>
    <w:basedOn w:val="Normalny"/>
    <w:link w:val="TekstprzypisudolnegoZnak"/>
    <w:rsid w:val="00B543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54306"/>
    <w:rPr>
      <w:rFonts w:ascii="Times New Roman" w:eastAsia="Times New Roman" w:hAnsi="Times New Roman" w:cs="Times New Roman"/>
      <w:sz w:val="20"/>
      <w:szCs w:val="20"/>
      <w:lang w:eastAsia="pl-PL"/>
    </w:rPr>
  </w:style>
  <w:style w:type="character" w:styleId="Odwoanieprzypisudolnego">
    <w:name w:val="footnote reference"/>
    <w:aliases w:val="FZ"/>
    <w:rsid w:val="00B54306"/>
    <w:rPr>
      <w:vertAlign w:val="superscript"/>
    </w:rPr>
  </w:style>
  <w:style w:type="paragraph" w:customStyle="1" w:styleId="Style24">
    <w:name w:val="Style24"/>
    <w:basedOn w:val="Normalny"/>
    <w:uiPriority w:val="99"/>
    <w:rsid w:val="00BD2DC7"/>
    <w:pPr>
      <w:widowControl w:val="0"/>
      <w:autoSpaceDE w:val="0"/>
      <w:autoSpaceDN w:val="0"/>
      <w:adjustRightInd w:val="0"/>
      <w:spacing w:after="0" w:line="288" w:lineRule="exact"/>
      <w:ind w:firstLine="1102"/>
      <w:jc w:val="both"/>
    </w:pPr>
    <w:rPr>
      <w:rFonts w:ascii="Times New Roman" w:eastAsiaTheme="minorEastAsia" w:hAnsi="Times New Roman" w:cs="Times New Roman"/>
      <w:sz w:val="24"/>
      <w:szCs w:val="24"/>
      <w:lang w:eastAsia="pl-PL"/>
    </w:rPr>
  </w:style>
  <w:style w:type="paragraph" w:customStyle="1" w:styleId="Style28">
    <w:name w:val="Style28"/>
    <w:basedOn w:val="Normalny"/>
    <w:uiPriority w:val="99"/>
    <w:rsid w:val="00B1774B"/>
    <w:pPr>
      <w:widowControl w:val="0"/>
      <w:autoSpaceDE w:val="0"/>
      <w:autoSpaceDN w:val="0"/>
      <w:adjustRightInd w:val="0"/>
      <w:spacing w:after="0" w:line="287" w:lineRule="exact"/>
      <w:jc w:val="both"/>
    </w:pPr>
    <w:rPr>
      <w:rFonts w:ascii="Times New Roman" w:eastAsiaTheme="minorEastAsia" w:hAnsi="Times New Roman" w:cs="Times New Roman"/>
      <w:sz w:val="24"/>
      <w:szCs w:val="24"/>
      <w:lang w:eastAsia="pl-PL"/>
    </w:rPr>
  </w:style>
  <w:style w:type="character" w:customStyle="1" w:styleId="FontStyle53">
    <w:name w:val="Font Style53"/>
    <w:basedOn w:val="Domylnaczcionkaakapitu"/>
    <w:uiPriority w:val="99"/>
    <w:rsid w:val="00B1774B"/>
    <w:rPr>
      <w:rFonts w:ascii="Times New Roman" w:hAnsi="Times New Roman" w:cs="Times New Roman"/>
      <w:sz w:val="22"/>
      <w:szCs w:val="22"/>
    </w:rPr>
  </w:style>
  <w:style w:type="table" w:customStyle="1" w:styleId="Tabela-Siatka1">
    <w:name w:val="Tabela - Siatka1"/>
    <w:basedOn w:val="Standardowy"/>
    <w:next w:val="Tabela-Siatka"/>
    <w:uiPriority w:val="59"/>
    <w:rsid w:val="00802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8"/>
    <w:basedOn w:val="Normalny"/>
    <w:uiPriority w:val="99"/>
    <w:rsid w:val="00C02C3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character" w:customStyle="1" w:styleId="FontStyle47">
    <w:name w:val="Font Style47"/>
    <w:basedOn w:val="Domylnaczcionkaakapitu"/>
    <w:uiPriority w:val="99"/>
    <w:rsid w:val="00C02C32"/>
    <w:rPr>
      <w:rFonts w:ascii="Times New Roman" w:hAnsi="Times New Roman" w:cs="Times New Roman"/>
      <w:b/>
      <w:bCs/>
      <w:sz w:val="18"/>
      <w:szCs w:val="18"/>
    </w:rPr>
  </w:style>
  <w:style w:type="character" w:customStyle="1" w:styleId="FontStyle32">
    <w:name w:val="Font Style32"/>
    <w:basedOn w:val="Domylnaczcionkaakapitu"/>
    <w:uiPriority w:val="99"/>
    <w:rsid w:val="00C06062"/>
    <w:rPr>
      <w:rFonts w:ascii="Times New Roman" w:hAnsi="Times New Roman" w:cs="Times New Roman"/>
      <w:sz w:val="18"/>
      <w:szCs w:val="18"/>
    </w:rPr>
  </w:style>
  <w:style w:type="paragraph" w:customStyle="1" w:styleId="Style4">
    <w:name w:val="Style4"/>
    <w:basedOn w:val="Normalny"/>
    <w:uiPriority w:val="99"/>
    <w:rsid w:val="00C06062"/>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character" w:styleId="Uwydatnienie">
    <w:name w:val="Emphasis"/>
    <w:basedOn w:val="Domylnaczcionkaakapitu"/>
    <w:uiPriority w:val="20"/>
    <w:qFormat/>
    <w:rsid w:val="009F5BED"/>
    <w:rPr>
      <w:i/>
      <w:iCs/>
    </w:rPr>
  </w:style>
  <w:style w:type="character" w:styleId="Hipercze">
    <w:name w:val="Hyperlink"/>
    <w:basedOn w:val="Domylnaczcionkaakapitu"/>
    <w:uiPriority w:val="99"/>
    <w:unhideWhenUsed/>
    <w:rsid w:val="004C068F"/>
    <w:rPr>
      <w:color w:val="0000FF" w:themeColor="hyperlink"/>
      <w:u w:val="single"/>
    </w:rPr>
  </w:style>
  <w:style w:type="character" w:styleId="Nierozpoznanawzmianka">
    <w:name w:val="Unresolved Mention"/>
    <w:basedOn w:val="Domylnaczcionkaakapitu"/>
    <w:uiPriority w:val="99"/>
    <w:semiHidden/>
    <w:unhideWhenUsed/>
    <w:rsid w:val="004C068F"/>
    <w:rPr>
      <w:color w:val="605E5C"/>
      <w:shd w:val="clear" w:color="auto" w:fill="E1DFDD"/>
    </w:rPr>
  </w:style>
  <w:style w:type="paragraph" w:customStyle="1" w:styleId="ti-art">
    <w:name w:val="ti-art"/>
    <w:basedOn w:val="Normalny"/>
    <w:rsid w:val="00D820C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i-art">
    <w:name w:val="sti-art"/>
    <w:basedOn w:val="Normalny"/>
    <w:rsid w:val="00D820C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Normalny1">
    <w:name w:val="Normalny1"/>
    <w:basedOn w:val="Normalny"/>
    <w:rsid w:val="00D820C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336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3367A"/>
    <w:rPr>
      <w:sz w:val="20"/>
      <w:szCs w:val="20"/>
    </w:rPr>
  </w:style>
  <w:style w:type="character" w:styleId="Odwoanieprzypisukocowego">
    <w:name w:val="endnote reference"/>
    <w:basedOn w:val="Domylnaczcionkaakapitu"/>
    <w:uiPriority w:val="99"/>
    <w:semiHidden/>
    <w:unhideWhenUsed/>
    <w:rsid w:val="00F3367A"/>
    <w:rPr>
      <w:vertAlign w:val="superscript"/>
    </w:rPr>
  </w:style>
  <w:style w:type="paragraph" w:customStyle="1" w:styleId="Default">
    <w:name w:val="Default"/>
    <w:rsid w:val="005C145B"/>
    <w:pPr>
      <w:autoSpaceDE w:val="0"/>
      <w:autoSpaceDN w:val="0"/>
      <w:adjustRightInd w:val="0"/>
      <w:spacing w:after="0" w:line="240" w:lineRule="auto"/>
    </w:pPr>
    <w:rPr>
      <w:rFonts w:ascii="Cambria" w:hAnsi="Cambria" w:cs="Cambria"/>
      <w:color w:val="000000"/>
      <w:sz w:val="24"/>
      <w:szCs w:val="24"/>
    </w:rPr>
  </w:style>
  <w:style w:type="paragraph" w:customStyle="1" w:styleId="ZLITUSTzmustliter">
    <w:name w:val="Z_LIT/UST(§) – zm. ust. (§) literą"/>
    <w:basedOn w:val="USTustnpkodeksu"/>
    <w:uiPriority w:val="46"/>
    <w:qFormat/>
    <w:rsid w:val="008146E0"/>
    <w:pPr>
      <w:ind w:left="987"/>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0463">
      <w:bodyDiv w:val="1"/>
      <w:marLeft w:val="0"/>
      <w:marRight w:val="0"/>
      <w:marTop w:val="0"/>
      <w:marBottom w:val="0"/>
      <w:divBdr>
        <w:top w:val="none" w:sz="0" w:space="0" w:color="auto"/>
        <w:left w:val="none" w:sz="0" w:space="0" w:color="auto"/>
        <w:bottom w:val="none" w:sz="0" w:space="0" w:color="auto"/>
        <w:right w:val="none" w:sz="0" w:space="0" w:color="auto"/>
      </w:divBdr>
    </w:div>
    <w:div w:id="555316801">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900943076">
      <w:bodyDiv w:val="1"/>
      <w:marLeft w:val="0"/>
      <w:marRight w:val="0"/>
      <w:marTop w:val="0"/>
      <w:marBottom w:val="0"/>
      <w:divBdr>
        <w:top w:val="none" w:sz="0" w:space="0" w:color="auto"/>
        <w:left w:val="none" w:sz="0" w:space="0" w:color="auto"/>
        <w:bottom w:val="none" w:sz="0" w:space="0" w:color="auto"/>
        <w:right w:val="none" w:sz="0" w:space="0" w:color="auto"/>
      </w:divBdr>
    </w:div>
    <w:div w:id="1203247035">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629626674">
      <w:bodyDiv w:val="1"/>
      <w:marLeft w:val="0"/>
      <w:marRight w:val="0"/>
      <w:marTop w:val="0"/>
      <w:marBottom w:val="0"/>
      <w:divBdr>
        <w:top w:val="none" w:sz="0" w:space="0" w:color="auto"/>
        <w:left w:val="none" w:sz="0" w:space="0" w:color="auto"/>
        <w:bottom w:val="none" w:sz="0" w:space="0" w:color="auto"/>
        <w:right w:val="none" w:sz="0" w:space="0" w:color="auto"/>
      </w:divBdr>
    </w:div>
    <w:div w:id="180808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legislacja.rcl.gov.pl/projekt/12354503/katalog/12839203"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9E344-A28A-4946-AA5C-CEB1547ED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5835</Words>
  <Characters>35015</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Pawlak Justyna  (DLPC)</cp:lastModifiedBy>
  <cp:revision>2</cp:revision>
  <cp:lastPrinted>2021-10-11T13:00:00Z</cp:lastPrinted>
  <dcterms:created xsi:type="dcterms:W3CDTF">2022-09-12T07:55:00Z</dcterms:created>
  <dcterms:modified xsi:type="dcterms:W3CDTF">2022-09-12T07:55:00Z</dcterms:modified>
</cp:coreProperties>
</file>