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F3A23" w14:textId="77777777" w:rsidR="006F3709" w:rsidRDefault="00AD3B41" w:rsidP="006F3709">
      <w:pPr>
        <w:jc w:val="right"/>
      </w:pPr>
      <w:bookmarkStart w:id="0" w:name="_GoBack"/>
      <w:bookmarkEnd w:id="0"/>
      <w:r>
        <w:t xml:space="preserve">Warszawa,  </w:t>
      </w:r>
      <w:bookmarkStart w:id="1" w:name="ezdDataPodpisu"/>
      <w:r>
        <w:t>$DATA</w:t>
      </w:r>
      <w:bookmarkEnd w:id="1"/>
      <w:r>
        <w:t xml:space="preserve"> r.</w:t>
      </w:r>
    </w:p>
    <w:p w14:paraId="55B5FF05" w14:textId="77777777" w:rsidR="006F3709" w:rsidRDefault="00AD3B41" w:rsidP="006F3709">
      <w:pPr>
        <w:pStyle w:val="menfont"/>
      </w:pPr>
      <w:bookmarkStart w:id="2" w:name="ezdSprawaZnak"/>
      <w:r>
        <w:t>DWST-WSST.356.2818.2019</w:t>
      </w:r>
      <w:bookmarkEnd w:id="2"/>
      <w:r>
        <w:t>.</w:t>
      </w:r>
      <w:bookmarkStart w:id="3" w:name="ezdAutorInicjaly"/>
      <w:r>
        <w:t>BK</w:t>
      </w:r>
      <w:bookmarkEnd w:id="3"/>
    </w:p>
    <w:p w14:paraId="42054665" w14:textId="77777777" w:rsidR="00312C81" w:rsidRDefault="00B36FA6">
      <w:pPr>
        <w:pStyle w:val="menfont"/>
      </w:pPr>
    </w:p>
    <w:p w14:paraId="5F6A79E4" w14:textId="77777777" w:rsidR="00312C81" w:rsidRDefault="00B36FA6">
      <w:pPr>
        <w:pStyle w:val="menfont"/>
      </w:pPr>
    </w:p>
    <w:p w14:paraId="12D2FA92" w14:textId="77777777" w:rsidR="00FA6E59" w:rsidRDefault="00B36FA6">
      <w:pPr>
        <w:pStyle w:val="menfont"/>
      </w:pPr>
    </w:p>
    <w:p w14:paraId="42E3653E" w14:textId="77777777" w:rsidR="00FA6E59" w:rsidRDefault="00B36FA6">
      <w:pPr>
        <w:pStyle w:val="menfont"/>
      </w:pPr>
    </w:p>
    <w:p w14:paraId="28AFC9D3" w14:textId="77777777" w:rsidR="00755406" w:rsidRPr="007E77D6" w:rsidRDefault="00755406" w:rsidP="00755406">
      <w:pPr>
        <w:pStyle w:val="menfont"/>
        <w:spacing w:line="276" w:lineRule="auto"/>
      </w:pPr>
      <w:r w:rsidRPr="007E77D6">
        <w:t>Szanowni Państwo</w:t>
      </w:r>
    </w:p>
    <w:p w14:paraId="7ADE765F" w14:textId="77777777" w:rsidR="00755406" w:rsidRPr="007E77D6" w:rsidRDefault="00755406" w:rsidP="00755406">
      <w:pPr>
        <w:pStyle w:val="menfont"/>
        <w:spacing w:line="276" w:lineRule="auto"/>
      </w:pPr>
      <w:r w:rsidRPr="007E77D6">
        <w:t>Wójtowie, Burmistrzowie,</w:t>
      </w:r>
    </w:p>
    <w:p w14:paraId="437008BB" w14:textId="77777777" w:rsidR="00755406" w:rsidRPr="007E77D6" w:rsidRDefault="00755406" w:rsidP="00755406">
      <w:pPr>
        <w:pStyle w:val="menfont"/>
        <w:spacing w:line="276" w:lineRule="auto"/>
      </w:pPr>
      <w:r w:rsidRPr="007E77D6">
        <w:t>Prezydenci Miast,</w:t>
      </w:r>
    </w:p>
    <w:p w14:paraId="3C0BCF44" w14:textId="77777777" w:rsidR="00755406" w:rsidRPr="007E77D6" w:rsidRDefault="00755406" w:rsidP="00755406">
      <w:pPr>
        <w:pStyle w:val="menfont"/>
        <w:spacing w:line="276" w:lineRule="auto"/>
      </w:pPr>
      <w:r w:rsidRPr="007E77D6">
        <w:t>Starostowie Powiatów,</w:t>
      </w:r>
    </w:p>
    <w:p w14:paraId="2C1B3BAC" w14:textId="77777777" w:rsidR="00755406" w:rsidRPr="007E77D6" w:rsidRDefault="00755406" w:rsidP="00755406">
      <w:pPr>
        <w:pStyle w:val="menfont"/>
        <w:spacing w:line="276" w:lineRule="auto"/>
      </w:pPr>
      <w:r w:rsidRPr="007E77D6">
        <w:t>Marszałkowie Województw</w:t>
      </w:r>
    </w:p>
    <w:p w14:paraId="2BCCF267" w14:textId="77777777" w:rsidR="00755406" w:rsidRDefault="00755406" w:rsidP="00755406">
      <w:pPr>
        <w:spacing w:line="276" w:lineRule="auto"/>
        <w:jc w:val="both"/>
      </w:pPr>
      <w:r w:rsidRPr="009D2892">
        <w:t>/wszyscy/</w:t>
      </w:r>
    </w:p>
    <w:p w14:paraId="707C26BE" w14:textId="77777777" w:rsidR="00755406" w:rsidRDefault="00755406" w:rsidP="00755406">
      <w:pPr>
        <w:pStyle w:val="menfont"/>
        <w:spacing w:line="276" w:lineRule="auto"/>
      </w:pPr>
    </w:p>
    <w:p w14:paraId="65E7323E" w14:textId="77777777" w:rsidR="00755406" w:rsidRDefault="00755406" w:rsidP="00755406">
      <w:pPr>
        <w:pStyle w:val="menfont"/>
        <w:spacing w:line="276" w:lineRule="auto"/>
      </w:pPr>
    </w:p>
    <w:p w14:paraId="717F7207" w14:textId="77777777" w:rsidR="00755406" w:rsidRPr="007E77D6" w:rsidRDefault="00755406" w:rsidP="00755406">
      <w:pPr>
        <w:pStyle w:val="menfont"/>
        <w:spacing w:line="276" w:lineRule="auto"/>
        <w:rPr>
          <w:i/>
        </w:rPr>
      </w:pPr>
      <w:r w:rsidRPr="007E77D6">
        <w:rPr>
          <w:i/>
        </w:rPr>
        <w:t>Szanowni Państwo,</w:t>
      </w:r>
    </w:p>
    <w:p w14:paraId="414659E6" w14:textId="77777777" w:rsidR="00755406" w:rsidRDefault="00755406" w:rsidP="00755406">
      <w:pPr>
        <w:tabs>
          <w:tab w:val="left" w:pos="709"/>
        </w:tabs>
        <w:spacing w:before="120" w:after="240" w:line="276" w:lineRule="auto"/>
        <w:jc w:val="both"/>
      </w:pPr>
      <w:r w:rsidRPr="007E77D6">
        <w:t>nawiązując do pism Ministra Finansów skierowanych do wszystkich Państwa, do</w:t>
      </w:r>
      <w:r>
        <w:t xml:space="preserve">tyczących określenia między innymi </w:t>
      </w:r>
      <w:r w:rsidRPr="007E77D6">
        <w:t>ostatecznej kwoty części oświatowej subwencji ogólnej</w:t>
      </w:r>
      <w:r w:rsidR="00201E5C">
        <w:t xml:space="preserve"> na rok 2019</w:t>
      </w:r>
      <w:r w:rsidRPr="007E77D6">
        <w:t xml:space="preserve">, przekazuję </w:t>
      </w:r>
      <w:r>
        <w:t xml:space="preserve">dodatkowe informacje </w:t>
      </w:r>
      <w:r w:rsidRPr="007E77D6">
        <w:t>o założeniach przyjętych do skalkulowania wysokości subwencji oświatowej dla jednostek samorządu terytorialnego</w:t>
      </w:r>
      <w:r>
        <w:t xml:space="preserve"> (jst)</w:t>
      </w:r>
      <w:r w:rsidRPr="007E77D6">
        <w:t>.</w:t>
      </w:r>
    </w:p>
    <w:p w14:paraId="42F3A100" w14:textId="77777777" w:rsidR="00755406" w:rsidRPr="002926F8" w:rsidRDefault="00755406" w:rsidP="00755406">
      <w:pPr>
        <w:tabs>
          <w:tab w:val="left" w:pos="540"/>
          <w:tab w:val="left" w:pos="709"/>
          <w:tab w:val="left" w:pos="2520"/>
        </w:tabs>
        <w:spacing w:after="120" w:line="276" w:lineRule="auto"/>
        <w:jc w:val="both"/>
        <w:rPr>
          <w:rFonts w:ascii="ArialMT" w:hAnsi="ArialMT"/>
        </w:rPr>
      </w:pPr>
      <w:r>
        <w:t>W ustawie budżetowej na rok 2019</w:t>
      </w:r>
      <w:r w:rsidRPr="007E77D6">
        <w:t xml:space="preserve"> z </w:t>
      </w:r>
      <w:r>
        <w:t>16 stycznia 2019 r. (Dz. U. z 2019 r., poz. 198</w:t>
      </w:r>
      <w:r w:rsidRPr="007E77D6">
        <w:t xml:space="preserve">) w części 82 „Subwencje ogólne dla jednostek samorządu terytorialnego”, </w:t>
      </w:r>
      <w:r w:rsidRPr="007E77D6">
        <w:br/>
        <w:t xml:space="preserve">w dziale 758 „Różne rozliczenia”, w rozdziale 75801 „Część oświatowa subwencji ogólnej dla jednostek samorządu terytorialnego” łączna kwota </w:t>
      </w:r>
      <w:r>
        <w:t xml:space="preserve">subwencji oświatowej </w:t>
      </w:r>
      <w:r w:rsidRPr="007E77D6">
        <w:t xml:space="preserve">określona została w wysokości </w:t>
      </w:r>
      <w:r w:rsidRPr="002926F8">
        <w:t xml:space="preserve">45.907.494 tys. zł. </w:t>
      </w:r>
      <w:r w:rsidRPr="002926F8">
        <w:rPr>
          <w:rFonts w:ascii="ArialMT" w:hAnsi="ArialMT"/>
        </w:rPr>
        <w:t xml:space="preserve">Jest ona wyższa w stosunku do kwoty części oświatowej subwencji ogólnej uwzględnionej w ustawie budżetowej na rok 2018 (43.075.129 tys. zł) </w:t>
      </w:r>
      <w:r w:rsidR="002926F8">
        <w:rPr>
          <w:rFonts w:ascii="ArialMT" w:hAnsi="ArialMT"/>
        </w:rPr>
        <w:t>o </w:t>
      </w:r>
      <w:r w:rsidRPr="002926F8">
        <w:rPr>
          <w:rFonts w:ascii="ArialMT" w:hAnsi="ArialMT"/>
        </w:rPr>
        <w:t>2.832.365 tys. zł, tj. o 6,6%.</w:t>
      </w:r>
    </w:p>
    <w:p w14:paraId="17744BAD" w14:textId="77777777" w:rsidR="00755406" w:rsidRPr="00946E41" w:rsidRDefault="00755406" w:rsidP="00755406">
      <w:pPr>
        <w:tabs>
          <w:tab w:val="left" w:pos="540"/>
          <w:tab w:val="left" w:pos="709"/>
          <w:tab w:val="left" w:pos="2520"/>
        </w:tabs>
        <w:spacing w:after="120" w:line="276" w:lineRule="auto"/>
        <w:jc w:val="both"/>
      </w:pPr>
      <w:r>
        <w:t>Ł</w:t>
      </w:r>
      <w:r w:rsidRPr="007E77D6">
        <w:t xml:space="preserve">ączna kwota części oświatowej subwencji ogólnej </w:t>
      </w:r>
      <w:r>
        <w:t xml:space="preserve">na 2019 r. </w:t>
      </w:r>
      <w:r w:rsidRPr="007E77D6">
        <w:t xml:space="preserve">została </w:t>
      </w:r>
      <w:r>
        <w:t>ustalona</w:t>
      </w:r>
      <w:r w:rsidRPr="007E77D6">
        <w:t xml:space="preserve"> zgodnie z art</w:t>
      </w:r>
      <w:r>
        <w:t xml:space="preserve">. 28 ust. 1 ustawy z dnia </w:t>
      </w:r>
      <w:r w:rsidRPr="007E77D6">
        <w:t>13 listopada 2003 r. o dochodach jednostek samorządu terytorialnego (</w:t>
      </w:r>
      <w:r>
        <w:t>Dz. U. z 2018</w:t>
      </w:r>
      <w:r w:rsidRPr="00B24F5E">
        <w:t xml:space="preserve"> r., poz</w:t>
      </w:r>
      <w:r>
        <w:t>. 1530</w:t>
      </w:r>
      <w:r w:rsidR="00A54936">
        <w:t>,</w:t>
      </w:r>
      <w:r w:rsidR="001B785B">
        <w:t xml:space="preserve"> z późn. zm.) w </w:t>
      </w:r>
      <w:r w:rsidRPr="007E77D6">
        <w:t>wysokości łącznej kwoty części oświatowej subwencji ogólnej nie mniejszej niż przyjęta w ustawie</w:t>
      </w:r>
      <w:r>
        <w:t xml:space="preserve"> budżetowej w roku bazowym (2018</w:t>
      </w:r>
      <w:r w:rsidR="00A815CD">
        <w:t>), skorygowanej o </w:t>
      </w:r>
      <w:r w:rsidRPr="007E77D6">
        <w:t xml:space="preserve">kwotę innych wydatków z tytułu zmiany realizowanych zadań oświatowych. </w:t>
      </w:r>
    </w:p>
    <w:p w14:paraId="6387FB0C" w14:textId="77777777" w:rsidR="00755406" w:rsidRPr="007E77D6" w:rsidRDefault="00755406" w:rsidP="00755406">
      <w:pPr>
        <w:tabs>
          <w:tab w:val="center" w:pos="567"/>
          <w:tab w:val="right" w:pos="9072"/>
        </w:tabs>
        <w:spacing w:before="120" w:after="240" w:line="276" w:lineRule="auto"/>
        <w:jc w:val="both"/>
      </w:pPr>
      <w:r w:rsidRPr="007E77D6">
        <w:lastRenderedPageBreak/>
        <w:t>Zgodnie z art. 33 ust. 1 ww. ustawy z</w:t>
      </w:r>
      <w:r>
        <w:t xml:space="preserve"> </w:t>
      </w:r>
      <w:r w:rsidRPr="007E77D6">
        <w:t>dnia 13 listopada 2003 r. o dochodach jednostek samorządu terytorialnego, minister właściwy do spraw finansów publicznych poinformował jednostki samorządu terytorialnego:</w:t>
      </w:r>
    </w:p>
    <w:p w14:paraId="72B6D4F9" w14:textId="77777777" w:rsidR="00755406" w:rsidRPr="007E77D6" w:rsidRDefault="00755406" w:rsidP="00755406">
      <w:pPr>
        <w:numPr>
          <w:ilvl w:val="0"/>
          <w:numId w:val="1"/>
        </w:numPr>
        <w:spacing w:before="120" w:after="240" w:line="276" w:lineRule="auto"/>
        <w:ind w:left="284" w:hanging="284"/>
        <w:jc w:val="both"/>
      </w:pPr>
      <w:r w:rsidRPr="007E77D6">
        <w:t xml:space="preserve">w terminie do dnia 15 </w:t>
      </w:r>
      <w:r>
        <w:t>października roku bazowego (2018</w:t>
      </w:r>
      <w:r w:rsidRPr="007E77D6">
        <w:t xml:space="preserve">) – o rocznych </w:t>
      </w:r>
      <w:r w:rsidRPr="00157F1F">
        <w:t>planowanych</w:t>
      </w:r>
      <w:r w:rsidRPr="007E77D6">
        <w:t xml:space="preserve"> kwotach części oświatowej subwencji ogólnej przyjętych </w:t>
      </w:r>
      <w:r w:rsidRPr="007E77D6">
        <w:br/>
        <w:t>w projekc</w:t>
      </w:r>
      <w:r>
        <w:t>ie ustawy budżetowej na rok 2019</w:t>
      </w:r>
      <w:r w:rsidRPr="007E77D6">
        <w:t xml:space="preserve"> (subwencja oświatowa wstępna),</w:t>
      </w:r>
    </w:p>
    <w:p w14:paraId="6B153796" w14:textId="77777777" w:rsidR="00755406" w:rsidRPr="007E77D6" w:rsidRDefault="00755406" w:rsidP="00755406">
      <w:pPr>
        <w:numPr>
          <w:ilvl w:val="0"/>
          <w:numId w:val="1"/>
        </w:numPr>
        <w:spacing w:before="120" w:after="240" w:line="276" w:lineRule="auto"/>
        <w:ind w:left="284" w:hanging="284"/>
        <w:jc w:val="both"/>
      </w:pPr>
      <w:r>
        <w:t xml:space="preserve">w terminie </w:t>
      </w:r>
      <w:r w:rsidRPr="007E77D6">
        <w:t>14 dni od dnia ogłoszen</w:t>
      </w:r>
      <w:r>
        <w:t>ia ustawy budżetowej na rok 2019</w:t>
      </w:r>
      <w:r w:rsidRPr="007E77D6">
        <w:t xml:space="preserve"> – </w:t>
      </w:r>
      <w:r w:rsidRPr="007E77D6">
        <w:br/>
        <w:t xml:space="preserve">o rocznych kwotach części oświatowej subwencji ogólnej wynikających </w:t>
      </w:r>
      <w:r w:rsidRPr="007E77D6">
        <w:br/>
        <w:t xml:space="preserve">z ustawy budżetowej </w:t>
      </w:r>
      <w:r w:rsidRPr="00157F1F">
        <w:t>(subwencja oświatowa ostateczna).</w:t>
      </w:r>
    </w:p>
    <w:p w14:paraId="28025B52" w14:textId="77777777" w:rsidR="00755406" w:rsidRDefault="00755406" w:rsidP="00755406">
      <w:pPr>
        <w:spacing w:before="120" w:after="240" w:line="276" w:lineRule="auto"/>
        <w:jc w:val="both"/>
      </w:pPr>
      <w:r w:rsidRPr="00BB5E38">
        <w:t>Kwota części oświatowej subwencji ogólnej ujęta w ustawie budżetowej</w:t>
      </w:r>
      <w:r>
        <w:t xml:space="preserve"> na rok 2019 – po odjęciu 0,4% rezerwy w wysokości </w:t>
      </w:r>
      <w:r w:rsidR="00A815CD" w:rsidRPr="00A815CD">
        <w:t>183.629.976</w:t>
      </w:r>
      <w:r w:rsidRPr="001B785B">
        <w:t xml:space="preserve"> zł </w:t>
      </w:r>
      <w:r w:rsidRPr="00BB5E38">
        <w:t>– została podzielona p</w:t>
      </w:r>
      <w:r>
        <w:t xml:space="preserve">omiędzy samorządy terytorialne. Zakres zadań </w:t>
      </w:r>
      <w:r w:rsidRPr="007A23A2">
        <w:t>oświatowych realizowanych przez poszczególne jednostki samorządu terytorialnego, stanowiący podstawę</w:t>
      </w:r>
      <w:r>
        <w:t xml:space="preserve"> do naliczenia subwencji ostatecznej na 2019</w:t>
      </w:r>
      <w:r w:rsidRPr="007A23A2">
        <w:t xml:space="preserve"> r., określony zost</w:t>
      </w:r>
      <w:r>
        <w:t>ał na podstawie</w:t>
      </w:r>
      <w:r w:rsidRPr="007A23A2">
        <w:t>:</w:t>
      </w:r>
    </w:p>
    <w:p w14:paraId="7D762CEE" w14:textId="77777777" w:rsidR="00755406" w:rsidRDefault="00755406" w:rsidP="00755406">
      <w:pPr>
        <w:pStyle w:val="Akapitzlist"/>
        <w:numPr>
          <w:ilvl w:val="0"/>
          <w:numId w:val="3"/>
        </w:numPr>
        <w:spacing w:before="120" w:after="240" w:line="276" w:lineRule="auto"/>
        <w:jc w:val="both"/>
      </w:pPr>
      <w:r>
        <w:t>rozporządzenia Ministra Edukacji Narodowej z dnia 18</w:t>
      </w:r>
      <w:r w:rsidRPr="002C00C5">
        <w:t xml:space="preserve"> grudnia 201</w:t>
      </w:r>
      <w:r>
        <w:t>8</w:t>
      </w:r>
      <w:r w:rsidRPr="002C00C5">
        <w:t xml:space="preserve"> r. </w:t>
      </w:r>
      <w:r>
        <w:br/>
      </w:r>
      <w:r w:rsidRPr="002C00C5">
        <w:t>w sprawie sposobu podziału części oświatowej subwencji ogólnej dla jednostek samorz</w:t>
      </w:r>
      <w:r>
        <w:t>ądu terytorialnego w ro</w:t>
      </w:r>
      <w:r w:rsidR="00A815CD">
        <w:t>ku 2019 (Dz. U. z 2018 r., poz. </w:t>
      </w:r>
      <w:r>
        <w:t>2446</w:t>
      </w:r>
      <w:r w:rsidRPr="002C00C5">
        <w:t>).</w:t>
      </w:r>
    </w:p>
    <w:p w14:paraId="39A6A5FD" w14:textId="77777777" w:rsidR="00755406" w:rsidRPr="002C00C5" w:rsidRDefault="00755406" w:rsidP="00755406">
      <w:pPr>
        <w:pStyle w:val="Nagwek"/>
        <w:numPr>
          <w:ilvl w:val="0"/>
          <w:numId w:val="3"/>
        </w:numPr>
        <w:tabs>
          <w:tab w:val="right" w:pos="709"/>
        </w:tabs>
        <w:spacing w:after="120" w:line="276" w:lineRule="auto"/>
        <w:jc w:val="both"/>
      </w:pPr>
      <w:r>
        <w:t xml:space="preserve">liczby </w:t>
      </w:r>
      <w:r w:rsidRPr="002C00C5">
        <w:t xml:space="preserve">uczniów (wychowanków) w roku </w:t>
      </w:r>
      <w:r>
        <w:t>szkolnym 2018/2019, wykazanych w </w:t>
      </w:r>
      <w:r w:rsidRPr="002C00C5">
        <w:t>systemie informacji oświatowej (według</w:t>
      </w:r>
      <w:r>
        <w:t xml:space="preserve"> stanu na dzień 30 września 2018</w:t>
      </w:r>
      <w:r w:rsidRPr="002C00C5">
        <w:t xml:space="preserve"> r. i</w:t>
      </w:r>
      <w:r>
        <w:t> w przypadku kolegiów pracowników służb społecznych wg stanu na dzień 10 października 2018</w:t>
      </w:r>
      <w:r w:rsidRPr="002C00C5">
        <w:t xml:space="preserve"> r.), zweryfikowanych przez organy prowadzące (dotujące) szkoły i placówki oświatowe. Uwzględniono wychowanków przedszkoli, oddziałów przedszkolnych zorganizowa</w:t>
      </w:r>
      <w:r>
        <w:t>nych w szkołach podstawowych, a </w:t>
      </w:r>
      <w:r w:rsidRPr="002C00C5">
        <w:t>także innych form wychowania przedszkolnego w wi</w:t>
      </w:r>
      <w:r>
        <w:t xml:space="preserve">eku 6 lat i powyżej. W związku </w:t>
      </w:r>
      <w:r w:rsidRPr="002C00C5">
        <w:t>z</w:t>
      </w:r>
      <w:r>
        <w:t>e</w:t>
      </w:r>
      <w:r w:rsidRPr="002C00C5">
        <w:t xml:space="preserve"> zmianą ustroju oświaty, która nastąpiła od 1 września 2017 r., </w:t>
      </w:r>
      <w:r>
        <w:t>zastosowano wskaźniki zmniejszające/zwiększające odnośnie liczby uczniów (wychowanków) w poszczególnych typach szk</w:t>
      </w:r>
      <w:r w:rsidR="00A815CD">
        <w:t>ół (placówek) określonych w ww. </w:t>
      </w:r>
      <w:r>
        <w:t>rozporządzeniu w sprawie podziału subwencji za rok 2019.</w:t>
      </w:r>
    </w:p>
    <w:p w14:paraId="493ABABE" w14:textId="77777777" w:rsidR="00755406" w:rsidRPr="002C00C5" w:rsidRDefault="00755406" w:rsidP="00755406">
      <w:pPr>
        <w:pStyle w:val="Nagwek"/>
        <w:numPr>
          <w:ilvl w:val="0"/>
          <w:numId w:val="3"/>
        </w:numPr>
        <w:tabs>
          <w:tab w:val="center" w:pos="567"/>
          <w:tab w:val="right" w:pos="1080"/>
        </w:tabs>
        <w:spacing w:after="120" w:line="276" w:lineRule="auto"/>
        <w:jc w:val="both"/>
      </w:pPr>
      <w:r>
        <w:t xml:space="preserve">  liczby </w:t>
      </w:r>
      <w:r w:rsidRPr="002C00C5">
        <w:t xml:space="preserve">etatów nauczycieli poszczególnych stopni awansu zawodowego, wykazanych w systemie informacji oświatowej (według </w:t>
      </w:r>
      <w:r>
        <w:t xml:space="preserve">stanu na dzień </w:t>
      </w:r>
      <w:r>
        <w:br/>
        <w:t>30 września 2018</w:t>
      </w:r>
      <w:r w:rsidRPr="002C00C5">
        <w:t xml:space="preserve"> r. i </w:t>
      </w:r>
      <w:r>
        <w:t>w przypadku kolegiów pracowników służb społecznych wg stanu na dzień 10 października 2018</w:t>
      </w:r>
      <w:r w:rsidRPr="002C00C5">
        <w:t xml:space="preserve"> r.) </w:t>
      </w:r>
      <w:r w:rsidRPr="002C00C5">
        <w:lastRenderedPageBreak/>
        <w:t>zweryfikowanych przez organy prowadzące (dotujące) szkoły i placówki oświatowe.</w:t>
      </w:r>
    </w:p>
    <w:p w14:paraId="6D1AF113" w14:textId="77777777" w:rsidR="00755406" w:rsidRDefault="00755406" w:rsidP="00755406">
      <w:pPr>
        <w:pStyle w:val="Nagwek"/>
        <w:tabs>
          <w:tab w:val="clear" w:pos="4536"/>
          <w:tab w:val="center" w:pos="567"/>
        </w:tabs>
        <w:spacing w:after="120" w:line="276" w:lineRule="auto"/>
        <w:jc w:val="both"/>
      </w:pPr>
      <w:r w:rsidRPr="002C00C5">
        <w:t>Podział kwoty dzielon</w:t>
      </w:r>
      <w:r>
        <w:t xml:space="preserve">ej </w:t>
      </w:r>
      <w:r w:rsidRPr="00843328">
        <w:t xml:space="preserve">algorytmicznie </w:t>
      </w:r>
      <w:r w:rsidRPr="00A815CD">
        <w:t xml:space="preserve">45.723.864.024 zł </w:t>
      </w:r>
      <w:r w:rsidRPr="00843328">
        <w:t>(całkowita kwota subwencji pomniejszona o 0,4% rezerwę)</w:t>
      </w:r>
      <w:r w:rsidRPr="002C00C5">
        <w:t xml:space="preserve"> na poszczególne szczeble samorządu kształtuje się następująco:</w:t>
      </w:r>
    </w:p>
    <w:p w14:paraId="3D9F4EE1" w14:textId="77777777" w:rsidR="00755406" w:rsidRDefault="00755406" w:rsidP="00755406">
      <w:pPr>
        <w:pStyle w:val="Nagwek"/>
        <w:tabs>
          <w:tab w:val="clear" w:pos="4536"/>
          <w:tab w:val="center" w:pos="567"/>
        </w:tabs>
        <w:spacing w:after="120" w:line="276" w:lineRule="auto"/>
        <w:jc w:val="both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3"/>
        <w:gridCol w:w="4117"/>
      </w:tblGrid>
      <w:tr w:rsidR="00755406" w14:paraId="6E2D9D28" w14:textId="77777777" w:rsidTr="00E116BA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D3A6" w14:textId="77777777" w:rsidR="00755406" w:rsidRPr="002C00C5" w:rsidRDefault="00755406" w:rsidP="00E116BA">
            <w:pPr>
              <w:pStyle w:val="Nagwek"/>
              <w:tabs>
                <w:tab w:val="clear" w:pos="4536"/>
                <w:tab w:val="center" w:pos="567"/>
              </w:tabs>
              <w:spacing w:after="120" w:line="276" w:lineRule="auto"/>
              <w:jc w:val="center"/>
            </w:pPr>
            <w:r w:rsidRPr="002C00C5">
              <w:t>Szczebel samorządu terytorialnego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4CD7" w14:textId="77777777" w:rsidR="00755406" w:rsidRPr="002C00C5" w:rsidRDefault="00755406" w:rsidP="00E116BA">
            <w:pPr>
              <w:pStyle w:val="Nagwek"/>
              <w:tabs>
                <w:tab w:val="clear" w:pos="4536"/>
                <w:tab w:val="center" w:pos="567"/>
              </w:tabs>
              <w:spacing w:after="120" w:line="276" w:lineRule="auto"/>
              <w:jc w:val="center"/>
            </w:pPr>
            <w:r w:rsidRPr="002C00C5">
              <w:t>Kwota części oświatowej subwencji ogólnej (w zł)</w:t>
            </w:r>
          </w:p>
        </w:tc>
      </w:tr>
      <w:tr w:rsidR="00755406" w14:paraId="00AC43A7" w14:textId="77777777" w:rsidTr="00E116BA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0B8E" w14:textId="77777777" w:rsidR="00755406" w:rsidRPr="002C00C5" w:rsidRDefault="00755406" w:rsidP="00E116BA">
            <w:pPr>
              <w:pStyle w:val="Nagwek"/>
              <w:tabs>
                <w:tab w:val="clear" w:pos="4536"/>
                <w:tab w:val="center" w:pos="567"/>
              </w:tabs>
              <w:spacing w:after="120" w:line="276" w:lineRule="auto"/>
            </w:pPr>
            <w:r w:rsidRPr="002C00C5">
              <w:t>Gminy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2287" w14:textId="77777777" w:rsidR="00755406" w:rsidRPr="00A815CD" w:rsidRDefault="00755406" w:rsidP="00E116BA">
            <w:pPr>
              <w:pStyle w:val="Nagwek"/>
              <w:tabs>
                <w:tab w:val="clear" w:pos="4536"/>
                <w:tab w:val="center" w:pos="567"/>
              </w:tabs>
              <w:spacing w:after="120" w:line="276" w:lineRule="auto"/>
              <w:ind w:right="368"/>
              <w:jc w:val="right"/>
              <w:rPr>
                <w:highlight w:val="yellow"/>
              </w:rPr>
            </w:pPr>
            <w:r w:rsidRPr="00A815CD">
              <w:t>29.247.506.356</w:t>
            </w:r>
          </w:p>
        </w:tc>
      </w:tr>
      <w:tr w:rsidR="00755406" w14:paraId="1D713C8F" w14:textId="77777777" w:rsidTr="00E116BA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1064" w14:textId="77777777" w:rsidR="00755406" w:rsidRPr="002C00C5" w:rsidRDefault="00755406" w:rsidP="00E116BA">
            <w:pPr>
              <w:pStyle w:val="Nagwek"/>
              <w:tabs>
                <w:tab w:val="clear" w:pos="4536"/>
                <w:tab w:val="center" w:pos="567"/>
              </w:tabs>
              <w:spacing w:after="120" w:line="276" w:lineRule="auto"/>
            </w:pPr>
            <w:r w:rsidRPr="002C00C5">
              <w:t xml:space="preserve">Powiaty 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CB68" w14:textId="77777777" w:rsidR="00755406" w:rsidRPr="00A815CD" w:rsidRDefault="00755406" w:rsidP="00E116BA">
            <w:pPr>
              <w:pStyle w:val="Nagwek"/>
              <w:tabs>
                <w:tab w:val="clear" w:pos="4536"/>
                <w:tab w:val="center" w:pos="567"/>
              </w:tabs>
              <w:spacing w:after="120" w:line="276" w:lineRule="auto"/>
              <w:ind w:right="368"/>
              <w:jc w:val="right"/>
            </w:pPr>
            <w:r w:rsidRPr="00A815CD">
              <w:t>15.879.570.007</w:t>
            </w:r>
          </w:p>
        </w:tc>
      </w:tr>
      <w:tr w:rsidR="00755406" w14:paraId="1C4EA26C" w14:textId="77777777" w:rsidTr="00E116BA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0362" w14:textId="77777777" w:rsidR="00755406" w:rsidRPr="002C00C5" w:rsidRDefault="00755406" w:rsidP="00E116BA">
            <w:pPr>
              <w:pStyle w:val="Nagwek"/>
              <w:tabs>
                <w:tab w:val="clear" w:pos="4536"/>
                <w:tab w:val="center" w:pos="567"/>
              </w:tabs>
              <w:spacing w:after="120" w:line="276" w:lineRule="auto"/>
            </w:pPr>
            <w:r w:rsidRPr="002C00C5">
              <w:t>Samorządy województw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7A62" w14:textId="77777777" w:rsidR="00755406" w:rsidRPr="00A815CD" w:rsidRDefault="00755406" w:rsidP="00E116BA">
            <w:pPr>
              <w:pStyle w:val="Nagwek"/>
              <w:tabs>
                <w:tab w:val="clear" w:pos="4536"/>
                <w:tab w:val="center" w:pos="567"/>
              </w:tabs>
              <w:spacing w:after="120" w:line="276" w:lineRule="auto"/>
              <w:ind w:right="368"/>
              <w:jc w:val="right"/>
              <w:rPr>
                <w:highlight w:val="yellow"/>
              </w:rPr>
            </w:pPr>
            <w:r w:rsidRPr="00A815CD">
              <w:t>596.787.593</w:t>
            </w:r>
          </w:p>
        </w:tc>
      </w:tr>
      <w:tr w:rsidR="00755406" w14:paraId="5B706280" w14:textId="77777777" w:rsidTr="00E116BA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D225" w14:textId="77777777" w:rsidR="00755406" w:rsidRPr="002C00C5" w:rsidRDefault="00755406" w:rsidP="00E116BA">
            <w:pPr>
              <w:pStyle w:val="Nagwek"/>
              <w:tabs>
                <w:tab w:val="clear" w:pos="4536"/>
                <w:tab w:val="center" w:pos="567"/>
              </w:tabs>
              <w:spacing w:after="120" w:line="276" w:lineRule="auto"/>
            </w:pPr>
            <w:r>
              <w:t>Reszta z zaokrągleń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7ECD" w14:textId="77777777" w:rsidR="00755406" w:rsidRPr="00A815CD" w:rsidRDefault="00755406" w:rsidP="00E116BA">
            <w:pPr>
              <w:pStyle w:val="Nagwek"/>
              <w:tabs>
                <w:tab w:val="clear" w:pos="4536"/>
                <w:tab w:val="center" w:pos="567"/>
              </w:tabs>
              <w:spacing w:after="120" w:line="276" w:lineRule="auto"/>
              <w:ind w:right="368"/>
              <w:jc w:val="right"/>
            </w:pPr>
            <w:r w:rsidRPr="00A815CD">
              <w:t>68</w:t>
            </w:r>
          </w:p>
        </w:tc>
      </w:tr>
      <w:tr w:rsidR="00755406" w14:paraId="2ED810BE" w14:textId="77777777" w:rsidTr="00E116BA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B526" w14:textId="77777777" w:rsidR="00755406" w:rsidRPr="002C00C5" w:rsidRDefault="00755406" w:rsidP="00E116BA">
            <w:pPr>
              <w:pStyle w:val="Nagwek"/>
              <w:tabs>
                <w:tab w:val="clear" w:pos="4536"/>
                <w:tab w:val="center" w:pos="567"/>
              </w:tabs>
              <w:spacing w:after="120" w:line="276" w:lineRule="auto"/>
            </w:pPr>
            <w:r w:rsidRPr="002C00C5">
              <w:t>Ogółem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34D2" w14:textId="77777777" w:rsidR="00755406" w:rsidRPr="00A815CD" w:rsidRDefault="00755406" w:rsidP="00E116BA">
            <w:pPr>
              <w:pStyle w:val="Nagwek"/>
              <w:tabs>
                <w:tab w:val="clear" w:pos="4536"/>
                <w:tab w:val="center" w:pos="567"/>
              </w:tabs>
              <w:spacing w:after="120" w:line="276" w:lineRule="auto"/>
              <w:ind w:right="368"/>
              <w:jc w:val="right"/>
            </w:pPr>
            <w:r w:rsidRPr="00A815CD">
              <w:t>45.723.864.024</w:t>
            </w:r>
          </w:p>
        </w:tc>
      </w:tr>
    </w:tbl>
    <w:p w14:paraId="32070DB2" w14:textId="77777777" w:rsidR="00755406" w:rsidRDefault="00755406" w:rsidP="00755406">
      <w:pPr>
        <w:pStyle w:val="Nagwek"/>
        <w:tabs>
          <w:tab w:val="clear" w:pos="4536"/>
          <w:tab w:val="center" w:pos="567"/>
        </w:tabs>
        <w:spacing w:after="120" w:line="276" w:lineRule="auto"/>
        <w:jc w:val="both"/>
      </w:pPr>
    </w:p>
    <w:p w14:paraId="53A53E7E" w14:textId="77777777" w:rsidR="00755406" w:rsidRPr="00A815CD" w:rsidRDefault="00755406" w:rsidP="00755406">
      <w:pPr>
        <w:pStyle w:val="Nagwek"/>
        <w:tabs>
          <w:tab w:val="clear" w:pos="4536"/>
          <w:tab w:val="center" w:pos="567"/>
        </w:tabs>
        <w:spacing w:after="120" w:line="276" w:lineRule="auto"/>
        <w:jc w:val="both"/>
      </w:pPr>
      <w:r>
        <w:t xml:space="preserve">II. Rezerwa części oświatowej subwencji ogólnej 0,4% w wysokości </w:t>
      </w:r>
      <w:r w:rsidRPr="00A815CD">
        <w:t xml:space="preserve">183.629.976 zł </w:t>
      </w:r>
      <w:r>
        <w:t xml:space="preserve">została powiększona o kwotę </w:t>
      </w:r>
      <w:r w:rsidRPr="00A815CD">
        <w:t xml:space="preserve">68 zł </w:t>
      </w:r>
      <w:r w:rsidRPr="00130EDF">
        <w:t>wynikającą z zaokrąglenia kwot skalkulowanych dla poszczególnych jednostek samorządu terytorialnego. Rezerwa części oświatowej subwencji ogólnej na 20</w:t>
      </w:r>
      <w:r>
        <w:t xml:space="preserve">19 r. wynosi łącznie </w:t>
      </w:r>
      <w:r w:rsidRPr="00A815CD">
        <w:t>183.630.044 zł.</w:t>
      </w:r>
    </w:p>
    <w:p w14:paraId="055B3B49" w14:textId="1CAA2665" w:rsidR="00755406" w:rsidRPr="007E77D6" w:rsidRDefault="00755406" w:rsidP="00755406">
      <w:pPr>
        <w:spacing w:before="120" w:after="240" w:line="276" w:lineRule="auto"/>
        <w:jc w:val="both"/>
      </w:pPr>
      <w:r w:rsidRPr="00435CFC">
        <w:t>Zwiększenia jednostkom samorządu terytorialnego części oświatowej subwencji ogólne</w:t>
      </w:r>
      <w:r w:rsidR="00EF026F">
        <w:t>j o środki 0,4</w:t>
      </w:r>
      <w:r w:rsidRPr="00435CFC">
        <w:t>% rezerwy z tytułów, które zostaną ujęte w „</w:t>
      </w:r>
      <w:r w:rsidRPr="00435CFC">
        <w:rPr>
          <w:i/>
        </w:rPr>
        <w:t>Kryteriach podziału 0,4% rezerwy części oświatow</w:t>
      </w:r>
      <w:r>
        <w:rPr>
          <w:i/>
        </w:rPr>
        <w:t>ej subwencji ogólnej na rok 2019</w:t>
      </w:r>
      <w:r w:rsidRPr="00435CFC">
        <w:t>”, dokonywane będą sukcesywnie w trakcie roku budżetowego. Wspomniane „</w:t>
      </w:r>
      <w:r w:rsidRPr="00435CFC">
        <w:rPr>
          <w:i/>
        </w:rPr>
        <w:t>Kryteria</w:t>
      </w:r>
      <w:r w:rsidRPr="00435CFC">
        <w:t xml:space="preserve">...”, po </w:t>
      </w:r>
      <w:r w:rsidR="00152106">
        <w:t>zaopiniowaniu</w:t>
      </w:r>
      <w:r w:rsidR="00152106" w:rsidRPr="00435CFC">
        <w:t xml:space="preserve"> </w:t>
      </w:r>
      <w:r w:rsidR="00152106">
        <w:t>przez</w:t>
      </w:r>
      <w:r w:rsidRPr="00435CFC">
        <w:t xml:space="preserve"> Stron</w:t>
      </w:r>
      <w:r w:rsidR="00152106">
        <w:t>ę</w:t>
      </w:r>
      <w:r w:rsidRPr="00435CFC">
        <w:t xml:space="preserve"> Samorządową Zespołu ds. Edukacji, Kultury i Sportu Komisji Wspólnej Rządu i Samorządu Terytorialnego, zostaną zamieszczone na stronie internetowej </w:t>
      </w:r>
      <w:r>
        <w:t>Ministerstwa Edukacji Narodowej.</w:t>
      </w:r>
    </w:p>
    <w:p w14:paraId="17FE10AD" w14:textId="77777777" w:rsidR="00755406" w:rsidRPr="007E77D6" w:rsidRDefault="00755406" w:rsidP="00755406">
      <w:pPr>
        <w:spacing w:before="120" w:after="240" w:line="276" w:lineRule="auto"/>
        <w:jc w:val="both"/>
      </w:pPr>
      <w:r w:rsidRPr="007E77D6">
        <w:t>Należy podkreślić, że – zgodnie z art. 28 ust. 3 ww. ustawy z dnia 13 listopada 2003 r. o dochodach jednostek samorządu terytorialnego – dysponentem rezerwy części oświatowej subwencji ogólnej jest minister właściwy do spraw finansów publicznych, który przed jej rozdysponowaniem zasięga opinii ministra właściwego do spraw oświaty i wychowania oraz reprezentacji jednostek samorządu terytorialnego.</w:t>
      </w:r>
    </w:p>
    <w:p w14:paraId="08D27652" w14:textId="77777777" w:rsidR="00755406" w:rsidRDefault="00755406" w:rsidP="00755406">
      <w:pPr>
        <w:spacing w:before="120" w:after="240" w:line="276" w:lineRule="auto"/>
        <w:jc w:val="both"/>
      </w:pPr>
      <w:r w:rsidRPr="007E77D6">
        <w:lastRenderedPageBreak/>
        <w:t xml:space="preserve">Zgodnie z art. 28 ust. 4 ww. ustawy z dnia 13 listopada 2003 r. </w:t>
      </w:r>
      <w:r>
        <w:br/>
      </w:r>
      <w:r w:rsidRPr="007E77D6">
        <w:t>o dochodach jednostek samorządu terytorialnego podział rezerwy części oświatowej subwencji ogólnej następuje nie później niż do dnia 30 listopada danego roku.</w:t>
      </w:r>
    </w:p>
    <w:p w14:paraId="0D11E77B" w14:textId="77777777" w:rsidR="00755406" w:rsidRDefault="00755406" w:rsidP="00755406">
      <w:pPr>
        <w:tabs>
          <w:tab w:val="left" w:pos="-3119"/>
          <w:tab w:val="left" w:pos="-2977"/>
          <w:tab w:val="left" w:pos="-2694"/>
          <w:tab w:val="left" w:pos="0"/>
        </w:tabs>
        <w:spacing w:before="120" w:after="240" w:line="276" w:lineRule="auto"/>
        <w:jc w:val="both"/>
      </w:pPr>
      <w:r>
        <w:t xml:space="preserve">III. </w:t>
      </w:r>
      <w:r w:rsidRPr="007E77D6">
        <w:t xml:space="preserve">Zgodnie z cytowaną wyżej ustawą o dochodach jednostek samorządu terytorialnego, algorytm podziału subwencji oświatowej uzależnia wysokość przyznawanych środków od skali i struktury realizowanych zadań, mierzonych liczbą uczniów i wychowanków, z uwzględnieniem stopni awansu zawodowego nauczycieli. </w:t>
      </w:r>
    </w:p>
    <w:p w14:paraId="02EA1C4D" w14:textId="77777777" w:rsidR="00755406" w:rsidRPr="002C00C5" w:rsidRDefault="00755406" w:rsidP="00755406">
      <w:pPr>
        <w:pStyle w:val="Nagwek"/>
        <w:tabs>
          <w:tab w:val="clear" w:pos="4536"/>
          <w:tab w:val="center" w:pos="567"/>
        </w:tabs>
        <w:spacing w:after="120" w:line="276" w:lineRule="auto"/>
        <w:jc w:val="both"/>
      </w:pPr>
      <w:r w:rsidRPr="002C00C5">
        <w:t>W powyższych wielkościach kwotowych uwzględnione zostały: kwota bazowa (SOA), kwota uzupełniająca na realizację zadań szkolnych (SOB) oraz kwota na zadania pozaszkolne (SOC).</w:t>
      </w:r>
    </w:p>
    <w:p w14:paraId="6A4C5571" w14:textId="77777777" w:rsidR="00755406" w:rsidRPr="002C00C5" w:rsidRDefault="00755406" w:rsidP="00755406">
      <w:pPr>
        <w:spacing w:line="276" w:lineRule="auto"/>
        <w:jc w:val="both"/>
        <w:rPr>
          <w:rFonts w:ascii="ArialMT" w:hAnsi="ArialMT"/>
        </w:rPr>
      </w:pPr>
      <w:r w:rsidRPr="002C00C5">
        <w:rPr>
          <w:rFonts w:ascii="ArialMT" w:hAnsi="ArialMT"/>
        </w:rPr>
        <w:t>W kwocie sub</w:t>
      </w:r>
      <w:r>
        <w:rPr>
          <w:rFonts w:ascii="ArialMT" w:hAnsi="ArialMT"/>
        </w:rPr>
        <w:t>wencji oświatowej na 2019</w:t>
      </w:r>
      <w:r w:rsidRPr="002C00C5">
        <w:rPr>
          <w:rFonts w:ascii="ArialMT" w:hAnsi="ArialMT"/>
        </w:rPr>
        <w:t xml:space="preserve"> r. zostały uwzględnione nowe zadania oświatowe oraz zmiany zakresu obecnych zadań oświatowych, najważniejsze </w:t>
      </w:r>
      <w:r>
        <w:rPr>
          <w:rFonts w:ascii="ArialMT" w:hAnsi="ArialMT"/>
        </w:rPr>
        <w:br/>
      </w:r>
      <w:r w:rsidRPr="002C00C5">
        <w:rPr>
          <w:rFonts w:ascii="ArialMT" w:hAnsi="ArialMT"/>
        </w:rPr>
        <w:t>z nich to:</w:t>
      </w:r>
    </w:p>
    <w:p w14:paraId="0D76B4FC" w14:textId="77777777" w:rsidR="00755406" w:rsidRPr="002C00C5" w:rsidRDefault="00755406" w:rsidP="00755406">
      <w:pPr>
        <w:pStyle w:val="menfont"/>
        <w:numPr>
          <w:ilvl w:val="0"/>
          <w:numId w:val="4"/>
        </w:numPr>
        <w:spacing w:before="120" w:line="276" w:lineRule="auto"/>
        <w:ind w:left="284"/>
        <w:jc w:val="both"/>
      </w:pPr>
      <w:r w:rsidRPr="002C00C5">
        <w:t xml:space="preserve">Podwyższenie wynagrodzeń </w:t>
      </w:r>
      <w:r>
        <w:t xml:space="preserve">dla </w:t>
      </w:r>
      <w:r w:rsidRPr="002C00C5">
        <w:t>nauczycieli o 5</w:t>
      </w:r>
      <w:r>
        <w:t>%</w:t>
      </w:r>
      <w:r w:rsidRPr="002C00C5">
        <w:t xml:space="preserve"> od 1 </w:t>
      </w:r>
      <w:r>
        <w:t>stycznia</w:t>
      </w:r>
      <w:r w:rsidRPr="002C00C5">
        <w:t xml:space="preserve"> 201</w:t>
      </w:r>
      <w:r>
        <w:t>9</w:t>
      </w:r>
      <w:r w:rsidRPr="002C00C5">
        <w:t xml:space="preserve"> roku</w:t>
      </w:r>
      <w:r>
        <w:t xml:space="preserve"> z uwzględnieniem skutków przechodzących na rok 2019 podwyżek wynagrodzeń dla nauczycieli wdrożonych od 1 kwietnia 2018 r.</w:t>
      </w:r>
      <w:r w:rsidRPr="002C00C5">
        <w:t>;</w:t>
      </w:r>
    </w:p>
    <w:p w14:paraId="1E09E55D" w14:textId="77777777" w:rsidR="00755406" w:rsidRPr="002C00C5" w:rsidRDefault="00755406" w:rsidP="00755406">
      <w:pPr>
        <w:pStyle w:val="menfont"/>
        <w:numPr>
          <w:ilvl w:val="0"/>
          <w:numId w:val="4"/>
        </w:numPr>
        <w:spacing w:before="120" w:line="276" w:lineRule="auto"/>
        <w:ind w:left="284"/>
        <w:jc w:val="both"/>
      </w:pPr>
      <w:r>
        <w:t>Przekazanie</w:t>
      </w:r>
      <w:r w:rsidRPr="002C00C5">
        <w:t xml:space="preserve"> szkół prowadzonych przez jednostki samorządu terytorialnego Ministrowi Rolnictwa i Rozwoju Wsi. Środki w wysokości </w:t>
      </w:r>
      <w:r>
        <w:t>1.875</w:t>
      </w:r>
      <w:r w:rsidRPr="002C00C5">
        <w:t xml:space="preserve"> tys. zł zostały przesunięte z części oświatowej subwencji ogólnej do części 32 - Rolnictwo, której dysponentem jest Minister Rolnictwa i Rozwoju Wsi;</w:t>
      </w:r>
    </w:p>
    <w:p w14:paraId="7CB0F500" w14:textId="77777777" w:rsidR="00755406" w:rsidRPr="002C00C5" w:rsidRDefault="00755406" w:rsidP="00755406">
      <w:pPr>
        <w:pStyle w:val="menfont"/>
        <w:numPr>
          <w:ilvl w:val="0"/>
          <w:numId w:val="4"/>
        </w:numPr>
        <w:spacing w:before="120" w:line="276" w:lineRule="auto"/>
        <w:ind w:left="284" w:hanging="357"/>
        <w:jc w:val="both"/>
      </w:pPr>
      <w:r w:rsidRPr="002C00C5">
        <w:t>Zmiany w liczbie i strukturze awansu zawodowego nauczycieli zatrudnionych w szkołach i placówkach oświatowych oraz nauczycieli 6-latków i dzieci starszych w placówkach wychowania przedszkolnego prowadzonych przez jednostki samorządu terytorialnego;</w:t>
      </w:r>
    </w:p>
    <w:p w14:paraId="2BB4077F" w14:textId="77777777" w:rsidR="00755406" w:rsidRPr="002C00C5" w:rsidRDefault="00755406" w:rsidP="00755406">
      <w:pPr>
        <w:pStyle w:val="menfont"/>
        <w:numPr>
          <w:ilvl w:val="0"/>
          <w:numId w:val="4"/>
        </w:numPr>
        <w:spacing w:before="120" w:line="276" w:lineRule="auto"/>
        <w:ind w:left="284"/>
        <w:jc w:val="both"/>
      </w:pPr>
      <w:r w:rsidRPr="002C00C5">
        <w:t>Wyodrębnienie now</w:t>
      </w:r>
      <w:r>
        <w:t>ych</w:t>
      </w:r>
      <w:r w:rsidRPr="002C00C5">
        <w:t xml:space="preserve"> wag</w:t>
      </w:r>
      <w:r>
        <w:t xml:space="preserve"> dla uczniów </w:t>
      </w:r>
      <w:r w:rsidRPr="00124759">
        <w:t>objętych pomocą psychologiczno-pedagogiczną</w:t>
      </w:r>
      <w:r>
        <w:t>:</w:t>
      </w:r>
      <w:r w:rsidRPr="00124759">
        <w:t xml:space="preserve"> o wartości 0,025</w:t>
      </w:r>
      <w:r w:rsidRPr="004A6B43">
        <w:t xml:space="preserve"> </w:t>
      </w:r>
      <w:r w:rsidRPr="00124759">
        <w:t>dl</w:t>
      </w:r>
      <w:r>
        <w:t>a szkół podstawowych i gimnazjów oraz o </w:t>
      </w:r>
      <w:r w:rsidRPr="00124759">
        <w:t>wartości 0,012</w:t>
      </w:r>
      <w:r w:rsidRPr="004A6B43">
        <w:t xml:space="preserve"> </w:t>
      </w:r>
      <w:r w:rsidRPr="00124759">
        <w:t xml:space="preserve">dla </w:t>
      </w:r>
      <w:r>
        <w:t>uczniów szkół ponadpodstawowych dla dzieci i młodzieży</w:t>
      </w:r>
      <w:r w:rsidRPr="00124759">
        <w:t>;</w:t>
      </w:r>
    </w:p>
    <w:p w14:paraId="34906EC6" w14:textId="77777777" w:rsidR="00755406" w:rsidRPr="008C4DB7" w:rsidRDefault="00755406" w:rsidP="00755406">
      <w:pPr>
        <w:pStyle w:val="menfont"/>
        <w:numPr>
          <w:ilvl w:val="0"/>
          <w:numId w:val="4"/>
        </w:numPr>
        <w:spacing w:before="120" w:line="276" w:lineRule="auto"/>
        <w:ind w:left="284"/>
        <w:jc w:val="both"/>
      </w:pPr>
      <w:r>
        <w:t>W</w:t>
      </w:r>
      <w:r w:rsidRPr="008C4DB7">
        <w:t>prowadzenie rozwiązania uwzględniającego zróżnicowani</w:t>
      </w:r>
      <w:r>
        <w:t>e</w:t>
      </w:r>
      <w:r w:rsidRPr="008C4DB7">
        <w:t xml:space="preserve"> kwot ustalanych na uczniów objętych kształceniem zawodowym w oparciu </w:t>
      </w:r>
      <w:r>
        <w:br/>
      </w:r>
      <w:r w:rsidRPr="008C4DB7">
        <w:t>o prognozowane zapotrzebowanie na pracowników</w:t>
      </w:r>
      <w:r>
        <w:t xml:space="preserve"> w danym zawodzie na krajowym i </w:t>
      </w:r>
      <w:r w:rsidRPr="008C4DB7">
        <w:t xml:space="preserve">wojewódzkim rynku pracy - rozwiązanie to polega na wprowadzeniu wag: </w:t>
      </w:r>
    </w:p>
    <w:p w14:paraId="23F68164" w14:textId="77777777" w:rsidR="00755406" w:rsidRDefault="00755406" w:rsidP="00755406">
      <w:pPr>
        <w:pStyle w:val="Tekstpodstawowy"/>
        <w:numPr>
          <w:ilvl w:val="0"/>
          <w:numId w:val="5"/>
        </w:numPr>
        <w:tabs>
          <w:tab w:val="left" w:pos="-3119"/>
          <w:tab w:val="left" w:pos="-2977"/>
          <w:tab w:val="left" w:pos="-2694"/>
        </w:tabs>
        <w:spacing w:after="120" w:line="276" w:lineRule="auto"/>
        <w:ind w:left="822" w:hanging="425"/>
        <w:rPr>
          <w:rFonts w:ascii="Arial" w:hAnsi="Arial" w:cs="Arial"/>
        </w:rPr>
      </w:pPr>
      <w:r w:rsidRPr="00F6774B">
        <w:rPr>
          <w:rFonts w:ascii="Arial" w:hAnsi="Arial" w:cs="Arial"/>
        </w:rPr>
        <w:lastRenderedPageBreak/>
        <w:t>P</w:t>
      </w:r>
      <w:r w:rsidRPr="00F6774B">
        <w:rPr>
          <w:rFonts w:ascii="Arial" w:hAnsi="Arial" w:cs="Arial"/>
          <w:vertAlign w:val="subscript"/>
        </w:rPr>
        <w:t>19</w:t>
      </w:r>
      <w:r w:rsidRPr="00F677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wartości </w:t>
      </w:r>
      <w:r w:rsidRPr="00F6774B">
        <w:rPr>
          <w:rFonts w:ascii="Arial" w:hAnsi="Arial" w:cs="Arial"/>
        </w:rPr>
        <w:t>0,2, na uczniów kształcących się w zawodach, na które prognozuje</w:t>
      </w:r>
      <w:r>
        <w:rPr>
          <w:rFonts w:ascii="Arial" w:hAnsi="Arial" w:cs="Arial"/>
        </w:rPr>
        <w:t xml:space="preserve"> się zwiększone zapotrzebowanie, niebę</w:t>
      </w:r>
      <w:r w:rsidRPr="00F6774B">
        <w:rPr>
          <w:rFonts w:ascii="Arial" w:hAnsi="Arial" w:cs="Arial"/>
        </w:rPr>
        <w:t xml:space="preserve">dących młodocianymi pracownikami realizującymi praktyczną naukę zawodu </w:t>
      </w:r>
      <w:r>
        <w:rPr>
          <w:rFonts w:ascii="Arial" w:hAnsi="Arial" w:cs="Arial"/>
        </w:rPr>
        <w:br/>
      </w:r>
      <w:r w:rsidRPr="00F6774B">
        <w:rPr>
          <w:rFonts w:ascii="Arial" w:hAnsi="Arial" w:cs="Arial"/>
        </w:rPr>
        <w:t>u pracodawcy</w:t>
      </w:r>
      <w:r>
        <w:rPr>
          <w:rFonts w:ascii="Arial" w:hAnsi="Arial" w:cs="Arial"/>
        </w:rPr>
        <w:t>,</w:t>
      </w:r>
    </w:p>
    <w:p w14:paraId="42CE9C8A" w14:textId="77777777" w:rsidR="00755406" w:rsidRPr="008C4DB7" w:rsidRDefault="00755406" w:rsidP="00755406">
      <w:pPr>
        <w:pStyle w:val="Tekstpodstawowy"/>
        <w:numPr>
          <w:ilvl w:val="0"/>
          <w:numId w:val="5"/>
        </w:numPr>
        <w:tabs>
          <w:tab w:val="left" w:pos="-3119"/>
          <w:tab w:val="left" w:pos="-2977"/>
          <w:tab w:val="left" w:pos="-2694"/>
        </w:tabs>
        <w:spacing w:after="120" w:line="276" w:lineRule="auto"/>
        <w:ind w:left="822" w:hanging="425"/>
        <w:rPr>
          <w:rFonts w:ascii="Arial" w:hAnsi="Arial" w:cs="Arial"/>
        </w:rPr>
      </w:pPr>
      <w:r>
        <w:rPr>
          <w:rFonts w:ascii="Arial" w:hAnsi="Arial" w:cs="Arial"/>
        </w:rPr>
        <w:t>oraz wagi P</w:t>
      </w:r>
      <w:r w:rsidRPr="008C4DB7">
        <w:rPr>
          <w:rFonts w:ascii="Arial" w:hAnsi="Arial" w:cs="Arial"/>
          <w:vertAlign w:val="subscript"/>
        </w:rPr>
        <w:t>20</w:t>
      </w:r>
      <w:r>
        <w:rPr>
          <w:rFonts w:ascii="Arial" w:hAnsi="Arial" w:cs="Arial"/>
        </w:rPr>
        <w:t xml:space="preserve"> o wartości 0,08 </w:t>
      </w:r>
      <w:r w:rsidRPr="00F6774B">
        <w:rPr>
          <w:rFonts w:ascii="Arial" w:hAnsi="Arial" w:cs="Arial"/>
        </w:rPr>
        <w:t>na uczniów kształcących się w zawodach, na które prognozuje</w:t>
      </w:r>
      <w:r>
        <w:rPr>
          <w:rFonts w:ascii="Arial" w:hAnsi="Arial" w:cs="Arial"/>
        </w:rPr>
        <w:t xml:space="preserve"> się zwiększone zapotrzebowanie,</w:t>
      </w:r>
      <w:r w:rsidRPr="00F6774B">
        <w:rPr>
          <w:rFonts w:ascii="Arial" w:hAnsi="Arial" w:cs="Arial"/>
        </w:rPr>
        <w:t xml:space="preserve"> będących młodocianymi pracownikami realizującymi prakty</w:t>
      </w:r>
      <w:r>
        <w:rPr>
          <w:rFonts w:ascii="Arial" w:hAnsi="Arial" w:cs="Arial"/>
        </w:rPr>
        <w:t>czną naukę zawodu u pracodawcy;</w:t>
      </w:r>
    </w:p>
    <w:p w14:paraId="0B58315A" w14:textId="77777777" w:rsidR="00755406" w:rsidRPr="008C4DB7" w:rsidRDefault="00755406" w:rsidP="00755406">
      <w:pPr>
        <w:pStyle w:val="menfont"/>
        <w:numPr>
          <w:ilvl w:val="0"/>
          <w:numId w:val="4"/>
        </w:numPr>
        <w:spacing w:before="120" w:line="276" w:lineRule="auto"/>
        <w:ind w:left="357" w:hanging="357"/>
        <w:jc w:val="both"/>
      </w:pPr>
      <w:r>
        <w:t>P</w:t>
      </w:r>
      <w:r w:rsidRPr="008C4DB7">
        <w:t xml:space="preserve">rzesunięcie niektórych zawodów pomiędzy wagami o </w:t>
      </w:r>
      <w:r>
        <w:t>z</w:t>
      </w:r>
      <w:r w:rsidRPr="008C4DB7">
        <w:t>różn</w:t>
      </w:r>
      <w:r>
        <w:t>icowan</w:t>
      </w:r>
      <w:r w:rsidRPr="008C4DB7">
        <w:t xml:space="preserve">ych wartościach </w:t>
      </w:r>
      <w:r>
        <w:t>w </w:t>
      </w:r>
      <w:r w:rsidRPr="008C4DB7">
        <w:t>zakresie szkolnictwa zawodowego;</w:t>
      </w:r>
    </w:p>
    <w:p w14:paraId="516A0DA8" w14:textId="77777777" w:rsidR="00755406" w:rsidRDefault="00755406" w:rsidP="00755406">
      <w:pPr>
        <w:pStyle w:val="menfont"/>
        <w:numPr>
          <w:ilvl w:val="0"/>
          <w:numId w:val="4"/>
        </w:numPr>
        <w:spacing w:before="120" w:line="276" w:lineRule="auto"/>
        <w:ind w:left="357" w:hanging="357"/>
        <w:jc w:val="both"/>
      </w:pPr>
      <w:r>
        <w:t>Z</w:t>
      </w:r>
      <w:r w:rsidRPr="00744DC0">
        <w:t>mniejszenie liczby uczniów gimnazjów dla dzieci i młodzieży wskaźnikiem 33,3% w związku z  wygaśnięciem gimnazjów od dnia 1 września 2019 r.;</w:t>
      </w:r>
    </w:p>
    <w:p w14:paraId="6C9AB634" w14:textId="77777777" w:rsidR="00755406" w:rsidRPr="00744DC0" w:rsidRDefault="00755406" w:rsidP="00755406">
      <w:pPr>
        <w:pStyle w:val="menfont"/>
        <w:numPr>
          <w:ilvl w:val="0"/>
          <w:numId w:val="4"/>
        </w:numPr>
        <w:spacing w:before="120" w:line="276" w:lineRule="auto"/>
        <w:ind w:left="357" w:hanging="357"/>
        <w:jc w:val="both"/>
      </w:pPr>
      <w:r>
        <w:t>Z</w:t>
      </w:r>
      <w:r w:rsidRPr="00744DC0">
        <w:t>większenie liczebności uczniów szkół ponadgimnazjalnych i szkół ponadpodstawowych dla dzieci i młodzieży w związku ze wzrostem liczby uczniów ww. szkół od dnia 1 września 2019 r. (absolwentów gimnazjów oraz pierwszych absolwentów ośmioletniej szkoły podstawowej) odpowiednim wskaźnikiem:</w:t>
      </w:r>
    </w:p>
    <w:p w14:paraId="064CD05F" w14:textId="77777777" w:rsidR="00755406" w:rsidRPr="00F6774B" w:rsidRDefault="00755406" w:rsidP="00755406">
      <w:pPr>
        <w:pStyle w:val="Tekstpodstawowy"/>
        <w:numPr>
          <w:ilvl w:val="0"/>
          <w:numId w:val="5"/>
        </w:numPr>
        <w:tabs>
          <w:tab w:val="left" w:pos="-3119"/>
          <w:tab w:val="left" w:pos="-2977"/>
          <w:tab w:val="left" w:pos="-2694"/>
        </w:tabs>
        <w:spacing w:after="120" w:line="276" w:lineRule="auto"/>
        <w:ind w:left="992" w:hanging="425"/>
        <w:rPr>
          <w:rFonts w:ascii="Arial" w:hAnsi="Arial" w:cs="Arial"/>
        </w:rPr>
      </w:pPr>
      <w:r w:rsidRPr="00F6774B">
        <w:rPr>
          <w:rFonts w:ascii="Arial" w:hAnsi="Arial" w:cs="Arial"/>
        </w:rPr>
        <w:t xml:space="preserve">dla </w:t>
      </w:r>
      <w:r>
        <w:rPr>
          <w:rFonts w:ascii="Arial" w:hAnsi="Arial" w:cs="Arial"/>
        </w:rPr>
        <w:t>liceów ogólnokształcących oraz</w:t>
      </w:r>
      <w:r w:rsidRPr="00F6774B">
        <w:rPr>
          <w:rFonts w:ascii="Arial" w:hAnsi="Arial" w:cs="Arial"/>
        </w:rPr>
        <w:t xml:space="preserve"> liceów plastycznych: 13,07%, </w:t>
      </w:r>
    </w:p>
    <w:p w14:paraId="4BE27A25" w14:textId="77777777" w:rsidR="00755406" w:rsidRPr="00F6774B" w:rsidRDefault="00755406" w:rsidP="00755406">
      <w:pPr>
        <w:pStyle w:val="Tekstpodstawowy"/>
        <w:numPr>
          <w:ilvl w:val="0"/>
          <w:numId w:val="5"/>
        </w:numPr>
        <w:tabs>
          <w:tab w:val="left" w:pos="-3119"/>
          <w:tab w:val="left" w:pos="-2977"/>
          <w:tab w:val="left" w:pos="-2694"/>
        </w:tabs>
        <w:spacing w:after="120" w:line="276" w:lineRule="auto"/>
        <w:ind w:left="993" w:hanging="426"/>
        <w:rPr>
          <w:rFonts w:ascii="Arial" w:hAnsi="Arial" w:cs="Arial"/>
        </w:rPr>
      </w:pPr>
      <w:r w:rsidRPr="00F6774B">
        <w:rPr>
          <w:rFonts w:ascii="Arial" w:hAnsi="Arial" w:cs="Arial"/>
        </w:rPr>
        <w:t xml:space="preserve">dla techników: 10,94%, </w:t>
      </w:r>
    </w:p>
    <w:p w14:paraId="4A74A8AB" w14:textId="77777777" w:rsidR="00755406" w:rsidRPr="00F6774B" w:rsidRDefault="00755406" w:rsidP="00755406">
      <w:pPr>
        <w:pStyle w:val="Tekstpodstawowy"/>
        <w:numPr>
          <w:ilvl w:val="0"/>
          <w:numId w:val="5"/>
        </w:numPr>
        <w:tabs>
          <w:tab w:val="left" w:pos="-3119"/>
          <w:tab w:val="left" w:pos="-2977"/>
          <w:tab w:val="left" w:pos="-2694"/>
        </w:tabs>
        <w:spacing w:after="120" w:line="276" w:lineRule="auto"/>
        <w:ind w:left="993" w:hanging="426"/>
        <w:rPr>
          <w:rFonts w:ascii="Arial" w:hAnsi="Arial" w:cs="Arial"/>
        </w:rPr>
      </w:pPr>
      <w:r w:rsidRPr="00F6774B">
        <w:rPr>
          <w:rFonts w:ascii="Arial" w:hAnsi="Arial" w:cs="Arial"/>
        </w:rPr>
        <w:t>dla branżowych szkół I stopnia: 13,80%,</w:t>
      </w:r>
    </w:p>
    <w:p w14:paraId="7877900B" w14:textId="77777777" w:rsidR="00755406" w:rsidRPr="00F6774B" w:rsidRDefault="00755406" w:rsidP="00755406">
      <w:pPr>
        <w:pStyle w:val="Tekstpodstawowy"/>
        <w:numPr>
          <w:ilvl w:val="0"/>
          <w:numId w:val="5"/>
        </w:numPr>
        <w:tabs>
          <w:tab w:val="left" w:pos="-3119"/>
          <w:tab w:val="left" w:pos="-2977"/>
          <w:tab w:val="left" w:pos="-2694"/>
        </w:tabs>
        <w:spacing w:after="120" w:line="276" w:lineRule="auto"/>
        <w:ind w:left="993" w:hanging="426"/>
        <w:rPr>
          <w:rFonts w:ascii="Arial" w:hAnsi="Arial" w:cs="Arial"/>
        </w:rPr>
      </w:pPr>
      <w:r w:rsidRPr="00F6774B">
        <w:rPr>
          <w:rFonts w:ascii="Arial" w:hAnsi="Arial" w:cs="Arial"/>
        </w:rPr>
        <w:t>dla szkoły specjalnej przysp</w:t>
      </w:r>
      <w:r>
        <w:rPr>
          <w:rFonts w:ascii="Arial" w:hAnsi="Arial" w:cs="Arial"/>
        </w:rPr>
        <w:t>o</w:t>
      </w:r>
      <w:r w:rsidRPr="00F6774B">
        <w:rPr>
          <w:rFonts w:ascii="Arial" w:hAnsi="Arial" w:cs="Arial"/>
        </w:rPr>
        <w:t>sabiającej do pracy</w:t>
      </w:r>
      <w:r>
        <w:rPr>
          <w:rFonts w:ascii="Arial" w:hAnsi="Arial" w:cs="Arial"/>
        </w:rPr>
        <w:t>: 10,36%;</w:t>
      </w:r>
    </w:p>
    <w:p w14:paraId="1DDDF3BA" w14:textId="77777777" w:rsidR="00755406" w:rsidRDefault="00755406" w:rsidP="00755406">
      <w:pPr>
        <w:pStyle w:val="Tekstpodstawowy"/>
        <w:numPr>
          <w:ilvl w:val="0"/>
          <w:numId w:val="4"/>
        </w:numPr>
        <w:tabs>
          <w:tab w:val="left" w:pos="-3119"/>
          <w:tab w:val="left" w:pos="-2977"/>
          <w:tab w:val="left" w:pos="-2694"/>
        </w:tabs>
        <w:spacing w:after="120"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B3D4B">
        <w:rPr>
          <w:rFonts w:ascii="Arial" w:hAnsi="Arial" w:cs="Arial"/>
        </w:rPr>
        <w:t>większenie liczebności wychowanków internató</w:t>
      </w:r>
      <w:r w:rsidR="00F83C72">
        <w:rPr>
          <w:rFonts w:ascii="Arial" w:hAnsi="Arial" w:cs="Arial"/>
        </w:rPr>
        <w:t xml:space="preserve">w i burs wskaźnikiem 11% (wagi </w:t>
      </w:r>
      <w:r w:rsidRPr="005B3D4B">
        <w:rPr>
          <w:rFonts w:ascii="Arial" w:hAnsi="Arial" w:cs="Arial"/>
        </w:rPr>
        <w:t>P</w:t>
      </w:r>
      <w:r w:rsidRPr="005B3D4B">
        <w:rPr>
          <w:rFonts w:ascii="Arial" w:hAnsi="Arial" w:cs="Arial"/>
          <w:vertAlign w:val="subscript"/>
        </w:rPr>
        <w:t>52</w:t>
      </w:r>
      <w:r w:rsidRPr="005B3D4B">
        <w:rPr>
          <w:rFonts w:ascii="Arial" w:hAnsi="Arial" w:cs="Arial"/>
        </w:rPr>
        <w:t>, P</w:t>
      </w:r>
      <w:r w:rsidRPr="005B3D4B">
        <w:rPr>
          <w:rFonts w:ascii="Arial" w:hAnsi="Arial" w:cs="Arial"/>
          <w:vertAlign w:val="subscript"/>
        </w:rPr>
        <w:t>53</w:t>
      </w:r>
      <w:r w:rsidRPr="005B3D4B">
        <w:rPr>
          <w:rFonts w:ascii="Arial" w:hAnsi="Arial" w:cs="Arial"/>
        </w:rPr>
        <w:t> i P</w:t>
      </w:r>
      <w:r w:rsidRPr="005B3D4B">
        <w:rPr>
          <w:rFonts w:ascii="Arial" w:hAnsi="Arial" w:cs="Arial"/>
          <w:vertAlign w:val="subscript"/>
        </w:rPr>
        <w:t>54</w:t>
      </w:r>
      <w:r w:rsidR="00F83C72" w:rsidRPr="00F83C72">
        <w:rPr>
          <w:rFonts w:ascii="Arial" w:hAnsi="Arial" w:cs="Arial"/>
        </w:rPr>
        <w:t>)</w:t>
      </w:r>
      <w:r w:rsidRPr="005B3D4B">
        <w:rPr>
          <w:rFonts w:ascii="Arial" w:hAnsi="Arial" w:cs="Arial"/>
        </w:rPr>
        <w:t>;</w:t>
      </w:r>
    </w:p>
    <w:p w14:paraId="66DBF89D" w14:textId="77777777" w:rsidR="00755406" w:rsidRDefault="00755406" w:rsidP="00755406">
      <w:pPr>
        <w:pStyle w:val="Tekstpodstawowy"/>
        <w:numPr>
          <w:ilvl w:val="0"/>
          <w:numId w:val="4"/>
        </w:numPr>
        <w:tabs>
          <w:tab w:val="left" w:pos="-3119"/>
          <w:tab w:val="left" w:pos="-2977"/>
          <w:tab w:val="left" w:pos="-2694"/>
        </w:tabs>
        <w:spacing w:after="120"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5B3D4B">
        <w:rPr>
          <w:rFonts w:ascii="Arial" w:hAnsi="Arial" w:cs="Arial"/>
        </w:rPr>
        <w:t>prowadzenie wagi P</w:t>
      </w:r>
      <w:r w:rsidRPr="005B3D4B">
        <w:rPr>
          <w:rFonts w:ascii="Arial" w:hAnsi="Arial" w:cs="Arial"/>
          <w:vertAlign w:val="subscript"/>
        </w:rPr>
        <w:t>21</w:t>
      </w:r>
      <w:r w:rsidRPr="005B3D4B">
        <w:rPr>
          <w:rFonts w:ascii="Arial" w:hAnsi="Arial" w:cs="Arial"/>
        </w:rPr>
        <w:t xml:space="preserve"> o wartości 0,05 </w:t>
      </w:r>
      <w:r w:rsidR="00F83C72">
        <w:rPr>
          <w:rFonts w:ascii="Arial" w:hAnsi="Arial" w:cs="Arial"/>
        </w:rPr>
        <w:t xml:space="preserve">dla uczniów kształcących się </w:t>
      </w:r>
      <w:r w:rsidR="00F83C72">
        <w:rPr>
          <w:rFonts w:ascii="Arial" w:hAnsi="Arial" w:cs="Arial"/>
        </w:rPr>
        <w:br/>
        <w:t xml:space="preserve">w </w:t>
      </w:r>
      <w:r w:rsidRPr="005B3D4B">
        <w:rPr>
          <w:rFonts w:ascii="Arial" w:hAnsi="Arial" w:cs="Arial"/>
        </w:rPr>
        <w:t>zawodach kierowca mechanik lub technik transportu drogowego;</w:t>
      </w:r>
    </w:p>
    <w:p w14:paraId="1FDD9B45" w14:textId="77777777" w:rsidR="00755406" w:rsidRDefault="00755406" w:rsidP="00755406">
      <w:pPr>
        <w:pStyle w:val="Tekstpodstawowy"/>
        <w:numPr>
          <w:ilvl w:val="0"/>
          <w:numId w:val="4"/>
        </w:numPr>
        <w:tabs>
          <w:tab w:val="left" w:pos="-3119"/>
          <w:tab w:val="left" w:pos="-2977"/>
          <w:tab w:val="left" w:pos="-2694"/>
        </w:tabs>
        <w:spacing w:after="120"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B3D4B">
        <w:rPr>
          <w:rFonts w:ascii="Arial" w:hAnsi="Arial" w:cs="Arial"/>
        </w:rPr>
        <w:t>miana limitów wielkości grup uczniów należących do mniejszości narodowych i etnicznych dla poszczególnych typów szkół, które decydują o stosowaniu wag P</w:t>
      </w:r>
      <w:r w:rsidRPr="005B3D4B">
        <w:rPr>
          <w:rFonts w:ascii="Arial" w:hAnsi="Arial" w:cs="Arial"/>
          <w:vertAlign w:val="subscript"/>
        </w:rPr>
        <w:t>22</w:t>
      </w:r>
      <w:r w:rsidRPr="005B3D4B">
        <w:rPr>
          <w:rFonts w:ascii="Arial" w:hAnsi="Arial" w:cs="Arial"/>
        </w:rPr>
        <w:t>, P</w:t>
      </w:r>
      <w:r w:rsidRPr="005B3D4B">
        <w:rPr>
          <w:rFonts w:ascii="Arial" w:hAnsi="Arial" w:cs="Arial"/>
          <w:vertAlign w:val="subscript"/>
        </w:rPr>
        <w:t>23</w:t>
      </w:r>
      <w:r w:rsidRPr="005B3D4B">
        <w:rPr>
          <w:rFonts w:ascii="Arial" w:hAnsi="Arial" w:cs="Arial"/>
        </w:rPr>
        <w:t xml:space="preserve"> i P</w:t>
      </w:r>
      <w:r w:rsidRPr="005B3D4B">
        <w:rPr>
          <w:rFonts w:ascii="Arial" w:hAnsi="Arial" w:cs="Arial"/>
          <w:vertAlign w:val="subscript"/>
        </w:rPr>
        <w:t>24</w:t>
      </w:r>
      <w:r w:rsidRPr="005B3D4B">
        <w:rPr>
          <w:rFonts w:ascii="Arial" w:hAnsi="Arial" w:cs="Arial"/>
        </w:rPr>
        <w:t>;</w:t>
      </w:r>
      <w:r w:rsidRPr="005B3D4B">
        <w:rPr>
          <w:b/>
          <w:color w:val="000000" w:themeColor="text1"/>
        </w:rPr>
        <w:t xml:space="preserve"> </w:t>
      </w:r>
    </w:p>
    <w:p w14:paraId="139A5FB0" w14:textId="77777777" w:rsidR="00755406" w:rsidRDefault="00755406" w:rsidP="00755406">
      <w:pPr>
        <w:pStyle w:val="Tekstpodstawowy"/>
        <w:numPr>
          <w:ilvl w:val="0"/>
          <w:numId w:val="4"/>
        </w:numPr>
        <w:tabs>
          <w:tab w:val="left" w:pos="-3119"/>
          <w:tab w:val="left" w:pos="-2977"/>
          <w:tab w:val="left" w:pos="-2694"/>
        </w:tabs>
        <w:spacing w:after="120"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5B3D4B">
        <w:rPr>
          <w:rFonts w:ascii="Arial" w:hAnsi="Arial" w:cs="Arial"/>
        </w:rPr>
        <w:t>yłączenie uczniów szkół podstawowych specjalnych, dotychczasowych gimnazjów specjalnych, szkół ponadpodstawowych specjalnych i szkół ponadgimnazjalnych specjalnych w młodzieżowych ośrodkach socjoterapii, którzy nie posiadają orzeczeń o potrzebie kształcenia specjalnego z wagi P</w:t>
      </w:r>
      <w:r w:rsidRPr="005B3D4B">
        <w:rPr>
          <w:rFonts w:ascii="Arial" w:hAnsi="Arial" w:cs="Arial"/>
          <w:vertAlign w:val="subscript"/>
        </w:rPr>
        <w:t>4</w:t>
      </w:r>
      <w:r w:rsidRPr="005B3D4B">
        <w:rPr>
          <w:rFonts w:ascii="Arial" w:hAnsi="Arial" w:cs="Arial"/>
        </w:rPr>
        <w:t>;</w:t>
      </w:r>
    </w:p>
    <w:p w14:paraId="2455B091" w14:textId="77777777" w:rsidR="00755406" w:rsidRDefault="00755406" w:rsidP="00755406">
      <w:pPr>
        <w:pStyle w:val="Tekstpodstawowy"/>
        <w:numPr>
          <w:ilvl w:val="0"/>
          <w:numId w:val="4"/>
        </w:numPr>
        <w:tabs>
          <w:tab w:val="left" w:pos="-3119"/>
          <w:tab w:val="left" w:pos="-2977"/>
          <w:tab w:val="left" w:pos="-2694"/>
        </w:tabs>
        <w:spacing w:after="120"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B3D4B">
        <w:rPr>
          <w:rFonts w:ascii="Arial" w:hAnsi="Arial" w:cs="Arial"/>
        </w:rPr>
        <w:t xml:space="preserve">miany dostosowujące do rozwiązań wprowadzonych w ustawie z dnia 22 listopada 2018 r. o zmianie ustawy – Prawo oświatowe, ustawy </w:t>
      </w:r>
      <w:r w:rsidRPr="005B3D4B">
        <w:rPr>
          <w:rFonts w:ascii="Arial" w:hAnsi="Arial" w:cs="Arial"/>
        </w:rPr>
        <w:lastRenderedPageBreak/>
        <w:t>o systemie oświa</w:t>
      </w:r>
      <w:r>
        <w:rPr>
          <w:rFonts w:ascii="Arial" w:hAnsi="Arial" w:cs="Arial"/>
        </w:rPr>
        <w:t>ty oraz niektórych innych ustaw (</w:t>
      </w:r>
      <w:r w:rsidRPr="008A71F4">
        <w:rPr>
          <w:rFonts w:ascii="Arial" w:hAnsi="Arial" w:cs="Arial"/>
        </w:rPr>
        <w:t xml:space="preserve">Dz.U. </w:t>
      </w:r>
      <w:r>
        <w:rPr>
          <w:rFonts w:ascii="Arial" w:hAnsi="Arial" w:cs="Arial"/>
        </w:rPr>
        <w:t xml:space="preserve">z </w:t>
      </w:r>
      <w:r w:rsidRPr="008A71F4">
        <w:rPr>
          <w:rFonts w:ascii="Arial" w:hAnsi="Arial" w:cs="Arial"/>
        </w:rPr>
        <w:t xml:space="preserve">2018 </w:t>
      </w:r>
      <w:r>
        <w:rPr>
          <w:rFonts w:ascii="Arial" w:hAnsi="Arial" w:cs="Arial"/>
        </w:rPr>
        <w:t xml:space="preserve">r., </w:t>
      </w:r>
      <w:r w:rsidRPr="008A71F4">
        <w:rPr>
          <w:rFonts w:ascii="Arial" w:hAnsi="Arial" w:cs="Arial"/>
        </w:rPr>
        <w:t>poz. 2245</w:t>
      </w:r>
      <w:r>
        <w:rPr>
          <w:rFonts w:ascii="Arial" w:hAnsi="Arial" w:cs="Arial"/>
        </w:rPr>
        <w:t>);</w:t>
      </w:r>
    </w:p>
    <w:p w14:paraId="0663650C" w14:textId="468FA823" w:rsidR="00755406" w:rsidRDefault="00755406" w:rsidP="00755406">
      <w:pPr>
        <w:pStyle w:val="Tekstpodstawowy"/>
        <w:numPr>
          <w:ilvl w:val="0"/>
          <w:numId w:val="4"/>
        </w:numPr>
        <w:tabs>
          <w:tab w:val="left" w:pos="-3119"/>
          <w:tab w:val="left" w:pos="-2977"/>
          <w:tab w:val="left" w:pos="-2694"/>
        </w:tabs>
        <w:spacing w:after="120" w:line="276" w:lineRule="auto"/>
        <w:ind w:left="357" w:hanging="357"/>
        <w:rPr>
          <w:rFonts w:ascii="Arial" w:hAnsi="Arial" w:cs="Arial"/>
        </w:rPr>
      </w:pPr>
      <w:r w:rsidRPr="007B3BA8">
        <w:rPr>
          <w:rFonts w:ascii="Arial" w:hAnsi="Arial" w:cs="Arial"/>
        </w:rPr>
        <w:t>Wejścia w życie przepisów rozporządze</w:t>
      </w:r>
      <w:r w:rsidR="00C956DA">
        <w:rPr>
          <w:rFonts w:ascii="Arial" w:hAnsi="Arial" w:cs="Arial"/>
        </w:rPr>
        <w:t>ń</w:t>
      </w:r>
      <w:r w:rsidRPr="007B3BA8">
        <w:rPr>
          <w:rFonts w:ascii="Arial" w:hAnsi="Arial" w:cs="Arial"/>
        </w:rPr>
        <w:t xml:space="preserve"> Rady Ministrów</w:t>
      </w:r>
      <w:r w:rsidR="00C956DA">
        <w:rPr>
          <w:rFonts w:ascii="Arial" w:hAnsi="Arial" w:cs="Arial"/>
        </w:rPr>
        <w:t xml:space="preserve"> z dnia</w:t>
      </w:r>
      <w:r>
        <w:rPr>
          <w:rFonts w:ascii="Arial" w:hAnsi="Arial" w:cs="Arial"/>
        </w:rPr>
        <w:t>:</w:t>
      </w:r>
      <w:r w:rsidRPr="007B3BA8">
        <w:rPr>
          <w:rFonts w:ascii="Arial" w:hAnsi="Arial" w:cs="Arial"/>
        </w:rPr>
        <w:t xml:space="preserve"> </w:t>
      </w:r>
    </w:p>
    <w:p w14:paraId="2E2843F1" w14:textId="10323071" w:rsidR="00755406" w:rsidRDefault="00755406" w:rsidP="00755406">
      <w:pPr>
        <w:pStyle w:val="Tekstpodstawowy"/>
        <w:numPr>
          <w:ilvl w:val="0"/>
          <w:numId w:val="6"/>
        </w:numPr>
        <w:tabs>
          <w:tab w:val="left" w:pos="-3119"/>
          <w:tab w:val="left" w:pos="-2977"/>
          <w:tab w:val="left" w:pos="-2694"/>
        </w:tabs>
        <w:spacing w:after="120" w:line="276" w:lineRule="auto"/>
        <w:ind w:left="924" w:hanging="357"/>
        <w:rPr>
          <w:rFonts w:ascii="Arial" w:hAnsi="Arial" w:cs="Arial"/>
        </w:rPr>
      </w:pPr>
      <w:r w:rsidRPr="007B3BA8">
        <w:rPr>
          <w:rFonts w:ascii="Arial" w:hAnsi="Arial" w:cs="Arial"/>
        </w:rPr>
        <w:t xml:space="preserve">24 lipca 2017 r. w sprawie ustalenia granic niektórych gmin </w:t>
      </w:r>
      <w:r>
        <w:rPr>
          <w:rFonts w:ascii="Arial" w:hAnsi="Arial" w:cs="Arial"/>
        </w:rPr>
        <w:br/>
      </w:r>
      <w:r w:rsidRPr="007B3BA8">
        <w:rPr>
          <w:rFonts w:ascii="Arial" w:hAnsi="Arial" w:cs="Arial"/>
        </w:rPr>
        <w:t>i miast, nadania niektórym miejscowościom statusu miasta oraz zmiany nazwy gminy oraz siedzib władz niektórych gmin (Dz. U. z 2017 r., poz. 1427)</w:t>
      </w:r>
      <w:r>
        <w:rPr>
          <w:rFonts w:ascii="Arial" w:hAnsi="Arial" w:cs="Arial"/>
        </w:rPr>
        <w:t>,</w:t>
      </w:r>
    </w:p>
    <w:p w14:paraId="59C3526F" w14:textId="70791DD7" w:rsidR="00755406" w:rsidRDefault="00755406" w:rsidP="00755406">
      <w:pPr>
        <w:pStyle w:val="Tekstpodstawowy"/>
        <w:numPr>
          <w:ilvl w:val="0"/>
          <w:numId w:val="6"/>
        </w:numPr>
        <w:tabs>
          <w:tab w:val="left" w:pos="-3119"/>
          <w:tab w:val="left" w:pos="-2977"/>
          <w:tab w:val="left" w:pos="-2694"/>
        </w:tabs>
        <w:spacing w:after="120" w:line="276" w:lineRule="auto"/>
        <w:ind w:left="924" w:hanging="357"/>
        <w:rPr>
          <w:rFonts w:ascii="Arial" w:hAnsi="Arial" w:cs="Arial"/>
        </w:rPr>
      </w:pPr>
      <w:r w:rsidRPr="007B3BA8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Pr="007B3BA8">
        <w:rPr>
          <w:rFonts w:ascii="Arial" w:hAnsi="Arial" w:cs="Arial"/>
        </w:rPr>
        <w:t xml:space="preserve"> lipca 201</w:t>
      </w:r>
      <w:r>
        <w:rPr>
          <w:rFonts w:ascii="Arial" w:hAnsi="Arial" w:cs="Arial"/>
        </w:rPr>
        <w:t>8</w:t>
      </w:r>
      <w:r w:rsidRPr="007B3BA8">
        <w:rPr>
          <w:rFonts w:ascii="Arial" w:hAnsi="Arial" w:cs="Arial"/>
        </w:rPr>
        <w:t xml:space="preserve"> r. w sprawie ustalenia granic niektórych gmin </w:t>
      </w:r>
      <w:r>
        <w:rPr>
          <w:rFonts w:ascii="Arial" w:hAnsi="Arial" w:cs="Arial"/>
        </w:rPr>
        <w:br/>
      </w:r>
      <w:r w:rsidRPr="007B3BA8">
        <w:rPr>
          <w:rFonts w:ascii="Arial" w:hAnsi="Arial" w:cs="Arial"/>
        </w:rPr>
        <w:t>i miast</w:t>
      </w:r>
      <w:r>
        <w:rPr>
          <w:rFonts w:ascii="Arial" w:hAnsi="Arial" w:cs="Arial"/>
        </w:rPr>
        <w:t xml:space="preserve"> oraz</w:t>
      </w:r>
      <w:r w:rsidRPr="007B3BA8">
        <w:rPr>
          <w:rFonts w:ascii="Arial" w:hAnsi="Arial" w:cs="Arial"/>
        </w:rPr>
        <w:t xml:space="preserve"> nadania niektórym miejscowościom statusu miasta (Dz. U. z 201</w:t>
      </w:r>
      <w:r>
        <w:rPr>
          <w:rFonts w:ascii="Arial" w:hAnsi="Arial" w:cs="Arial"/>
        </w:rPr>
        <w:t>8</w:t>
      </w:r>
      <w:r w:rsidRPr="007B3BA8">
        <w:rPr>
          <w:rFonts w:ascii="Arial" w:hAnsi="Arial" w:cs="Arial"/>
        </w:rPr>
        <w:t xml:space="preserve"> r., poz. 14</w:t>
      </w:r>
      <w:r>
        <w:rPr>
          <w:rFonts w:ascii="Arial" w:hAnsi="Arial" w:cs="Arial"/>
        </w:rPr>
        <w:t>56</w:t>
      </w:r>
      <w:r w:rsidRPr="007B3BA8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353E5D04" w14:textId="717AA32F" w:rsidR="00755406" w:rsidRDefault="00755406" w:rsidP="00755406">
      <w:pPr>
        <w:pStyle w:val="Tekstpodstawowy"/>
        <w:numPr>
          <w:ilvl w:val="0"/>
          <w:numId w:val="6"/>
        </w:numPr>
        <w:tabs>
          <w:tab w:val="left" w:pos="-3119"/>
          <w:tab w:val="left" w:pos="-2977"/>
          <w:tab w:val="left" w:pos="-2694"/>
        </w:tabs>
        <w:spacing w:after="120" w:line="276" w:lineRule="auto"/>
        <w:ind w:left="92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7 sierpnia </w:t>
      </w:r>
      <w:r w:rsidRPr="007B3BA8">
        <w:rPr>
          <w:rFonts w:ascii="Arial" w:hAnsi="Arial" w:cs="Arial"/>
        </w:rPr>
        <w:t>201</w:t>
      </w:r>
      <w:r>
        <w:rPr>
          <w:rFonts w:ascii="Arial" w:hAnsi="Arial" w:cs="Arial"/>
        </w:rPr>
        <w:t>8</w:t>
      </w:r>
      <w:r w:rsidRPr="007B3BA8">
        <w:rPr>
          <w:rFonts w:ascii="Arial" w:hAnsi="Arial" w:cs="Arial"/>
        </w:rPr>
        <w:t xml:space="preserve"> r. w sprawie </w:t>
      </w:r>
      <w:r>
        <w:rPr>
          <w:rFonts w:ascii="Arial" w:hAnsi="Arial" w:cs="Arial"/>
        </w:rPr>
        <w:t>zniesienia gminy Ostrowice oraz ustalenia granic gminy Drawsko Pomorskie i gminy Złocieniec</w:t>
      </w:r>
      <w:r w:rsidRPr="007B3B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(Dz. U. z </w:t>
      </w:r>
      <w:r w:rsidRPr="007B3BA8">
        <w:rPr>
          <w:rFonts w:ascii="Arial" w:hAnsi="Arial" w:cs="Arial"/>
        </w:rPr>
        <w:t>201</w:t>
      </w:r>
      <w:r>
        <w:rPr>
          <w:rFonts w:ascii="Arial" w:hAnsi="Arial" w:cs="Arial"/>
        </w:rPr>
        <w:t>8</w:t>
      </w:r>
      <w:r w:rsidRPr="007B3BA8">
        <w:rPr>
          <w:rFonts w:ascii="Arial" w:hAnsi="Arial" w:cs="Arial"/>
        </w:rPr>
        <w:t xml:space="preserve"> r., poz. 1</w:t>
      </w:r>
      <w:r>
        <w:rPr>
          <w:rFonts w:ascii="Arial" w:hAnsi="Arial" w:cs="Arial"/>
        </w:rPr>
        <w:t>527</w:t>
      </w:r>
      <w:r w:rsidRPr="007B3BA8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3483437C" w14:textId="08D33970" w:rsidR="00755406" w:rsidRDefault="00755406" w:rsidP="00755406">
      <w:pPr>
        <w:pStyle w:val="Tekstpodstawowy"/>
        <w:numPr>
          <w:ilvl w:val="0"/>
          <w:numId w:val="6"/>
        </w:numPr>
        <w:tabs>
          <w:tab w:val="left" w:pos="-3119"/>
          <w:tab w:val="left" w:pos="-2977"/>
          <w:tab w:val="left" w:pos="-2694"/>
        </w:tabs>
        <w:spacing w:after="120" w:line="276" w:lineRule="auto"/>
        <w:ind w:left="924" w:hanging="357"/>
        <w:rPr>
          <w:rFonts w:ascii="Arial" w:hAnsi="Arial" w:cs="Arial"/>
        </w:rPr>
      </w:pPr>
      <w:r>
        <w:rPr>
          <w:rFonts w:ascii="Arial" w:hAnsi="Arial" w:cs="Arial"/>
        </w:rPr>
        <w:t>20 grudnia 2018 r. w sprawie nadania statusu miasta niektórym miejscowościom w województwie świętokrzyskim oraz ustalenia ich granic (Dz. U. z 2018 r., poz. 2478),</w:t>
      </w:r>
    </w:p>
    <w:p w14:paraId="2AC0CE81" w14:textId="2A4F3ECD" w:rsidR="00755406" w:rsidRDefault="00755406" w:rsidP="00755406">
      <w:pPr>
        <w:pStyle w:val="Tekstpodstawowy"/>
        <w:numPr>
          <w:ilvl w:val="0"/>
          <w:numId w:val="6"/>
        </w:numPr>
        <w:tabs>
          <w:tab w:val="left" w:pos="-3119"/>
          <w:tab w:val="left" w:pos="-2977"/>
          <w:tab w:val="left" w:pos="-2694"/>
        </w:tabs>
        <w:spacing w:after="120" w:line="276" w:lineRule="auto"/>
        <w:ind w:left="92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27 grudnia 2018 r. zmieniającego rozporządzenie </w:t>
      </w:r>
      <w:r w:rsidRPr="007B3BA8">
        <w:rPr>
          <w:rFonts w:ascii="Arial" w:hAnsi="Arial" w:cs="Arial"/>
        </w:rPr>
        <w:t>w sprawie ustalenia granic niektórych gmin i miast, nadania niektórym miejscowościom statusu miasta oraz zmiany nazwy gminy oraz siedzib władz niektórych gmin (Dz. U. z 201</w:t>
      </w:r>
      <w:r>
        <w:rPr>
          <w:rFonts w:ascii="Arial" w:hAnsi="Arial" w:cs="Arial"/>
        </w:rPr>
        <w:t>8</w:t>
      </w:r>
      <w:r w:rsidRPr="007B3BA8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., poz. 2</w:t>
      </w:r>
      <w:r w:rsidRPr="007B3BA8">
        <w:rPr>
          <w:rFonts w:ascii="Arial" w:hAnsi="Arial" w:cs="Arial"/>
        </w:rPr>
        <w:t>4</w:t>
      </w:r>
      <w:r>
        <w:rPr>
          <w:rFonts w:ascii="Arial" w:hAnsi="Arial" w:cs="Arial"/>
        </w:rPr>
        <w:t>63</w:t>
      </w:r>
      <w:r w:rsidRPr="007B3BA8">
        <w:rPr>
          <w:rFonts w:ascii="Arial" w:hAnsi="Arial" w:cs="Arial"/>
        </w:rPr>
        <w:t>);</w:t>
      </w:r>
    </w:p>
    <w:p w14:paraId="41BEF844" w14:textId="77777777" w:rsidR="00755406" w:rsidRPr="007C4964" w:rsidRDefault="00755406" w:rsidP="00755406">
      <w:pPr>
        <w:pStyle w:val="Tekstpodstawowy"/>
        <w:numPr>
          <w:ilvl w:val="0"/>
          <w:numId w:val="4"/>
        </w:numPr>
        <w:tabs>
          <w:tab w:val="left" w:pos="-3119"/>
          <w:tab w:val="left" w:pos="-2977"/>
          <w:tab w:val="left" w:pos="-2694"/>
        </w:tabs>
        <w:spacing w:after="120" w:line="276" w:lineRule="auto"/>
        <w:ind w:left="357" w:hanging="357"/>
        <w:rPr>
          <w:rFonts w:ascii="Arial" w:hAnsi="Arial" w:cs="Arial"/>
        </w:rPr>
      </w:pPr>
      <w:r w:rsidRPr="007C4964">
        <w:rPr>
          <w:rFonts w:ascii="Arial" w:hAnsi="Arial" w:cs="Arial"/>
        </w:rPr>
        <w:t>W wyliczeniach części oświatowej subwencji ogólnej na 201</w:t>
      </w:r>
      <w:r>
        <w:rPr>
          <w:rFonts w:ascii="Arial" w:hAnsi="Arial" w:cs="Arial"/>
        </w:rPr>
        <w:t>9</w:t>
      </w:r>
      <w:r w:rsidRPr="007C4964">
        <w:rPr>
          <w:rFonts w:ascii="Arial" w:hAnsi="Arial" w:cs="Arial"/>
        </w:rPr>
        <w:t xml:space="preserve"> r. uwzględniono także zmiany zakresu zadań oświatowych realizowanych przez poszczególne samorządy terytorialne, które nastąpiły od 1 stycznia 201</w:t>
      </w:r>
      <w:r>
        <w:rPr>
          <w:rFonts w:ascii="Arial" w:hAnsi="Arial" w:cs="Arial"/>
        </w:rPr>
        <w:t>9</w:t>
      </w:r>
      <w:r w:rsidRPr="007C4964">
        <w:rPr>
          <w:rFonts w:ascii="Arial" w:hAnsi="Arial" w:cs="Arial"/>
        </w:rPr>
        <w:t xml:space="preserve"> r. w wyniku porozumień zawartych przez jednostki samorządu terytorialnego. </w:t>
      </w:r>
    </w:p>
    <w:p w14:paraId="56471488" w14:textId="77777777" w:rsidR="00755406" w:rsidRPr="00E54108" w:rsidRDefault="00755406" w:rsidP="00755406">
      <w:pPr>
        <w:tabs>
          <w:tab w:val="left" w:pos="709"/>
        </w:tabs>
        <w:spacing w:before="120" w:after="240" w:line="276" w:lineRule="auto"/>
        <w:jc w:val="both"/>
      </w:pPr>
      <w:r w:rsidRPr="008F4577">
        <w:t>Ostateczna kwota części oświatowej subwencji ogólnej (dzielona algorytmem) przypadająca w 201</w:t>
      </w:r>
      <w:r>
        <w:t>9</w:t>
      </w:r>
      <w:r w:rsidRPr="008F4577">
        <w:t xml:space="preserve"> r. na 1 ucznia przeliczeniowego w skali ogólnokrajowej (tzw. finansowy standard „A”) wyliczona została jednolicie dla wszystkich jednostek samorządu terytorialnego i wynosi  </w:t>
      </w:r>
      <w:r>
        <w:t>5 568,5657 zł.</w:t>
      </w:r>
    </w:p>
    <w:p w14:paraId="7FEB7859" w14:textId="77777777" w:rsidR="00755406" w:rsidRDefault="00755406" w:rsidP="00755406">
      <w:pPr>
        <w:spacing w:before="120" w:after="240" w:line="276" w:lineRule="auto"/>
        <w:jc w:val="both"/>
      </w:pPr>
      <w:r w:rsidRPr="007E77D6">
        <w:t>Wykazana w „metryczkach” przy poszczególnych wagach liczba uczniów przeliczeniowych została zaokrąglona i podana z dokładnością do 9 miejsc po przecinku, a odpowiadające poszczególnym wagom kwoty subwencji zostały wyrażone w złotych i zaokrąglone do dwóch miejsc po przecinku. Natomiast do szczegółowego naliczenia dla danej jednostki samorządu terytorialnego ostatecznej kwoty części oświatow</w:t>
      </w:r>
      <w:r>
        <w:t>ej subwencji ogólnej na rok 201</w:t>
      </w:r>
      <w:r w:rsidR="00A815CD">
        <w:t>9</w:t>
      </w:r>
      <w:r w:rsidRPr="007E77D6">
        <w:t xml:space="preserve"> przyjęto iloczyn liczby uczniów przeliczeniowych (z dokładnością do 12 miejsc po </w:t>
      </w:r>
      <w:r w:rsidRPr="007E77D6">
        <w:lastRenderedPageBreak/>
        <w:t>przecinku) i kwoty finansowego standardu „A”. Ostateczne kwoty zostały zaokrąglone do pełnych złotych w taki sposób, że końcówki kwot wynoszące mniej niż 50 groszy zostały pominięte, a końcówki kwot wynoszące 50 i więcej groszy zostały podwyższone do pełnych złotych.</w:t>
      </w:r>
    </w:p>
    <w:p w14:paraId="507CAE22" w14:textId="3AA8B1E6" w:rsidR="008D2A3D" w:rsidRDefault="00CE604F" w:rsidP="00755406">
      <w:pPr>
        <w:spacing w:before="120" w:after="240" w:line="276" w:lineRule="auto"/>
        <w:jc w:val="both"/>
        <w:textAlignment w:val="top"/>
      </w:pPr>
      <w:r>
        <w:t>W</w:t>
      </w:r>
      <w:r w:rsidR="00D34064">
        <w:t xml:space="preserve"> ustawie budżetowej na rok 2019 określono kwotę bazową, służącą</w:t>
      </w:r>
      <w:r w:rsidR="00D34064" w:rsidRPr="00D34064">
        <w:t xml:space="preserve"> do wyliczania wynagrodzeń nauczycieli</w:t>
      </w:r>
      <w:r w:rsidR="00D34064">
        <w:t>,</w:t>
      </w:r>
      <w:r w:rsidR="00D34064" w:rsidRPr="00D34064">
        <w:t xml:space="preserve"> </w:t>
      </w:r>
      <w:r w:rsidR="00D34064">
        <w:t>w wysokości 3</w:t>
      </w:r>
      <w:r w:rsidR="00C956DA">
        <w:t>.</w:t>
      </w:r>
      <w:r w:rsidR="00D34064" w:rsidRPr="00D34064">
        <w:t>045,21</w:t>
      </w:r>
      <w:r w:rsidR="00D34064">
        <w:t xml:space="preserve"> zł. Równocześnie </w:t>
      </w:r>
      <w:r w:rsidR="00C956DA">
        <w:t>r</w:t>
      </w:r>
      <w:r w:rsidR="00D34064" w:rsidRPr="00D34064">
        <w:t>ozporządzenie Ministra Edukacji Narodowej z dnia 8 lutego 2019 r. zmieniające rozporządzenie w sprawie wysokości minimalnych stawek wynagrodzenia zasadniczego nauczycieli, ogólnych warunków przyznawania dodatków do wynagrodzenia zasadniczego oraz wynagradzania za pracę w</w:t>
      </w:r>
      <w:r w:rsidR="00C956DA">
        <w:t> </w:t>
      </w:r>
      <w:r w:rsidR="00D34064" w:rsidRPr="00D34064">
        <w:t>dniu wolnym od pracy</w:t>
      </w:r>
      <w:r w:rsidR="00D34064">
        <w:t xml:space="preserve"> (</w:t>
      </w:r>
      <w:r w:rsidR="00D34064" w:rsidRPr="00D34064">
        <w:t>Dz.U. 2019 poz. 249</w:t>
      </w:r>
      <w:r w:rsidR="00D34064">
        <w:t xml:space="preserve">) określiło nowe </w:t>
      </w:r>
      <w:r w:rsidR="00D34064" w:rsidRPr="00D34064">
        <w:t>wysokości minimalnych k</w:t>
      </w:r>
      <w:r w:rsidR="00D34064">
        <w:t xml:space="preserve">wot wynagrodzenia zasadniczego. </w:t>
      </w:r>
      <w:r>
        <w:t xml:space="preserve">Pragnę dodać, że środki na podwyżki wynagrodzeń nauczycieli zostały zagwarantowane w dochodach jednostek samorządu terytorialnego, w tym w subwencji oświatowej, która jest wyższa od ubiegłorocznej o </w:t>
      </w:r>
      <w:r w:rsidR="00C956DA">
        <w:t xml:space="preserve">ponad </w:t>
      </w:r>
      <w:r>
        <w:t xml:space="preserve">2,8 mld złotych. </w:t>
      </w:r>
    </w:p>
    <w:p w14:paraId="261BC5DB" w14:textId="12821B6F" w:rsidR="00215EC8" w:rsidRDefault="00215EC8" w:rsidP="00755406">
      <w:pPr>
        <w:spacing w:before="120" w:after="240" w:line="276" w:lineRule="auto"/>
        <w:jc w:val="both"/>
        <w:textAlignment w:val="top"/>
      </w:pPr>
      <w:r w:rsidRPr="007E77D6">
        <w:t>Zgodnie z art.</w:t>
      </w:r>
      <w:r>
        <w:t xml:space="preserve"> 34 ust. 1 pkt 1 </w:t>
      </w:r>
      <w:r w:rsidRPr="007E77D6">
        <w:t xml:space="preserve">ustawy o dochodach jednostek samorządu terytorialnego, minister właściwy do spraw finansów publicznych przekazuje jednostkom samorządu terytorialnego część oświatową subwencji ogólnej, </w:t>
      </w:r>
      <w:r w:rsidRPr="007E77D6">
        <w:br/>
        <w:t xml:space="preserve">w dwunastu ratach miesięcznych – w terminie do 25 dnia miesiąca poprzedzającego miesiąc wypłaty wynagrodzeń, z tym że rata </w:t>
      </w:r>
      <w:r w:rsidRPr="001313D6">
        <w:t xml:space="preserve">za marzec wynosi 2/13 ogólnej kwoty części oświatowej subwencji ogólnej. </w:t>
      </w:r>
      <w:r w:rsidRPr="00483172">
        <w:t xml:space="preserve">W związku </w:t>
      </w:r>
      <w:r w:rsidRPr="00483172">
        <w:br/>
        <w:t>z powyższym środki na realizację planowanych od 1 stycznia br. podwyżek dla nauczycieli, ujęte są proporcjonalnie we wszystkich 12 ratach miesięcznych.</w:t>
      </w:r>
    </w:p>
    <w:p w14:paraId="5A3127F7" w14:textId="21DD3E6B" w:rsidR="008D2A3D" w:rsidRDefault="00215EC8" w:rsidP="00755406">
      <w:pPr>
        <w:spacing w:before="120" w:after="240" w:line="276" w:lineRule="auto"/>
        <w:jc w:val="both"/>
        <w:textAlignment w:val="top"/>
      </w:pPr>
      <w:r>
        <w:t xml:space="preserve">Jednostki samorządu terytorialnego </w:t>
      </w:r>
      <w:r w:rsidR="00C335BD">
        <w:t xml:space="preserve">w 2019 r. </w:t>
      </w:r>
      <w:r>
        <w:t xml:space="preserve">mają już przekazane </w:t>
      </w:r>
      <w:r w:rsidR="00C335BD">
        <w:t xml:space="preserve">2 raty </w:t>
      </w:r>
      <w:r>
        <w:t xml:space="preserve"> subwencji oświatowej</w:t>
      </w:r>
      <w:r w:rsidR="00C335BD">
        <w:t xml:space="preserve"> (do 25 lutego otrzymają trzecią ratę na marzec w</w:t>
      </w:r>
      <w:r w:rsidR="00C956DA">
        <w:t> </w:t>
      </w:r>
      <w:r w:rsidR="00C335BD">
        <w:t>podwójnej wysokości)</w:t>
      </w:r>
      <w:r>
        <w:t xml:space="preserve"> </w:t>
      </w:r>
      <w:r w:rsidR="00C335BD">
        <w:t>i mogą niezwłocznie wypłacić</w:t>
      </w:r>
      <w:r w:rsidR="00270B5A">
        <w:t xml:space="preserve"> nauczycielom</w:t>
      </w:r>
      <w:r w:rsidR="00C335BD">
        <w:t xml:space="preserve"> podwyżki wynagrodzeń z</w:t>
      </w:r>
      <w:r w:rsidR="00C956DA">
        <w:t> </w:t>
      </w:r>
      <w:r w:rsidR="00C335BD">
        <w:t>wyrównaniem od 1 stycznia.</w:t>
      </w:r>
    </w:p>
    <w:p w14:paraId="23A98F12" w14:textId="7D003579" w:rsidR="000F36B3" w:rsidRDefault="000F36B3" w:rsidP="00755406">
      <w:pPr>
        <w:spacing w:before="120" w:after="240" w:line="276" w:lineRule="auto"/>
        <w:jc w:val="both"/>
        <w:textAlignment w:val="top"/>
      </w:pPr>
      <w:r w:rsidRPr="000F36B3">
        <w:t xml:space="preserve">Należy </w:t>
      </w:r>
      <w:r w:rsidR="00215EC8">
        <w:t xml:space="preserve">także </w:t>
      </w:r>
      <w:r w:rsidRPr="000F36B3">
        <w:t>podkreślić, że skutki finansowe zastosowania wskaźników zmniejszających liczbę uczniów gimnazjów oraz zwiększających liczbę uczniów w szkołach ponadgimnazjalnych</w:t>
      </w:r>
      <w:r>
        <w:t xml:space="preserve"> i ponadpodstawowych</w:t>
      </w:r>
      <w:r w:rsidRPr="000F36B3">
        <w:t xml:space="preserve"> są ujęte proporcjonalnie we wszystkich 12 ratach miesięcznych, w których przekazywana jest subwencja oświatowa i nie nastąpi zwiększenie lub zmniejszenie rat subwencji. Kwestia ta jest szczególnie istotna z punktu widzenia właściwego zaplanowania dochodów i wydatków w budżetach samorządów terytorialnych w celu zbilansowania </w:t>
      </w:r>
      <w:r>
        <w:br/>
      </w:r>
      <w:r w:rsidRPr="000F36B3">
        <w:t>w roku bieżącym skutków zmiany liczebności uczniów w poszczególnych typach szkół, która nastąpi z początkiem nowego roku szkolnego.</w:t>
      </w:r>
    </w:p>
    <w:p w14:paraId="5A4D84B2" w14:textId="77777777" w:rsidR="008D2A3D" w:rsidRDefault="008D2A3D" w:rsidP="00755406">
      <w:pPr>
        <w:spacing w:before="120" w:after="240" w:line="276" w:lineRule="auto"/>
        <w:jc w:val="both"/>
        <w:textAlignment w:val="top"/>
      </w:pPr>
    </w:p>
    <w:p w14:paraId="76B5DCEA" w14:textId="4DDDECB5" w:rsidR="000C5DDD" w:rsidRDefault="000C5DDD" w:rsidP="00533765">
      <w:pPr>
        <w:spacing w:before="120" w:after="240" w:line="276" w:lineRule="auto"/>
        <w:jc w:val="both"/>
        <w:textAlignment w:val="top"/>
      </w:pPr>
      <w:r>
        <w:t xml:space="preserve">Informuję uprzejmie, że środki na </w:t>
      </w:r>
      <w:r w:rsidR="00C956DA">
        <w:t xml:space="preserve">zapowiedziane przez Ministra Edukacji Narodowej </w:t>
      </w:r>
      <w:r>
        <w:t>dodatkowe podwyżki wynagrodzeń nauczycieli o 5%</w:t>
      </w:r>
      <w:r w:rsidR="002B6A65">
        <w:t xml:space="preserve"> </w:t>
      </w:r>
      <w:r w:rsidR="00427853">
        <w:t xml:space="preserve">od 1 września br. </w:t>
      </w:r>
      <w:r w:rsidR="002B6A65">
        <w:t>oraz zmiany w funkcjonowaniu niektórych dodatków</w:t>
      </w:r>
      <w:r>
        <w:t xml:space="preserve"> </w:t>
      </w:r>
      <w:r w:rsidR="003D27DA">
        <w:t>zostaną</w:t>
      </w:r>
      <w:r>
        <w:t xml:space="preserve"> sfinansowane z</w:t>
      </w:r>
      <w:r w:rsidR="00C956DA">
        <w:t> </w:t>
      </w:r>
      <w:r>
        <w:t>osobnej puli ś</w:t>
      </w:r>
      <w:r w:rsidR="002D5081">
        <w:t xml:space="preserve">rodków, która zostanie przekazana do jednostek samorządu terytorialnego w późniejszym </w:t>
      </w:r>
      <w:r w:rsidR="002B6A65">
        <w:t>terminie</w:t>
      </w:r>
      <w:r w:rsidR="002D5081">
        <w:t>.</w:t>
      </w:r>
    </w:p>
    <w:p w14:paraId="39E8F7F7" w14:textId="77777777" w:rsidR="00755406" w:rsidRDefault="00755406" w:rsidP="00755406">
      <w:pPr>
        <w:spacing w:before="120" w:after="240" w:line="276" w:lineRule="auto"/>
        <w:jc w:val="both"/>
      </w:pPr>
      <w:r>
        <w:t>IV. Zgodnie z art. 3 ust. 2 ustawy z dnia 27 października 2017 r. o finansowaniu zadań oświatowych (Dz.U. z 2017 r., poz. 2203</w:t>
      </w:r>
      <w:r w:rsidR="000128BB">
        <w:t xml:space="preserve"> z późn. zm</w:t>
      </w:r>
      <w:r>
        <w:t xml:space="preserve">) – środki niezbędne do realizacji zadań oświatowych jednostek samorządu terytorialnego, o których mowa w art. 11 ust. 2-4 ustawy z dnia 14 grudnia 2016 r. - Prawo oświatowe </w:t>
      </w:r>
      <w:r w:rsidRPr="00225BC2">
        <w:t>(Dz. U</w:t>
      </w:r>
      <w:r>
        <w:t>. z 201</w:t>
      </w:r>
      <w:r w:rsidR="000128BB">
        <w:t>8</w:t>
      </w:r>
      <w:r>
        <w:t xml:space="preserve"> r., poz. 9</w:t>
      </w:r>
      <w:r w:rsidR="000128BB">
        <w:t>96 z późn. zm.</w:t>
      </w:r>
      <w:r w:rsidRPr="00225BC2">
        <w:t>)</w:t>
      </w:r>
      <w:r>
        <w:t>, w tym na wynagrodzenia nauczycieli oraz utrzymanie placówek wychowania przedszkolnego, szkół i placówek, są zagwarantowane w dochodach jednostek samorządu terytorialnego.</w:t>
      </w:r>
    </w:p>
    <w:p w14:paraId="397D9B6B" w14:textId="77777777" w:rsidR="00755406" w:rsidRDefault="00755406" w:rsidP="00755406">
      <w:pPr>
        <w:spacing w:before="120" w:after="240" w:line="276" w:lineRule="auto"/>
        <w:jc w:val="both"/>
      </w:pPr>
      <w:r>
        <w:t xml:space="preserve">Powtórzeniem tych przepisów jest regulacja zawarta w art. 30 ust. 8 ustawy </w:t>
      </w:r>
      <w:r>
        <w:br/>
        <w:t>z dnia 26 stycznia 1982 r. – Karta Nauczyciela (Dz.U. z 2018</w:t>
      </w:r>
      <w:r w:rsidRPr="006977AF">
        <w:t xml:space="preserve"> r.</w:t>
      </w:r>
      <w:r>
        <w:t>, poz. 967</w:t>
      </w:r>
      <w:r w:rsidRPr="006977AF">
        <w:t>)</w:t>
      </w:r>
      <w:r>
        <w:t xml:space="preserve">. Zgodnie z tym przepisem środki niezbędne na średnie wynagrodzenie nauczycieli, o których mowa w art. 30 ust. 3 Karty Nauczyciela, wraz </w:t>
      </w:r>
      <w:r>
        <w:br/>
        <w:t xml:space="preserve">z wydatkami pochodnymi od wynagrodzeń, środki na odpis na zakładowy fundusz świadczeń socjalnych, o którym mowa w art. 53 ust. 1 tej ustawy oraz środki na dofinansowanie doskonalenia zawodowego nauczycieli </w:t>
      </w:r>
      <w:r>
        <w:br/>
        <w:t xml:space="preserve">z uwzględnieniem doradztwa metodycznego, o których mowa w art. 70a ust. </w:t>
      </w:r>
      <w:r>
        <w:br/>
        <w:t>1 Karty Nauczyciela, zagwarantowane są przez państwo w dochodach jednostek samorządu terytorialnego.</w:t>
      </w:r>
    </w:p>
    <w:p w14:paraId="22C025CC" w14:textId="77777777" w:rsidR="00755406" w:rsidRDefault="00755406" w:rsidP="00755406">
      <w:pPr>
        <w:spacing w:before="120" w:after="240" w:line="276" w:lineRule="auto"/>
        <w:jc w:val="both"/>
      </w:pPr>
      <w:r w:rsidRPr="00E94EF5">
        <w:t xml:space="preserve">Zgodnie z art. 167 ust. 2 Konstytucji RP dochodami jednostek samorządu terytorialnego są: dochody własne, subwencje ogólne (w tym część oświatowa tej subwencji) oraz dotacje z budżetu państwa. Warto podkreślić, </w:t>
      </w:r>
      <w:r>
        <w:t xml:space="preserve">że żaden </w:t>
      </w:r>
      <w:r>
        <w:br/>
        <w:t xml:space="preserve">z powyższych przepisów </w:t>
      </w:r>
      <w:r w:rsidRPr="00E94EF5">
        <w:t>nie zapewnia, że subwencja z budżetu państwa ma pokrywać w całości wydatki oświatowe jednostek samorządu terytorialnego. Stanowi ona jedno ze źródeł finansowania tych zadań, obok innych dochodów jednostek samorządu terytorialnego</w:t>
      </w:r>
      <w:r>
        <w:t xml:space="preserve">. </w:t>
      </w:r>
      <w:r w:rsidRPr="001D3FE5">
        <w:t>W świetle obowiązujących przepisów, jedynym punktem odniesienia w zakresie bilansowania środków na zadania własne (w tym zadania oświatowe) mogą być łączne dochody danego samorządu terytorialnego a nie tylko część oświatowa subwencji ogólnej, która jest jedynie jednym ze źródeł dochodów.</w:t>
      </w:r>
    </w:p>
    <w:p w14:paraId="4076D95A" w14:textId="77777777" w:rsidR="00755406" w:rsidRPr="007E77D6" w:rsidRDefault="00755406" w:rsidP="00755406">
      <w:pPr>
        <w:spacing w:before="120" w:after="240" w:line="276" w:lineRule="auto"/>
        <w:jc w:val="both"/>
      </w:pPr>
      <w:r>
        <w:t xml:space="preserve">V. </w:t>
      </w:r>
      <w:r w:rsidRPr="007E77D6">
        <w:t xml:space="preserve">Zgodnie z decyzją Ministra Finansów, określającą wszystkim jednostkom samorządu terytorialnego między innymi ostateczną wysokość części </w:t>
      </w:r>
      <w:r w:rsidRPr="007E77D6">
        <w:lastRenderedPageBreak/>
        <w:t>oświatow</w:t>
      </w:r>
      <w:r>
        <w:t>ej subwencji ogólnej na rok 2019</w:t>
      </w:r>
      <w:r w:rsidRPr="007E77D6">
        <w:t xml:space="preserve">, w tzw. strefie dla zalogowanych systemu informacji oświatowej </w:t>
      </w:r>
      <w:hyperlink r:id="rId8" w:history="1">
        <w:r w:rsidRPr="000A4D70">
          <w:rPr>
            <w:rStyle w:val="Hipercze"/>
          </w:rPr>
          <w:t>https://strefasio.men.gov.pl/login</w:t>
        </w:r>
      </w:hyperlink>
      <w:r>
        <w:t xml:space="preserve"> </w:t>
      </w:r>
      <w:r w:rsidRPr="0060604A">
        <w:t xml:space="preserve">w </w:t>
      </w:r>
      <w:r>
        <w:t>zakładce</w:t>
      </w:r>
      <w:r w:rsidRPr="0060604A">
        <w:t xml:space="preserve"> </w:t>
      </w:r>
      <w:r>
        <w:t>Raporty/Subwencja</w:t>
      </w:r>
      <w:r w:rsidRPr="00250AE8">
        <w:t xml:space="preserve">, w </w:t>
      </w:r>
      <w:r>
        <w:t>sekcji „Subwencja 2019</w:t>
      </w:r>
      <w:r w:rsidRPr="00250AE8">
        <w:t xml:space="preserve"> (dane ostateczne)”</w:t>
      </w:r>
      <w:r>
        <w:t xml:space="preserve"> </w:t>
      </w:r>
      <w:r w:rsidRPr="001F173A">
        <w:t>zamieszczone zostały dodatkowe informa</w:t>
      </w:r>
      <w:r>
        <w:t>cje związane z jej naliczeniem:</w:t>
      </w:r>
    </w:p>
    <w:p w14:paraId="2A7D2E29" w14:textId="77777777" w:rsidR="00755406" w:rsidRPr="007E77D6" w:rsidRDefault="00755406" w:rsidP="00755406">
      <w:pPr>
        <w:numPr>
          <w:ilvl w:val="0"/>
          <w:numId w:val="1"/>
        </w:numPr>
        <w:spacing w:before="120" w:after="240" w:line="276" w:lineRule="auto"/>
        <w:ind w:left="284" w:hanging="284"/>
        <w:jc w:val="both"/>
      </w:pPr>
      <w:r w:rsidRPr="007E77D6">
        <w:t>tzw. „metryczka” zawierająca dane kalkulacyjne przyjęte do obliczenia części oświ</w:t>
      </w:r>
      <w:r>
        <w:t>atowej subwencji ogólnej na 2019</w:t>
      </w:r>
      <w:r w:rsidRPr="007E77D6">
        <w:t> r. dla określonej jednostki samorządu terytorialnego,</w:t>
      </w:r>
    </w:p>
    <w:p w14:paraId="1F6093EB" w14:textId="77777777" w:rsidR="00755406" w:rsidRPr="007E77D6" w:rsidRDefault="00755406" w:rsidP="00755406">
      <w:pPr>
        <w:numPr>
          <w:ilvl w:val="0"/>
          <w:numId w:val="1"/>
        </w:numPr>
        <w:spacing w:before="120" w:after="240" w:line="276" w:lineRule="auto"/>
        <w:ind w:left="284" w:hanging="284"/>
        <w:jc w:val="both"/>
      </w:pPr>
      <w:r w:rsidRPr="007E77D6">
        <w:t>wykaz szkół i placówek prowadzonych (dotowanych) przez daną jednostkę samorządu terytorialnego, opracowany na podstawie danych systemu informacji oświatow</w:t>
      </w:r>
      <w:r>
        <w:t>ej, wg stanu na 30 września 2018</w:t>
      </w:r>
      <w:r w:rsidRPr="007E77D6">
        <w:t xml:space="preserve"> r. i </w:t>
      </w:r>
      <w:r>
        <w:t xml:space="preserve">w przypadku kolegiów pracowników służb społecznych wg stanu na </w:t>
      </w:r>
      <w:r w:rsidRPr="007E77D6">
        <w:t xml:space="preserve">dzień </w:t>
      </w:r>
      <w:r>
        <w:t>10 października 2018 r.,</w:t>
      </w:r>
    </w:p>
    <w:p w14:paraId="57175A9D" w14:textId="77777777" w:rsidR="00755406" w:rsidRPr="007E77D6" w:rsidRDefault="00755406" w:rsidP="00755406">
      <w:pPr>
        <w:numPr>
          <w:ilvl w:val="0"/>
          <w:numId w:val="1"/>
        </w:numPr>
        <w:spacing w:before="120" w:after="240" w:line="276" w:lineRule="auto"/>
        <w:ind w:left="284" w:hanging="284"/>
        <w:jc w:val="both"/>
      </w:pPr>
      <w:r w:rsidRPr="007E77D6">
        <w:t>zestawienie, zawierające dane o łącznej liczbie etatów nauczycieli zatrudnionych na podstawie</w:t>
      </w:r>
      <w:r>
        <w:t xml:space="preserve"> ww.</w:t>
      </w:r>
      <w:r w:rsidRPr="007E77D6">
        <w:t xml:space="preserve"> ustawy z dnia 26 stycznia 1982 r. – Karta Nauczyciela w pełnym i niepełnym wymiarze zajęć (po przeliczeniu na pełny wymiar zajęć), z wyłączeniem liczby etatów nauczycieli przebywających na urlopach wychowawczych i bezpłatnych), ustalonej na podstawie danych systemu informacji oświatowej dla bazowego roku szkolnego według</w:t>
      </w:r>
      <w:r>
        <w:t xml:space="preserve"> stanu na dzień 30 września 2018</w:t>
      </w:r>
      <w:r w:rsidRPr="007E77D6">
        <w:t xml:space="preserve"> r. i</w:t>
      </w:r>
      <w:r>
        <w:t xml:space="preserve"> w przypadku kolegiów pracowników służb społecznych wg stanu na dzień 10 października 2018</w:t>
      </w:r>
      <w:r w:rsidRPr="007E77D6">
        <w:t xml:space="preserve"> r.</w:t>
      </w:r>
    </w:p>
    <w:p w14:paraId="35FC1460" w14:textId="77777777" w:rsidR="00755406" w:rsidRDefault="00755406" w:rsidP="00755406">
      <w:pPr>
        <w:spacing w:before="120" w:after="240" w:line="276" w:lineRule="auto"/>
        <w:jc w:val="both"/>
      </w:pPr>
      <w:r w:rsidRPr="001F173A">
        <w:t>Tabela dotycząca kalkulacji kwoty części oświatowej subwencji ogólnej na realizację zadań wymagających stosowania specjalnej organizacji nauki i metod pracy zostanie udostępnion</w:t>
      </w:r>
      <w:r>
        <w:t>a w strefie dla zalogowanych systemu informacji oświatowej</w:t>
      </w:r>
      <w:r w:rsidRPr="001F173A">
        <w:t xml:space="preserve"> wkrótce.</w:t>
      </w:r>
    </w:p>
    <w:p w14:paraId="22A66A76" w14:textId="77777777" w:rsidR="00755406" w:rsidRDefault="00755406" w:rsidP="00755406">
      <w:pPr>
        <w:spacing w:before="120" w:after="240" w:line="276" w:lineRule="auto"/>
        <w:jc w:val="both"/>
      </w:pPr>
      <w:r w:rsidRPr="007E77D6">
        <w:t>W ramach przeprowadzonej weryfikacji danych, które wykorzystano do wyliczeń części oświatow</w:t>
      </w:r>
      <w:r>
        <w:t>ej subwencji ogólnej na rok 2019</w:t>
      </w:r>
      <w:r w:rsidRPr="007E77D6">
        <w:t xml:space="preserve"> uwzględniono te korekty naniesione na wykazach i zestawieniach, które miały swoje odzwierciedlenie </w:t>
      </w:r>
      <w:r w:rsidRPr="007E77D6">
        <w:br/>
        <w:t>w bazach systemu informacji oświatowej według stanu</w:t>
      </w:r>
      <w:r>
        <w:t xml:space="preserve"> na dzień 14 stycznia 2019</w:t>
      </w:r>
      <w:r w:rsidRPr="007E77D6">
        <w:t xml:space="preserve"> r. </w:t>
      </w:r>
    </w:p>
    <w:p w14:paraId="654F048F" w14:textId="77777777" w:rsidR="00755406" w:rsidRPr="00166D8F" w:rsidRDefault="00755406" w:rsidP="00755406">
      <w:pPr>
        <w:spacing w:before="120" w:after="240" w:line="276" w:lineRule="auto"/>
        <w:jc w:val="both"/>
        <w:rPr>
          <w:u w:val="single"/>
        </w:rPr>
      </w:pPr>
      <w:r w:rsidRPr="005E7900">
        <w:t>Uprzejmie proszę o ponowne sprawdzenie poprawności danych statystycznych, które zostały przyjęte do wyliczeń części oświatow</w:t>
      </w:r>
      <w:r>
        <w:t>ej subwencji ogólnej na rok 2019</w:t>
      </w:r>
      <w:r w:rsidRPr="005E7900">
        <w:t>.</w:t>
      </w:r>
      <w:r>
        <w:t xml:space="preserve"> W </w:t>
      </w:r>
      <w:r w:rsidRPr="007E77D6">
        <w:t xml:space="preserve">przypadku stwierdzenia </w:t>
      </w:r>
      <w:r w:rsidRPr="00166D8F">
        <w:rPr>
          <w:u w:val="single"/>
        </w:rPr>
        <w:t>niezgodności danych statystycznych ze stanem faktycznym</w:t>
      </w:r>
      <w:r w:rsidRPr="00166D8F">
        <w:t>, skutkujących naliczeniem dla jednostki samorządu terytorialnego części oświatowej subwencji ogólnej w kwocie wyższej od należnej</w:t>
      </w:r>
      <w:r w:rsidRPr="007E77D6">
        <w:t>, należy o tym fakcie niezwłocznie zawiadomić Ministra Edu</w:t>
      </w:r>
      <w:r>
        <w:t>kacji Narodowej</w:t>
      </w:r>
      <w:r w:rsidR="00CA42BB">
        <w:t xml:space="preserve"> w formie pisemnej</w:t>
      </w:r>
      <w:r w:rsidR="00483172">
        <w:t xml:space="preserve">. </w:t>
      </w:r>
      <w:r>
        <w:t xml:space="preserve">Należy podkreślić, że zgodnie z art. 111 ust. 1 </w:t>
      </w:r>
      <w:r>
        <w:lastRenderedPageBreak/>
        <w:t>ustawy z dnia 15 </w:t>
      </w:r>
      <w:r w:rsidRPr="00F3196F">
        <w:t>kwietnia 2011 r.</w:t>
      </w:r>
      <w:r>
        <w:t xml:space="preserve"> </w:t>
      </w:r>
      <w:r w:rsidRPr="00F3196F">
        <w:t>o systemie informacji oświatowej</w:t>
      </w:r>
      <w:r w:rsidR="000128BB">
        <w:t xml:space="preserve"> (Dz.U. z </w:t>
      </w:r>
      <w:r>
        <w:t>2018</w:t>
      </w:r>
      <w:r w:rsidRPr="00F3196F">
        <w:t xml:space="preserve"> r.</w:t>
      </w:r>
      <w:r>
        <w:t>, poz. 1900</w:t>
      </w:r>
      <w:r w:rsidRPr="00F3196F">
        <w:t>)</w:t>
      </w:r>
      <w:r>
        <w:t xml:space="preserve"> p</w:t>
      </w:r>
      <w:r w:rsidRPr="00F3196F">
        <w:t>odmioty prowadzące bazy danych oświatowych obowiązane są do sprawdzenia kompletności, poprawności i zgodności ze stanem faktycznym danych gromadzonych przez nie w bazach danych oświatowych</w:t>
      </w:r>
      <w:r>
        <w:t xml:space="preserve">. </w:t>
      </w:r>
      <w:r w:rsidRPr="00166D8F">
        <w:rPr>
          <w:u w:val="single"/>
        </w:rPr>
        <w:t>Za wykonanie ww. obowiązku odpowiadają wójt (burmistrz, prezydent miasta), starosta i marszałek województwa.</w:t>
      </w:r>
    </w:p>
    <w:p w14:paraId="236EDE08" w14:textId="77777777" w:rsidR="00755406" w:rsidRPr="0069289B" w:rsidRDefault="00755406" w:rsidP="00755406">
      <w:pPr>
        <w:spacing w:before="120" w:after="240" w:line="276" w:lineRule="auto"/>
        <w:jc w:val="both"/>
        <w:rPr>
          <w:bCs/>
        </w:rPr>
      </w:pPr>
      <w:r>
        <w:t>Informuję również</w:t>
      </w:r>
      <w:r w:rsidRPr="0069289B">
        <w:t>, że zgodnie z art. 37 ust. 4 ww. ustawy z dnia 13 listopada 2003 r. o dochodach jedno</w:t>
      </w:r>
      <w:r>
        <w:t xml:space="preserve">stek samorządu terytorialnego </w:t>
      </w:r>
      <w:r>
        <w:rPr>
          <w:bCs/>
        </w:rPr>
        <w:t>nie będzie</w:t>
      </w:r>
      <w:r w:rsidRPr="0069289B">
        <w:rPr>
          <w:bCs/>
        </w:rPr>
        <w:t xml:space="preserve"> możliwe zwiększenie części oświatowej subwencji ogólnej</w:t>
      </w:r>
      <w:r w:rsidRPr="0069289B">
        <w:rPr>
          <w:b/>
          <w:bCs/>
        </w:rPr>
        <w:t xml:space="preserve"> </w:t>
      </w:r>
      <w:r w:rsidRPr="0069289B">
        <w:rPr>
          <w:bCs/>
        </w:rPr>
        <w:t>dla jednostki samor</w:t>
      </w:r>
      <w:r>
        <w:rPr>
          <w:bCs/>
        </w:rPr>
        <w:t>ządu terytorialnego w przypadkach:</w:t>
      </w:r>
    </w:p>
    <w:p w14:paraId="6F48AAF3" w14:textId="77777777" w:rsidR="00755406" w:rsidRDefault="00755406" w:rsidP="00755406">
      <w:pPr>
        <w:numPr>
          <w:ilvl w:val="0"/>
          <w:numId w:val="1"/>
        </w:numPr>
        <w:spacing w:before="120" w:after="240" w:line="276" w:lineRule="auto"/>
        <w:ind w:left="284" w:hanging="284"/>
        <w:jc w:val="both"/>
      </w:pPr>
      <w:r w:rsidRPr="007E77D6">
        <w:t>przekazania przez dyrektorów szkół i placówe</w:t>
      </w:r>
      <w:r>
        <w:t>k oświatowych błędnych danych w </w:t>
      </w:r>
      <w:r w:rsidRPr="007E77D6">
        <w:t>systemie informacji oświatowej</w:t>
      </w:r>
      <w:r>
        <w:t>,</w:t>
      </w:r>
    </w:p>
    <w:p w14:paraId="51D32882" w14:textId="77777777" w:rsidR="00755406" w:rsidRPr="007E77D6" w:rsidRDefault="00755406" w:rsidP="00755406">
      <w:pPr>
        <w:numPr>
          <w:ilvl w:val="0"/>
          <w:numId w:val="1"/>
        </w:numPr>
        <w:spacing w:before="120" w:after="240" w:line="276" w:lineRule="auto"/>
        <w:ind w:left="284" w:hanging="284"/>
        <w:jc w:val="both"/>
      </w:pPr>
      <w:r w:rsidRPr="007E77D6">
        <w:t>niekompletności danych systemu informacji oświatowej zawinionych przez dyrektorów szkół i placówek oświatowych</w:t>
      </w:r>
      <w:r>
        <w:t xml:space="preserve"> oraz </w:t>
      </w:r>
      <w:r w:rsidRPr="007E77D6">
        <w:t>przez jednostki samorządu terytorialnego.</w:t>
      </w:r>
    </w:p>
    <w:p w14:paraId="2CC5E35C" w14:textId="77777777" w:rsidR="00755406" w:rsidRDefault="00755406" w:rsidP="00755406">
      <w:pPr>
        <w:pStyle w:val="Nagwek"/>
        <w:tabs>
          <w:tab w:val="clear" w:pos="4536"/>
        </w:tabs>
        <w:spacing w:after="120" w:line="276" w:lineRule="auto"/>
        <w:jc w:val="both"/>
      </w:pPr>
      <w:r w:rsidRPr="002C00C5">
        <w:t>Podział części oświatow</w:t>
      </w:r>
      <w:r>
        <w:t>ej subwencji ogólnej na rok 2019</w:t>
      </w:r>
      <w:r w:rsidRPr="002C00C5">
        <w:t xml:space="preserve"> został dokonany </w:t>
      </w:r>
      <w:r w:rsidRPr="002C00C5">
        <w:br/>
        <w:t xml:space="preserve">z uwzględnieniem danych zgromadzonych w systemie informacji oświatowej, </w:t>
      </w:r>
      <w:r w:rsidRPr="002C00C5">
        <w:br/>
        <w:t xml:space="preserve">o którym mowa w art. 105 ustawy z dnia 15 kwietnia 2011 r. o systemie informacji oświatowej  (tzw. </w:t>
      </w:r>
      <w:r>
        <w:t>stare SIO), co wynika z art. 162</w:t>
      </w:r>
      <w:r w:rsidRPr="002C00C5">
        <w:t xml:space="preserve"> ustawy z </w:t>
      </w:r>
      <w:r>
        <w:t xml:space="preserve">dnia </w:t>
      </w:r>
      <w:r w:rsidR="000128BB">
        <w:t>22 </w:t>
      </w:r>
      <w:r>
        <w:t>listopada 2018 r. o zmianie ustawy – Prawo oświatowe, ustawy o systemie oświaty oraz niektórych innych ustaw (Dz.U. z 2018 r., poz. 2245).</w:t>
      </w:r>
    </w:p>
    <w:p w14:paraId="3EB01BFC" w14:textId="77777777" w:rsidR="002140F6" w:rsidRPr="007E77D6" w:rsidRDefault="002140F6" w:rsidP="002140F6">
      <w:pPr>
        <w:spacing w:before="120" w:after="240" w:line="276" w:lineRule="auto"/>
        <w:jc w:val="both"/>
      </w:pPr>
      <w:r>
        <w:rPr>
          <w:color w:val="000000"/>
        </w:rPr>
        <w:t>Pragnę dodać, że d</w:t>
      </w:r>
      <w:r w:rsidRPr="00415ED6">
        <w:rPr>
          <w:color w:val="000000"/>
        </w:rPr>
        <w:t>ane o wysok</w:t>
      </w:r>
      <w:r>
        <w:rPr>
          <w:color w:val="000000"/>
        </w:rPr>
        <w:t>ości subwencji wstępnej na dany rok budżetowy (przekazane w terminie do 15 października 2018 r.) mają</w:t>
      </w:r>
      <w:r w:rsidRPr="00415ED6">
        <w:rPr>
          <w:color w:val="000000"/>
        </w:rPr>
        <w:t xml:space="preserve"> jedynie charakter pomo</w:t>
      </w:r>
      <w:r>
        <w:rPr>
          <w:color w:val="000000"/>
        </w:rPr>
        <w:t xml:space="preserve">cniczy i w </w:t>
      </w:r>
      <w:r w:rsidR="005B2C12">
        <w:rPr>
          <w:color w:val="000000"/>
        </w:rPr>
        <w:t>dużej mierze bazowały</w:t>
      </w:r>
      <w:r>
        <w:rPr>
          <w:color w:val="000000"/>
        </w:rPr>
        <w:t xml:space="preserve"> na danych statystycznych z poprzedniego roku szkolnego</w:t>
      </w:r>
      <w:r w:rsidRPr="00415ED6">
        <w:rPr>
          <w:color w:val="000000"/>
        </w:rPr>
        <w:t xml:space="preserve">. </w:t>
      </w:r>
      <w:r>
        <w:rPr>
          <w:color w:val="000000"/>
        </w:rPr>
        <w:t>Należy zaznaczyć, że przy naliczaniu ostatecznej kwoty części o</w:t>
      </w:r>
      <w:r w:rsidR="00F43A9E">
        <w:rPr>
          <w:color w:val="000000"/>
        </w:rPr>
        <w:t>światowej subwencji ogólnej mogła</w:t>
      </w:r>
      <w:r>
        <w:rPr>
          <w:color w:val="000000"/>
        </w:rPr>
        <w:t xml:space="preserve"> nastąpić z</w:t>
      </w:r>
      <w:r w:rsidRPr="00415ED6">
        <w:rPr>
          <w:color w:val="000000"/>
        </w:rPr>
        <w:t>miana tych kwot w wyniku uwzględnienia aktualnych danych wykazanych w systemie informacji oświatowej zweryfikowanych następnie przez jednostkę samorządu terytorialnego.</w:t>
      </w:r>
      <w:r w:rsidR="00F43A9E">
        <w:rPr>
          <w:color w:val="000000"/>
        </w:rPr>
        <w:t xml:space="preserve"> </w:t>
      </w:r>
      <w:r>
        <w:t xml:space="preserve">Ostateczny podział subwencji został również dokonany </w:t>
      </w:r>
      <w:r w:rsidR="00F43A9E">
        <w:br/>
      </w:r>
      <w:r>
        <w:t xml:space="preserve">w oparciu o nowe rozporządzenie Ministra Edukacji Narodowej </w:t>
      </w:r>
      <w:r w:rsidRPr="002C00C5">
        <w:t>z dnia 1</w:t>
      </w:r>
      <w:r>
        <w:t>8</w:t>
      </w:r>
      <w:r w:rsidRPr="002C00C5">
        <w:t xml:space="preserve"> grudnia 201</w:t>
      </w:r>
      <w:r>
        <w:t>8</w:t>
      </w:r>
      <w:r w:rsidRPr="002C00C5">
        <w:t> r. w sprawie sposobu podziału części oświatowej subwencji ogólnej dla jednostek samorz</w:t>
      </w:r>
      <w:r>
        <w:t xml:space="preserve">ądu terytorialnego w roku 2019 </w:t>
      </w:r>
      <w:r w:rsidRPr="00382E6C">
        <w:t>(Dz. U. z 201</w:t>
      </w:r>
      <w:r>
        <w:t>8</w:t>
      </w:r>
      <w:r w:rsidRPr="00382E6C">
        <w:t xml:space="preserve"> r., poz. 2</w:t>
      </w:r>
      <w:r>
        <w:t>446</w:t>
      </w:r>
      <w:r w:rsidRPr="00382E6C">
        <w:t>).</w:t>
      </w:r>
    </w:p>
    <w:p w14:paraId="052E6B0B" w14:textId="77777777" w:rsidR="002140F6" w:rsidRPr="00B24F5E" w:rsidRDefault="002140F6" w:rsidP="002140F6">
      <w:pPr>
        <w:spacing w:before="120" w:after="240" w:line="276" w:lineRule="auto"/>
        <w:jc w:val="both"/>
      </w:pPr>
      <w:r>
        <w:t>Różnice między p</w:t>
      </w:r>
      <w:r w:rsidRPr="00B24F5E">
        <w:t>lanowan</w:t>
      </w:r>
      <w:r>
        <w:t>ymi</w:t>
      </w:r>
      <w:r w:rsidRPr="00B24F5E">
        <w:t xml:space="preserve"> (wstępn</w:t>
      </w:r>
      <w:r>
        <w:t>ymi</w:t>
      </w:r>
      <w:r w:rsidRPr="00B24F5E">
        <w:t>) kwot</w:t>
      </w:r>
      <w:r>
        <w:t>ami</w:t>
      </w:r>
      <w:r w:rsidRPr="00B24F5E">
        <w:t xml:space="preserve"> części oświatow</w:t>
      </w:r>
      <w:r>
        <w:t>ej subwencji ogólnej, a kwotami ostatecznymi na rok 2019</w:t>
      </w:r>
      <w:r w:rsidRPr="00B24F5E">
        <w:t xml:space="preserve"> </w:t>
      </w:r>
      <w:r>
        <w:t>wynikają z faktu, że przy naliczaniu subwencji wstępnej przyjęto</w:t>
      </w:r>
      <w:r w:rsidR="00F43A9E">
        <w:t xml:space="preserve"> m. in.</w:t>
      </w:r>
      <w:r w:rsidRPr="00B24F5E">
        <w:t>:</w:t>
      </w:r>
    </w:p>
    <w:p w14:paraId="60CD25F6" w14:textId="77777777" w:rsidR="002140F6" w:rsidRDefault="002140F6" w:rsidP="002140F6">
      <w:pPr>
        <w:pStyle w:val="Tekstpodstawowy"/>
        <w:numPr>
          <w:ilvl w:val="0"/>
          <w:numId w:val="2"/>
        </w:numPr>
        <w:tabs>
          <w:tab w:val="left" w:pos="-3119"/>
          <w:tab w:val="left" w:pos="-2977"/>
          <w:tab w:val="left" w:pos="-2694"/>
          <w:tab w:val="num" w:pos="709"/>
        </w:tabs>
        <w:spacing w:after="12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Kwotę finansowego standardu A w wysokości 5 592,5780 zł, która różni się od kwoty ostatecznego standardu A, ustalonej w wysokości 5 568,5657 zł;</w:t>
      </w:r>
    </w:p>
    <w:p w14:paraId="39364B93" w14:textId="77777777" w:rsidR="002140F6" w:rsidRPr="00AC4F3C" w:rsidRDefault="002140F6" w:rsidP="002140F6">
      <w:pPr>
        <w:pStyle w:val="Tekstpodstawowy"/>
        <w:numPr>
          <w:ilvl w:val="0"/>
          <w:numId w:val="2"/>
        </w:numPr>
        <w:tabs>
          <w:tab w:val="left" w:pos="-3119"/>
          <w:tab w:val="left" w:pos="-2977"/>
          <w:tab w:val="left" w:pos="-2694"/>
          <w:tab w:val="num" w:pos="709"/>
        </w:tabs>
        <w:spacing w:after="120" w:line="276" w:lineRule="auto"/>
        <w:ind w:left="709" w:hanging="425"/>
        <w:rPr>
          <w:rFonts w:ascii="Arial" w:hAnsi="Arial" w:cs="Arial"/>
        </w:rPr>
      </w:pPr>
      <w:r w:rsidRPr="00AC4F3C">
        <w:rPr>
          <w:rFonts w:ascii="Arial" w:hAnsi="Arial" w:cs="Arial"/>
        </w:rPr>
        <w:t>dan</w:t>
      </w:r>
      <w:r w:rsidRPr="00C21673">
        <w:rPr>
          <w:rFonts w:ascii="Arial" w:hAnsi="Arial" w:cs="Arial"/>
        </w:rPr>
        <w:t>e statystyczn</w:t>
      </w:r>
      <w:r w:rsidRPr="00A34C77">
        <w:rPr>
          <w:rFonts w:ascii="Arial" w:hAnsi="Arial" w:cs="Arial"/>
        </w:rPr>
        <w:t>e dotyczące liczby etatów nauczycieli poszczególnych stopni awansu zawodowego, wykazan</w:t>
      </w:r>
      <w:r w:rsidRPr="00AC4F3C">
        <w:rPr>
          <w:rFonts w:ascii="Arial" w:hAnsi="Arial" w:cs="Arial"/>
        </w:rPr>
        <w:t>e w systemie informacji oświatowej (według stanu na dzień 30 września 2017 r. i w przypadku kolegiów pracowników służb społecznych wg stan</w:t>
      </w:r>
      <w:r>
        <w:rPr>
          <w:rFonts w:ascii="Arial" w:hAnsi="Arial" w:cs="Arial"/>
        </w:rPr>
        <w:t>u na dzień 10 października 2017 </w:t>
      </w:r>
      <w:r w:rsidRPr="00AC4F3C">
        <w:rPr>
          <w:rFonts w:ascii="Arial" w:hAnsi="Arial" w:cs="Arial"/>
        </w:rPr>
        <w:t>r.)</w:t>
      </w:r>
      <w:r>
        <w:rPr>
          <w:rFonts w:ascii="Arial" w:hAnsi="Arial" w:cs="Arial"/>
        </w:rPr>
        <w:t>;</w:t>
      </w:r>
    </w:p>
    <w:p w14:paraId="72FE0DE2" w14:textId="77777777" w:rsidR="002140F6" w:rsidRDefault="002140F6" w:rsidP="002140F6">
      <w:pPr>
        <w:pStyle w:val="menfont"/>
        <w:numPr>
          <w:ilvl w:val="0"/>
          <w:numId w:val="2"/>
        </w:numPr>
        <w:tabs>
          <w:tab w:val="num" w:pos="709"/>
        </w:tabs>
        <w:spacing w:before="120" w:line="276" w:lineRule="auto"/>
        <w:ind w:left="709" w:hanging="425"/>
        <w:jc w:val="both"/>
      </w:pPr>
      <w:r w:rsidRPr="00BA5D5A">
        <w:t>dan</w:t>
      </w:r>
      <w:r>
        <w:t>e</w:t>
      </w:r>
      <w:r w:rsidRPr="00BA5D5A">
        <w:t xml:space="preserve"> dotycząc</w:t>
      </w:r>
      <w:r>
        <w:t>e</w:t>
      </w:r>
      <w:r w:rsidRPr="00BA5D5A">
        <w:t xml:space="preserve"> liczby uczni</w:t>
      </w:r>
      <w:r>
        <w:t xml:space="preserve">ów w roku szkolnym 2018/2019 </w:t>
      </w:r>
      <w:r w:rsidRPr="00BA5D5A">
        <w:t>wykazan</w:t>
      </w:r>
      <w:r>
        <w:t>e w </w:t>
      </w:r>
      <w:r w:rsidRPr="00BA5D5A">
        <w:t xml:space="preserve">systemie informacji oświatowej (według stanu na dzień </w:t>
      </w:r>
      <w:r>
        <w:br/>
        <w:t>10 września 2018</w:t>
      </w:r>
      <w:r w:rsidRPr="00BA5D5A">
        <w:t xml:space="preserve"> r.) w zakresie ogólnej liczby uczniów oraz odpowiednich wag algorytmu w </w:t>
      </w:r>
      <w:r>
        <w:t>odniesieniu do kwoty SOA i SOB;</w:t>
      </w:r>
    </w:p>
    <w:p w14:paraId="17677BE2" w14:textId="77777777" w:rsidR="002140F6" w:rsidRDefault="002140F6" w:rsidP="002140F6">
      <w:pPr>
        <w:pStyle w:val="menfont"/>
        <w:numPr>
          <w:ilvl w:val="0"/>
          <w:numId w:val="2"/>
        </w:numPr>
        <w:tabs>
          <w:tab w:val="num" w:pos="709"/>
        </w:tabs>
        <w:spacing w:before="120" w:line="276" w:lineRule="auto"/>
        <w:ind w:left="709" w:hanging="425"/>
        <w:jc w:val="both"/>
      </w:pPr>
      <w:r w:rsidRPr="00BA5D5A">
        <w:t>dan</w:t>
      </w:r>
      <w:r>
        <w:t>e</w:t>
      </w:r>
      <w:r w:rsidRPr="00BA5D5A">
        <w:t xml:space="preserve"> dotycząc</w:t>
      </w:r>
      <w:r>
        <w:t>e</w:t>
      </w:r>
      <w:r w:rsidRPr="00BA5D5A">
        <w:t xml:space="preserve"> liczby uczniów (w</w:t>
      </w:r>
      <w:r>
        <w:t>ychowanków) w roku szkolnym 2017/2018</w:t>
      </w:r>
      <w:r w:rsidRPr="00BA5D5A">
        <w:t xml:space="preserve"> wykazan</w:t>
      </w:r>
      <w:r>
        <w:t>e</w:t>
      </w:r>
      <w:r w:rsidRPr="00BA5D5A">
        <w:t xml:space="preserve"> w systemie informacji oświatowej (według stanu na</w:t>
      </w:r>
      <w:r w:rsidRPr="003B211F">
        <w:t xml:space="preserve"> dzień 30 września 201</w:t>
      </w:r>
      <w:r>
        <w:t>7</w:t>
      </w:r>
      <w:r w:rsidRPr="003B211F">
        <w:t xml:space="preserve"> r. i </w:t>
      </w:r>
      <w:r>
        <w:t xml:space="preserve">w przypadku kolegiów pracowników służb społecznych wg stanu na </w:t>
      </w:r>
      <w:r w:rsidRPr="003B211F">
        <w:t>dzień 10 października 201</w:t>
      </w:r>
      <w:r>
        <w:t>7</w:t>
      </w:r>
      <w:r w:rsidRPr="003B211F">
        <w:t xml:space="preserve"> r.) </w:t>
      </w:r>
      <w:r>
        <w:t xml:space="preserve">– </w:t>
      </w:r>
      <w:r w:rsidRPr="0000695C">
        <w:t>w zakre</w:t>
      </w:r>
      <w:r>
        <w:t xml:space="preserve">sie odpowiednich wag algorytmu </w:t>
      </w:r>
      <w:r w:rsidRPr="0000695C">
        <w:t>w odniesieniu do kwot SOB i SOC</w:t>
      </w:r>
      <w:r w:rsidRPr="00A34C77">
        <w:t>.</w:t>
      </w:r>
    </w:p>
    <w:p w14:paraId="56F85857" w14:textId="797D72D5" w:rsidR="00D34064" w:rsidRDefault="00D34064" w:rsidP="007D54AF">
      <w:pPr>
        <w:pStyle w:val="menfont"/>
        <w:spacing w:before="120" w:line="276" w:lineRule="auto"/>
        <w:ind w:left="284"/>
        <w:jc w:val="both"/>
      </w:pPr>
      <w:r w:rsidRPr="00D34064">
        <w:t>Pragnę również przypomnieć, że zgodnie ustawą z dnia 15 kwietnia 2011 r. o</w:t>
      </w:r>
      <w:r w:rsidR="00C956DA">
        <w:t> </w:t>
      </w:r>
      <w:r w:rsidRPr="00D34064">
        <w:t>systemie informacji oświatowej (SIO), od 1 marca 2019 r. nie będzie funkcjonowało dotychczasowe tzw. stare SIO. Od tego momentu jedynym źródłem danych o systemie oświaty, używanych także - począwszy od roku 2020 - na potrzeby podziału części oświatowej subwencji ogólnej będzie zmodernizowane tzw. nowe SIO. Niezmiernie istotne jest więc, aby w nowym systemie informacji oświatowej znajdowały się kompletne i zgodne ze stanem faktycznym dane. Tylko rzetelnie przekazane za pośrednictwem nowego SIO informację zagwarantują prawidłowe ustalanie kwoty część oświatową subwencji ogólnej dla poszczególnych jednostek samorządu terytorialnego.</w:t>
      </w:r>
    </w:p>
    <w:p w14:paraId="78084C6A" w14:textId="77777777" w:rsidR="002140F6" w:rsidRDefault="002140F6" w:rsidP="00755406">
      <w:pPr>
        <w:pStyle w:val="Nagwek"/>
        <w:tabs>
          <w:tab w:val="clear" w:pos="4536"/>
        </w:tabs>
        <w:spacing w:after="120" w:line="276" w:lineRule="auto"/>
        <w:jc w:val="both"/>
      </w:pPr>
    </w:p>
    <w:p w14:paraId="71686B00" w14:textId="77777777" w:rsidR="00755406" w:rsidRDefault="00755406" w:rsidP="00755406">
      <w:pPr>
        <w:pStyle w:val="menfont"/>
        <w:spacing w:line="276" w:lineRule="auto"/>
        <w:jc w:val="both"/>
      </w:pPr>
    </w:p>
    <w:p w14:paraId="4DDDDFCD" w14:textId="77777777" w:rsidR="00755406" w:rsidRDefault="00755406" w:rsidP="00755406">
      <w:pPr>
        <w:pStyle w:val="menfont"/>
        <w:spacing w:line="276" w:lineRule="auto"/>
      </w:pPr>
    </w:p>
    <w:p w14:paraId="53DF9E9A" w14:textId="77777777" w:rsidR="00755406" w:rsidRPr="00424993" w:rsidRDefault="00755406" w:rsidP="00755406">
      <w:pPr>
        <w:pStyle w:val="menfont"/>
        <w:spacing w:line="276" w:lineRule="auto"/>
        <w:rPr>
          <w:i/>
        </w:rPr>
      </w:pPr>
      <w:r>
        <w:rPr>
          <w:i/>
        </w:rPr>
        <w:t>Z poważaniem</w:t>
      </w:r>
    </w:p>
    <w:p w14:paraId="44D45FB3" w14:textId="77777777" w:rsidR="00424993" w:rsidRDefault="00B36FA6" w:rsidP="00424993">
      <w:pPr>
        <w:pStyle w:val="menfont"/>
      </w:pPr>
    </w:p>
    <w:p w14:paraId="22682321" w14:textId="77777777" w:rsidR="00424993" w:rsidRDefault="00AD3B41" w:rsidP="00424993">
      <w:pPr>
        <w:pStyle w:val="menfon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96B035" wp14:editId="0DF2DF70">
                <wp:simplePos x="0" y="0"/>
                <wp:positionH relativeFrom="column">
                  <wp:posOffset>-70485</wp:posOffset>
                </wp:positionH>
                <wp:positionV relativeFrom="paragraph">
                  <wp:posOffset>196215</wp:posOffset>
                </wp:positionV>
                <wp:extent cx="2628900" cy="1409700"/>
                <wp:effectExtent l="0" t="0" r="0" b="381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03858" w14:textId="77777777" w:rsidR="00424993" w:rsidRDefault="00AD3B41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Z upoważnienia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  <w:t>MINISTRA EDUKACJI NARODOWEJ</w:t>
                            </w:r>
                          </w:p>
                          <w:p w14:paraId="6A0E6554" w14:textId="77777777" w:rsidR="00424993" w:rsidRDefault="00AD3B41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Nazwa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$IMIE_NAZWISKO_PODPISUJACEGO</w:t>
                            </w:r>
                            <w:bookmarkEnd w:id="4"/>
                          </w:p>
                          <w:p w14:paraId="45522DCB" w14:textId="77777777" w:rsidR="00424993" w:rsidRDefault="00AD3B41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5" w:name="ezdPracownikStanowisko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$STANOWISKO_PODPISUJACEGO</w:t>
                            </w:r>
                            <w:bookmarkEnd w:id="5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  <w:p w14:paraId="7CB39C42" w14:textId="77777777" w:rsidR="00424993" w:rsidRDefault="00B36FA6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6B035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-5.55pt;margin-top:15.45pt;width:207pt;height:11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" stroked="f" strokeweight=".5pt">
                <v:textbox>
                  <w:txbxContent>
                    <w:p w14:paraId="57D03858" w14:textId="77777777" w:rsidR="00424993" w:rsidRDefault="00AD3B41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FF0000"/>
                          <w:sz w:val="2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Z upoważnienia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br/>
                        <w:t>MINISTRA EDUKACJI NARODOWEJ</w:t>
                      </w:r>
                    </w:p>
                    <w:p w14:paraId="6A0E6554" w14:textId="77777777" w:rsidR="00424993" w:rsidRDefault="00AD3B41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6" w:name="ezdPracownikNazwa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$IMIE_NAZWISKO_PODPISUJACEGO</w:t>
                      </w:r>
                      <w:bookmarkEnd w:id="6"/>
                    </w:p>
                    <w:p w14:paraId="45522DCB" w14:textId="77777777" w:rsidR="00424993" w:rsidRDefault="00AD3B41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7" w:name="ezdPracownikStanowisko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$STANOWISKO_PODPISUJACEGO</w:t>
                      </w:r>
                      <w:bookmarkEnd w:id="7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  <w:t>/ – podpisany cyfrowo/</w:t>
                      </w:r>
                    </w:p>
                    <w:p w14:paraId="7CB39C42" w14:textId="77777777" w:rsidR="00424993" w:rsidRDefault="00B36FA6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187F4F" w14:textId="77777777" w:rsidR="00424993" w:rsidRDefault="00B36FA6" w:rsidP="00424993">
      <w:pPr>
        <w:pStyle w:val="menfont"/>
      </w:pPr>
    </w:p>
    <w:p w14:paraId="16D8B6C5" w14:textId="77777777" w:rsidR="00424993" w:rsidRDefault="00B36FA6" w:rsidP="00424993">
      <w:pPr>
        <w:pStyle w:val="menfont"/>
      </w:pPr>
    </w:p>
    <w:p w14:paraId="12E85878" w14:textId="77777777" w:rsidR="00EF44B2" w:rsidRDefault="00B36FA6" w:rsidP="00424993">
      <w:pPr>
        <w:pStyle w:val="menfont"/>
      </w:pPr>
    </w:p>
    <w:sectPr w:rsidR="00EF44B2"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B3EE5" w14:textId="77777777" w:rsidR="00B36FA6" w:rsidRDefault="00B36FA6">
      <w:r>
        <w:separator/>
      </w:r>
    </w:p>
  </w:endnote>
  <w:endnote w:type="continuationSeparator" w:id="0">
    <w:p w14:paraId="2FDF6D84" w14:textId="77777777" w:rsidR="00B36FA6" w:rsidRDefault="00B3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5085800"/>
      <w:docPartObj>
        <w:docPartGallery w:val="Page Numbers (Bottom of Page)"/>
        <w:docPartUnique/>
      </w:docPartObj>
    </w:sdtPr>
    <w:sdtEndPr/>
    <w:sdtContent>
      <w:p w14:paraId="64AD1BCA" w14:textId="77777777" w:rsidR="00A54936" w:rsidRDefault="00A549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A48">
          <w:rPr>
            <w:noProof/>
          </w:rPr>
          <w:t>2</w:t>
        </w:r>
        <w:r>
          <w:fldChar w:fldCharType="end"/>
        </w:r>
      </w:p>
    </w:sdtContent>
  </w:sdt>
  <w:p w14:paraId="600FF351" w14:textId="77777777" w:rsidR="00312C81" w:rsidRDefault="00B36F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1FD98" w14:textId="77777777" w:rsidR="00312C81" w:rsidRDefault="00AD3B41">
    <w:pPr>
      <w:pStyle w:val="Stopka"/>
    </w:pPr>
    <w:r>
      <w:rPr>
        <w:noProof/>
      </w:rPr>
      <w:drawing>
        <wp:anchor distT="0" distB="0" distL="114300" distR="114300" simplePos="0" relativeHeight="251657728" behindDoc="1" locked="1" layoutInCell="1" allowOverlap="0" wp14:anchorId="62C44B03" wp14:editId="1F7EA01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A1828" w14:textId="77777777" w:rsidR="00B36FA6" w:rsidRDefault="00B36FA6">
      <w:r>
        <w:separator/>
      </w:r>
    </w:p>
  </w:footnote>
  <w:footnote w:type="continuationSeparator" w:id="0">
    <w:p w14:paraId="1CE00B31" w14:textId="77777777" w:rsidR="00B36FA6" w:rsidRDefault="00B36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1CD32" w14:textId="77777777" w:rsidR="00505043" w:rsidRDefault="00B36FA6" w:rsidP="00505043">
    <w:pPr>
      <w:pStyle w:val="Nagwek"/>
    </w:pPr>
  </w:p>
  <w:p w14:paraId="0DD9B881" w14:textId="77777777" w:rsidR="00505043" w:rsidRPr="002E763F" w:rsidRDefault="00B36FA6" w:rsidP="00505043">
    <w:pPr>
      <w:pStyle w:val="Nagwek"/>
      <w:rPr>
        <w:sz w:val="28"/>
      </w:rPr>
    </w:pPr>
  </w:p>
  <w:p w14:paraId="7487EF52" w14:textId="77777777" w:rsidR="00505043" w:rsidRPr="00F030A2" w:rsidRDefault="00AD3B41" w:rsidP="00F030A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752" behindDoc="1" locked="1" layoutInCell="1" allowOverlap="0" wp14:anchorId="0A096E60" wp14:editId="26DC0BFA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F5216A" w14:textId="77777777" w:rsidR="00312C81" w:rsidRPr="00505043" w:rsidRDefault="00B36FA6" w:rsidP="005050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532D8"/>
    <w:multiLevelType w:val="hybridMultilevel"/>
    <w:tmpl w:val="73D67676"/>
    <w:lvl w:ilvl="0" w:tplc="57D051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DB893E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7E2888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F7A33C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6D21EC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D30FA6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E0837B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7D652A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DC2082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C979AD"/>
    <w:multiLevelType w:val="hybridMultilevel"/>
    <w:tmpl w:val="5C9EA6EA"/>
    <w:lvl w:ilvl="0" w:tplc="0C9058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841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BCCC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AE6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865F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462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C005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5AC8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822C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F4C39"/>
    <w:multiLevelType w:val="hybridMultilevel"/>
    <w:tmpl w:val="0FE64038"/>
    <w:lvl w:ilvl="0" w:tplc="C7A469E6">
      <w:start w:val="1"/>
      <w:numFmt w:val="decimal"/>
      <w:lvlText w:val="%1."/>
      <w:lvlJc w:val="left"/>
      <w:pPr>
        <w:ind w:left="720" w:hanging="360"/>
      </w:pPr>
    </w:lvl>
    <w:lvl w:ilvl="1" w:tplc="FAD8DD9E">
      <w:start w:val="1"/>
      <w:numFmt w:val="lowerLetter"/>
      <w:lvlText w:val="%2."/>
      <w:lvlJc w:val="left"/>
      <w:pPr>
        <w:ind w:left="1440" w:hanging="360"/>
      </w:pPr>
    </w:lvl>
    <w:lvl w:ilvl="2" w:tplc="7C4600E4">
      <w:numFmt w:val="bullet"/>
      <w:lvlText w:val="-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7476689A" w:tentative="1">
      <w:start w:val="1"/>
      <w:numFmt w:val="decimal"/>
      <w:lvlText w:val="%4."/>
      <w:lvlJc w:val="left"/>
      <w:pPr>
        <w:ind w:left="2880" w:hanging="360"/>
      </w:pPr>
    </w:lvl>
    <w:lvl w:ilvl="4" w:tplc="531E183C" w:tentative="1">
      <w:start w:val="1"/>
      <w:numFmt w:val="lowerLetter"/>
      <w:lvlText w:val="%5."/>
      <w:lvlJc w:val="left"/>
      <w:pPr>
        <w:ind w:left="3600" w:hanging="360"/>
      </w:pPr>
    </w:lvl>
    <w:lvl w:ilvl="5" w:tplc="0DDE8448" w:tentative="1">
      <w:start w:val="1"/>
      <w:numFmt w:val="lowerRoman"/>
      <w:lvlText w:val="%6."/>
      <w:lvlJc w:val="right"/>
      <w:pPr>
        <w:ind w:left="4320" w:hanging="180"/>
      </w:pPr>
    </w:lvl>
    <w:lvl w:ilvl="6" w:tplc="3B1C1746" w:tentative="1">
      <w:start w:val="1"/>
      <w:numFmt w:val="decimal"/>
      <w:lvlText w:val="%7."/>
      <w:lvlJc w:val="left"/>
      <w:pPr>
        <w:ind w:left="5040" w:hanging="360"/>
      </w:pPr>
    </w:lvl>
    <w:lvl w:ilvl="7" w:tplc="3E383856" w:tentative="1">
      <w:start w:val="1"/>
      <w:numFmt w:val="lowerLetter"/>
      <w:lvlText w:val="%8."/>
      <w:lvlJc w:val="left"/>
      <w:pPr>
        <w:ind w:left="5760" w:hanging="360"/>
      </w:pPr>
    </w:lvl>
    <w:lvl w:ilvl="8" w:tplc="B28C22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A091A"/>
    <w:multiLevelType w:val="hybridMultilevel"/>
    <w:tmpl w:val="19D08324"/>
    <w:lvl w:ilvl="0" w:tplc="771867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sz w:val="26"/>
        <w:szCs w:val="26"/>
      </w:rPr>
    </w:lvl>
    <w:lvl w:ilvl="1" w:tplc="935A8E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6C63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EC3C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DE25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BAF4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26F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651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C5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B4C9E"/>
    <w:multiLevelType w:val="multilevel"/>
    <w:tmpl w:val="741A79EA"/>
    <w:lvl w:ilvl="0">
      <w:start w:val="1"/>
      <w:numFmt w:val="lowerLetter"/>
      <w:lvlText w:val="%1)"/>
      <w:lvlJc w:val="left"/>
      <w:pPr>
        <w:ind w:left="-1344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lowerLetter"/>
      <w:lvlText w:val="%2)"/>
      <w:lvlJc w:val="left"/>
      <w:pPr>
        <w:ind w:left="-984" w:hanging="360"/>
      </w:pPr>
    </w:lvl>
    <w:lvl w:ilvl="2">
      <w:start w:val="1"/>
      <w:numFmt w:val="lowerRoman"/>
      <w:lvlText w:val="%3)"/>
      <w:lvlJc w:val="left"/>
      <w:pPr>
        <w:ind w:left="-624" w:hanging="360"/>
      </w:pPr>
    </w:lvl>
    <w:lvl w:ilvl="3">
      <w:start w:val="1"/>
      <w:numFmt w:val="decimal"/>
      <w:lvlText w:val="(%4)"/>
      <w:lvlJc w:val="left"/>
      <w:pPr>
        <w:ind w:left="-264" w:hanging="360"/>
      </w:pPr>
    </w:lvl>
    <w:lvl w:ilvl="4">
      <w:start w:val="1"/>
      <w:numFmt w:val="lowerLetter"/>
      <w:lvlText w:val="(%5)"/>
      <w:lvlJc w:val="left"/>
      <w:pPr>
        <w:ind w:left="96" w:hanging="360"/>
      </w:pPr>
    </w:lvl>
    <w:lvl w:ilvl="5">
      <w:start w:val="1"/>
      <w:numFmt w:val="lowerRoman"/>
      <w:lvlText w:val="(%6)"/>
      <w:lvlJc w:val="left"/>
      <w:pPr>
        <w:ind w:left="456" w:hanging="360"/>
      </w:pPr>
    </w:lvl>
    <w:lvl w:ilvl="6">
      <w:start w:val="1"/>
      <w:numFmt w:val="decimal"/>
      <w:lvlText w:val="%7."/>
      <w:lvlJc w:val="left"/>
      <w:pPr>
        <w:ind w:left="816" w:hanging="360"/>
      </w:pPr>
    </w:lvl>
    <w:lvl w:ilvl="7">
      <w:start w:val="1"/>
      <w:numFmt w:val="lowerLetter"/>
      <w:lvlText w:val="%8."/>
      <w:lvlJc w:val="left"/>
      <w:pPr>
        <w:ind w:left="1176" w:hanging="360"/>
      </w:pPr>
    </w:lvl>
    <w:lvl w:ilvl="8">
      <w:start w:val="1"/>
      <w:numFmt w:val="lowerRoman"/>
      <w:lvlText w:val="%9."/>
      <w:lvlJc w:val="left"/>
      <w:pPr>
        <w:ind w:left="1536" w:hanging="360"/>
      </w:pPr>
    </w:lvl>
  </w:abstractNum>
  <w:abstractNum w:abstractNumId="5" w15:restartNumberingAfterBreak="0">
    <w:nsid w:val="74AC410E"/>
    <w:multiLevelType w:val="hybridMultilevel"/>
    <w:tmpl w:val="FF7CE6A4"/>
    <w:lvl w:ilvl="0" w:tplc="DF2067E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8444C620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9D6F05E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D70EBE24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9C954E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635E9C2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60366B1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BFAD692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806E16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06"/>
    <w:rsid w:val="000128BB"/>
    <w:rsid w:val="000C5DDD"/>
    <w:rsid w:val="000F36B3"/>
    <w:rsid w:val="001313D6"/>
    <w:rsid w:val="00152106"/>
    <w:rsid w:val="00166D8F"/>
    <w:rsid w:val="0019485E"/>
    <w:rsid w:val="00195F0C"/>
    <w:rsid w:val="001B785B"/>
    <w:rsid w:val="00201E5C"/>
    <w:rsid w:val="002140F6"/>
    <w:rsid w:val="00215EC8"/>
    <w:rsid w:val="00262750"/>
    <w:rsid w:val="00270B5A"/>
    <w:rsid w:val="002926F8"/>
    <w:rsid w:val="002A4169"/>
    <w:rsid w:val="002B6A65"/>
    <w:rsid w:val="002D5081"/>
    <w:rsid w:val="003C4D77"/>
    <w:rsid w:val="003D27DA"/>
    <w:rsid w:val="00427853"/>
    <w:rsid w:val="00483172"/>
    <w:rsid w:val="00533765"/>
    <w:rsid w:val="005A6C75"/>
    <w:rsid w:val="005B2C12"/>
    <w:rsid w:val="005C21F1"/>
    <w:rsid w:val="005E0F0B"/>
    <w:rsid w:val="006122B9"/>
    <w:rsid w:val="00717AF9"/>
    <w:rsid w:val="00755406"/>
    <w:rsid w:val="007D54AF"/>
    <w:rsid w:val="008D2A3D"/>
    <w:rsid w:val="00967C9F"/>
    <w:rsid w:val="00A02FBB"/>
    <w:rsid w:val="00A11A48"/>
    <w:rsid w:val="00A418C6"/>
    <w:rsid w:val="00A54936"/>
    <w:rsid w:val="00A815CD"/>
    <w:rsid w:val="00AD0127"/>
    <w:rsid w:val="00AD3B41"/>
    <w:rsid w:val="00AE16D7"/>
    <w:rsid w:val="00B07D9D"/>
    <w:rsid w:val="00B36FA6"/>
    <w:rsid w:val="00C335BD"/>
    <w:rsid w:val="00C862E5"/>
    <w:rsid w:val="00C956DA"/>
    <w:rsid w:val="00CA42BB"/>
    <w:rsid w:val="00CB33C9"/>
    <w:rsid w:val="00CC48D8"/>
    <w:rsid w:val="00CE604F"/>
    <w:rsid w:val="00D03D8F"/>
    <w:rsid w:val="00D34064"/>
    <w:rsid w:val="00E964B2"/>
    <w:rsid w:val="00EF026F"/>
    <w:rsid w:val="00F43A9E"/>
    <w:rsid w:val="00F546A2"/>
    <w:rsid w:val="00F8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37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podstawowy">
    <w:name w:val="Body Text"/>
    <w:basedOn w:val="Normalny"/>
    <w:link w:val="TekstpodstawowyZnak"/>
    <w:rsid w:val="0075540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5540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55406"/>
    <w:pPr>
      <w:ind w:left="720"/>
      <w:contextualSpacing/>
    </w:pPr>
  </w:style>
  <w:style w:type="character" w:styleId="Hipercze">
    <w:name w:val="Hyperlink"/>
    <w:basedOn w:val="Domylnaczcionkaakapitu"/>
    <w:unhideWhenUsed/>
    <w:rsid w:val="0075540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A5493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549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5493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54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54936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A54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54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efasio.men.gov.pl/log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2ADE5-421D-4CD4-8192-D8409442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3282</Words>
  <Characters>19693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2019-02-22T13:33:00Z</dcterms:created>
  <dcterms:modified xsi:type="dcterms:W3CDTF">2019-02-22T13:33:00Z</dcterms:modified>
</cp:coreProperties>
</file>