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B35" w:rsidRDefault="00711B35" w:rsidP="00711B35"/>
    <w:p w:rsidR="00711B35" w:rsidRDefault="00E4498F" w:rsidP="00711B35">
      <w:pPr>
        <w:spacing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Warszawa,</w:t>
      </w:r>
      <w:r w:rsidR="008B2CF9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mar</w:t>
      </w:r>
      <w:r w:rsidR="00190E6B">
        <w:rPr>
          <w:sz w:val="24"/>
          <w:szCs w:val="24"/>
        </w:rPr>
        <w:t>ca</w:t>
      </w:r>
      <w:r w:rsidR="00711B35">
        <w:rPr>
          <w:sz w:val="24"/>
          <w:szCs w:val="24"/>
        </w:rPr>
        <w:t xml:space="preserve"> 2020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711B35" w:rsidTr="00711B35">
        <w:tc>
          <w:tcPr>
            <w:tcW w:w="4606" w:type="dxa"/>
            <w:hideMark/>
          </w:tcPr>
          <w:p w:rsidR="00711B35" w:rsidRDefault="00711B3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3900" cy="742950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35" w:rsidRDefault="00711B35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WOJEWODA MAZOWIECKI</w:t>
            </w:r>
          </w:p>
        </w:tc>
      </w:tr>
    </w:tbl>
    <w:p w:rsidR="00711B35" w:rsidRDefault="00711B35" w:rsidP="0071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711B35" w:rsidRDefault="00711B35" w:rsidP="00711B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</w:t>
      </w:r>
      <w:bookmarkStart w:id="0" w:name="_GoBack"/>
      <w:r>
        <w:rPr>
          <w:rFonts w:eastAsia="Times New Roman" w:cstheme="minorHAnsi"/>
          <w:sz w:val="24"/>
          <w:szCs w:val="24"/>
          <w:lang w:eastAsia="pl-PL"/>
        </w:rPr>
        <w:t>WNP-R.4131.</w:t>
      </w:r>
      <w:r w:rsidR="00D143FC">
        <w:rPr>
          <w:rFonts w:eastAsia="Times New Roman" w:cstheme="minorHAnsi"/>
          <w:sz w:val="24"/>
          <w:szCs w:val="24"/>
          <w:lang w:eastAsia="pl-PL"/>
        </w:rPr>
        <w:t>4.2020</w:t>
      </w:r>
      <w:r>
        <w:rPr>
          <w:rFonts w:eastAsia="Times New Roman" w:cstheme="minorHAnsi"/>
          <w:sz w:val="24"/>
          <w:szCs w:val="24"/>
          <w:lang w:eastAsia="pl-PL"/>
        </w:rPr>
        <w:t xml:space="preserve">.MN </w:t>
      </w:r>
      <w:bookmarkEnd w:id="0"/>
    </w:p>
    <w:p w:rsidR="00711B35" w:rsidRDefault="00711B35" w:rsidP="00711B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90E6B" w:rsidRDefault="00190E6B" w:rsidP="00711B35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190E6B" w:rsidRDefault="00711B35" w:rsidP="00711B35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CF552B">
        <w:rPr>
          <w:rFonts w:eastAsia="Times New Roman" w:cstheme="minorHAnsi"/>
          <w:b/>
          <w:sz w:val="28"/>
          <w:szCs w:val="28"/>
          <w:lang w:eastAsia="pl-PL"/>
        </w:rPr>
        <w:tab/>
      </w:r>
      <w:r w:rsidR="00CF552B"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 xml:space="preserve">Rada </w:t>
      </w:r>
    </w:p>
    <w:p w:rsidR="00711B35" w:rsidRDefault="00CF552B" w:rsidP="00190E6B">
      <w:pPr>
        <w:spacing w:after="0" w:line="240" w:lineRule="auto"/>
        <w:ind w:left="3540" w:firstLine="708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ab/>
      </w:r>
      <w:r w:rsidR="00711B35">
        <w:rPr>
          <w:rFonts w:eastAsia="Times New Roman" w:cstheme="minorHAnsi"/>
          <w:b/>
          <w:sz w:val="28"/>
          <w:szCs w:val="28"/>
          <w:lang w:eastAsia="pl-PL"/>
        </w:rPr>
        <w:t>Miasta i Gminy</w:t>
      </w:r>
      <w:r w:rsidR="00190E6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711B35">
        <w:rPr>
          <w:rFonts w:eastAsia="Times New Roman" w:cstheme="minorHAnsi"/>
          <w:b/>
          <w:sz w:val="28"/>
          <w:szCs w:val="28"/>
          <w:lang w:eastAsia="pl-PL"/>
        </w:rPr>
        <w:t>Białobrzegi</w:t>
      </w:r>
    </w:p>
    <w:p w:rsidR="00711B35" w:rsidRDefault="00711B35" w:rsidP="00711B35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CF552B">
        <w:rPr>
          <w:rFonts w:eastAsia="Times New Roman" w:cstheme="minorHAnsi"/>
          <w:b/>
          <w:sz w:val="28"/>
          <w:szCs w:val="28"/>
          <w:lang w:eastAsia="pl-PL"/>
        </w:rPr>
        <w:tab/>
      </w:r>
      <w:r w:rsidR="00CF552B"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>Plac Zygmunta Starego 9</w:t>
      </w:r>
    </w:p>
    <w:p w:rsidR="00711B35" w:rsidRDefault="00711B35" w:rsidP="00711B35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                                                                   </w:t>
      </w:r>
      <w:r w:rsidR="00CF552B">
        <w:rPr>
          <w:rFonts w:eastAsia="Times New Roman" w:cstheme="minorHAnsi"/>
          <w:b/>
          <w:sz w:val="28"/>
          <w:szCs w:val="28"/>
          <w:lang w:eastAsia="pl-PL"/>
        </w:rPr>
        <w:tab/>
      </w:r>
      <w:r w:rsidR="00CF552B">
        <w:rPr>
          <w:rFonts w:eastAsia="Times New Roman" w:cstheme="minorHAnsi"/>
          <w:b/>
          <w:sz w:val="28"/>
          <w:szCs w:val="28"/>
          <w:lang w:eastAsia="pl-PL"/>
        </w:rPr>
        <w:tab/>
      </w:r>
      <w:r>
        <w:rPr>
          <w:rFonts w:eastAsia="Times New Roman" w:cstheme="minorHAnsi"/>
          <w:b/>
          <w:sz w:val="28"/>
          <w:szCs w:val="28"/>
          <w:lang w:eastAsia="pl-PL"/>
        </w:rPr>
        <w:t>26-800 Białobrzegi</w:t>
      </w:r>
    </w:p>
    <w:p w:rsidR="00262AF8" w:rsidRDefault="00262AF8" w:rsidP="00711B35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</w:p>
    <w:p w:rsidR="00711B35" w:rsidRDefault="00711B35" w:rsidP="00711B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11B35" w:rsidRDefault="00711B35" w:rsidP="00711B35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Rozstrzygnięcie nadzorcze</w:t>
      </w:r>
    </w:p>
    <w:p w:rsidR="00711B35" w:rsidRDefault="00711B35" w:rsidP="00711B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11B35" w:rsidRDefault="00711B35" w:rsidP="00190E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91 ust.</w:t>
      </w:r>
      <w:r w:rsidR="00190E6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1 ustawy z dnia 8 marca 1990 r. o samorządzie gminnym </w:t>
      </w:r>
      <w:r w:rsidR="00190E6B">
        <w:rPr>
          <w:rFonts w:eastAsia="Times New Roman" w:cstheme="minorHAnsi"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sz w:val="24"/>
          <w:szCs w:val="24"/>
          <w:lang w:eastAsia="pl-PL"/>
        </w:rPr>
        <w:t>(Dz. U. z 2019 r. poz. 506</w:t>
      </w:r>
      <w:r w:rsidR="009335F6">
        <w:rPr>
          <w:rFonts w:eastAsia="Times New Roman" w:cstheme="minorHAnsi"/>
          <w:sz w:val="24"/>
          <w:szCs w:val="24"/>
          <w:lang w:eastAsia="pl-PL"/>
        </w:rPr>
        <w:t>, poz.1309, poz.1696, poz.1815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:rsidR="009335F6" w:rsidRDefault="009335F6" w:rsidP="00190E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11B35" w:rsidRDefault="00711B35" w:rsidP="00190E6B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stwierdzam nieważność:</w:t>
      </w:r>
    </w:p>
    <w:p w:rsidR="00711B35" w:rsidRDefault="005761FA" w:rsidP="00190E6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11B35">
        <w:rPr>
          <w:rFonts w:eastAsia="Times New Roman" w:cstheme="minorHAnsi"/>
          <w:sz w:val="24"/>
          <w:szCs w:val="24"/>
          <w:lang w:eastAsia="pl-PL"/>
        </w:rPr>
        <w:t>uchwały Rady  Miasta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11B35">
        <w:rPr>
          <w:rFonts w:eastAsia="Times New Roman" w:cstheme="minorHAnsi"/>
          <w:sz w:val="24"/>
          <w:szCs w:val="24"/>
          <w:lang w:eastAsia="pl-PL"/>
        </w:rPr>
        <w:t xml:space="preserve">i Gminy Białobrzegi z dnia  30 stycznia 2020 r., Nr XVI/118/2020 </w:t>
      </w:r>
      <w:r w:rsidR="00501B1A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="00711B35">
        <w:rPr>
          <w:rFonts w:eastAsia="Times New Roman" w:cstheme="minorHAnsi"/>
          <w:sz w:val="24"/>
          <w:szCs w:val="24"/>
          <w:lang w:eastAsia="pl-PL"/>
        </w:rPr>
        <w:t>w sprawie Regulaminu utrzymania czystości i porządku na terenie Miasta i Gminy Białobrzegi</w:t>
      </w:r>
      <w:r w:rsidR="00190E6B">
        <w:rPr>
          <w:rFonts w:eastAsia="Times New Roman" w:cstheme="minorHAnsi"/>
          <w:sz w:val="24"/>
          <w:szCs w:val="24"/>
          <w:lang w:eastAsia="pl-PL"/>
        </w:rPr>
        <w:t>.</w:t>
      </w:r>
    </w:p>
    <w:p w:rsidR="00711B35" w:rsidRDefault="00711B35" w:rsidP="00190E6B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</w:t>
      </w:r>
    </w:p>
    <w:p w:rsidR="00711B35" w:rsidRDefault="00711B35" w:rsidP="0071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Miasta i Gminy Białobrzegi, powołując się na zapisy art. 18 ust. 2 pkt 15 ustawy z dnia </w:t>
      </w:r>
      <w:r w:rsidR="00190E6B">
        <w:rPr>
          <w:sz w:val="24"/>
          <w:szCs w:val="24"/>
        </w:rPr>
        <w:t xml:space="preserve">    </w:t>
      </w:r>
      <w:r>
        <w:rPr>
          <w:sz w:val="24"/>
          <w:szCs w:val="24"/>
        </w:rPr>
        <w:t>8 marca</w:t>
      </w:r>
      <w:r w:rsidR="00190E6B">
        <w:rPr>
          <w:sz w:val="24"/>
          <w:szCs w:val="24"/>
        </w:rPr>
        <w:t xml:space="preserve"> </w:t>
      </w:r>
      <w:r>
        <w:rPr>
          <w:sz w:val="24"/>
          <w:szCs w:val="24"/>
        </w:rPr>
        <w:t>1990 r</w:t>
      </w:r>
      <w:r w:rsidR="00190E6B">
        <w:rPr>
          <w:sz w:val="24"/>
          <w:szCs w:val="24"/>
        </w:rPr>
        <w:t>.</w:t>
      </w:r>
      <w:r>
        <w:rPr>
          <w:sz w:val="24"/>
          <w:szCs w:val="24"/>
        </w:rPr>
        <w:t xml:space="preserve"> o samorządzie gminnym oraz art. 4 ust.</w:t>
      </w:r>
      <w:r w:rsidR="00190E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i 2 ustawy z dnia </w:t>
      </w:r>
      <w:r w:rsidR="00501B1A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>13 września 1996 r</w:t>
      </w:r>
      <w:r w:rsidR="00190E6B">
        <w:rPr>
          <w:sz w:val="24"/>
          <w:szCs w:val="24"/>
        </w:rPr>
        <w:t>.</w:t>
      </w:r>
      <w:r>
        <w:rPr>
          <w:sz w:val="24"/>
          <w:szCs w:val="24"/>
        </w:rPr>
        <w:t xml:space="preserve"> o utrzymaniu czystości i porządku w gminach (Dz. U. z 2019 r</w:t>
      </w:r>
      <w:r w:rsidR="00190E6B">
        <w:rPr>
          <w:sz w:val="24"/>
          <w:szCs w:val="24"/>
        </w:rPr>
        <w:t>.</w:t>
      </w:r>
      <w:r>
        <w:rPr>
          <w:sz w:val="24"/>
          <w:szCs w:val="24"/>
        </w:rPr>
        <w:t xml:space="preserve"> poz. 2010)</w:t>
      </w:r>
      <w:r w:rsidR="00AE15C2">
        <w:rPr>
          <w:sz w:val="24"/>
          <w:szCs w:val="24"/>
        </w:rPr>
        <w:t xml:space="preserve"> – zwanej dalej „ustawą”</w:t>
      </w:r>
      <w:r>
        <w:rPr>
          <w:sz w:val="24"/>
          <w:szCs w:val="24"/>
        </w:rPr>
        <w:t xml:space="preserve">, podjęła uchwałę wprowadzającą Regulamin utrzymania czystości </w:t>
      </w:r>
      <w:r w:rsidR="00501B1A">
        <w:rPr>
          <w:sz w:val="24"/>
          <w:szCs w:val="24"/>
        </w:rPr>
        <w:t xml:space="preserve">         </w:t>
      </w:r>
      <w:r>
        <w:rPr>
          <w:sz w:val="24"/>
          <w:szCs w:val="24"/>
        </w:rPr>
        <w:t>i porządku na ter</w:t>
      </w:r>
      <w:r w:rsidR="00190E6B">
        <w:rPr>
          <w:sz w:val="24"/>
          <w:szCs w:val="24"/>
        </w:rPr>
        <w:t>enie Miasta i Gminy Białobrzegi</w:t>
      </w:r>
      <w:r>
        <w:rPr>
          <w:sz w:val="24"/>
          <w:szCs w:val="24"/>
        </w:rPr>
        <w:t>.</w:t>
      </w:r>
    </w:p>
    <w:p w:rsidR="00262AF8" w:rsidRDefault="00262AF8" w:rsidP="00711B35">
      <w:pPr>
        <w:jc w:val="both"/>
        <w:rPr>
          <w:sz w:val="24"/>
          <w:szCs w:val="24"/>
        </w:rPr>
      </w:pPr>
      <w:r>
        <w:rPr>
          <w:sz w:val="24"/>
          <w:szCs w:val="24"/>
        </w:rPr>
        <w:t>Uchwała wpłynęła do organu nadzoru w dniu 10 lutego 2020 r.</w:t>
      </w:r>
    </w:p>
    <w:p w:rsidR="00711B35" w:rsidRDefault="00711B35" w:rsidP="00190E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Uchwalając wskazany wyżej Regulamin, Rada wykonała obowiązek nałożony na nią </w:t>
      </w:r>
      <w:r w:rsidR="00190E6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w art. 4 ustawy o utrzymaniu czystości i porządku w gminach. Jak stwierdził Wojewódzki Sąd Administracyjny w Gorzowie Wielkopolskim w wyroku z dnia 7 grudnia 2006 r</w:t>
      </w:r>
      <w:r w:rsidR="003E4F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0E6B">
        <w:rPr>
          <w:sz w:val="24"/>
          <w:szCs w:val="24"/>
        </w:rPr>
        <w:t>sygn.</w:t>
      </w:r>
      <w:r>
        <w:rPr>
          <w:sz w:val="24"/>
          <w:szCs w:val="24"/>
        </w:rPr>
        <w:t xml:space="preserve"> akt</w:t>
      </w:r>
      <w:r w:rsidR="00190E6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3E4F74">
        <w:rPr>
          <w:sz w:val="24"/>
          <w:szCs w:val="24"/>
        </w:rPr>
        <w:t xml:space="preserve">          </w:t>
      </w:r>
      <w:r>
        <w:rPr>
          <w:sz w:val="24"/>
          <w:szCs w:val="24"/>
        </w:rPr>
        <w:t>II SA/Go 471/06:</w:t>
      </w:r>
    </w:p>
    <w:p w:rsidR="00711B35" w:rsidRDefault="00711B35" w:rsidP="00711B3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„ Uregulowanie art. 4 ust. 2 ustawy z 13 września 1996 roku o utrzymaniu czystości i porządku w gminach (Dz. U. z 2005 roku Nr 236, poz. 2008 ze zm.) pozwala na stwierdzenie, że </w:t>
      </w:r>
      <w:r w:rsidR="00501B1A">
        <w:rPr>
          <w:i/>
          <w:sz w:val="24"/>
          <w:szCs w:val="24"/>
        </w:rPr>
        <w:t xml:space="preserve">                      </w:t>
      </w:r>
      <w:r>
        <w:rPr>
          <w:i/>
          <w:sz w:val="24"/>
          <w:szCs w:val="24"/>
        </w:rPr>
        <w:t xml:space="preserve">w uchwalanym przez radę regulaminie utrzymania czystości i porządku na terenie gminy mogą znaleźć się tylko takie postanowienia, których przedmiot mieści się w zakresie wyznaczonym przez ten przepis. Wyliczenie zamieszczone w ustępie 2 wymienionego artykułu ustawy ma </w:t>
      </w:r>
      <w:r>
        <w:rPr>
          <w:i/>
          <w:sz w:val="24"/>
          <w:szCs w:val="24"/>
        </w:rPr>
        <w:lastRenderedPageBreak/>
        <w:t>bowiem charakter wyczerpujący, co oznacza iż w regulaminie nie można zamieszczać postanowień wykraczających poza treść art. 4 ustawy. Jednocześnie też wyliczenie przedmiotu uregulowania regulaminem ma charakter obligatoryjny; co oznacza, iż w treści regulaminu muszą znaleźć się uregulowania odnoszące się do wszystkich ośmiu punktów art. 4 ustawy.</w:t>
      </w:r>
      <w:r w:rsidR="00384EE9">
        <w:rPr>
          <w:i/>
          <w:sz w:val="24"/>
          <w:szCs w:val="24"/>
        </w:rPr>
        <w:t>”.</w:t>
      </w:r>
    </w:p>
    <w:p w:rsidR="00190E6B" w:rsidRDefault="00190E6B" w:rsidP="0071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Kierując się wskazaną wyżej zasadą należy stwierdzić, iż niektóre </w:t>
      </w:r>
      <w:r w:rsidR="00AE15C2">
        <w:rPr>
          <w:sz w:val="24"/>
          <w:szCs w:val="24"/>
        </w:rPr>
        <w:t>zapisy badanej regulacji naruszają prawo.</w:t>
      </w:r>
    </w:p>
    <w:p w:rsidR="000528E4" w:rsidRPr="00190E6B" w:rsidRDefault="000528E4" w:rsidP="0071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Przede wszystkim należy wskazać, że, jak wynika z  </w:t>
      </w:r>
      <w:r>
        <w:rPr>
          <w:rFonts w:eastAsia="Times New Roman" w:cstheme="minorHAnsi"/>
          <w:sz w:val="24"/>
          <w:szCs w:val="24"/>
          <w:lang w:eastAsia="pl-PL"/>
        </w:rPr>
        <w:t>§ 2</w:t>
      </w:r>
      <w:r w:rsidR="00944B8A">
        <w:rPr>
          <w:rFonts w:eastAsia="Times New Roman" w:cstheme="minorHAnsi"/>
          <w:sz w:val="24"/>
          <w:szCs w:val="24"/>
          <w:lang w:eastAsia="pl-PL"/>
        </w:rPr>
        <w:t xml:space="preserve"> ust.</w:t>
      </w:r>
      <w:r w:rsidR="00CF55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4B8A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 uchwały</w:t>
      </w:r>
      <w:r w:rsidR="00944B8A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 w </w:t>
      </w:r>
      <w:r w:rsidR="00944B8A">
        <w:rPr>
          <w:rFonts w:eastAsia="Times New Roman" w:cstheme="minorHAnsi"/>
          <w:sz w:val="24"/>
          <w:szCs w:val="24"/>
          <w:lang w:eastAsia="pl-PL"/>
        </w:rPr>
        <w:t>R</w:t>
      </w:r>
      <w:r>
        <w:rPr>
          <w:rFonts w:eastAsia="Times New Roman" w:cstheme="minorHAnsi"/>
          <w:sz w:val="24"/>
          <w:szCs w:val="24"/>
          <w:lang w:eastAsia="pl-PL"/>
        </w:rPr>
        <w:t xml:space="preserve">egulaminie pominięto określenie </w:t>
      </w:r>
      <w:r w:rsidR="00944B8A">
        <w:rPr>
          <w:rFonts w:eastAsia="Times New Roman" w:cstheme="minorHAnsi"/>
          <w:sz w:val="24"/>
          <w:szCs w:val="24"/>
          <w:lang w:eastAsia="pl-PL"/>
        </w:rPr>
        <w:t xml:space="preserve">sposobu selektywnego zbierania odpadów komunalnych prowadzonego przez punkty selektywnego zbierania odpadów komunalnych odnoszące się do odpadów niebezpiecznych </w:t>
      </w:r>
      <w:r>
        <w:rPr>
          <w:rFonts w:eastAsia="Times New Roman" w:cstheme="minorHAnsi"/>
          <w:sz w:val="24"/>
          <w:szCs w:val="24"/>
          <w:lang w:eastAsia="pl-PL"/>
        </w:rPr>
        <w:t xml:space="preserve">. Brak takiego uregulowania stanowi naruszenie </w:t>
      </w:r>
      <w:r w:rsidR="00944B8A">
        <w:rPr>
          <w:rFonts w:eastAsia="Times New Roman" w:cstheme="minorHAnsi"/>
          <w:sz w:val="24"/>
          <w:szCs w:val="24"/>
          <w:lang w:eastAsia="pl-PL"/>
        </w:rPr>
        <w:t>art. 4 ust.</w:t>
      </w:r>
      <w:r w:rsidR="00CF55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4B8A">
        <w:rPr>
          <w:rFonts w:eastAsia="Times New Roman" w:cstheme="minorHAnsi"/>
          <w:sz w:val="24"/>
          <w:szCs w:val="24"/>
          <w:lang w:eastAsia="pl-PL"/>
        </w:rPr>
        <w:t>2  pkt.</w:t>
      </w:r>
      <w:r w:rsidR="00CF55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4B8A">
        <w:rPr>
          <w:rFonts w:eastAsia="Times New Roman" w:cstheme="minorHAnsi"/>
          <w:sz w:val="24"/>
          <w:szCs w:val="24"/>
          <w:lang w:eastAsia="pl-PL"/>
        </w:rPr>
        <w:t xml:space="preserve">1 </w:t>
      </w:r>
      <w:proofErr w:type="spellStart"/>
      <w:r w:rsidR="00944B8A">
        <w:rPr>
          <w:rFonts w:eastAsia="Times New Roman" w:cstheme="minorHAnsi"/>
          <w:sz w:val="24"/>
          <w:szCs w:val="24"/>
          <w:lang w:eastAsia="pl-PL"/>
        </w:rPr>
        <w:t>lit.b</w:t>
      </w:r>
      <w:proofErr w:type="spellEnd"/>
      <w:r w:rsidR="00944B8A">
        <w:rPr>
          <w:rFonts w:eastAsia="Times New Roman" w:cstheme="minorHAnsi"/>
          <w:sz w:val="24"/>
          <w:szCs w:val="24"/>
          <w:lang w:eastAsia="pl-PL"/>
        </w:rPr>
        <w:t>. Skoro zatem  w Regulaminie  pominięto obligatoryjny zakres regulacji odnoszącej się do odpadów niebezpiecznych  to uchwała taka jest w całości nieważna jako sprzeczna z art.</w:t>
      </w:r>
      <w:r w:rsidR="00CF55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4970">
        <w:rPr>
          <w:rFonts w:eastAsia="Times New Roman" w:cstheme="minorHAnsi"/>
          <w:sz w:val="24"/>
          <w:szCs w:val="24"/>
          <w:lang w:eastAsia="pl-PL"/>
        </w:rPr>
        <w:t>4 ust.</w:t>
      </w:r>
      <w:r w:rsidR="00CF55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34970">
        <w:rPr>
          <w:rFonts w:eastAsia="Times New Roman" w:cstheme="minorHAnsi"/>
          <w:sz w:val="24"/>
          <w:szCs w:val="24"/>
          <w:lang w:eastAsia="pl-PL"/>
        </w:rPr>
        <w:t>2 ustawy.</w:t>
      </w:r>
    </w:p>
    <w:p w:rsidR="004D407C" w:rsidRDefault="00B34970" w:rsidP="00A40C49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Ponadto w</w:t>
      </w:r>
      <w:r w:rsidR="001B1421">
        <w:rPr>
          <w:sz w:val="24"/>
          <w:szCs w:val="24"/>
        </w:rPr>
        <w:t xml:space="preserve"> </w:t>
      </w:r>
      <w:r w:rsidR="001B1421">
        <w:rPr>
          <w:rFonts w:eastAsia="Times New Roman" w:cstheme="minorHAnsi"/>
          <w:sz w:val="24"/>
          <w:szCs w:val="24"/>
          <w:lang w:eastAsia="pl-PL"/>
        </w:rPr>
        <w:t xml:space="preserve">§ 1 Regulaminu wskazano, że ustala się szczegółowe zasady utrzymania czystości </w:t>
      </w:r>
      <w:r w:rsidR="00501B1A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1B1421">
        <w:rPr>
          <w:rFonts w:eastAsia="Times New Roman" w:cstheme="minorHAnsi"/>
          <w:sz w:val="24"/>
          <w:szCs w:val="24"/>
          <w:lang w:eastAsia="pl-PL"/>
        </w:rPr>
        <w:t>i porządku na terenie miasta i gminy Białobrzegi</w:t>
      </w:r>
      <w:r w:rsidR="00710D96">
        <w:rPr>
          <w:rFonts w:eastAsia="Times New Roman" w:cstheme="minorHAnsi"/>
          <w:sz w:val="24"/>
          <w:szCs w:val="24"/>
          <w:lang w:eastAsia="pl-PL"/>
        </w:rPr>
        <w:t>,</w:t>
      </w:r>
      <w:r w:rsidR="001B1421">
        <w:rPr>
          <w:rFonts w:eastAsia="Times New Roman" w:cstheme="minorHAnsi"/>
          <w:sz w:val="24"/>
          <w:szCs w:val="24"/>
          <w:lang w:eastAsia="pl-PL"/>
        </w:rPr>
        <w:t xml:space="preserve"> przy czym wskazano zakres tych zasad </w:t>
      </w:r>
      <w:r w:rsidR="00501B1A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="001B1421">
        <w:rPr>
          <w:rFonts w:eastAsia="Times New Roman" w:cstheme="minorHAnsi"/>
          <w:sz w:val="24"/>
          <w:szCs w:val="24"/>
          <w:lang w:eastAsia="pl-PL"/>
        </w:rPr>
        <w:t>w sposób zmodyfikowany w stosunku do brzmienia art. 4 ust.</w:t>
      </w:r>
      <w:r w:rsidR="00AE15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B1421">
        <w:rPr>
          <w:rFonts w:eastAsia="Times New Roman" w:cstheme="minorHAnsi"/>
          <w:sz w:val="24"/>
          <w:szCs w:val="24"/>
          <w:lang w:eastAsia="pl-PL"/>
        </w:rPr>
        <w:t>2 ustawy. Taka modyfikacja zasad uregulowanych w akcie wyższego stopnia</w:t>
      </w:r>
      <w:r w:rsidR="00AE15C2">
        <w:rPr>
          <w:rFonts w:eastAsia="Times New Roman" w:cstheme="minorHAnsi"/>
          <w:sz w:val="24"/>
          <w:szCs w:val="24"/>
          <w:lang w:eastAsia="pl-PL"/>
        </w:rPr>
        <w:t xml:space="preserve"> n</w:t>
      </w:r>
      <w:r w:rsidR="00710D96">
        <w:rPr>
          <w:rFonts w:eastAsia="Times New Roman" w:cstheme="minorHAnsi"/>
          <w:sz w:val="24"/>
          <w:szCs w:val="24"/>
          <w:lang w:eastAsia="pl-PL"/>
        </w:rPr>
        <w:t>ie jest możliwa w akcie prawa miejscowego</w:t>
      </w:r>
      <w:r w:rsidR="00AE15C2">
        <w:rPr>
          <w:rFonts w:eastAsia="Times New Roman" w:cstheme="minorHAnsi"/>
          <w:sz w:val="24"/>
          <w:szCs w:val="24"/>
          <w:lang w:eastAsia="pl-PL"/>
        </w:rPr>
        <w:t>,</w:t>
      </w:r>
      <w:r w:rsidR="00710D96">
        <w:rPr>
          <w:rFonts w:eastAsia="Times New Roman" w:cstheme="minorHAnsi"/>
          <w:sz w:val="24"/>
          <w:szCs w:val="24"/>
          <w:lang w:eastAsia="pl-PL"/>
        </w:rPr>
        <w:t xml:space="preserve"> jakim jest uchwała Rady Gminy. Stąd też należy stwierdzić, że zapis §</w:t>
      </w:r>
      <w:r w:rsidR="00384EE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43430">
        <w:rPr>
          <w:rFonts w:eastAsia="Times New Roman" w:cstheme="minorHAnsi"/>
          <w:sz w:val="24"/>
          <w:szCs w:val="24"/>
          <w:lang w:eastAsia="pl-PL"/>
        </w:rPr>
        <w:t>1</w:t>
      </w:r>
      <w:r w:rsidR="00710D96">
        <w:rPr>
          <w:rFonts w:eastAsia="Times New Roman" w:cstheme="minorHAnsi"/>
          <w:sz w:val="24"/>
          <w:szCs w:val="24"/>
          <w:lang w:eastAsia="pl-PL"/>
        </w:rPr>
        <w:t xml:space="preserve"> uchwały jest niezgodny </w:t>
      </w:r>
      <w:r w:rsidR="00384EE9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="00710D96">
        <w:rPr>
          <w:rFonts w:eastAsia="Times New Roman" w:cstheme="minorHAnsi"/>
          <w:sz w:val="24"/>
          <w:szCs w:val="24"/>
          <w:lang w:eastAsia="pl-PL"/>
        </w:rPr>
        <w:t>z porządkiem prawnym</w:t>
      </w:r>
      <w:r w:rsidR="00E43430">
        <w:rPr>
          <w:rFonts w:eastAsia="Times New Roman" w:cstheme="minorHAnsi"/>
          <w:sz w:val="24"/>
          <w:szCs w:val="24"/>
          <w:lang w:eastAsia="pl-PL"/>
        </w:rPr>
        <w:t>.</w:t>
      </w:r>
    </w:p>
    <w:p w:rsidR="00E43430" w:rsidRDefault="00E43430" w:rsidP="00A40C49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§ 5 ust.</w:t>
      </w:r>
      <w:r w:rsidR="00262AF8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 Regulaminu nałożono na właścicieli nieruchomości obowiązek wyposażenia nieruchomości w pojemniki i worki do zbierania odpadów komunalnych w ilości zapewniającej  ich nieprzepełnianie przy uwzględnieniu często</w:t>
      </w:r>
      <w:r w:rsidR="009B4C8D">
        <w:rPr>
          <w:rFonts w:eastAsia="Times New Roman" w:cstheme="minorHAnsi"/>
          <w:sz w:val="24"/>
          <w:szCs w:val="24"/>
          <w:lang w:eastAsia="pl-PL"/>
        </w:rPr>
        <w:t>t</w:t>
      </w:r>
      <w:r>
        <w:rPr>
          <w:rFonts w:eastAsia="Times New Roman" w:cstheme="minorHAnsi"/>
          <w:sz w:val="24"/>
          <w:szCs w:val="24"/>
          <w:lang w:eastAsia="pl-PL"/>
        </w:rPr>
        <w:t>liwości</w:t>
      </w:r>
      <w:r w:rsidR="009B4C8D">
        <w:rPr>
          <w:rFonts w:eastAsia="Times New Roman" w:cstheme="minorHAnsi"/>
          <w:sz w:val="24"/>
          <w:szCs w:val="24"/>
          <w:lang w:eastAsia="pl-PL"/>
        </w:rPr>
        <w:t xml:space="preserve"> odbierania. Zapis ten stanowi </w:t>
      </w:r>
      <w:r>
        <w:rPr>
          <w:rFonts w:eastAsia="Times New Roman" w:cstheme="minorHAnsi"/>
          <w:sz w:val="24"/>
          <w:szCs w:val="24"/>
          <w:lang w:eastAsia="pl-PL"/>
        </w:rPr>
        <w:t xml:space="preserve"> przekroczenie kompetencji ustawowej</w:t>
      </w:r>
      <w:r w:rsidR="00932DA4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wynikającej z art.</w:t>
      </w:r>
      <w:r w:rsidR="00262AF8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4 ust.</w:t>
      </w:r>
      <w:r w:rsidR="00262AF8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9B4C8D">
        <w:rPr>
          <w:rFonts w:eastAsia="Times New Roman" w:cstheme="minorHAnsi"/>
          <w:sz w:val="24"/>
          <w:szCs w:val="24"/>
          <w:lang w:eastAsia="pl-PL"/>
        </w:rPr>
        <w:t>ustawy, gdyż żaden z zapisów  wskazanego artykułu</w:t>
      </w:r>
      <w:r w:rsidR="00874584">
        <w:rPr>
          <w:rFonts w:eastAsia="Times New Roman" w:cstheme="minorHAnsi"/>
          <w:sz w:val="24"/>
          <w:szCs w:val="24"/>
          <w:lang w:eastAsia="pl-PL"/>
        </w:rPr>
        <w:t>,</w:t>
      </w:r>
      <w:r w:rsidR="009B4C8D">
        <w:rPr>
          <w:rFonts w:eastAsia="Times New Roman" w:cstheme="minorHAnsi"/>
          <w:sz w:val="24"/>
          <w:szCs w:val="24"/>
          <w:lang w:eastAsia="pl-PL"/>
        </w:rPr>
        <w:t xml:space="preserve"> stanowiącego podstawę wprowadzenia Regulaminu</w:t>
      </w:r>
      <w:r w:rsidR="00874584">
        <w:rPr>
          <w:rFonts w:eastAsia="Times New Roman" w:cstheme="minorHAnsi"/>
          <w:sz w:val="24"/>
          <w:szCs w:val="24"/>
          <w:lang w:eastAsia="pl-PL"/>
        </w:rPr>
        <w:t>,</w:t>
      </w:r>
      <w:r w:rsidR="009B4C8D">
        <w:rPr>
          <w:rFonts w:eastAsia="Times New Roman" w:cstheme="minorHAnsi"/>
          <w:sz w:val="24"/>
          <w:szCs w:val="24"/>
          <w:lang w:eastAsia="pl-PL"/>
        </w:rPr>
        <w:t xml:space="preserve"> nie daje podstaw do wskazania ilości pojemników i worków</w:t>
      </w:r>
      <w:r w:rsidR="00262AF8">
        <w:rPr>
          <w:rFonts w:eastAsia="Times New Roman" w:cstheme="minorHAnsi"/>
          <w:sz w:val="24"/>
          <w:szCs w:val="24"/>
          <w:lang w:eastAsia="pl-PL"/>
        </w:rPr>
        <w:t>,</w:t>
      </w:r>
      <w:r w:rsidR="009B4C8D">
        <w:rPr>
          <w:rFonts w:eastAsia="Times New Roman" w:cstheme="minorHAnsi"/>
          <w:sz w:val="24"/>
          <w:szCs w:val="24"/>
          <w:lang w:eastAsia="pl-PL"/>
        </w:rPr>
        <w:t xml:space="preserve"> w jakie właściciele mają obowiązek wyposażyć nieruchomość.</w:t>
      </w:r>
    </w:p>
    <w:p w:rsidR="009B4C8D" w:rsidRDefault="009B4C8D" w:rsidP="00A40C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Nieprawidłowy jest również zapis </w:t>
      </w:r>
      <w:r>
        <w:rPr>
          <w:rFonts w:eastAsia="Times New Roman" w:cstheme="minorHAnsi"/>
          <w:sz w:val="24"/>
          <w:szCs w:val="24"/>
          <w:lang w:eastAsia="pl-PL"/>
        </w:rPr>
        <w:t>§ 8 ust.</w:t>
      </w:r>
      <w:r w:rsidR="00932DA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6 </w:t>
      </w:r>
      <w:r w:rsidR="00932DA4">
        <w:rPr>
          <w:rFonts w:eastAsia="Times New Roman" w:cstheme="minorHAnsi"/>
          <w:sz w:val="24"/>
          <w:szCs w:val="24"/>
          <w:lang w:eastAsia="pl-PL"/>
        </w:rPr>
        <w:t xml:space="preserve">Regulaminu </w:t>
      </w:r>
      <w:r>
        <w:rPr>
          <w:rFonts w:eastAsia="Times New Roman" w:cstheme="minorHAnsi"/>
          <w:sz w:val="24"/>
          <w:szCs w:val="24"/>
          <w:lang w:eastAsia="pl-PL"/>
        </w:rPr>
        <w:t>stanowiący, że odpady komunalne</w:t>
      </w:r>
      <w:r w:rsidR="003127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1B1A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3127DF">
        <w:rPr>
          <w:rFonts w:eastAsia="Times New Roman" w:cstheme="minorHAnsi"/>
          <w:sz w:val="24"/>
          <w:szCs w:val="24"/>
          <w:lang w:eastAsia="pl-PL"/>
        </w:rPr>
        <w:t>z miejsc przeznaczonych do użytku publicznego powinny być usuwane z częstotliwością wynikającą z napełnienia pojemników. Zapis ten nie odpowiada wymogom art.</w:t>
      </w:r>
      <w:r w:rsidR="00932D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27DF">
        <w:rPr>
          <w:rFonts w:eastAsia="Times New Roman" w:cstheme="minorHAnsi"/>
          <w:sz w:val="24"/>
          <w:szCs w:val="24"/>
          <w:lang w:eastAsia="pl-PL"/>
        </w:rPr>
        <w:t>4</w:t>
      </w:r>
      <w:r w:rsidR="00932D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27DF">
        <w:rPr>
          <w:rFonts w:eastAsia="Times New Roman" w:cstheme="minorHAnsi"/>
          <w:sz w:val="24"/>
          <w:szCs w:val="24"/>
          <w:lang w:eastAsia="pl-PL"/>
        </w:rPr>
        <w:t>ust.</w:t>
      </w:r>
      <w:r w:rsidR="00CF55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27DF">
        <w:rPr>
          <w:rFonts w:eastAsia="Times New Roman" w:cstheme="minorHAnsi"/>
          <w:sz w:val="24"/>
          <w:szCs w:val="24"/>
          <w:lang w:eastAsia="pl-PL"/>
        </w:rPr>
        <w:t>2 pkt</w:t>
      </w:r>
      <w:r w:rsidR="00932D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27DF">
        <w:rPr>
          <w:rFonts w:eastAsia="Times New Roman" w:cstheme="minorHAnsi"/>
          <w:sz w:val="24"/>
          <w:szCs w:val="24"/>
          <w:lang w:eastAsia="pl-PL"/>
        </w:rPr>
        <w:t xml:space="preserve">3 ustawy, który </w:t>
      </w:r>
      <w:r w:rsidR="00932DA4">
        <w:rPr>
          <w:rFonts w:eastAsia="Times New Roman" w:cstheme="minorHAnsi"/>
          <w:sz w:val="24"/>
          <w:szCs w:val="24"/>
          <w:lang w:eastAsia="pl-PL"/>
        </w:rPr>
        <w:t>reguluje</w:t>
      </w:r>
      <w:r w:rsidR="003127DF">
        <w:rPr>
          <w:rFonts w:eastAsia="Times New Roman" w:cstheme="minorHAnsi"/>
          <w:sz w:val="24"/>
          <w:szCs w:val="24"/>
          <w:lang w:eastAsia="pl-PL"/>
        </w:rPr>
        <w:t xml:space="preserve"> częstotliwości pozbywania się odpadów komunalnych z terenów przeznaczonych do użytku publicznego. Jak wynika bowiem ze wskazanego zapisu ustawy, </w:t>
      </w:r>
      <w:r w:rsidR="00501B1A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3127DF">
        <w:rPr>
          <w:rFonts w:eastAsia="Times New Roman" w:cstheme="minorHAnsi"/>
          <w:sz w:val="24"/>
          <w:szCs w:val="24"/>
          <w:lang w:eastAsia="pl-PL"/>
        </w:rPr>
        <w:t>w uchwale należy wskazać konkretną częstotliwość pozby</w:t>
      </w:r>
      <w:r w:rsidR="0041506C">
        <w:rPr>
          <w:rFonts w:eastAsia="Times New Roman" w:cstheme="minorHAnsi"/>
          <w:sz w:val="24"/>
          <w:szCs w:val="24"/>
          <w:lang w:eastAsia="pl-PL"/>
        </w:rPr>
        <w:t xml:space="preserve">wania się tych odpadów, </w:t>
      </w:r>
      <w:r w:rsidR="00501B1A">
        <w:rPr>
          <w:rFonts w:eastAsia="Times New Roman" w:cstheme="minorHAnsi"/>
          <w:sz w:val="24"/>
          <w:szCs w:val="24"/>
          <w:lang w:eastAsia="pl-PL"/>
        </w:rPr>
        <w:t xml:space="preserve">                          </w:t>
      </w:r>
      <w:r w:rsidR="0041506C">
        <w:rPr>
          <w:rFonts w:eastAsia="Times New Roman" w:cstheme="minorHAnsi"/>
          <w:sz w:val="24"/>
          <w:szCs w:val="24"/>
          <w:lang w:eastAsia="pl-PL"/>
        </w:rPr>
        <w:t>a określenie częstotliwości</w:t>
      </w:r>
      <w:r w:rsidR="003127DF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932DA4">
        <w:rPr>
          <w:rFonts w:eastAsia="Times New Roman" w:cstheme="minorHAnsi"/>
          <w:sz w:val="24"/>
          <w:szCs w:val="24"/>
          <w:lang w:eastAsia="pl-PL"/>
        </w:rPr>
        <w:t>edle</w:t>
      </w:r>
      <w:r w:rsidR="003127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2DA4">
        <w:rPr>
          <w:rFonts w:eastAsia="Times New Roman" w:cstheme="minorHAnsi"/>
          <w:sz w:val="24"/>
          <w:szCs w:val="24"/>
          <w:lang w:eastAsia="pl-PL"/>
        </w:rPr>
        <w:t>„</w:t>
      </w:r>
      <w:r w:rsidR="003127DF">
        <w:rPr>
          <w:rFonts w:eastAsia="Times New Roman" w:cstheme="minorHAnsi"/>
          <w:sz w:val="24"/>
          <w:szCs w:val="24"/>
          <w:lang w:eastAsia="pl-PL"/>
        </w:rPr>
        <w:t>napełnienia pojemników</w:t>
      </w:r>
      <w:r w:rsidR="00932DA4">
        <w:rPr>
          <w:rFonts w:eastAsia="Times New Roman" w:cstheme="minorHAnsi"/>
          <w:sz w:val="24"/>
          <w:szCs w:val="24"/>
          <w:lang w:eastAsia="pl-PL"/>
        </w:rPr>
        <w:t>”</w:t>
      </w:r>
      <w:r w:rsidR="003127DF">
        <w:rPr>
          <w:rFonts w:eastAsia="Times New Roman" w:cstheme="minorHAnsi"/>
          <w:sz w:val="24"/>
          <w:szCs w:val="24"/>
          <w:lang w:eastAsia="pl-PL"/>
        </w:rPr>
        <w:t xml:space="preserve"> jest  niejednoznaczne i zbyt ogólne</w:t>
      </w:r>
      <w:r w:rsidR="0041506C">
        <w:rPr>
          <w:rFonts w:eastAsia="Times New Roman" w:cstheme="minorHAnsi"/>
          <w:sz w:val="24"/>
          <w:szCs w:val="24"/>
          <w:lang w:eastAsia="pl-PL"/>
        </w:rPr>
        <w:t>.</w:t>
      </w:r>
    </w:p>
    <w:p w:rsidR="00A426D0" w:rsidRDefault="000313CD" w:rsidP="00932DA4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Podobnie niezgodny z obowiązującym porządkiem prawnym jest zapis </w:t>
      </w:r>
      <w:r>
        <w:rPr>
          <w:rFonts w:eastAsia="Times New Roman" w:cstheme="minorHAnsi"/>
          <w:sz w:val="24"/>
          <w:szCs w:val="24"/>
          <w:lang w:eastAsia="pl-PL"/>
        </w:rPr>
        <w:t>§ 14 ust.</w:t>
      </w:r>
      <w:r w:rsidR="00932DA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2 i 3 </w:t>
      </w:r>
      <w:r w:rsidR="00932DA4">
        <w:rPr>
          <w:rFonts w:eastAsia="Times New Roman" w:cstheme="minorHAnsi"/>
          <w:sz w:val="24"/>
          <w:szCs w:val="24"/>
          <w:lang w:eastAsia="pl-PL"/>
        </w:rPr>
        <w:t>Regulaminu, gdzie</w:t>
      </w:r>
      <w:r>
        <w:rPr>
          <w:rFonts w:eastAsia="Times New Roman" w:cstheme="minorHAnsi"/>
          <w:sz w:val="24"/>
          <w:szCs w:val="24"/>
          <w:lang w:eastAsia="pl-PL"/>
        </w:rPr>
        <w:t xml:space="preserve"> Rada stwierdziła, że obowiązkowa deratyzację przeprowadza się </w:t>
      </w:r>
      <w:r w:rsidR="00384EE9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w przypadku  stwierdzenia występowania gryzoni ( ust.2) i w przypadku  wystąpienia zagrożenia epidemiologicznego wywołanego </w:t>
      </w:r>
      <w:r w:rsidR="00A426D0">
        <w:rPr>
          <w:rFonts w:eastAsia="Times New Roman" w:cstheme="minorHAnsi"/>
          <w:sz w:val="24"/>
          <w:szCs w:val="24"/>
          <w:lang w:eastAsia="pl-PL"/>
        </w:rPr>
        <w:t>plagą gryzoni na wniosek Państw</w:t>
      </w:r>
      <w:r>
        <w:rPr>
          <w:rFonts w:eastAsia="Times New Roman" w:cstheme="minorHAnsi"/>
          <w:sz w:val="24"/>
          <w:szCs w:val="24"/>
          <w:lang w:eastAsia="pl-PL"/>
        </w:rPr>
        <w:t>owego Inspektora Sanitarnego</w:t>
      </w:r>
      <w:r w:rsidR="00A426D0">
        <w:rPr>
          <w:rFonts w:eastAsia="Times New Roman" w:cstheme="minorHAnsi"/>
          <w:sz w:val="24"/>
          <w:szCs w:val="24"/>
          <w:lang w:eastAsia="pl-PL"/>
        </w:rPr>
        <w:t xml:space="preserve"> (ust.3). Jak wynika z przytoczonego zapisu uchwały</w:t>
      </w:r>
      <w:r w:rsidR="00932DA4">
        <w:rPr>
          <w:rFonts w:eastAsia="Times New Roman" w:cstheme="minorHAnsi"/>
          <w:sz w:val="24"/>
          <w:szCs w:val="24"/>
          <w:lang w:eastAsia="pl-PL"/>
        </w:rPr>
        <w:t>,</w:t>
      </w:r>
      <w:r w:rsidR="00A426D0">
        <w:rPr>
          <w:rFonts w:eastAsia="Times New Roman" w:cstheme="minorHAnsi"/>
          <w:sz w:val="24"/>
          <w:szCs w:val="24"/>
          <w:lang w:eastAsia="pl-PL"/>
        </w:rPr>
        <w:t xml:space="preserve"> nie wskazano wbrew obowiązkowi wynikającemu z art. 4 ust.</w:t>
      </w:r>
      <w:r w:rsidR="00932D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26D0">
        <w:rPr>
          <w:rFonts w:eastAsia="Times New Roman" w:cstheme="minorHAnsi"/>
          <w:sz w:val="24"/>
          <w:szCs w:val="24"/>
          <w:lang w:eastAsia="pl-PL"/>
        </w:rPr>
        <w:t>2 pkt</w:t>
      </w:r>
      <w:r w:rsidR="00932DA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426D0">
        <w:rPr>
          <w:rFonts w:eastAsia="Times New Roman" w:cstheme="minorHAnsi"/>
          <w:sz w:val="24"/>
          <w:szCs w:val="24"/>
          <w:lang w:eastAsia="pl-PL"/>
        </w:rPr>
        <w:t>8 ustawy</w:t>
      </w:r>
      <w:r w:rsidR="00932DA4">
        <w:rPr>
          <w:rFonts w:eastAsia="Times New Roman" w:cstheme="minorHAnsi"/>
          <w:sz w:val="24"/>
          <w:szCs w:val="24"/>
          <w:lang w:eastAsia="pl-PL"/>
        </w:rPr>
        <w:t>,</w:t>
      </w:r>
      <w:r w:rsidR="00A426D0">
        <w:rPr>
          <w:rFonts w:eastAsia="Times New Roman" w:cstheme="minorHAnsi"/>
          <w:sz w:val="24"/>
          <w:szCs w:val="24"/>
          <w:lang w:eastAsia="pl-PL"/>
        </w:rPr>
        <w:t xml:space="preserve"> konkretnych terminów deratyzacji. Jak wskazał Wojewódzki Sąd Administracyjny w Gorzowie Wielkopolskim </w:t>
      </w:r>
      <w:r w:rsidR="00384EE9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="00A426D0">
        <w:rPr>
          <w:rFonts w:eastAsia="Times New Roman" w:cstheme="minorHAnsi"/>
          <w:sz w:val="24"/>
          <w:szCs w:val="24"/>
          <w:lang w:eastAsia="pl-PL"/>
        </w:rPr>
        <w:t>w wyroku  w sprawie II SA/Go 316/06:</w:t>
      </w:r>
    </w:p>
    <w:p w:rsidR="004D407C" w:rsidRPr="00932DA4" w:rsidRDefault="00A426D0" w:rsidP="00384EE9">
      <w:pPr>
        <w:spacing w:after="0"/>
        <w:jc w:val="both"/>
        <w:rPr>
          <w:i/>
          <w:sz w:val="24"/>
          <w:szCs w:val="24"/>
        </w:rPr>
      </w:pPr>
      <w:r w:rsidRPr="00932DA4">
        <w:rPr>
          <w:i/>
          <w:sz w:val="24"/>
          <w:szCs w:val="24"/>
        </w:rPr>
        <w:lastRenderedPageBreak/>
        <w:t>„</w:t>
      </w:r>
      <w:r w:rsidR="004D407C" w:rsidRPr="00932DA4">
        <w:rPr>
          <w:i/>
          <w:sz w:val="24"/>
          <w:szCs w:val="24"/>
        </w:rPr>
        <w:t xml:space="preserve">Z brzmienia art. 4 ust. 2 pkt 8 tej ustawy, wynika wprost, że terminy i obszary obowiązkowej deratyzacji winny wynikać z regulaminu utrzymania czystości i porządku co nie oznacza, że </w:t>
      </w:r>
      <w:r w:rsidR="00384EE9">
        <w:rPr>
          <w:i/>
          <w:sz w:val="24"/>
          <w:szCs w:val="24"/>
        </w:rPr>
        <w:t xml:space="preserve">       </w:t>
      </w:r>
      <w:r w:rsidR="004D407C" w:rsidRPr="00932DA4">
        <w:rPr>
          <w:i/>
          <w:sz w:val="24"/>
          <w:szCs w:val="24"/>
        </w:rPr>
        <w:t>w przypadkach koniecznych, właściwe organy nie powinny podjąć działań w kierunku przeprowadzenia deratyzacji, której termin nie jest przewidziany w regulaminie.</w:t>
      </w:r>
      <w:r w:rsidRPr="00932DA4">
        <w:rPr>
          <w:i/>
          <w:sz w:val="24"/>
          <w:szCs w:val="24"/>
        </w:rPr>
        <w:t>”</w:t>
      </w:r>
      <w:r w:rsidR="00932DA4">
        <w:rPr>
          <w:i/>
          <w:sz w:val="24"/>
          <w:szCs w:val="24"/>
        </w:rPr>
        <w:t>.</w:t>
      </w:r>
    </w:p>
    <w:p w:rsidR="000313CD" w:rsidRPr="004D407C" w:rsidRDefault="00A426D0" w:rsidP="00384E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Podobnie w wyroku z dnia 29 września 2014 r</w:t>
      </w:r>
      <w:r w:rsidR="00384EE9">
        <w:rPr>
          <w:sz w:val="24"/>
          <w:szCs w:val="24"/>
        </w:rPr>
        <w:t>.</w:t>
      </w:r>
      <w:r>
        <w:rPr>
          <w:sz w:val="24"/>
          <w:szCs w:val="24"/>
        </w:rPr>
        <w:t xml:space="preserve"> Wojewódzki Sąd Administracyjny w Gliw</w:t>
      </w:r>
      <w:r w:rsidR="00384EE9">
        <w:rPr>
          <w:sz w:val="24"/>
          <w:szCs w:val="24"/>
        </w:rPr>
        <w:t>icach w sprawie II SA/</w:t>
      </w:r>
      <w:proofErr w:type="spellStart"/>
      <w:r w:rsidR="00384EE9">
        <w:rPr>
          <w:sz w:val="24"/>
          <w:szCs w:val="24"/>
        </w:rPr>
        <w:t>Gl</w:t>
      </w:r>
      <w:proofErr w:type="spellEnd"/>
      <w:r w:rsidR="00384EE9">
        <w:rPr>
          <w:sz w:val="24"/>
          <w:szCs w:val="24"/>
        </w:rPr>
        <w:t xml:space="preserve"> 476/14:</w:t>
      </w:r>
    </w:p>
    <w:p w:rsidR="004D407C" w:rsidRPr="00384EE9" w:rsidRDefault="00A426D0" w:rsidP="005761FA">
      <w:pPr>
        <w:spacing w:after="0"/>
        <w:jc w:val="both"/>
        <w:rPr>
          <w:i/>
          <w:sz w:val="24"/>
          <w:szCs w:val="24"/>
        </w:rPr>
      </w:pPr>
      <w:r w:rsidRPr="00384EE9">
        <w:rPr>
          <w:i/>
          <w:sz w:val="24"/>
          <w:szCs w:val="24"/>
        </w:rPr>
        <w:t>„</w:t>
      </w:r>
      <w:r w:rsidR="00384EE9" w:rsidRPr="00384EE9">
        <w:rPr>
          <w:i/>
          <w:sz w:val="24"/>
          <w:szCs w:val="24"/>
        </w:rPr>
        <w:t>P</w:t>
      </w:r>
      <w:r w:rsidR="004D407C" w:rsidRPr="00384EE9">
        <w:rPr>
          <w:i/>
          <w:sz w:val="24"/>
          <w:szCs w:val="24"/>
        </w:rPr>
        <w:t>oprzez wyznaczenie obszaru obowiązkowej deratyzacji gmina zobowiązana była do określenia jej terminu, albowiem tylko w ten sposób możliwe jest wyczerpanie zakresu udzielonego upoważnienia ustawowego. Wyczerpanie zakresu delegacji nie jest przy tym uprawnieniem dla prawodawcy lokalnego, ale obowiązkiem, jego zaniechanie skutkuje wadliwością regulacji.</w:t>
      </w:r>
    </w:p>
    <w:p w:rsidR="00A426D0" w:rsidRDefault="004D407C" w:rsidP="005761FA">
      <w:pPr>
        <w:spacing w:after="0"/>
        <w:jc w:val="both"/>
        <w:rPr>
          <w:sz w:val="24"/>
          <w:szCs w:val="24"/>
        </w:rPr>
      </w:pPr>
      <w:r w:rsidRPr="004D407C">
        <w:rPr>
          <w:sz w:val="24"/>
          <w:szCs w:val="24"/>
        </w:rPr>
        <w:t xml:space="preserve">Jak wyżej zaznaczono, obligatoryjnym elementem regulaminu utrzymania czystości i porządku w gminie, w sytuacji wyznaczenia obszarów podlegających obowiązkowej deratyzacji, co </w:t>
      </w:r>
      <w:r w:rsidR="00384EE9">
        <w:rPr>
          <w:sz w:val="24"/>
          <w:szCs w:val="24"/>
        </w:rPr>
        <w:t xml:space="preserve">          </w:t>
      </w:r>
      <w:r w:rsidRPr="004D407C">
        <w:rPr>
          <w:sz w:val="24"/>
          <w:szCs w:val="24"/>
        </w:rPr>
        <w:t xml:space="preserve">w sprawie ma miejsce, jest określenie jej terminu. </w:t>
      </w:r>
    </w:p>
    <w:p w:rsidR="00711B35" w:rsidRDefault="000313CD" w:rsidP="00711B35">
      <w:pPr>
        <w:jc w:val="both"/>
        <w:rPr>
          <w:sz w:val="24"/>
          <w:szCs w:val="24"/>
        </w:rPr>
      </w:pPr>
      <w:r w:rsidRPr="000313CD">
        <w:rPr>
          <w:sz w:val="24"/>
          <w:szCs w:val="24"/>
        </w:rPr>
        <w:t>Niewątpliwie regulamin nie podaje konkretnej daty przeprowadzenia obowiązkowej deratyzacji, pozostawiając jej ustalenie Burmistrzowi. Nie można zatem uznać, że doszło do ustalenia terminu rozumianego jako wskazania konkretnej daty</w:t>
      </w:r>
      <w:r w:rsidR="00384EE9">
        <w:rPr>
          <w:sz w:val="24"/>
          <w:szCs w:val="24"/>
        </w:rPr>
        <w:t xml:space="preserve">. </w:t>
      </w:r>
      <w:r w:rsidR="00207D53">
        <w:rPr>
          <w:sz w:val="24"/>
          <w:szCs w:val="24"/>
        </w:rPr>
        <w:t>Nie wskazanie konkretnego terminu obowiązkowej deratyzacji stanowi naruszenie art.</w:t>
      </w:r>
      <w:r w:rsidR="003E4F74">
        <w:rPr>
          <w:sz w:val="24"/>
          <w:szCs w:val="24"/>
        </w:rPr>
        <w:t xml:space="preserve"> </w:t>
      </w:r>
      <w:r w:rsidR="00207D53">
        <w:rPr>
          <w:sz w:val="24"/>
          <w:szCs w:val="24"/>
        </w:rPr>
        <w:t>4 ust.</w:t>
      </w:r>
      <w:r w:rsidR="00384EE9">
        <w:rPr>
          <w:sz w:val="24"/>
          <w:szCs w:val="24"/>
        </w:rPr>
        <w:t xml:space="preserve"> </w:t>
      </w:r>
      <w:r w:rsidR="00207D53">
        <w:rPr>
          <w:sz w:val="24"/>
          <w:szCs w:val="24"/>
        </w:rPr>
        <w:t>2 pkt</w:t>
      </w:r>
      <w:r w:rsidR="00B34970">
        <w:rPr>
          <w:sz w:val="24"/>
          <w:szCs w:val="24"/>
        </w:rPr>
        <w:t>.</w:t>
      </w:r>
      <w:r w:rsidR="003E4F74">
        <w:rPr>
          <w:sz w:val="24"/>
          <w:szCs w:val="24"/>
        </w:rPr>
        <w:t xml:space="preserve"> </w:t>
      </w:r>
      <w:r w:rsidR="00207D53">
        <w:rPr>
          <w:sz w:val="24"/>
          <w:szCs w:val="24"/>
        </w:rPr>
        <w:t>8 ustawy</w:t>
      </w:r>
      <w:r w:rsidR="00384EE9">
        <w:rPr>
          <w:sz w:val="24"/>
          <w:szCs w:val="24"/>
        </w:rPr>
        <w:t>.</w:t>
      </w:r>
    </w:p>
    <w:p w:rsidR="00711B35" w:rsidRDefault="00711B35" w:rsidP="00711B35">
      <w:pPr>
        <w:jc w:val="both"/>
        <w:rPr>
          <w:sz w:val="24"/>
          <w:szCs w:val="24"/>
        </w:rPr>
      </w:pPr>
      <w:r>
        <w:rPr>
          <w:sz w:val="24"/>
          <w:szCs w:val="24"/>
        </w:rPr>
        <w:t>Mając na uwadze powyższe należy stwierdzić, że uchwała</w:t>
      </w:r>
      <w:r w:rsidR="00B34970">
        <w:rPr>
          <w:sz w:val="24"/>
          <w:szCs w:val="24"/>
        </w:rPr>
        <w:t xml:space="preserve"> Rady Miasta i Gminy Białobrzegach</w:t>
      </w:r>
      <w:r>
        <w:rPr>
          <w:sz w:val="24"/>
          <w:szCs w:val="24"/>
        </w:rPr>
        <w:t xml:space="preserve"> jest sprzeczna z obowiązującym prawem, co czyni rozstrzygnięcie koniecznym i uzasadnionym.</w:t>
      </w:r>
    </w:p>
    <w:p w:rsidR="00711B35" w:rsidRDefault="00711B35" w:rsidP="0071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niniejsze rozstrzygnięcie nadzorcze Gminie przysługuje skarga do Wojewódzkiego Sądu Administracyjnego w Warszawie w terminie 30 dni od daty doręczenia, wnoszona za moim pośrednictwem. </w:t>
      </w:r>
    </w:p>
    <w:p w:rsidR="00711B35" w:rsidRDefault="00711B35" w:rsidP="00711B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Informuję, że rozstrzygnięcie nadzorcze wstrzymuje wykonanie uchwały z mocy prawa, </w:t>
      </w:r>
      <w:r w:rsidR="00501B1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w zakresie objętym stwierdzeniem, z dniem jego doręczenia.</w:t>
      </w:r>
    </w:p>
    <w:p w:rsidR="00711B35" w:rsidRDefault="00711B35" w:rsidP="00711B35">
      <w:pPr>
        <w:jc w:val="both"/>
        <w:rPr>
          <w:sz w:val="24"/>
          <w:szCs w:val="24"/>
        </w:rPr>
      </w:pPr>
    </w:p>
    <w:p w:rsidR="00711B35" w:rsidRDefault="00711B35" w:rsidP="00711B35">
      <w:pPr>
        <w:jc w:val="both"/>
        <w:rPr>
          <w:sz w:val="24"/>
          <w:szCs w:val="24"/>
        </w:rPr>
      </w:pPr>
    </w:p>
    <w:p w:rsidR="00D56D22" w:rsidRDefault="009320D4"/>
    <w:sectPr w:rsidR="00D56D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0D4" w:rsidRDefault="009320D4" w:rsidP="004C2447">
      <w:pPr>
        <w:spacing w:after="0" w:line="240" w:lineRule="auto"/>
      </w:pPr>
      <w:r>
        <w:separator/>
      </w:r>
    </w:p>
  </w:endnote>
  <w:endnote w:type="continuationSeparator" w:id="0">
    <w:p w:rsidR="009320D4" w:rsidRDefault="009320D4" w:rsidP="004C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944028"/>
      <w:docPartObj>
        <w:docPartGallery w:val="Page Numbers (Bottom of Page)"/>
        <w:docPartUnique/>
      </w:docPartObj>
    </w:sdtPr>
    <w:sdtEndPr/>
    <w:sdtContent>
      <w:p w:rsidR="004C2447" w:rsidRDefault="004C2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74">
          <w:rPr>
            <w:noProof/>
          </w:rPr>
          <w:t>2</w:t>
        </w:r>
        <w:r>
          <w:fldChar w:fldCharType="end"/>
        </w:r>
      </w:p>
    </w:sdtContent>
  </w:sdt>
  <w:p w:rsidR="004C2447" w:rsidRDefault="004C2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0D4" w:rsidRDefault="009320D4" w:rsidP="004C2447">
      <w:pPr>
        <w:spacing w:after="0" w:line="240" w:lineRule="auto"/>
      </w:pPr>
      <w:r>
        <w:separator/>
      </w:r>
    </w:p>
  </w:footnote>
  <w:footnote w:type="continuationSeparator" w:id="0">
    <w:p w:rsidR="009320D4" w:rsidRDefault="009320D4" w:rsidP="004C2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35"/>
    <w:rsid w:val="000313CD"/>
    <w:rsid w:val="000528E4"/>
    <w:rsid w:val="00190E6B"/>
    <w:rsid w:val="001B1421"/>
    <w:rsid w:val="00207D53"/>
    <w:rsid w:val="00262AF8"/>
    <w:rsid w:val="002B69AA"/>
    <w:rsid w:val="002F6F92"/>
    <w:rsid w:val="003127DF"/>
    <w:rsid w:val="00384EE9"/>
    <w:rsid w:val="003966C1"/>
    <w:rsid w:val="003E0324"/>
    <w:rsid w:val="003E25C0"/>
    <w:rsid w:val="003E4F74"/>
    <w:rsid w:val="0041506C"/>
    <w:rsid w:val="004C2447"/>
    <w:rsid w:val="004D407C"/>
    <w:rsid w:val="004E5182"/>
    <w:rsid w:val="00501B1A"/>
    <w:rsid w:val="00547612"/>
    <w:rsid w:val="005761FA"/>
    <w:rsid w:val="00605821"/>
    <w:rsid w:val="00710D96"/>
    <w:rsid w:val="00711B35"/>
    <w:rsid w:val="00874584"/>
    <w:rsid w:val="008B2CF9"/>
    <w:rsid w:val="009320D4"/>
    <w:rsid w:val="00932DA4"/>
    <w:rsid w:val="009335F6"/>
    <w:rsid w:val="00944B8A"/>
    <w:rsid w:val="009A7959"/>
    <w:rsid w:val="009B4C8D"/>
    <w:rsid w:val="009E751D"/>
    <w:rsid w:val="00A40C49"/>
    <w:rsid w:val="00A426D0"/>
    <w:rsid w:val="00A53BF1"/>
    <w:rsid w:val="00A87373"/>
    <w:rsid w:val="00AE15C2"/>
    <w:rsid w:val="00B34970"/>
    <w:rsid w:val="00CF552B"/>
    <w:rsid w:val="00D143FC"/>
    <w:rsid w:val="00DD3303"/>
    <w:rsid w:val="00E43430"/>
    <w:rsid w:val="00E4498F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EFD3"/>
  <w15:chartTrackingRefBased/>
  <w15:docId w15:val="{CE20C37D-83B3-4836-9DD5-51388097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B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1B35"/>
    <w:rPr>
      <w:color w:val="0563C1" w:themeColor="hyperlink"/>
      <w:u w:val="single"/>
    </w:rPr>
  </w:style>
  <w:style w:type="paragraph" w:customStyle="1" w:styleId="text-justify">
    <w:name w:val="text-justify"/>
    <w:basedOn w:val="Normalny"/>
    <w:rsid w:val="00A4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447"/>
  </w:style>
  <w:style w:type="paragraph" w:styleId="Stopka">
    <w:name w:val="footer"/>
    <w:basedOn w:val="Normalny"/>
    <w:link w:val="StopkaZnak"/>
    <w:uiPriority w:val="99"/>
    <w:unhideWhenUsed/>
    <w:rsid w:val="004C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15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7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5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Napora-Hajnrych</dc:creator>
  <cp:keywords/>
  <dc:description/>
  <cp:lastModifiedBy>Beata Darnowska</cp:lastModifiedBy>
  <cp:revision>2</cp:revision>
  <dcterms:created xsi:type="dcterms:W3CDTF">2020-03-11T12:33:00Z</dcterms:created>
  <dcterms:modified xsi:type="dcterms:W3CDTF">2020-03-11T12:33:00Z</dcterms:modified>
</cp:coreProperties>
</file>