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2B7D47" w:rsidRDefault="00A06425" w:rsidP="00463461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</w:p>
          <w:p w:rsidR="001B43AA" w:rsidRPr="000E7716" w:rsidRDefault="00832ACC" w:rsidP="00463461">
            <w:pPr>
              <w:spacing w:before="120" w:after="120"/>
              <w:rPr>
                <w:rFonts w:asciiTheme="minorHAnsi" w:hAnsiTheme="minorHAnsi" w:cstheme="minorHAnsi"/>
              </w:rPr>
            </w:pPr>
            <w:r w:rsidRPr="00832ACC">
              <w:rPr>
                <w:rFonts w:asciiTheme="minorHAnsi" w:hAnsiTheme="minorHAnsi" w:cstheme="minorHAnsi"/>
                <w:i/>
              </w:rPr>
              <w:t>projekt rozporządzenia Ministra Cyfryzacji w sprawie inwentaryzacji infrastruktury i usług telekomunikacyjnych</w:t>
            </w:r>
            <w:r w:rsidR="00463461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A21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1AB5" w:rsidRPr="00AA4E84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4E84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Pr="00AA4E84" w:rsidRDefault="00AA4E84" w:rsidP="001E0D01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4E84"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6946" w:type="dxa"/>
            <w:shd w:val="clear" w:color="auto" w:fill="auto"/>
          </w:tcPr>
          <w:p w:rsidR="00AA4E84" w:rsidRPr="00F142EA" w:rsidRDefault="00AA4E84" w:rsidP="00F142EA">
            <w:pPr>
              <w:pStyle w:val="Tekstpodstawowy"/>
              <w:spacing w:before="12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4E84">
              <w:rPr>
                <w:rFonts w:asciiTheme="minorHAnsi" w:hAnsiTheme="minorHAnsi" w:cstheme="minorHAnsi"/>
                <w:sz w:val="22"/>
                <w:szCs w:val="22"/>
              </w:rPr>
              <w:t xml:space="preserve">W OSR w pkt 6. Wpływ na sektor finansów publicznych zamieszczono zapis, zgodnie z którym </w:t>
            </w:r>
            <w:r w:rsidRPr="00F142E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„Szacuje się, że wejście w życie projektowanej regulacji będzie skutkować koniecznością poniesienia przez budżet państwa </w:t>
            </w:r>
            <w:r w:rsidR="00F142EA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</w:r>
            <w:r w:rsidRPr="00F142EA">
              <w:rPr>
                <w:rFonts w:asciiTheme="minorHAnsi" w:hAnsiTheme="minorHAnsi" w:cstheme="minorHAnsi"/>
                <w:i/>
                <w:sz w:val="22"/>
                <w:szCs w:val="22"/>
              </w:rPr>
              <w:t>w pierwszym roku wydatków w wysokości 8,2 mln (rozliczenie kosztów budowy systemu), natomiast w kolejnych latach, 900 tys. zł rocznie”</w:t>
            </w:r>
            <w:r w:rsidRPr="00AA4E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6704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4E84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Pr="00F142EA">
              <w:rPr>
                <w:rFonts w:asciiTheme="minorHAnsi" w:hAnsiTheme="minorHAnsi" w:cstheme="minorHAnsi"/>
                <w:i/>
                <w:sz w:val="22"/>
                <w:szCs w:val="22"/>
              </w:rPr>
              <w:t>„(...) Źródło finansowania: budżet państwa, część 76. Ww. koszty stanowić będą podstawę do zwiększenia dotychczasowych limitów wydatkowych.”</w:t>
            </w:r>
            <w:r w:rsidR="00F142E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11AB5" w:rsidRDefault="00AA4E84" w:rsidP="00F142EA">
            <w:pPr>
              <w:pStyle w:val="Tekstpodstawowy"/>
              <w:spacing w:before="12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A4E84">
              <w:rPr>
                <w:rFonts w:asciiTheme="minorHAnsi" w:hAnsiTheme="minorHAnsi" w:cstheme="minorHAnsi"/>
                <w:sz w:val="22"/>
                <w:szCs w:val="22"/>
              </w:rPr>
              <w:t xml:space="preserve">Mając na uwadze przywołane informacje, należy wskazać, że co do zasady skutki finansowe wynikające z projektowanych rozwiązań nie powinny obciążać budżetu państwa i powinny być pokryte w ramach limitu ustalonego w ustawie budżetowej dla danego dysponenta bez konieczności jego zwiększenia. Dlatego też w pkt 6 OSR należy zamieścić zapis, że skutki finansowe wynikające z projektu rozporządzenia powinny zostać sfinansowane w ramach limitu wydatków corocznie określanego </w:t>
            </w:r>
            <w:r w:rsidR="00F142E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4E84">
              <w:rPr>
                <w:rFonts w:asciiTheme="minorHAnsi" w:hAnsiTheme="minorHAnsi" w:cstheme="minorHAnsi"/>
                <w:sz w:val="22"/>
                <w:szCs w:val="22"/>
              </w:rPr>
              <w:t xml:space="preserve">w ustawie budżetowej dla cz. 76 – Urząd Komunikacji Elektronicznej, </w:t>
            </w:r>
            <w:r w:rsidR="00F142E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A4E84">
              <w:rPr>
                <w:rFonts w:asciiTheme="minorHAnsi" w:hAnsiTheme="minorHAnsi" w:cstheme="minorHAnsi"/>
                <w:sz w:val="22"/>
                <w:szCs w:val="22"/>
              </w:rPr>
              <w:t>bez konieczności dodatkowych zwiększeń.</w:t>
            </w:r>
          </w:p>
          <w:p w:rsidR="002B3DE2" w:rsidRPr="00AA4E84" w:rsidRDefault="002B3DE2" w:rsidP="002B3DE2">
            <w:pPr>
              <w:pStyle w:val="Tekstpodstawowy"/>
              <w:spacing w:before="12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Podkreślenia </w:t>
            </w:r>
            <w:r w:rsidRPr="002B3DE2">
              <w:rPr>
                <w:rFonts w:asciiTheme="minorHAnsi" w:hAnsiTheme="minorHAnsi" w:cstheme="minorHAnsi"/>
                <w:sz w:val="22"/>
                <w:szCs w:val="22"/>
              </w:rPr>
              <w:t>wymaga, że ostateczna decyzja w zakresie możliwości zabezpieczenia odpowiednich środków finansowych na dodatkowe potrzeby, zgłaszane przez poszczególnych dysponentów, leży w gestii Rady Ministrów (przy uwzględnieniu aktualnej sytuacji gospodarczej, jak również ustalonych priorytetów wydatkowych).</w:t>
            </w:r>
          </w:p>
        </w:tc>
        <w:tc>
          <w:tcPr>
            <w:tcW w:w="3544" w:type="dxa"/>
            <w:shd w:val="clear" w:color="auto" w:fill="auto"/>
          </w:tcPr>
          <w:p w:rsidR="00211AB5" w:rsidRPr="00AA4E84" w:rsidRDefault="00AA4E84" w:rsidP="000521D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Korekta OSR we wskazanym zakresie.</w:t>
            </w:r>
          </w:p>
        </w:tc>
        <w:tc>
          <w:tcPr>
            <w:tcW w:w="1359" w:type="dxa"/>
          </w:tcPr>
          <w:p w:rsidR="00211AB5" w:rsidRPr="00AA4E84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4E84" w:rsidRPr="00A06425" w:rsidTr="009F36F8">
        <w:tc>
          <w:tcPr>
            <w:tcW w:w="562" w:type="dxa"/>
            <w:shd w:val="clear" w:color="auto" w:fill="auto"/>
          </w:tcPr>
          <w:p w:rsidR="00AA4E84" w:rsidRDefault="00F142EA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AA4E84" w:rsidRPr="00AA4E84" w:rsidRDefault="00F142EA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A4E84" w:rsidRPr="00AA4E84" w:rsidRDefault="00F142EA" w:rsidP="001E0D01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6946" w:type="dxa"/>
            <w:shd w:val="clear" w:color="auto" w:fill="auto"/>
          </w:tcPr>
          <w:p w:rsidR="00F142EA" w:rsidRPr="00F142EA" w:rsidRDefault="00F142EA" w:rsidP="00F142E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 xml:space="preserve">godnie z art. 50 ust. 7 ustawy o finansach publicznych wejście w życie przepisów wykonawczych nie może skutkować zmianą limitu wydatków jednostek sektora finansów publicznych określonego w ustawie,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 xml:space="preserve">na podstawie której wydawane są przepisy wykonawcze. Oznacza to,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 xml:space="preserve">że rozporządzenie nie może generować innych skutków niż przewidziane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>w ustawie, w której zawarto delegacje do wydania tego aktu.</w:t>
            </w:r>
          </w:p>
          <w:p w:rsidR="00F142EA" w:rsidRPr="00F142EA" w:rsidRDefault="00F142EA" w:rsidP="00F142E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42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OSR do ustawy z dnia 9 czerwca 2016 r. o zmianie ustawy o wspieraniu rozwoju usług i sieci telekomunikacyjnych oraz niektórych innych ustaw (Dz. U. z 2016 r. poz. 903) założono, że koszty budowy i utrzymania systemu informatycznego do obsługi PIT w UKE, koszty osobowe oraz utworzenia i wyposażenia stanowisk pracy będą finansowane z Funduszy Europejskich. Ponadto z OSR wynika, że po 2020 r. koszty osobowe </w:t>
            </w:r>
            <w:r w:rsidR="002B3DE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>i związane z zatrudnieniem pracowników oraz dotyczące utrzymania systemu informatycznego poniesione zostaną w ramach części budżetowej 76 – Urząd Komunikacji Elektronicznej bez konieczności zwiększania środków finansowych w tej części.</w:t>
            </w:r>
          </w:p>
          <w:p w:rsidR="00F142EA" w:rsidRPr="00F142EA" w:rsidRDefault="00F142EA" w:rsidP="00F142E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>Wydatki przedstawione w OSR do projektu rozporządzenia nie zostały także przewidziane w OSR do ustawy z dnia 30 sierpnia 2019 r. o zmianie ustawy o wspieraniu usług i sieci telekomunikacyjnych oraz niektórych innych ustaw (Dz.U. z 2019 r. poz. 1815), rozszerzającej zakres inwentaryzacji o informacje o przebiegu światłowodowych i innych niż światłowodowe linii kablowych zapewniających lub umożliwiających zapewnienie szerokopasmowego dostępu do Internetu.</w:t>
            </w:r>
          </w:p>
          <w:p w:rsidR="00173FBA" w:rsidRPr="00AA4E84" w:rsidRDefault="00F142EA" w:rsidP="002B3DE2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>Mając na uwadze przywołane zapisy brak jest podstaw do sygnalizowanego w pkt 6 OSR zwiększenia dotychczasowych limitów wydatkowych w cz. 76 na finansowanie kosztów wynikających z projektowanej regulacji.</w:t>
            </w:r>
          </w:p>
        </w:tc>
        <w:tc>
          <w:tcPr>
            <w:tcW w:w="3544" w:type="dxa"/>
            <w:shd w:val="clear" w:color="auto" w:fill="auto"/>
          </w:tcPr>
          <w:p w:rsidR="00AA4E84" w:rsidRPr="00AA4E84" w:rsidRDefault="00F142EA" w:rsidP="000521D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42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Korekta OSR we wskazanym zakresie.</w:t>
            </w:r>
          </w:p>
        </w:tc>
        <w:tc>
          <w:tcPr>
            <w:tcW w:w="1359" w:type="dxa"/>
          </w:tcPr>
          <w:p w:rsidR="00AA4E84" w:rsidRPr="00AA4E84" w:rsidRDefault="00AA4E8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4E84" w:rsidRPr="00A06425" w:rsidTr="009F36F8">
        <w:tc>
          <w:tcPr>
            <w:tcW w:w="562" w:type="dxa"/>
            <w:shd w:val="clear" w:color="auto" w:fill="auto"/>
          </w:tcPr>
          <w:p w:rsidR="00AA4E84" w:rsidRDefault="00F142EA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AA4E84" w:rsidRPr="00AA4E84" w:rsidRDefault="00F142EA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A4E84" w:rsidRPr="00AA4E84" w:rsidRDefault="00F142EA" w:rsidP="001E0D01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6946" w:type="dxa"/>
            <w:shd w:val="clear" w:color="auto" w:fill="auto"/>
          </w:tcPr>
          <w:p w:rsidR="008954B7" w:rsidRDefault="00F142EA" w:rsidP="00F142E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Zwraca się uwagę, że w</w:t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 xml:space="preserve">aporcie końcowym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KRMC </w:t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 xml:space="preserve">z realizacji projektu informatycznego pn. Budowa Punktu Informacyjnego ds. Telekomunikacji  wynika, że przewidywany roczny koszt utrzymania trwałości projektu (brutto) to ok. 400 000,00 zł, z czego 250 000,00 – to koszty wynagrodzeń oraz ok. 150 000,00 zł na utrzymanie systemu po jego wdrożeniu. </w:t>
            </w:r>
            <w:r w:rsidR="008954B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>Kwoty ujęte w pkt 6 OSR do projektu rozporządzenia odbiegają od tych wartości. Wydatki oszacowano na 900 tys. zł rocznie (300 tys. zł – na wsparcie firmy zewnętrznej, koszty licencji i utrzymania sprzętu oraz koszty usługi gwarancyjnej i 600 tys. zł – na utrzymanie nowych etatów w UKE). Przywołane koszty nie są spójne.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AA4E84" w:rsidRPr="00AA4E84" w:rsidRDefault="00F142EA" w:rsidP="008954B7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</w:t>
            </w:r>
            <w:r w:rsidR="008954B7">
              <w:rPr>
                <w:rFonts w:asciiTheme="minorHAnsi" w:hAnsiTheme="minorHAnsi" w:cstheme="minorHAnsi"/>
                <w:sz w:val="22"/>
                <w:szCs w:val="22"/>
              </w:rPr>
              <w:t xml:space="preserve">podkreślenia wymaga, że </w:t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>dysponent cz. 76 w trakcie prac budżetowych na rok 2023 nie zgł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osił</w:t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 xml:space="preserve"> dodatkowych potrzeb związanych </w:t>
            </w:r>
            <w:r w:rsidR="008954B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>z utrzymaniem Punktu Informacyjnego ds. Telekomunikacji.</w:t>
            </w:r>
          </w:p>
        </w:tc>
        <w:tc>
          <w:tcPr>
            <w:tcW w:w="3544" w:type="dxa"/>
            <w:shd w:val="clear" w:color="auto" w:fill="auto"/>
          </w:tcPr>
          <w:p w:rsidR="00AA4E84" w:rsidRPr="00AA4E84" w:rsidRDefault="00F142EA" w:rsidP="000521D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42EA">
              <w:rPr>
                <w:rFonts w:asciiTheme="minorHAnsi" w:hAnsiTheme="minorHAnsi" w:cstheme="minorHAnsi"/>
                <w:sz w:val="22"/>
                <w:szCs w:val="22"/>
              </w:rPr>
              <w:t>Korekta OSR we wskazanym zakresie.</w:t>
            </w:r>
          </w:p>
        </w:tc>
        <w:tc>
          <w:tcPr>
            <w:tcW w:w="1359" w:type="dxa"/>
          </w:tcPr>
          <w:p w:rsidR="00AA4E84" w:rsidRPr="00AA4E84" w:rsidRDefault="00AA4E8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4E84" w:rsidRPr="00A06425" w:rsidTr="009F36F8">
        <w:tc>
          <w:tcPr>
            <w:tcW w:w="562" w:type="dxa"/>
            <w:shd w:val="clear" w:color="auto" w:fill="auto"/>
          </w:tcPr>
          <w:p w:rsidR="00AA4E84" w:rsidRDefault="00173FBA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AA4E84" w:rsidRPr="00AA4E84" w:rsidRDefault="00173FBA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A4E84" w:rsidRPr="00AA4E84" w:rsidRDefault="008E1838" w:rsidP="001E0D01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</w:t>
            </w:r>
          </w:p>
        </w:tc>
        <w:tc>
          <w:tcPr>
            <w:tcW w:w="6946" w:type="dxa"/>
            <w:shd w:val="clear" w:color="auto" w:fill="auto"/>
          </w:tcPr>
          <w:p w:rsidR="00173FBA" w:rsidRPr="00173FBA" w:rsidRDefault="00173FBA" w:rsidP="00173FB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3FBA">
              <w:rPr>
                <w:rFonts w:asciiTheme="minorHAnsi" w:hAnsiTheme="minorHAnsi" w:cstheme="minorHAnsi"/>
                <w:sz w:val="22"/>
                <w:szCs w:val="22"/>
              </w:rPr>
              <w:t xml:space="preserve">W § 3 projektowanego rozporządzenia wskazano zakres przedmiotowy inwentaryzacji wskazując między innymi na konieczność przekazania </w:t>
            </w:r>
            <w:r w:rsidRPr="00173FB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danych o światłowodowych i innych niż światłowodowe liniach kablowych zapewniających lub umożliwiających zapewnienie szerokopasmowego dostępu do Internetu oraz o komórkach stacji bazowych ruchomych publicznych sieci telekomunikacyjnych. Przepis ten uwzględnia także zmiany technologiczne, jakie nastąpiły na rynku telekomunikacyjnym </w:t>
            </w:r>
            <w:r w:rsidR="006A34FA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3FBA">
              <w:rPr>
                <w:rFonts w:asciiTheme="minorHAnsi" w:hAnsiTheme="minorHAnsi" w:cstheme="minorHAnsi"/>
                <w:sz w:val="22"/>
                <w:szCs w:val="22"/>
              </w:rPr>
              <w:t xml:space="preserve">w ostatnich latach oraz potrzeby Prezesa UKE w zakresie realizowanych przez niego ustawowych zadań. </w:t>
            </w:r>
          </w:p>
          <w:p w:rsidR="00173FBA" w:rsidRPr="00173FBA" w:rsidRDefault="00173FBA" w:rsidP="00173FB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3FBA">
              <w:rPr>
                <w:rFonts w:asciiTheme="minorHAnsi" w:hAnsiTheme="minorHAnsi" w:cstheme="minorHAnsi"/>
                <w:sz w:val="22"/>
                <w:szCs w:val="22"/>
              </w:rPr>
              <w:t xml:space="preserve">Zatem zgodnie z pkt 4 OSR wśród podmiotów, na które oddziałuje projekt wymienione zostały jednostki samorządu terytorialnego, prowadzące działalność w zakresie telekomunikacji, w formie niewyodrębnionej </w:t>
            </w:r>
            <w:r w:rsidR="00231D3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3FBA">
              <w:rPr>
                <w:rFonts w:asciiTheme="minorHAnsi" w:hAnsiTheme="minorHAnsi" w:cstheme="minorHAnsi"/>
                <w:sz w:val="22"/>
                <w:szCs w:val="22"/>
              </w:rPr>
              <w:t>w ramach ich osobowości prawnej oraz jednostki organizacyjne, którym jednostka samorządu terytorialnego powierzyła prowadzenie działalnośc</w:t>
            </w:r>
            <w:r w:rsidR="006A34FA">
              <w:rPr>
                <w:rFonts w:asciiTheme="minorHAnsi" w:hAnsiTheme="minorHAnsi" w:cstheme="minorHAnsi"/>
                <w:sz w:val="22"/>
                <w:szCs w:val="22"/>
              </w:rPr>
              <w:t xml:space="preserve">i w zakresie telekomunikacji - </w:t>
            </w:r>
            <w:r w:rsidRPr="00173FBA">
              <w:rPr>
                <w:rFonts w:asciiTheme="minorHAnsi" w:hAnsiTheme="minorHAnsi" w:cstheme="minorHAnsi"/>
                <w:sz w:val="22"/>
                <w:szCs w:val="22"/>
              </w:rPr>
              <w:t>zobowiązane do przekazywanie informacji określonych projektowanym rozporządzeniem (w znacznie rozszerzonym zakresie do stanu obecnego).</w:t>
            </w:r>
          </w:p>
          <w:p w:rsidR="00173FBA" w:rsidRPr="00173FBA" w:rsidRDefault="00173FBA" w:rsidP="00173FB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3FBA">
              <w:rPr>
                <w:rFonts w:asciiTheme="minorHAnsi" w:hAnsiTheme="minorHAnsi" w:cstheme="minorHAnsi"/>
                <w:sz w:val="22"/>
                <w:szCs w:val="22"/>
              </w:rPr>
              <w:t xml:space="preserve">Jak wynika z uwag MF zgłoszonych na etapie uzgodnień międzyresortowych, wydatki tego rodzaju nie zostały przewidziane w OSR do ustawy z dnia 30 sierpnia 2019 r. o zmianie ustawy o wspieraniu usług </w:t>
            </w:r>
            <w:r w:rsidR="00231D3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3FBA">
              <w:rPr>
                <w:rFonts w:asciiTheme="minorHAnsi" w:hAnsiTheme="minorHAnsi" w:cstheme="minorHAnsi"/>
                <w:sz w:val="22"/>
                <w:szCs w:val="22"/>
              </w:rPr>
              <w:t>i sieci telekomunikacyjnych oraz niektórych innych ustaw (Dz.U. z 2019 poz. 1815), rozszerzającej zakres inwentaryzacji o informacje o przebiegu światłowodowych i innych niż światłowodowe linii kablowych zapewniających lub umożliwiających zapewnienie szerokopasmowego dostępu do Internetu.</w:t>
            </w:r>
          </w:p>
          <w:p w:rsidR="00173FBA" w:rsidRPr="00173FBA" w:rsidRDefault="00173FBA" w:rsidP="00173FB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3FBA">
              <w:rPr>
                <w:rFonts w:asciiTheme="minorHAnsi" w:hAnsiTheme="minorHAnsi" w:cstheme="minorHAnsi"/>
                <w:sz w:val="22"/>
                <w:szCs w:val="22"/>
              </w:rPr>
              <w:t>W związku z tym w OSR – w punkcie 6 Wpływ na sektor finansów publicznych, kwestie dotyczące skutków finansowych wprowadzanych zmian w zakresie jednostek samorządu terytorialnego powinny zostać omówione tj. oszacowane wydatki z tytułu zwiększonego zakresu realizowanych zadań oraz wskazane źródła pokrycia tych wydatków.</w:t>
            </w:r>
          </w:p>
          <w:p w:rsidR="00AA4E84" w:rsidRPr="00AA4E84" w:rsidRDefault="00173FBA" w:rsidP="00173FB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73FBA">
              <w:rPr>
                <w:rFonts w:asciiTheme="minorHAnsi" w:hAnsiTheme="minorHAnsi" w:cstheme="minorHAnsi"/>
                <w:sz w:val="22"/>
                <w:szCs w:val="22"/>
              </w:rPr>
              <w:t xml:space="preserve">Zgodnie bowiem z art. 50 ust. 1 ustawy z dnia 27 sierpnia 2009 r. </w:t>
            </w:r>
            <w:r w:rsidR="00231D3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3FBA">
              <w:rPr>
                <w:rFonts w:asciiTheme="minorHAnsi" w:hAnsiTheme="minorHAnsi" w:cstheme="minorHAnsi"/>
                <w:sz w:val="22"/>
                <w:szCs w:val="22"/>
              </w:rPr>
              <w:t xml:space="preserve">o finansach publicznych, przyjmowane przez Radę Ministrów projekty ustaw oraz akty prawne, których skutkiem finansowym może być zwiększenie wydatków lub zmniejszenie dochodów jednostek sektora finansów publicznych w stosunku do wielkości wynikających </w:t>
            </w:r>
            <w:r w:rsidR="00231D3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bookmarkStart w:id="0" w:name="_GoBack"/>
            <w:bookmarkEnd w:id="0"/>
            <w:r w:rsidRPr="00173FBA">
              <w:rPr>
                <w:rFonts w:asciiTheme="minorHAnsi" w:hAnsiTheme="minorHAnsi" w:cstheme="minorHAnsi"/>
                <w:sz w:val="22"/>
                <w:szCs w:val="22"/>
              </w:rPr>
              <w:t>z obowiązujących przepisów, zawierają w uzasadnieniu określenie wysokości tych skutków oraz wskazanie źródeł ich sfinansowania.</w:t>
            </w:r>
          </w:p>
        </w:tc>
        <w:tc>
          <w:tcPr>
            <w:tcW w:w="3544" w:type="dxa"/>
            <w:shd w:val="clear" w:color="auto" w:fill="auto"/>
          </w:tcPr>
          <w:p w:rsidR="00AA4E84" w:rsidRPr="00AA4E84" w:rsidRDefault="008E1838" w:rsidP="000521D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Uzupełnienie OSR we wskazanym zakresie.</w:t>
            </w:r>
          </w:p>
        </w:tc>
        <w:tc>
          <w:tcPr>
            <w:tcW w:w="1359" w:type="dxa"/>
          </w:tcPr>
          <w:p w:rsidR="00AA4E84" w:rsidRPr="00AA4E84" w:rsidRDefault="00AA4E8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C58AA"/>
    <w:multiLevelType w:val="hybridMultilevel"/>
    <w:tmpl w:val="496AD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46B54"/>
    <w:rsid w:val="000521DA"/>
    <w:rsid w:val="0008402F"/>
    <w:rsid w:val="000869A1"/>
    <w:rsid w:val="000B0113"/>
    <w:rsid w:val="000D764E"/>
    <w:rsid w:val="000E7716"/>
    <w:rsid w:val="00140BE8"/>
    <w:rsid w:val="001434BE"/>
    <w:rsid w:val="00144344"/>
    <w:rsid w:val="00173FBA"/>
    <w:rsid w:val="0019648E"/>
    <w:rsid w:val="001B43AA"/>
    <w:rsid w:val="001E0D01"/>
    <w:rsid w:val="00211AB5"/>
    <w:rsid w:val="00214FBE"/>
    <w:rsid w:val="002247B1"/>
    <w:rsid w:val="00231D3E"/>
    <w:rsid w:val="002475FA"/>
    <w:rsid w:val="00257EDE"/>
    <w:rsid w:val="00267044"/>
    <w:rsid w:val="002715B2"/>
    <w:rsid w:val="002A4FE0"/>
    <w:rsid w:val="002B3DE2"/>
    <w:rsid w:val="002B7D47"/>
    <w:rsid w:val="003124D1"/>
    <w:rsid w:val="00327396"/>
    <w:rsid w:val="003A219C"/>
    <w:rsid w:val="003A6C81"/>
    <w:rsid w:val="003B35E1"/>
    <w:rsid w:val="003B4105"/>
    <w:rsid w:val="0040451C"/>
    <w:rsid w:val="004230F2"/>
    <w:rsid w:val="00425A3B"/>
    <w:rsid w:val="004352FD"/>
    <w:rsid w:val="00463461"/>
    <w:rsid w:val="00467D64"/>
    <w:rsid w:val="00490B78"/>
    <w:rsid w:val="004B6543"/>
    <w:rsid w:val="004C26E3"/>
    <w:rsid w:val="004D086F"/>
    <w:rsid w:val="005213ED"/>
    <w:rsid w:val="005D2745"/>
    <w:rsid w:val="005E2A04"/>
    <w:rsid w:val="005F6527"/>
    <w:rsid w:val="006320E9"/>
    <w:rsid w:val="00653A67"/>
    <w:rsid w:val="00666246"/>
    <w:rsid w:val="006705EC"/>
    <w:rsid w:val="006A1502"/>
    <w:rsid w:val="006A34FA"/>
    <w:rsid w:val="006C6F98"/>
    <w:rsid w:val="006E16E9"/>
    <w:rsid w:val="0071075D"/>
    <w:rsid w:val="00734391"/>
    <w:rsid w:val="00756688"/>
    <w:rsid w:val="00783E4F"/>
    <w:rsid w:val="007914A9"/>
    <w:rsid w:val="007A3233"/>
    <w:rsid w:val="007A762A"/>
    <w:rsid w:val="007B09ED"/>
    <w:rsid w:val="007C3EEB"/>
    <w:rsid w:val="007C7A4F"/>
    <w:rsid w:val="007E266F"/>
    <w:rsid w:val="00807385"/>
    <w:rsid w:val="00832ACC"/>
    <w:rsid w:val="00867EB4"/>
    <w:rsid w:val="008954B7"/>
    <w:rsid w:val="008E1838"/>
    <w:rsid w:val="008F63D4"/>
    <w:rsid w:val="0091357F"/>
    <w:rsid w:val="00944932"/>
    <w:rsid w:val="009A03B1"/>
    <w:rsid w:val="009E5FDB"/>
    <w:rsid w:val="009F36F8"/>
    <w:rsid w:val="00A06425"/>
    <w:rsid w:val="00A43FDE"/>
    <w:rsid w:val="00A45D9B"/>
    <w:rsid w:val="00A54598"/>
    <w:rsid w:val="00A7029E"/>
    <w:rsid w:val="00AA4E84"/>
    <w:rsid w:val="00AC7796"/>
    <w:rsid w:val="00AE7186"/>
    <w:rsid w:val="00B01156"/>
    <w:rsid w:val="00B20306"/>
    <w:rsid w:val="00B41F02"/>
    <w:rsid w:val="00B871B6"/>
    <w:rsid w:val="00BA43BB"/>
    <w:rsid w:val="00BC62E0"/>
    <w:rsid w:val="00C53B5F"/>
    <w:rsid w:val="00C64B1B"/>
    <w:rsid w:val="00CD5EB0"/>
    <w:rsid w:val="00DD1D39"/>
    <w:rsid w:val="00E14C33"/>
    <w:rsid w:val="00E16E5E"/>
    <w:rsid w:val="00E406BA"/>
    <w:rsid w:val="00E50CA7"/>
    <w:rsid w:val="00E740A1"/>
    <w:rsid w:val="00E94A8A"/>
    <w:rsid w:val="00F142EA"/>
    <w:rsid w:val="00F4578F"/>
    <w:rsid w:val="00F83C94"/>
    <w:rsid w:val="00FA1202"/>
    <w:rsid w:val="00FF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A4E84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A4E84"/>
    <w:pPr>
      <w:widowControl w:val="0"/>
      <w:suppressAutoHyphens/>
      <w:spacing w:after="120"/>
    </w:pPr>
    <w:rPr>
      <w:rFonts w:eastAsia="Lato" w:cs="Lato"/>
      <w:szCs w:val="20"/>
    </w:rPr>
  </w:style>
  <w:style w:type="character" w:customStyle="1" w:styleId="TekstpodstawowyZnak1">
    <w:name w:val="Tekst podstawowy Znak1"/>
    <w:basedOn w:val="Domylnaczcionkaakapitu"/>
    <w:rsid w:val="00AA4E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5CBF9-6DBE-4AAE-BC51-F99FD6E08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904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110</cp:revision>
  <dcterms:created xsi:type="dcterms:W3CDTF">2021-10-21T09:05:00Z</dcterms:created>
  <dcterms:modified xsi:type="dcterms:W3CDTF">2022-11-23T08:11:00Z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