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DD" w:rsidRDefault="00BB600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B630DD" w:rsidRDefault="00BB600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B630DD" w:rsidRDefault="00BB600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B630DD" w:rsidRDefault="00B630D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B630DD" w:rsidRDefault="00B630D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B630DD" w:rsidRDefault="00BB6004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B630DD" w:rsidRDefault="00BB6004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III kwartał 2020 roku</w:t>
      </w:r>
    </w:p>
    <w:p w:rsidR="00B630DD" w:rsidRDefault="00BB600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wspólnotowe w ramach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poddziałania 2.3.2 „Cyfrowe udostępnienie zasobów kultury” (69,99%)</w:t>
            </w:r>
          </w:p>
          <w:p w:rsidR="00B630DD" w:rsidRDefault="00BB6004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B630DD" w:rsidRDefault="00BB600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B630DD" w:rsidRDefault="00BB600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B630DD" w:rsidRDefault="00BB600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B630DD" w:rsidRDefault="00B630D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B630DD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30DD" w:rsidRDefault="00BB600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B630DD" w:rsidRDefault="00BB6004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B630DD" w:rsidRDefault="00BB6004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B630DD" w:rsidRDefault="00BB6004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B630D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zaangażowanych</w:t>
            </w:r>
          </w:p>
        </w:tc>
      </w:tr>
      <w:tr w:rsidR="00B630DD">
        <w:tc>
          <w:tcPr>
            <w:tcW w:w="2972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58,33%</w:t>
            </w:r>
          </w:p>
        </w:tc>
        <w:tc>
          <w:tcPr>
            <w:tcW w:w="3260" w:type="dxa"/>
          </w:tcPr>
          <w:p w:rsidR="00B630DD" w:rsidRDefault="00BB6004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30,16%</w:t>
            </w:r>
          </w:p>
          <w:p w:rsidR="00B630DD" w:rsidRDefault="00BB6004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11,70%</w:t>
            </w:r>
          </w:p>
        </w:tc>
        <w:tc>
          <w:tcPr>
            <w:tcW w:w="3402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61,05%</w:t>
            </w:r>
          </w:p>
        </w:tc>
      </w:tr>
    </w:tbl>
    <w:p w:rsidR="00B630DD" w:rsidRDefault="00B630DD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B630DD" w:rsidRDefault="00B630DD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B630DD" w:rsidRDefault="00B630DD"/>
    <w:p w:rsidR="00B630DD" w:rsidRDefault="00BB6004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B630DD" w:rsidRDefault="00BB600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90"/>
        <w:gridCol w:w="1914"/>
        <w:gridCol w:w="2804"/>
      </w:tblGrid>
      <w:tr w:rsidR="00B630DD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B630DD" w:rsidRDefault="00BB60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630DD">
        <w:tc>
          <w:tcPr>
            <w:tcW w:w="2127" w:type="dxa"/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1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1"/>
          </w:p>
        </w:tc>
        <w:tc>
          <w:tcPr>
            <w:tcW w:w="1290" w:type="dxa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4" w:type="dxa"/>
          </w:tcPr>
          <w:p w:rsidR="00B630DD" w:rsidRDefault="00BB600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B630DD" w:rsidRDefault="00BB6004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</w:t>
            </w:r>
            <w:r>
              <w:rPr>
                <w:rFonts w:cs="Arial"/>
                <w:color w:val="000000"/>
                <w:sz w:val="20"/>
                <w:szCs w:val="20"/>
              </w:rPr>
              <w:t>ów (skarga ostatecznie wycofana). W przypadku aparatu konieczne było powtórzenie postępowania z uwagi an brak oferentów. Ostatecznie dla tych części zadania kamień milowy udało się zrealizować 2019-07-25. Nie wpłynęło to na realizację innych zadań oraz nie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stanowi zagrożenia dla pozostałych kamieni milowych.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B6004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B630DD" w:rsidRDefault="00B630DD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Rzeczywista data realizacji 2020-06-17. Realizacja kamienia milowego opóźniona z uwagi na sytuację epidemiologiczną. Kamień milowy (Zakończ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Aktualna data realizacji 2021-06-30.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y jest aneks do umowy.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B6004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2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Wnioskowano o zmianę zakresu projektu i usunięcie zadania </w:t>
            </w:r>
            <w:r>
              <w:rPr>
                <w:rFonts w:cs="Arial"/>
                <w:color w:val="000000"/>
                <w:sz w:val="20"/>
                <w:szCs w:val="20"/>
              </w:rPr>
              <w:t>digitalizacji F-Ppo. Otrzymano zgodę na zmiany, przygotowywany jest aneks do umowy.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</w:t>
            </w:r>
            <w:r>
              <w:rPr>
                <w:rFonts w:cs="Arial"/>
                <w:color w:val="000000"/>
                <w:sz w:val="20"/>
                <w:szCs w:val="20"/>
              </w:rPr>
              <w:t>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</w:rPr>
            </w:pPr>
            <w:bookmarkStart w:id="3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3"/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630D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B630DD" w:rsidRDefault="00BB600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Podpisanie protokołów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B630DD" w:rsidRDefault="00BB600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B60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(wart. Docelowa: 1)</w:t>
            </w:r>
          </w:p>
          <w:p w:rsidR="00B630DD" w:rsidRDefault="00BB600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 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2022-03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B630DD">
        <w:tc>
          <w:tcPr>
            <w:tcW w:w="2127" w:type="dxa"/>
            <w:tcBorders>
              <w:top w:val="nil"/>
            </w:tcBorders>
          </w:tcPr>
          <w:p w:rsidR="00B630DD" w:rsidRDefault="00BB6004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Publikacja materiałów </w:t>
            </w:r>
            <w:r>
              <w:rPr>
                <w:sz w:val="20"/>
                <w:szCs w:val="20"/>
              </w:rPr>
              <w:t>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B630DD" w:rsidRDefault="00B630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2021-04</w:t>
            </w:r>
          </w:p>
        </w:tc>
        <w:tc>
          <w:tcPr>
            <w:tcW w:w="1914" w:type="dxa"/>
            <w:tcBorders>
              <w:top w:val="nil"/>
            </w:tcBorders>
          </w:tcPr>
          <w:p w:rsidR="00B630DD" w:rsidRDefault="00B630D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B630DD" w:rsidRDefault="00BB600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5"/>
        <w:gridCol w:w="1842"/>
        <w:gridCol w:w="1704"/>
        <w:gridCol w:w="2268"/>
      </w:tblGrid>
      <w:tr w:rsidR="00B630D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630DD">
        <w:tc>
          <w:tcPr>
            <w:tcW w:w="2545" w:type="dxa"/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1. Liczba podmiotów, które udostępniły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on-line informacje sektora publicznego [szt.]</w:t>
            </w:r>
          </w:p>
        </w:tc>
        <w:tc>
          <w:tcPr>
            <w:tcW w:w="1275" w:type="dxa"/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4" w:type="dxa"/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7201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3. Liczba udostępnionych on-line dokumentów zawierających informacje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sektora publicznego [szt.]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bookmarkStart w:id="4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4"/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 xml:space="preserve">sektora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publicznego [szt./rok]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48,85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630DD">
        <w:tc>
          <w:tcPr>
            <w:tcW w:w="254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5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4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B630DD" w:rsidRDefault="00BB6004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5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B630D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30DD">
        <w:tc>
          <w:tcPr>
            <w:tcW w:w="2937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5" w:type="dxa"/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B630DD" w:rsidRDefault="00BB6004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B630D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30DD">
        <w:tc>
          <w:tcPr>
            <w:tcW w:w="2937" w:type="dxa"/>
          </w:tcPr>
          <w:p w:rsidR="00B630DD" w:rsidRDefault="00BB6004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B630DD" w:rsidRDefault="00BB6004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B630DD" w:rsidRDefault="00BB600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B630DD" w:rsidRDefault="00BB6004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B630D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B630DD" w:rsidRDefault="00B630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30DD">
        <w:tc>
          <w:tcPr>
            <w:tcW w:w="2547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Portal „Dziedzictwo muzyki polskiej w otwartym dostępie”</w:t>
            </w:r>
          </w:p>
        </w:tc>
        <w:tc>
          <w:tcPr>
            <w:tcW w:w="1700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2022-03</w:t>
            </w:r>
          </w:p>
        </w:tc>
        <w:tc>
          <w:tcPr>
            <w:tcW w:w="1844" w:type="dxa"/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Komplementarny względem projektu „Dziedzictwo Chopinowskie w otwartym dostępie”</w:t>
            </w:r>
          </w:p>
        </w:tc>
      </w:tr>
      <w:tr w:rsidR="00B630DD">
        <w:tc>
          <w:tcPr>
            <w:tcW w:w="2547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API (dla danych portalu)</w:t>
            </w:r>
          </w:p>
        </w:tc>
        <w:tc>
          <w:tcPr>
            <w:tcW w:w="170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2022-03</w:t>
            </w:r>
          </w:p>
        </w:tc>
        <w:tc>
          <w:tcPr>
            <w:tcW w:w="1844" w:type="dxa"/>
            <w:tcBorders>
              <w:top w:val="nil"/>
            </w:tcBorders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B630DD">
        <w:tc>
          <w:tcPr>
            <w:tcW w:w="2547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2022-03</w:t>
            </w:r>
          </w:p>
        </w:tc>
        <w:tc>
          <w:tcPr>
            <w:tcW w:w="1844" w:type="dxa"/>
            <w:tcBorders>
              <w:top w:val="nil"/>
            </w:tcBorders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B630DD">
        <w:tc>
          <w:tcPr>
            <w:tcW w:w="2547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2022-03</w:t>
            </w:r>
          </w:p>
        </w:tc>
        <w:tc>
          <w:tcPr>
            <w:tcW w:w="1844" w:type="dxa"/>
            <w:tcBorders>
              <w:top w:val="nil"/>
            </w:tcBorders>
          </w:tcPr>
          <w:p w:rsidR="00B630DD" w:rsidRDefault="00B630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630DD" w:rsidRDefault="00BB600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Komplementarny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względem projektu „Dziedzictwo Chopinowskie w otwartym dostępie”</w:t>
            </w:r>
          </w:p>
        </w:tc>
      </w:tr>
    </w:tbl>
    <w:p w:rsidR="00B630DD" w:rsidRDefault="00BB600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B630DD" w:rsidRDefault="00BB600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7"/>
        <w:gridCol w:w="1695"/>
        <w:gridCol w:w="2129"/>
        <w:gridCol w:w="2407"/>
      </w:tblGrid>
      <w:tr w:rsidR="00B630DD">
        <w:trPr>
          <w:tblHeader/>
        </w:trPr>
        <w:tc>
          <w:tcPr>
            <w:tcW w:w="3266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9" w:type="dxa"/>
            <w:shd w:val="clear" w:color="auto" w:fill="D0CECE" w:themeFill="background2" w:themeFillShade="E6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7" w:type="dxa"/>
            <w:shd w:val="clear" w:color="auto" w:fill="D0CECE" w:themeFill="background2" w:themeFillShade="E6"/>
            <w:vAlign w:val="center"/>
          </w:tcPr>
          <w:p w:rsidR="00B630DD" w:rsidRDefault="00BB600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630DD">
        <w:tc>
          <w:tcPr>
            <w:tcW w:w="3266" w:type="dxa"/>
            <w:vAlign w:val="center"/>
          </w:tcPr>
          <w:p w:rsidR="00B630DD" w:rsidRDefault="00BB60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Ryzyko </w:t>
            </w:r>
            <w:r>
              <w:rPr>
                <w:rFonts w:cstheme="minorHAnsi"/>
                <w:color w:val="000000"/>
              </w:rPr>
              <w:t>związane z realizacją harmonogramu: digitalizacja</w:t>
            </w:r>
          </w:p>
        </w:tc>
        <w:tc>
          <w:tcPr>
            <w:tcW w:w="1695" w:type="dxa"/>
          </w:tcPr>
          <w:p w:rsidR="00B630DD" w:rsidRDefault="00BB60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9" w:type="dxa"/>
          </w:tcPr>
          <w:p w:rsidR="00B630DD" w:rsidRDefault="00BB60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7" w:type="dxa"/>
          </w:tcPr>
          <w:p w:rsidR="00B630DD" w:rsidRDefault="00BB60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 związku z sytuacja epidemiologiczną wstrzymano w pierwszym kwartale wszystkie prace digitalizacyjne z uwagi na zamknięcie dostępu do zbiorów. W drugim kwartale powrócono do realizacji prac. Ryzyko to wpłynie na termin realizacji zadania 2 "Digitalizacja </w:t>
            </w:r>
            <w:r>
              <w:rPr>
                <w:rFonts w:cstheme="minorHAnsi"/>
              </w:rPr>
              <w:t xml:space="preserve">kolekcji muzykaliów". </w:t>
            </w:r>
            <w:r>
              <w:rPr>
                <w:rFonts w:cstheme="minorHAnsi"/>
                <w:color w:val="000000"/>
              </w:rPr>
              <w:t>Działania zarządcze: wniosek o zmianę terminu realizacji kamienia milowego. Wniosek został zaakceptowany – przygotowywany jest aneks do umowy. Spodziewane efekty: pełna realizacja zadania. W stosunku do poprzedniego okresu sprawozdawc</w:t>
            </w:r>
            <w:r>
              <w:rPr>
                <w:rFonts w:cstheme="minorHAnsi"/>
                <w:color w:val="000000"/>
              </w:rPr>
              <w:t>zego nastąpiła minimalizacja ryzyka.</w:t>
            </w:r>
          </w:p>
        </w:tc>
      </w:tr>
    </w:tbl>
    <w:p w:rsidR="00B630DD" w:rsidRDefault="00BB6004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3"/>
        <w:gridCol w:w="1696"/>
        <w:gridCol w:w="2295"/>
        <w:gridCol w:w="2636"/>
      </w:tblGrid>
      <w:tr w:rsidR="00B630DD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630DD" w:rsidRDefault="00BB600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630DD" w:rsidRDefault="00BB600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630DD" w:rsidRDefault="00BB600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630DD" w:rsidRDefault="00BB600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630DD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0DD" w:rsidRDefault="00BB600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30DD" w:rsidRDefault="00B630D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30DD" w:rsidRDefault="00B630D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30DD" w:rsidRDefault="00B630D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B630DD" w:rsidRDefault="00BB600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B630DD" w:rsidRDefault="00BB600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B630DD" w:rsidRDefault="00BB6004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B630DD" w:rsidRDefault="00BB60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B630DD" w:rsidRDefault="00BB60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B630DD" w:rsidRDefault="00BB60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B630DD" w:rsidRDefault="00BB60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B630DD" w:rsidRDefault="00B630DD">
      <w:pPr>
        <w:spacing w:after="0"/>
        <w:jc w:val="both"/>
        <w:rPr>
          <w:rFonts w:ascii="Arial" w:hAnsi="Arial" w:cs="Arial"/>
        </w:rPr>
      </w:pPr>
    </w:p>
    <w:p w:rsidR="00B630DD" w:rsidRDefault="00BB60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B630DD" w:rsidRDefault="00BB60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B630DD" w:rsidRDefault="00BB60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Tel. 22 44 16 181</w:t>
      </w:r>
    </w:p>
    <w:p w:rsidR="00B630DD" w:rsidRDefault="00BB6004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B630DD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04" w:rsidRDefault="00BB6004">
      <w:pPr>
        <w:spacing w:after="0" w:line="240" w:lineRule="auto"/>
      </w:pPr>
      <w:r>
        <w:separator/>
      </w:r>
    </w:p>
  </w:endnote>
  <w:endnote w:type="continuationSeparator" w:id="0">
    <w:p w:rsidR="00BB6004" w:rsidRDefault="00BB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341197"/>
      <w:docPartObj>
        <w:docPartGallery w:val="Page Numbers (Top of Page)"/>
        <w:docPartUnique/>
      </w:docPartObj>
    </w:sdtPr>
    <w:sdtEndPr/>
    <w:sdtContent>
      <w:p w:rsidR="00B630DD" w:rsidRDefault="00BB6004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35285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B630DD" w:rsidRDefault="00B63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04" w:rsidRDefault="00BB6004">
      <w:pPr>
        <w:rPr>
          <w:sz w:val="12"/>
        </w:rPr>
      </w:pPr>
      <w:r>
        <w:separator/>
      </w:r>
    </w:p>
  </w:footnote>
  <w:footnote w:type="continuationSeparator" w:id="0">
    <w:p w:rsidR="00BB6004" w:rsidRDefault="00BB6004">
      <w:pPr>
        <w:rPr>
          <w:sz w:val="12"/>
        </w:rPr>
      </w:pPr>
      <w:r>
        <w:continuationSeparator/>
      </w:r>
    </w:p>
  </w:footnote>
  <w:footnote w:id="1">
    <w:p w:rsidR="00B630DD" w:rsidRDefault="00BB6004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6331F"/>
    <w:multiLevelType w:val="multilevel"/>
    <w:tmpl w:val="AEEC36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4397C6B"/>
    <w:multiLevelType w:val="multilevel"/>
    <w:tmpl w:val="BB9615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DD"/>
    <w:rsid w:val="00335285"/>
    <w:rsid w:val="00B630DD"/>
    <w:rsid w:val="00BB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7C059-F69B-4006-BF38-36F36464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0E965-67D2-4C61-BDA9-D7CFCEFA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2</cp:revision>
  <dcterms:created xsi:type="dcterms:W3CDTF">2020-11-23T14:31:00Z</dcterms:created>
  <dcterms:modified xsi:type="dcterms:W3CDTF">2020-11-23T14:31:00Z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