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EB786F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295744198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EB786F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.65pt;width:136.8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" filled="f" fillcolor="#bbe0e3" stroked="f">
                <v:textbox inset="0,0,0,0">
                  <w:txbxContent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95744198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EB786F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18 listopada 2020 r.</w:t>
      </w:r>
      <w:bookmarkEnd w:id="0"/>
    </w:p>
    <w:p w:rsidR="003B330C" w:rsidRDefault="00EB786F" w:rsidP="003B330C"/>
    <w:p w:rsidR="003B330C" w:rsidRDefault="00EB786F" w:rsidP="003B330C"/>
    <w:p w:rsidR="003B330C" w:rsidRDefault="00EB786F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EB786F" w:rsidP="003B330C">
      <w:pPr>
        <w:tabs>
          <w:tab w:val="left" w:pos="3735"/>
          <w:tab w:val="left" w:pos="4095"/>
        </w:tabs>
      </w:pPr>
    </w:p>
    <w:p w:rsidR="003B330C" w:rsidRDefault="00EB786F" w:rsidP="003B330C">
      <w:pPr>
        <w:tabs>
          <w:tab w:val="left" w:pos="4095"/>
        </w:tabs>
        <w:rPr>
          <w:rFonts w:ascii="Calibri" w:hAnsi="Calibri"/>
        </w:rPr>
      </w:pPr>
      <w:bookmarkStart w:id="1" w:name="_GoBack"/>
      <w:r>
        <w:rPr>
          <w:rFonts w:ascii="Calibri" w:hAnsi="Calibri"/>
        </w:rPr>
        <w:t xml:space="preserve"> </w:t>
      </w:r>
      <w:r>
        <w:rPr>
          <w:rFonts w:ascii="Calibri" w:hAnsi="Calibri"/>
        </w:rPr>
        <w:t>WNP-I.4131.192</w:t>
      </w:r>
      <w:r>
        <w:rPr>
          <w:rFonts w:ascii="Calibri" w:hAnsi="Calibri"/>
        </w:rPr>
        <w:t>.2020</w:t>
      </w:r>
      <w:r>
        <w:rPr>
          <w:rFonts w:ascii="Calibri" w:hAnsi="Calibri"/>
        </w:rPr>
        <w:t>.MW</w:t>
      </w:r>
    </w:p>
    <w:bookmarkEnd w:id="1"/>
    <w:p w:rsidR="00A41F70" w:rsidRDefault="00EB786F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7C1BD0" w:rsidRPr="00886612" w:rsidRDefault="00EB786F" w:rsidP="007C1BD0">
      <w:pPr>
        <w:pStyle w:val="Teksttreci40"/>
        <w:shd w:val="clear" w:color="auto" w:fill="auto"/>
        <w:ind w:left="5103" w:hanging="283"/>
        <w:rPr>
          <w:color w:val="000000"/>
        </w:rPr>
      </w:pPr>
      <w:r w:rsidRPr="00886612">
        <w:rPr>
          <w:color w:val="000000"/>
        </w:rPr>
        <w:t>Rada Miasta Zielonka</w:t>
      </w:r>
    </w:p>
    <w:p w:rsidR="007C1BD0" w:rsidRPr="00886612" w:rsidRDefault="00EB786F" w:rsidP="007C1BD0">
      <w:pPr>
        <w:pStyle w:val="Teksttreci40"/>
        <w:shd w:val="clear" w:color="auto" w:fill="auto"/>
        <w:ind w:left="5103" w:hanging="283"/>
        <w:rPr>
          <w:rStyle w:val="lrzxr"/>
        </w:rPr>
      </w:pPr>
      <w:r>
        <w:rPr>
          <w:rStyle w:val="lrzxr"/>
        </w:rPr>
        <w:t>ul. Lipowa 5</w:t>
      </w:r>
    </w:p>
    <w:p w:rsidR="007C1BD0" w:rsidRDefault="00EB786F" w:rsidP="007C1BD0">
      <w:pPr>
        <w:pStyle w:val="Teksttreci40"/>
        <w:shd w:val="clear" w:color="auto" w:fill="auto"/>
        <w:ind w:left="5103" w:hanging="283"/>
        <w:rPr>
          <w:color w:val="000000"/>
        </w:rPr>
      </w:pPr>
      <w:r w:rsidRPr="00886612">
        <w:rPr>
          <w:rStyle w:val="lrzxr"/>
        </w:rPr>
        <w:t>05-220 Zielonka</w:t>
      </w:r>
    </w:p>
    <w:p w:rsidR="00A41F70" w:rsidRDefault="00EB786F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5560EE" w:rsidRPr="005560EE" w:rsidRDefault="00EB786F" w:rsidP="005560E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5560EE" w:rsidRPr="005560EE" w:rsidRDefault="00EB786F" w:rsidP="00C17B48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5560EE" w:rsidRPr="005560EE" w:rsidRDefault="00EB786F" w:rsidP="005560E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D7631A" w:rsidRDefault="00EB786F" w:rsidP="005560E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załącznika do </w:t>
      </w: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 Rady Miasta Zielonka Nr XXV/239/20 z dnia 29 października 2</w:t>
      </w:r>
      <w:r>
        <w:rPr>
          <w:rFonts w:asciiTheme="minorHAnsi" w:hAnsiTheme="minorHAnsi" w:cstheme="minorHAnsi"/>
        </w:rPr>
        <w:t xml:space="preserve">020 r. </w:t>
      </w:r>
      <w:r w:rsidRPr="006F77EE">
        <w:rPr>
          <w:rFonts w:asciiTheme="minorHAnsi" w:hAnsiTheme="minorHAnsi" w:cstheme="minorHAnsi"/>
          <w:i/>
        </w:rPr>
        <w:t>w sprawie Regulaminu korzystania z terenu Glinianek, stanowiących część Warszawskiego Obszaru Chronionego Krajobrazu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b/>
        </w:rPr>
        <w:t>w całości.</w:t>
      </w:r>
    </w:p>
    <w:p w:rsidR="00D7631A" w:rsidRDefault="00EB786F" w:rsidP="005560EE">
      <w:pPr>
        <w:spacing w:line="360" w:lineRule="auto"/>
        <w:jc w:val="both"/>
        <w:rPr>
          <w:rFonts w:asciiTheme="minorHAnsi" w:hAnsiTheme="minorHAnsi" w:cstheme="minorHAnsi"/>
        </w:rPr>
      </w:pPr>
    </w:p>
    <w:p w:rsidR="005560EE" w:rsidRPr="00D7631A" w:rsidRDefault="00EB786F" w:rsidP="00D7631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5248A6" w:rsidRDefault="00EB786F" w:rsidP="005560EE">
      <w:pPr>
        <w:spacing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Na sesji, która odbyła się </w:t>
      </w:r>
      <w:r>
        <w:rPr>
          <w:rFonts w:asciiTheme="minorHAnsi" w:hAnsiTheme="minorHAnsi" w:cstheme="minorHAnsi"/>
        </w:rPr>
        <w:t>29</w:t>
      </w:r>
      <w:r w:rsidRPr="005560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października</w:t>
      </w:r>
      <w:r w:rsidRPr="005560EE">
        <w:rPr>
          <w:rFonts w:asciiTheme="minorHAnsi" w:hAnsiTheme="minorHAnsi" w:cstheme="minorHAnsi"/>
        </w:rPr>
        <w:t xml:space="preserve"> 2020 r. Rada Miasta Zielonka podjęła </w:t>
      </w: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Nr </w:t>
      </w:r>
      <w:r>
        <w:rPr>
          <w:rFonts w:asciiTheme="minorHAnsi" w:hAnsiTheme="minorHAnsi" w:cstheme="minorHAnsi"/>
        </w:rPr>
        <w:t xml:space="preserve">XXV/239/20 z dnia 29 października 2020 r. </w:t>
      </w:r>
      <w:r w:rsidRPr="006F77EE">
        <w:rPr>
          <w:rFonts w:asciiTheme="minorHAnsi" w:hAnsiTheme="minorHAnsi" w:cstheme="minorHAnsi"/>
          <w:i/>
        </w:rPr>
        <w:t>w sprawie Regulaminu korzystania z terenu Glinianek, stanowiących część Warszawskiego Obszaru Chronionego Krajobrazu</w:t>
      </w:r>
      <w:r>
        <w:rPr>
          <w:rFonts w:asciiTheme="minorHAnsi" w:hAnsiTheme="minorHAnsi" w:cstheme="minorHAnsi"/>
          <w:i/>
        </w:rPr>
        <w:t>.</w:t>
      </w:r>
    </w:p>
    <w:p w:rsidR="005560EE" w:rsidRPr="005560EE" w:rsidRDefault="00EB786F" w:rsidP="00EC0112">
      <w:pPr>
        <w:spacing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Podstawę prawną </w:t>
      </w:r>
      <w:r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 w:rsidRPr="005560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stanowił </w:t>
      </w:r>
      <w:r w:rsidRPr="005560EE">
        <w:rPr>
          <w:rFonts w:asciiTheme="minorHAnsi" w:hAnsiTheme="minorHAnsi" w:cstheme="minorHAnsi"/>
        </w:rPr>
        <w:t>art. 4</w:t>
      </w:r>
      <w:r>
        <w:rPr>
          <w:rFonts w:asciiTheme="minorHAnsi" w:hAnsiTheme="minorHAnsi" w:cstheme="minorHAnsi"/>
        </w:rPr>
        <w:t>0 ust. 1 i 2 pkt 4</w:t>
      </w:r>
      <w:r w:rsidRPr="005560EE">
        <w:rPr>
          <w:rFonts w:asciiTheme="minorHAnsi" w:hAnsiTheme="minorHAnsi" w:cstheme="minorHAnsi"/>
        </w:rPr>
        <w:t xml:space="preserve"> ustawy z</w:t>
      </w:r>
      <w:r>
        <w:rPr>
          <w:rFonts w:asciiTheme="minorHAnsi" w:hAnsiTheme="minorHAnsi" w:cstheme="minorHAnsi"/>
        </w:rPr>
        <w:t xml:space="preserve"> dnia 8 marca 1990 r. o </w:t>
      </w:r>
      <w:r>
        <w:rPr>
          <w:rFonts w:asciiTheme="minorHAnsi" w:hAnsiTheme="minorHAnsi" w:cstheme="minorHAnsi"/>
        </w:rPr>
        <w:t>samorz</w:t>
      </w:r>
      <w:r>
        <w:rPr>
          <w:rFonts w:asciiTheme="minorHAnsi" w:hAnsiTheme="minorHAnsi" w:cstheme="minorHAnsi"/>
        </w:rPr>
        <w:t>ądzie gminnym (Dz. U. z 2020 r. poz. 713, z późn. zm.), zwanej dalej „u.s.g.”</w:t>
      </w:r>
      <w:r>
        <w:rPr>
          <w:rFonts w:asciiTheme="minorHAnsi" w:hAnsiTheme="minorHAnsi" w:cstheme="minorHAnsi"/>
        </w:rPr>
        <w:t xml:space="preserve">. </w:t>
      </w:r>
    </w:p>
    <w:p w:rsidR="00630342" w:rsidRDefault="00EB786F" w:rsidP="00D45B6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40 ust. 1 u.s.g. </w:t>
      </w:r>
      <w:r w:rsidRPr="00630342">
        <w:rPr>
          <w:rFonts w:asciiTheme="minorHAnsi" w:hAnsiTheme="minorHAnsi" w:cstheme="minorHAnsi"/>
        </w:rPr>
        <w:t xml:space="preserve">gminie </w:t>
      </w:r>
      <w:r>
        <w:rPr>
          <w:rFonts w:asciiTheme="minorHAnsi" w:hAnsiTheme="minorHAnsi" w:cstheme="minorHAnsi"/>
        </w:rPr>
        <w:t>n</w:t>
      </w:r>
      <w:r w:rsidRPr="00630342">
        <w:rPr>
          <w:rFonts w:asciiTheme="minorHAnsi" w:hAnsiTheme="minorHAnsi" w:cstheme="minorHAnsi"/>
        </w:rPr>
        <w:t>a podstawie upoważnień ustawowych przysługuje prawo stanowienia aktów prawa miejscowego obowiązujących na obszarze gminy.</w:t>
      </w:r>
      <w:r>
        <w:rPr>
          <w:rFonts w:asciiTheme="minorHAnsi" w:hAnsiTheme="minorHAnsi" w:cstheme="minorHAnsi"/>
        </w:rPr>
        <w:t xml:space="preserve"> Z kolei zgodni</w:t>
      </w:r>
      <w:r>
        <w:rPr>
          <w:rFonts w:asciiTheme="minorHAnsi" w:hAnsiTheme="minorHAnsi" w:cstheme="minorHAnsi"/>
        </w:rPr>
        <w:t>e z </w:t>
      </w:r>
      <w:r>
        <w:rPr>
          <w:rFonts w:asciiTheme="minorHAnsi" w:hAnsiTheme="minorHAnsi" w:cstheme="minorHAnsi"/>
        </w:rPr>
        <w:t>dyspozycją art. 40 ust. 2 pkt 4 u.s.g. n</w:t>
      </w:r>
      <w:r w:rsidRPr="00630342">
        <w:rPr>
          <w:rFonts w:asciiTheme="minorHAnsi" w:hAnsiTheme="minorHAnsi" w:cstheme="minorHAnsi"/>
        </w:rPr>
        <w:t xml:space="preserve">a podstawie </w:t>
      </w:r>
      <w:r>
        <w:rPr>
          <w:rFonts w:asciiTheme="minorHAnsi" w:hAnsiTheme="minorHAnsi" w:cstheme="minorHAnsi"/>
        </w:rPr>
        <w:t>tejże</w:t>
      </w:r>
      <w:r w:rsidRPr="00630342">
        <w:rPr>
          <w:rFonts w:asciiTheme="minorHAnsi" w:hAnsiTheme="minorHAnsi" w:cstheme="minorHAnsi"/>
        </w:rPr>
        <w:t xml:space="preserve"> ustawy organy gminy mogą wydawać ak</w:t>
      </w:r>
      <w:r>
        <w:rPr>
          <w:rFonts w:asciiTheme="minorHAnsi" w:hAnsiTheme="minorHAnsi" w:cstheme="minorHAnsi"/>
        </w:rPr>
        <w:t>ty prawa miejscowego w zakresie</w:t>
      </w:r>
      <w:r w:rsidRPr="00630342">
        <w:rPr>
          <w:rFonts w:asciiTheme="minorHAnsi" w:hAnsiTheme="minorHAnsi" w:cstheme="minorHAnsi"/>
        </w:rPr>
        <w:t xml:space="preserve"> zasad i trybu korzystania z gminnych obiektów i urządzeń użyteczności publicznej.</w:t>
      </w:r>
      <w:r>
        <w:rPr>
          <w:rFonts w:asciiTheme="minorHAnsi" w:hAnsiTheme="minorHAnsi" w:cstheme="minorHAnsi"/>
        </w:rPr>
        <w:t xml:space="preserve"> </w:t>
      </w:r>
    </w:p>
    <w:p w:rsidR="007F4351" w:rsidRDefault="00EB786F" w:rsidP="00C910A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pkt 1 załącznika do uchwały Rada </w:t>
      </w:r>
      <w:r>
        <w:rPr>
          <w:rFonts w:asciiTheme="minorHAnsi" w:hAnsiTheme="minorHAnsi" w:cstheme="minorHAnsi"/>
        </w:rPr>
        <w:t>ustaliła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na obszarze Glinianek obowiązują następujące</w:t>
      </w:r>
      <w:r>
        <w:rPr>
          <w:rFonts w:asciiTheme="minorHAnsi" w:hAnsiTheme="minorHAnsi" w:cstheme="minorHAnsi"/>
        </w:rPr>
        <w:t xml:space="preserve"> zakaz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: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zaśmiecania terenu oraz zanieczyszczania wody w stawach;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niszczenia, wycinania lub uszkadzania roślinności oraz rozkopywania gruntu;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niszczenia oraz przestawiania koszy, tablic i innych urządzeń;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spożywania napojów alkoholowych poza miejscami wyznaczonymi;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lastRenderedPageBreak/>
        <w:t>przebywania osób w stanie nietrzeźwym i pod wpływem środków odurzających;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pozostawiania palących się przedmiotów oraz palenia ognisk i użytkowania g</w:t>
      </w:r>
      <w:r>
        <w:rPr>
          <w:rFonts w:asciiTheme="minorHAnsi" w:hAnsiTheme="minorHAnsi" w:cstheme="minorHAnsi"/>
          <w:i/>
        </w:rPr>
        <w:t>rilla w miejscach do </w:t>
      </w:r>
      <w:r w:rsidRPr="00C910A6">
        <w:rPr>
          <w:rFonts w:asciiTheme="minorHAnsi" w:hAnsiTheme="minorHAnsi" w:cstheme="minorHAnsi"/>
          <w:i/>
        </w:rPr>
        <w:t>tego nieprzeznaczonych;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je</w:t>
      </w:r>
      <w:r w:rsidRPr="00C910A6">
        <w:rPr>
          <w:rFonts w:asciiTheme="minorHAnsi" w:hAnsiTheme="minorHAnsi" w:cstheme="minorHAnsi"/>
          <w:i/>
        </w:rPr>
        <w:t>żdżenia rowerami w sposób zagrażający bezpieczeństwu innych użytkowników;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hałasowania, a także używania sprzętu nagłaśniającego;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wprowadzania psów bez smyczy i kagańca, oraz pozostawi</w:t>
      </w:r>
      <w:r>
        <w:rPr>
          <w:rFonts w:asciiTheme="minorHAnsi" w:hAnsiTheme="minorHAnsi" w:cstheme="minorHAnsi"/>
          <w:i/>
        </w:rPr>
        <w:t>ania psich odchodów na trawie i </w:t>
      </w:r>
      <w:r w:rsidRPr="00C910A6">
        <w:rPr>
          <w:rFonts w:asciiTheme="minorHAnsi" w:hAnsiTheme="minorHAnsi" w:cstheme="minorHAnsi"/>
          <w:i/>
        </w:rPr>
        <w:t>ścieżkach (psie odchody należy wrzucać do</w:t>
      </w:r>
      <w:r w:rsidRPr="00C910A6">
        <w:rPr>
          <w:rFonts w:asciiTheme="minorHAnsi" w:hAnsiTheme="minorHAnsi" w:cstheme="minorHAnsi"/>
          <w:i/>
        </w:rPr>
        <w:t xml:space="preserve"> koszy);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handlu i usług bez zezwolenia Burmistrza Miasta Zielonka;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wnoszenia i używania materiałów pirotechnicznych, wybuchowych i szkodliwych substancji chemicznych;</w:t>
      </w:r>
    </w:p>
    <w:p w:rsidR="0091452C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 xml:space="preserve">umieszczania bez zgody właściciela obiektu tablic, napisów oraz ogłoszeń; </w:t>
      </w:r>
    </w:p>
    <w:p w:rsidR="00C11FC3" w:rsidRPr="00C11FC3" w:rsidRDefault="00EB786F" w:rsidP="00C11FC3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ł)</w:t>
      </w:r>
      <w:r>
        <w:rPr>
          <w:rFonts w:asciiTheme="minorHAnsi" w:hAnsiTheme="minorHAnsi" w:cstheme="minorHAnsi"/>
          <w:i/>
        </w:rPr>
        <w:tab/>
        <w:t xml:space="preserve">płoszenia, </w:t>
      </w:r>
      <w:r>
        <w:rPr>
          <w:rFonts w:asciiTheme="minorHAnsi" w:hAnsiTheme="minorHAnsi" w:cstheme="minorHAnsi"/>
          <w:i/>
        </w:rPr>
        <w:t>ścigania, chwytania oraz zabijania zwierząt;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wjazdu pojazdami silnikowymi (zakaz nie dotyczy wózków inwalidzkich i pojazdów specjalnych - Straży Pożarnej, Pogotowia Ratunkowego, Policji oraz innych służb ratunkowych, służb miejskich lub innych pojazdów pos</w:t>
      </w:r>
      <w:r w:rsidRPr="00C910A6">
        <w:rPr>
          <w:rFonts w:asciiTheme="minorHAnsi" w:hAnsiTheme="minorHAnsi" w:cstheme="minorHAnsi"/>
          <w:i/>
        </w:rPr>
        <w:t>iadających upoważnienie do wjazdu wydane przez Urząd Miasta Zielonka);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używania jednostek pływających z napędem spalinowym na zbiornikach wodnych Glinianek;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przebywania i połowu ryb na terenie wyspy, będącej ostoją dzikiego ptactwa;</w:t>
      </w:r>
    </w:p>
    <w:p w:rsidR="0091452C" w:rsidRPr="00C910A6" w:rsidRDefault="00EB786F" w:rsidP="00C910A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biwakowania oraz rozbij</w:t>
      </w:r>
      <w:r w:rsidRPr="00C910A6">
        <w:rPr>
          <w:rFonts w:asciiTheme="minorHAnsi" w:hAnsiTheme="minorHAnsi" w:cstheme="minorHAnsi"/>
          <w:i/>
        </w:rPr>
        <w:t>ania namiotów bez zgody właściciela terenu;</w:t>
      </w:r>
    </w:p>
    <w:p w:rsidR="0091452C" w:rsidRPr="00C910A6" w:rsidRDefault="00EB786F" w:rsidP="00C910A6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C910A6">
        <w:rPr>
          <w:rFonts w:asciiTheme="minorHAnsi" w:hAnsiTheme="minorHAnsi" w:cstheme="minorHAnsi"/>
          <w:i/>
        </w:rPr>
        <w:t>r)</w:t>
      </w:r>
      <w:r w:rsidRPr="00C910A6">
        <w:rPr>
          <w:rFonts w:asciiTheme="minorHAnsi" w:hAnsiTheme="minorHAnsi" w:cstheme="minorHAnsi"/>
          <w:i/>
        </w:rPr>
        <w:tab/>
        <w:t>wprowadzania psów i innych zwierząt domowych do wody</w:t>
      </w:r>
      <w:r>
        <w:rPr>
          <w:rFonts w:asciiTheme="minorHAnsi" w:hAnsiTheme="minorHAnsi" w:cstheme="minorHAnsi"/>
          <w:i/>
        </w:rPr>
        <w:t xml:space="preserve"> w miejscach wykorzystywanych w </w:t>
      </w:r>
      <w:r w:rsidRPr="00C910A6">
        <w:rPr>
          <w:rFonts w:asciiTheme="minorHAnsi" w:hAnsiTheme="minorHAnsi" w:cstheme="minorHAnsi"/>
          <w:i/>
        </w:rPr>
        <w:t>sposób zorganizowany lub zwyczajowy do wypoczynku, rekreacji czy tez uprawiania sportów wodnych;</w:t>
      </w:r>
    </w:p>
    <w:p w:rsidR="0091452C" w:rsidRPr="0091452C" w:rsidRDefault="00EB786F" w:rsidP="00C910A6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C910A6">
        <w:rPr>
          <w:rFonts w:asciiTheme="minorHAnsi" w:hAnsiTheme="minorHAnsi" w:cstheme="minorHAnsi"/>
          <w:i/>
        </w:rPr>
        <w:t>s)</w:t>
      </w:r>
      <w:r w:rsidRPr="00C910A6">
        <w:rPr>
          <w:rFonts w:asciiTheme="minorHAnsi" w:hAnsiTheme="minorHAnsi" w:cstheme="minorHAnsi"/>
          <w:i/>
        </w:rPr>
        <w:tab/>
        <w:t>kąpieli higienicznych zwi</w:t>
      </w:r>
      <w:r w:rsidRPr="00C910A6">
        <w:rPr>
          <w:rFonts w:asciiTheme="minorHAnsi" w:hAnsiTheme="minorHAnsi" w:cstheme="minorHAnsi"/>
          <w:i/>
        </w:rPr>
        <w:t xml:space="preserve">erząt z wykorzystaniem szamponów i innych środków kosmetycznych przeznaczonych </w:t>
      </w:r>
      <w:r w:rsidRPr="009D5B20">
        <w:rPr>
          <w:rFonts w:asciiTheme="minorHAnsi" w:hAnsiTheme="minorHAnsi" w:cstheme="minorHAnsi"/>
          <w:i/>
        </w:rPr>
        <w:t>dla zwierząt</w:t>
      </w:r>
      <w:r>
        <w:rPr>
          <w:rFonts w:asciiTheme="minorHAnsi" w:hAnsiTheme="minorHAnsi" w:cstheme="minorHAnsi"/>
        </w:rPr>
        <w:t>”</w:t>
      </w:r>
      <w:r w:rsidRPr="0091452C">
        <w:rPr>
          <w:rFonts w:asciiTheme="minorHAnsi" w:hAnsiTheme="minorHAnsi" w:cstheme="minorHAnsi"/>
        </w:rPr>
        <w:t>.</w:t>
      </w:r>
    </w:p>
    <w:p w:rsidR="00630342" w:rsidRPr="00630342" w:rsidRDefault="00EB786F" w:rsidP="009668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na uwadze </w:t>
      </w:r>
      <w:r>
        <w:rPr>
          <w:rFonts w:asciiTheme="minorHAnsi" w:hAnsiTheme="minorHAnsi" w:cstheme="minorHAnsi"/>
        </w:rPr>
        <w:t>ustalenia Rada zawarte w pkt 2 lit. a – f,</w:t>
      </w:r>
      <w:r>
        <w:rPr>
          <w:rFonts w:asciiTheme="minorHAnsi" w:hAnsiTheme="minorHAnsi" w:cstheme="minorHAnsi"/>
        </w:rPr>
        <w:t xml:space="preserve"> h, i, k, ł, n,</w:t>
      </w:r>
      <w:r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, s</w:t>
      </w:r>
      <w:r>
        <w:rPr>
          <w:rFonts w:asciiTheme="minorHAnsi" w:hAnsiTheme="minorHAnsi" w:cstheme="minorHAnsi"/>
        </w:rPr>
        <w:t xml:space="preserve"> załącznika do uchwały</w:t>
      </w:r>
      <w:r>
        <w:rPr>
          <w:rFonts w:asciiTheme="minorHAnsi" w:hAnsiTheme="minorHAnsi" w:cstheme="minorHAnsi"/>
        </w:rPr>
        <w:t xml:space="preserve">, organ nadzoru stwierdził, że zostały one poczynione z istotnym naruszeniem prawa. </w:t>
      </w:r>
    </w:p>
    <w:p w:rsidR="001C1B2D" w:rsidRPr="00971DDC" w:rsidRDefault="00EB786F" w:rsidP="007E0542">
      <w:pPr>
        <w:spacing w:line="336" w:lineRule="auto"/>
        <w:ind w:firstLine="709"/>
        <w:jc w:val="both"/>
        <w:rPr>
          <w:rFonts w:ascii="Calibri" w:hAnsi="Calibri" w:cs="Calibri"/>
        </w:rPr>
      </w:pPr>
      <w:r w:rsidRPr="008A6E42">
        <w:rPr>
          <w:rFonts w:ascii="Calibri" w:hAnsi="Calibri" w:cs="Calibri"/>
        </w:rPr>
        <w:t xml:space="preserve">Organ nadzoru podziela obostrzenia i zakazy dotyczące kwestii: </w:t>
      </w:r>
      <w:r w:rsidRPr="008A6E42">
        <w:rPr>
          <w:rFonts w:asciiTheme="minorHAnsi" w:hAnsiTheme="minorHAnsi" w:cstheme="minorHAnsi"/>
        </w:rPr>
        <w:t>zaśmiecania terenu oraz zanieczyszczania wody w stawach; niszczenia, wycinania lub uszkadzania roślinności oraz rozkopywania gruntu; niszczenia oraz przestawiania koszy, tablic i innych urządzeń; spożywania napojów alkoholowych poza miejscami wyznaczonymi;</w:t>
      </w:r>
      <w:r w:rsidRPr="008A6E42">
        <w:rPr>
          <w:rFonts w:asciiTheme="minorHAnsi" w:hAnsiTheme="minorHAnsi" w:cstheme="minorHAnsi"/>
        </w:rPr>
        <w:t xml:space="preserve"> przebywania osób w stanie nietrzeźwym i pod wpływem środków odurzających; pozostawiania palących się przedmiotów oraz palenia ognisk i użytkowania grilla w miejscach do tego nieprzeznaczonych; hałasowania, a także używania sprzętu nagłaśniającego; wprowad</w:t>
      </w:r>
      <w:r w:rsidRPr="008A6E42">
        <w:rPr>
          <w:rFonts w:asciiTheme="minorHAnsi" w:hAnsiTheme="minorHAnsi" w:cstheme="minorHAnsi"/>
        </w:rPr>
        <w:t xml:space="preserve">zania psów bez smyczy i kagańca, oraz </w:t>
      </w:r>
      <w:r>
        <w:rPr>
          <w:rFonts w:asciiTheme="minorHAnsi" w:hAnsiTheme="minorHAnsi" w:cstheme="minorHAnsi"/>
        </w:rPr>
        <w:t xml:space="preserve">pozostawiania psich odchodów </w:t>
      </w:r>
      <w:r>
        <w:rPr>
          <w:rFonts w:asciiTheme="minorHAnsi" w:hAnsiTheme="minorHAnsi" w:cstheme="minorHAnsi"/>
        </w:rPr>
        <w:lastRenderedPageBreak/>
        <w:t>na </w:t>
      </w:r>
      <w:r w:rsidRPr="008A6E42">
        <w:rPr>
          <w:rFonts w:asciiTheme="minorHAnsi" w:hAnsiTheme="minorHAnsi" w:cstheme="minorHAnsi"/>
        </w:rPr>
        <w:t>trawie i ścieżkach (psie odchody należy wrzucać do koszy); wnoszenia i używania materiałów pirotechnicznych, wybuchowych i szk</w:t>
      </w:r>
      <w:r>
        <w:rPr>
          <w:rFonts w:asciiTheme="minorHAnsi" w:hAnsiTheme="minorHAnsi" w:cstheme="minorHAnsi"/>
        </w:rPr>
        <w:t>odliwych substancji chemicznych</w:t>
      </w:r>
      <w:r w:rsidRPr="008A6E42">
        <w:rPr>
          <w:rFonts w:asciiTheme="minorHAnsi" w:hAnsiTheme="minorHAnsi" w:cstheme="minorHAnsi"/>
        </w:rPr>
        <w:t xml:space="preserve">; </w:t>
      </w:r>
      <w:r w:rsidRPr="008A6E42">
        <w:rPr>
          <w:rFonts w:asciiTheme="minorHAnsi" w:hAnsiTheme="minorHAnsi" w:cstheme="minorHAnsi"/>
        </w:rPr>
        <w:t>płoszenia, ścigania, chwyta</w:t>
      </w:r>
      <w:r w:rsidRPr="008A6E42">
        <w:rPr>
          <w:rFonts w:asciiTheme="minorHAnsi" w:hAnsiTheme="minorHAnsi" w:cstheme="minorHAnsi"/>
        </w:rPr>
        <w:t>nia oraz zabijania zwierząt;</w:t>
      </w:r>
      <w:r w:rsidRPr="008A6E42">
        <w:rPr>
          <w:rFonts w:asciiTheme="minorHAnsi" w:hAnsiTheme="minorHAnsi" w:cstheme="minorHAnsi"/>
        </w:rPr>
        <w:t xml:space="preserve"> </w:t>
      </w:r>
      <w:r w:rsidRPr="00A83B64">
        <w:rPr>
          <w:rFonts w:asciiTheme="minorHAnsi" w:hAnsiTheme="minorHAnsi" w:cstheme="minorHAnsi"/>
        </w:rPr>
        <w:t>używania jednostek pływ</w:t>
      </w:r>
      <w:r>
        <w:rPr>
          <w:rFonts w:asciiTheme="minorHAnsi" w:hAnsiTheme="minorHAnsi" w:cstheme="minorHAnsi"/>
        </w:rPr>
        <w:t>ających z napędem spalinowym na </w:t>
      </w:r>
      <w:r w:rsidRPr="00A83B64">
        <w:rPr>
          <w:rFonts w:asciiTheme="minorHAnsi" w:hAnsiTheme="minorHAnsi" w:cstheme="minorHAnsi"/>
        </w:rPr>
        <w:t>zbiornikach wodnych Glinianek;</w:t>
      </w:r>
      <w:r w:rsidRPr="008A6E42">
        <w:rPr>
          <w:rFonts w:asciiTheme="minorHAnsi" w:hAnsiTheme="minorHAnsi" w:cstheme="minorHAnsi"/>
          <w:color w:val="FF0000"/>
        </w:rPr>
        <w:t xml:space="preserve"> </w:t>
      </w:r>
      <w:r w:rsidRPr="00A83B64">
        <w:rPr>
          <w:rFonts w:asciiTheme="minorHAnsi" w:hAnsiTheme="minorHAnsi" w:cstheme="minorHAnsi"/>
        </w:rPr>
        <w:t>wprowadzania psów i inn</w:t>
      </w:r>
      <w:r>
        <w:rPr>
          <w:rFonts w:asciiTheme="minorHAnsi" w:hAnsiTheme="minorHAnsi" w:cstheme="minorHAnsi"/>
        </w:rPr>
        <w:t>ych zwierząt domowych do wody w </w:t>
      </w:r>
      <w:r w:rsidRPr="00A83B64">
        <w:rPr>
          <w:rFonts w:asciiTheme="minorHAnsi" w:hAnsiTheme="minorHAnsi" w:cstheme="minorHAnsi"/>
        </w:rPr>
        <w:t>miejscach wykorzystywanych w sposób zorganizowany lub zwyczajowy do wypoczynku, rekrea</w:t>
      </w:r>
      <w:r w:rsidRPr="00A83B64">
        <w:rPr>
          <w:rFonts w:asciiTheme="minorHAnsi" w:hAnsiTheme="minorHAnsi" w:cstheme="minorHAnsi"/>
        </w:rPr>
        <w:t>cji czy</w:t>
      </w:r>
      <w:r>
        <w:rPr>
          <w:rFonts w:asciiTheme="minorHAnsi" w:hAnsiTheme="minorHAnsi" w:cstheme="minorHAnsi"/>
        </w:rPr>
        <w:t xml:space="preserve"> tez uprawiania sportów wodnych; </w:t>
      </w:r>
      <w:r>
        <w:rPr>
          <w:rFonts w:asciiTheme="minorHAnsi" w:hAnsiTheme="minorHAnsi" w:cstheme="minorHAnsi"/>
        </w:rPr>
        <w:t xml:space="preserve">kąpieli higienicznych zwierząt z wykorzystaniem szamponów i innych środków kosmetycznych, </w:t>
      </w:r>
      <w:r w:rsidRPr="00971DDC">
        <w:rPr>
          <w:rFonts w:ascii="Calibri" w:hAnsi="Calibri" w:cs="Calibri"/>
        </w:rPr>
        <w:t xml:space="preserve">jednakże podkreśla, że </w:t>
      </w:r>
      <w:r w:rsidRPr="00460B9B">
        <w:rPr>
          <w:rFonts w:ascii="Calibri" w:hAnsi="Calibri" w:cs="Calibri"/>
          <w:b/>
        </w:rPr>
        <w:t>zarówno obostrzenia, jak i zakazy odnoszące się do powyższych kwestii uregulowane zostały na poziomie u</w:t>
      </w:r>
      <w:r w:rsidRPr="00460B9B">
        <w:rPr>
          <w:rFonts w:ascii="Calibri" w:hAnsi="Calibri" w:cs="Calibri"/>
          <w:b/>
        </w:rPr>
        <w:t>staw lub odrębnych aktów prawa miejscowego</w:t>
      </w:r>
      <w:r w:rsidRPr="00971DDC">
        <w:rPr>
          <w:rFonts w:ascii="Calibri" w:hAnsi="Calibri" w:cs="Calibri"/>
        </w:rPr>
        <w:t>.</w:t>
      </w:r>
    </w:p>
    <w:p w:rsidR="001C1B2D" w:rsidRPr="00DD0BA6" w:rsidRDefault="00EB786F" w:rsidP="001C1B2D">
      <w:pPr>
        <w:spacing w:line="336" w:lineRule="auto"/>
        <w:ind w:firstLine="851"/>
        <w:jc w:val="both"/>
        <w:rPr>
          <w:rFonts w:ascii="Calibri" w:hAnsi="Calibri" w:cs="Calibri"/>
        </w:rPr>
      </w:pPr>
      <w:r w:rsidRPr="00DD0BA6">
        <w:rPr>
          <w:rFonts w:ascii="Calibri" w:hAnsi="Calibri" w:cs="Calibri"/>
        </w:rPr>
        <w:t>Wobec powyższego uznać należy, że Rada, wprowadzając w</w:t>
      </w:r>
      <w:r w:rsidRPr="003D66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pkt 2 lit. a – f, h, i, k, ł, n, r, s </w:t>
      </w:r>
      <w:r>
        <w:rPr>
          <w:rFonts w:asciiTheme="minorHAnsi" w:hAnsiTheme="minorHAnsi" w:cstheme="minorHAnsi"/>
        </w:rPr>
        <w:t>załącznika do uchwały</w:t>
      </w:r>
      <w:r w:rsidRPr="00DD0BA6">
        <w:rPr>
          <w:rFonts w:ascii="Calibri" w:hAnsi="Calibri" w:cs="Calibri"/>
        </w:rPr>
        <w:t xml:space="preserve"> tego rodzaju zakazy, przekroczyła </w:t>
      </w:r>
      <w:r>
        <w:rPr>
          <w:rFonts w:ascii="Calibri" w:hAnsi="Calibri" w:cs="Calibri"/>
        </w:rPr>
        <w:t xml:space="preserve">delegację ustawową i </w:t>
      </w:r>
      <w:r w:rsidRPr="00DD0BA6">
        <w:rPr>
          <w:rFonts w:ascii="Calibri" w:hAnsi="Calibri" w:cs="Calibri"/>
        </w:rPr>
        <w:t>zmodyfikowała wymogi ustaw szczególnych.</w:t>
      </w:r>
    </w:p>
    <w:p w:rsidR="001C1B2D" w:rsidRPr="00DD0BA6" w:rsidRDefault="00EB786F" w:rsidP="001C1B2D">
      <w:pPr>
        <w:spacing w:line="360" w:lineRule="auto"/>
        <w:ind w:firstLine="851"/>
        <w:jc w:val="both"/>
        <w:rPr>
          <w:rFonts w:ascii="Calibri" w:hAnsi="Calibri" w:cs="Calibri"/>
        </w:rPr>
      </w:pPr>
      <w:r w:rsidRPr="00DD0BA6">
        <w:rPr>
          <w:rFonts w:ascii="Calibri" w:hAnsi="Calibri" w:cs="Calibri"/>
        </w:rPr>
        <w:t>Skonkretyzowane zarzuty organ podnosi, jak poniżej, wskazując jednocześnie, które akty, tego rodzaju zakazy i obostrzenia regulują:</w:t>
      </w:r>
    </w:p>
    <w:p w:rsidR="00E836DF" w:rsidRDefault="00EB786F" w:rsidP="00E836DF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Odnosząc się do ustalenia Rady zawartego w pkt 2 lit. a załącznika do uchwały organ nadzoru wskazuje, że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kwestia zaśmiecania</w:t>
      </w:r>
      <w:r>
        <w:rPr>
          <w:rFonts w:ascii="Calibri" w:hAnsi="Calibri" w:cs="Calibri"/>
        </w:rPr>
        <w:t xml:space="preserve"> terenu uregulowana została w </w:t>
      </w:r>
      <w:r w:rsidRPr="00F82005">
        <w:rPr>
          <w:rFonts w:ascii="Calibri" w:hAnsi="Calibri" w:cs="Calibri"/>
        </w:rPr>
        <w:t>ustawie z dnia 20 maja 1971 r. Kodeks wykroczeń (Dz. U. z 2019 r. poz. 821, z późn. zm.), zwanej dalej: „k.w.” oraz w ustawie z dnia 13 września 1996 r. o utrzymaniu czystości i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porządku w gminach (Dz. U. z 2020 r. poz. 150, z</w:t>
      </w:r>
      <w:r w:rsidRPr="00F82005">
        <w:rPr>
          <w:rFonts w:ascii="Calibri" w:hAnsi="Calibri" w:cs="Calibri"/>
        </w:rPr>
        <w:t xml:space="preserve"> późn. zm.).</w:t>
      </w:r>
    </w:p>
    <w:p w:rsidR="00E836DF" w:rsidRPr="00F82005" w:rsidRDefault="00EB786F" w:rsidP="00E836DF">
      <w:pPr>
        <w:spacing w:line="360" w:lineRule="auto"/>
        <w:ind w:firstLine="85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Zgodnie z a</w:t>
      </w:r>
      <w:r w:rsidRPr="00F82005">
        <w:rPr>
          <w:rFonts w:ascii="Calibri" w:hAnsi="Calibri" w:cs="Calibri"/>
        </w:rPr>
        <w:t>rt. 145 k.w. „</w:t>
      </w:r>
      <w:r w:rsidRPr="00F82005">
        <w:rPr>
          <w:rFonts w:ascii="Calibri" w:hAnsi="Calibri" w:cs="Calibri"/>
          <w:i/>
        </w:rPr>
        <w:t>Kto zanieczyszcza lub zaśmieca miejsca dostępne dla publiczności, a w szczególności drogę, ulicę, plac, ogród, trawnik lub zieleniec, podlega karze grzywny do 500 złotych albo karze nagany”.</w:t>
      </w:r>
    </w:p>
    <w:p w:rsidR="00B92FCF" w:rsidRPr="00B92FCF" w:rsidRDefault="00EB786F" w:rsidP="008B24C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kolei kwestia zanieczyszc</w:t>
      </w:r>
      <w:r>
        <w:rPr>
          <w:rFonts w:asciiTheme="minorHAnsi" w:hAnsiTheme="minorHAnsi" w:cstheme="minorHAnsi"/>
        </w:rPr>
        <w:t>zania wody</w:t>
      </w:r>
      <w:r>
        <w:rPr>
          <w:rFonts w:asciiTheme="minorHAnsi" w:hAnsiTheme="minorHAnsi" w:cstheme="minorHAnsi"/>
        </w:rPr>
        <w:t xml:space="preserve"> w kąpielisku</w:t>
      </w:r>
      <w:r>
        <w:rPr>
          <w:rFonts w:asciiTheme="minorHAnsi" w:hAnsiTheme="minorHAnsi" w:cstheme="minorHAnsi"/>
        </w:rPr>
        <w:t>, o której mo</w:t>
      </w:r>
      <w:r>
        <w:rPr>
          <w:rFonts w:asciiTheme="minorHAnsi" w:hAnsiTheme="minorHAnsi" w:cstheme="minorHAnsi"/>
        </w:rPr>
        <w:t>wa w pkt 2 lit. a załącznika do </w:t>
      </w:r>
      <w:r>
        <w:rPr>
          <w:rFonts w:asciiTheme="minorHAnsi" w:hAnsiTheme="minorHAnsi" w:cstheme="minorHAnsi"/>
        </w:rPr>
        <w:t xml:space="preserve">uchwały została uregulowana w </w:t>
      </w:r>
      <w:r>
        <w:rPr>
          <w:rFonts w:asciiTheme="minorHAnsi" w:hAnsiTheme="minorHAnsi" w:cstheme="minorHAnsi"/>
        </w:rPr>
        <w:t xml:space="preserve">art. 109 k.w., a konkretnie w § 3 przywołanego artykułu, zgodnie z którym </w:t>
      </w:r>
      <w:r>
        <w:rPr>
          <w:rFonts w:asciiTheme="minorHAnsi" w:hAnsiTheme="minorHAnsi" w:cstheme="minorHAnsi"/>
        </w:rPr>
        <w:t xml:space="preserve">karze grzywny do 1500 złotych albo karze nagany </w:t>
      </w:r>
      <w:r w:rsidRPr="00B92FCF">
        <w:rPr>
          <w:rFonts w:asciiTheme="minorHAnsi" w:hAnsiTheme="minorHAnsi" w:cstheme="minorHAnsi"/>
        </w:rPr>
        <w:t>podlega</w:t>
      </w:r>
      <w:r>
        <w:rPr>
          <w:rFonts w:asciiTheme="minorHAnsi" w:hAnsiTheme="minorHAnsi" w:cstheme="minorHAnsi"/>
        </w:rPr>
        <w:t xml:space="preserve"> ten</w:t>
      </w:r>
      <w:r w:rsidRPr="00B92FCF">
        <w:rPr>
          <w:rFonts w:asciiTheme="minorHAnsi" w:hAnsiTheme="minorHAnsi" w:cstheme="minorHAnsi"/>
        </w:rPr>
        <w:t xml:space="preserve">, kto umyślnie </w:t>
      </w:r>
      <w:r w:rsidRPr="00B92FCF">
        <w:rPr>
          <w:rFonts w:asciiTheme="minorHAnsi" w:hAnsiTheme="minorHAnsi" w:cstheme="minorHAnsi"/>
        </w:rPr>
        <w:t>zanieczyszcza wodę w pływalni, kąpielisku lub w innym obiekcie o podobnym przeznaczeniu lub dostarcza do tych obiektów wodę niespełniającą wymagań określonych w przepi</w:t>
      </w:r>
      <w:r>
        <w:rPr>
          <w:rFonts w:asciiTheme="minorHAnsi" w:hAnsiTheme="minorHAnsi" w:cstheme="minorHAnsi"/>
        </w:rPr>
        <w:t>sach o zbiorowym zaopatrzeniu w </w:t>
      </w:r>
      <w:r w:rsidRPr="00B92FCF">
        <w:rPr>
          <w:rFonts w:asciiTheme="minorHAnsi" w:hAnsiTheme="minorHAnsi" w:cstheme="minorHAnsi"/>
        </w:rPr>
        <w:t>wodę i zbiorowym odprowadzaniu ścieków.</w:t>
      </w:r>
      <w:r>
        <w:rPr>
          <w:rFonts w:asciiTheme="minorHAnsi" w:hAnsiTheme="minorHAnsi" w:cstheme="minorHAnsi"/>
        </w:rPr>
        <w:t xml:space="preserve"> </w:t>
      </w:r>
    </w:p>
    <w:p w:rsidR="00B92FCF" w:rsidRDefault="00EB786F" w:rsidP="00145D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pkt 2 lit. b z</w:t>
      </w:r>
      <w:r>
        <w:rPr>
          <w:rFonts w:asciiTheme="minorHAnsi" w:hAnsiTheme="minorHAnsi" w:cstheme="minorHAnsi"/>
        </w:rPr>
        <w:t xml:space="preserve">ałącznika do uchwały Rada wprowadziła zakaz </w:t>
      </w:r>
      <w:r>
        <w:rPr>
          <w:rFonts w:asciiTheme="minorHAnsi" w:hAnsiTheme="minorHAnsi" w:cstheme="minorHAnsi"/>
        </w:rPr>
        <w:t>niszczenia, wycinania lub uszkadzania roślinności oraz rozkopywania g</w:t>
      </w:r>
      <w:r>
        <w:rPr>
          <w:rFonts w:asciiTheme="minorHAnsi" w:hAnsiTheme="minorHAnsi" w:cstheme="minorHAnsi"/>
        </w:rPr>
        <w:t>runtu. Wobec tak poczynionych ustaleń organ nadzoru wskazuje, że kwestie zawarte w pkt 2 lit. b załączni</w:t>
      </w:r>
      <w:r>
        <w:rPr>
          <w:rFonts w:asciiTheme="minorHAnsi" w:hAnsiTheme="minorHAnsi" w:cstheme="minorHAnsi"/>
        </w:rPr>
        <w:t xml:space="preserve">ka do uchwały regulują przepisy k.w. </w:t>
      </w:r>
    </w:p>
    <w:p w:rsidR="008F75A6" w:rsidRDefault="00EB786F" w:rsidP="008B24CD">
      <w:pPr>
        <w:spacing w:line="360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B24CD" w:rsidRDefault="00EB786F" w:rsidP="008B24CD">
      <w:pPr>
        <w:spacing w:line="360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Zgodnie zatem z dyspozycją </w:t>
      </w:r>
      <w:r w:rsidRPr="00F82005">
        <w:rPr>
          <w:rFonts w:ascii="Calibri" w:hAnsi="Calibri" w:cs="Calibri"/>
        </w:rPr>
        <w:t xml:space="preserve">art. 144 </w:t>
      </w:r>
      <w:r>
        <w:rPr>
          <w:rFonts w:ascii="Calibri" w:hAnsi="Calibri" w:cs="Calibri"/>
        </w:rPr>
        <w:t>k.w.</w:t>
      </w:r>
      <w:r w:rsidRPr="0081445C">
        <w:rPr>
          <w:rFonts w:ascii="Calibri" w:hAnsi="Calibri" w:cs="Calibri"/>
        </w:rPr>
        <w:t>:</w:t>
      </w:r>
    </w:p>
    <w:p w:rsidR="008B24CD" w:rsidRPr="00F82005" w:rsidRDefault="00EB786F" w:rsidP="008B24CD">
      <w:pPr>
        <w:spacing w:line="360" w:lineRule="auto"/>
        <w:jc w:val="both"/>
        <w:rPr>
          <w:rFonts w:ascii="Calibri" w:hAnsi="Calibri" w:cs="Calibri"/>
          <w:i/>
        </w:rPr>
      </w:pPr>
      <w:r w:rsidRPr="00F82005">
        <w:rPr>
          <w:rFonts w:ascii="Calibri" w:hAnsi="Calibri" w:cs="Calibri"/>
          <w:i/>
        </w:rPr>
        <w:t>„§</w:t>
      </w:r>
      <w:r>
        <w:rPr>
          <w:rFonts w:ascii="Calibri" w:hAnsi="Calibri" w:cs="Calibri"/>
          <w:i/>
        </w:rPr>
        <w:t xml:space="preserve"> </w:t>
      </w:r>
      <w:r w:rsidRPr="00F82005">
        <w:rPr>
          <w:rFonts w:ascii="Calibri" w:hAnsi="Calibri" w:cs="Calibri"/>
          <w:i/>
        </w:rPr>
        <w:t>1. Kto na terenach przeznaczonych do użytku publicznego niszczy lub uszkadza roślinność lub też dopuszcza do niszczenia roślinności przez zwierzęta znajdując</w:t>
      </w:r>
      <w:r>
        <w:rPr>
          <w:rFonts w:ascii="Calibri" w:hAnsi="Calibri" w:cs="Calibri"/>
          <w:i/>
        </w:rPr>
        <w:t>e się pod jego nadzorem albo na </w:t>
      </w:r>
      <w:r w:rsidRPr="00F82005">
        <w:rPr>
          <w:rFonts w:ascii="Calibri" w:hAnsi="Calibri" w:cs="Calibri"/>
          <w:i/>
        </w:rPr>
        <w:t>terenach przeznaczony</w:t>
      </w:r>
      <w:r w:rsidRPr="00F82005">
        <w:rPr>
          <w:rFonts w:ascii="Calibri" w:hAnsi="Calibri" w:cs="Calibri"/>
          <w:i/>
        </w:rPr>
        <w:t>ch do użytku publicznego depcze trawnik lub</w:t>
      </w:r>
      <w:r w:rsidRPr="00F82005"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  <w:i/>
        </w:rPr>
        <w:t>zieleniec w</w:t>
      </w:r>
      <w:r>
        <w:rPr>
          <w:rFonts w:ascii="Calibri" w:hAnsi="Calibri" w:cs="Calibri"/>
          <w:i/>
        </w:rPr>
        <w:t> </w:t>
      </w:r>
      <w:r w:rsidRPr="00F82005">
        <w:rPr>
          <w:rFonts w:ascii="Calibri" w:hAnsi="Calibri" w:cs="Calibri"/>
          <w:i/>
        </w:rPr>
        <w:t xml:space="preserve">miejscach innych niż wyznaczone dla celów rekreacji przez właściwego zarządcę terenu, </w:t>
      </w:r>
    </w:p>
    <w:p w:rsidR="008B24CD" w:rsidRPr="00F82005" w:rsidRDefault="00EB786F" w:rsidP="008B24CD">
      <w:pPr>
        <w:spacing w:line="360" w:lineRule="auto"/>
        <w:jc w:val="both"/>
        <w:rPr>
          <w:rFonts w:ascii="Calibri" w:hAnsi="Calibri" w:cs="Calibri"/>
          <w:i/>
        </w:rPr>
      </w:pPr>
      <w:r w:rsidRPr="00F82005">
        <w:rPr>
          <w:rFonts w:ascii="Calibri" w:hAnsi="Calibri" w:cs="Calibri"/>
          <w:i/>
        </w:rPr>
        <w:t>podlega karze grzywny do 1000 złotych albo karze nagany.</w:t>
      </w:r>
    </w:p>
    <w:p w:rsidR="008B24CD" w:rsidRPr="00F82005" w:rsidRDefault="00EB786F" w:rsidP="008B24CD">
      <w:pPr>
        <w:spacing w:line="360" w:lineRule="auto"/>
        <w:jc w:val="both"/>
        <w:rPr>
          <w:rFonts w:ascii="Calibri" w:hAnsi="Calibri" w:cs="Calibri"/>
        </w:rPr>
      </w:pPr>
      <w:r w:rsidRPr="00F82005">
        <w:rPr>
          <w:rFonts w:ascii="Calibri" w:hAnsi="Calibri" w:cs="Calibri"/>
          <w:i/>
        </w:rPr>
        <w:t>§</w:t>
      </w:r>
      <w:r>
        <w:rPr>
          <w:rFonts w:ascii="Calibri" w:hAnsi="Calibri" w:cs="Calibri"/>
          <w:i/>
        </w:rPr>
        <w:t xml:space="preserve"> </w:t>
      </w:r>
      <w:r w:rsidRPr="00F82005">
        <w:rPr>
          <w:rFonts w:ascii="Calibri" w:hAnsi="Calibri" w:cs="Calibri"/>
          <w:i/>
        </w:rPr>
        <w:t>2.</w:t>
      </w:r>
      <w:r>
        <w:rPr>
          <w:rFonts w:ascii="Calibri" w:hAnsi="Calibri" w:cs="Calibri"/>
          <w:i/>
        </w:rPr>
        <w:t xml:space="preserve"> </w:t>
      </w:r>
      <w:r w:rsidRPr="00F82005">
        <w:rPr>
          <w:rFonts w:ascii="Calibri" w:hAnsi="Calibri" w:cs="Calibri"/>
          <w:i/>
        </w:rPr>
        <w:t xml:space="preserve">Kto usuwa, niszczy lub uszkadza drzewa lub krzewy </w:t>
      </w:r>
      <w:r w:rsidRPr="00F82005">
        <w:rPr>
          <w:rFonts w:ascii="Calibri" w:hAnsi="Calibri" w:cs="Calibri"/>
          <w:i/>
        </w:rPr>
        <w:t>stanowiące zad</w:t>
      </w:r>
      <w:r>
        <w:rPr>
          <w:rFonts w:ascii="Calibri" w:hAnsi="Calibri" w:cs="Calibri"/>
          <w:i/>
        </w:rPr>
        <w:t>rzewienie przydrożne lub </w:t>
      </w:r>
      <w:r w:rsidRPr="00F82005">
        <w:rPr>
          <w:rFonts w:ascii="Calibri" w:hAnsi="Calibri" w:cs="Calibri"/>
          <w:i/>
        </w:rPr>
        <w:t>ochronne albo żywopłot przydrożny, podlega karze aresztu, ograniczenia wolności albo grzywny.</w:t>
      </w:r>
    </w:p>
    <w:p w:rsidR="008B24CD" w:rsidRDefault="00EB786F" w:rsidP="008B24C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82005">
        <w:rPr>
          <w:rFonts w:ascii="Calibri" w:hAnsi="Calibri" w:cs="Calibri"/>
          <w:i/>
        </w:rPr>
        <w:t>§</w:t>
      </w:r>
      <w:r>
        <w:rPr>
          <w:rFonts w:ascii="Calibri" w:hAnsi="Calibri" w:cs="Calibri"/>
          <w:i/>
        </w:rPr>
        <w:t xml:space="preserve"> </w:t>
      </w:r>
      <w:r w:rsidRPr="00F82005">
        <w:rPr>
          <w:rFonts w:ascii="Calibri" w:hAnsi="Calibri" w:cs="Calibri"/>
          <w:i/>
        </w:rPr>
        <w:t>3. W razie popełnienia wykr</w:t>
      </w:r>
      <w:r>
        <w:rPr>
          <w:rFonts w:ascii="Calibri" w:hAnsi="Calibri" w:cs="Calibri"/>
          <w:i/>
        </w:rPr>
        <w:t>oczenia określonego w § </w:t>
      </w:r>
      <w:r>
        <w:rPr>
          <w:rFonts w:ascii="Calibri" w:hAnsi="Calibri" w:cs="Calibri"/>
          <w:i/>
        </w:rPr>
        <w:t>1 lub 2 można orzec nawiązkę do </w:t>
      </w:r>
      <w:r w:rsidRPr="00F82005">
        <w:rPr>
          <w:rFonts w:ascii="Calibri" w:hAnsi="Calibri" w:cs="Calibri"/>
          <w:i/>
        </w:rPr>
        <w:t>wysokości 500 złotych”.</w:t>
      </w:r>
    </w:p>
    <w:p w:rsidR="00231687" w:rsidRDefault="00EB786F" w:rsidP="00D77B1B">
      <w:pPr>
        <w:spacing w:line="360" w:lineRule="auto"/>
        <w:ind w:firstLine="709"/>
        <w:jc w:val="both"/>
        <w:rPr>
          <w:rFonts w:ascii="Calibri" w:hAnsi="Calibri" w:cs="Calibri"/>
          <w:i/>
        </w:rPr>
      </w:pPr>
      <w:r>
        <w:rPr>
          <w:rFonts w:asciiTheme="minorHAnsi" w:hAnsiTheme="minorHAnsi" w:cstheme="minorHAnsi"/>
        </w:rPr>
        <w:t xml:space="preserve">W odniesieniu do ustalenia zawartego w pkt 2 lit. </w:t>
      </w:r>
      <w:r>
        <w:rPr>
          <w:rFonts w:asciiTheme="minorHAnsi" w:hAnsiTheme="minorHAnsi" w:cstheme="minorHAnsi"/>
        </w:rPr>
        <w:t>c załącznika do uchwały organ nadzoru wskazuje, że kwestie zawarte w tym ustaleniu reguluje k.w. Z</w:t>
      </w:r>
      <w:r>
        <w:rPr>
          <w:rFonts w:ascii="Calibri" w:hAnsi="Calibri" w:cs="Calibri"/>
        </w:rPr>
        <w:t xml:space="preserve">godnie z </w:t>
      </w:r>
      <w:r>
        <w:rPr>
          <w:rFonts w:ascii="Calibri" w:hAnsi="Calibri" w:cs="Calibri"/>
        </w:rPr>
        <w:t>dyspozycją</w:t>
      </w:r>
      <w:r w:rsidRPr="00F82005">
        <w:rPr>
          <w:rFonts w:ascii="Calibri" w:hAnsi="Calibri" w:cs="Calibri"/>
        </w:rPr>
        <w:t xml:space="preserve"> art. 124 </w:t>
      </w:r>
      <w:r>
        <w:rPr>
          <w:rFonts w:ascii="Calibri" w:hAnsi="Calibri" w:cs="Calibri"/>
        </w:rPr>
        <w:t xml:space="preserve">§ </w:t>
      </w:r>
      <w:r w:rsidRPr="00F8200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k.w.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„</w:t>
      </w:r>
      <w:r w:rsidRPr="00F82005">
        <w:rPr>
          <w:rFonts w:ascii="Calibri" w:hAnsi="Calibri" w:cs="Calibri"/>
          <w:i/>
        </w:rPr>
        <w:t>Kto cudzą rzecz umyślnie niszczy, uszkadza lub czyni niezdatną do uży</w:t>
      </w:r>
      <w:r w:rsidRPr="00F82005">
        <w:rPr>
          <w:rFonts w:ascii="Calibri" w:hAnsi="Calibri" w:cs="Calibri"/>
          <w:i/>
        </w:rPr>
        <w:t xml:space="preserve">tku, jeżeli szkoda nie przekracza 500 złotych, podlega karze aresztu, ograniczenia wolności albo grzywny”. </w:t>
      </w:r>
    </w:p>
    <w:p w:rsidR="00C023A4" w:rsidRDefault="00EB786F" w:rsidP="0067047C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Mając na uwadze ustalenie Rady zawarte w pkt 2 lit. d załącznika do uchwały, org</w:t>
      </w:r>
      <w:r>
        <w:rPr>
          <w:rFonts w:asciiTheme="minorHAnsi" w:hAnsiTheme="minorHAnsi" w:cstheme="minorHAnsi"/>
        </w:rPr>
        <w:t>an nadzoru wskazuje, że Rada Miasta u</w:t>
      </w:r>
      <w:r>
        <w:rPr>
          <w:rFonts w:ascii="Calibri" w:hAnsi="Calibri" w:cs="Calibri"/>
        </w:rPr>
        <w:t xml:space="preserve">stalając zakaz spożywania </w:t>
      </w:r>
      <w:r>
        <w:rPr>
          <w:rFonts w:ascii="Calibri" w:hAnsi="Calibri" w:cs="Calibri"/>
        </w:rPr>
        <w:t>napoj</w:t>
      </w:r>
      <w:r>
        <w:rPr>
          <w:rFonts w:ascii="Calibri" w:hAnsi="Calibri" w:cs="Calibri"/>
        </w:rPr>
        <w:t>ów alkoholowych</w:t>
      </w:r>
      <w:r>
        <w:rPr>
          <w:rFonts w:ascii="Calibri" w:hAnsi="Calibri" w:cs="Calibri"/>
        </w:rPr>
        <w:t xml:space="preserve"> poza miejscami wyznaczonymi </w:t>
      </w:r>
      <w:r w:rsidRPr="00CC252E">
        <w:rPr>
          <w:rFonts w:ascii="Calibri" w:hAnsi="Calibri" w:cs="Calibri"/>
        </w:rPr>
        <w:t xml:space="preserve">naruszyła art. 14 ust. 6 ustawy </w:t>
      </w:r>
      <w:r>
        <w:rPr>
          <w:rFonts w:ascii="Calibri" w:hAnsi="Calibri" w:cs="Calibri"/>
        </w:rPr>
        <w:t>z dnia 26 </w:t>
      </w:r>
      <w:r w:rsidRPr="00CC252E">
        <w:rPr>
          <w:rFonts w:ascii="Calibri" w:hAnsi="Calibri" w:cs="Calibri"/>
        </w:rPr>
        <w:t>października 1982 r. o wyc</w:t>
      </w:r>
      <w:r>
        <w:rPr>
          <w:rFonts w:ascii="Calibri" w:hAnsi="Calibri" w:cs="Calibri"/>
        </w:rPr>
        <w:t>howaniu w </w:t>
      </w:r>
      <w:r w:rsidRPr="00CC252E">
        <w:rPr>
          <w:rFonts w:ascii="Calibri" w:hAnsi="Calibri" w:cs="Calibri"/>
        </w:rPr>
        <w:t>trzeźwości i</w:t>
      </w:r>
      <w:r>
        <w:rPr>
          <w:rFonts w:ascii="Calibri" w:hAnsi="Calibri" w:cs="Calibri"/>
        </w:rPr>
        <w:t> </w:t>
      </w:r>
      <w:r w:rsidRPr="00CC252E">
        <w:rPr>
          <w:rFonts w:ascii="Calibri" w:hAnsi="Calibri" w:cs="Calibri"/>
        </w:rPr>
        <w:t xml:space="preserve">przeciwdziałaniu alkoholizmowi (Dz. U. z 2019 r. poz. 2277, z późn. zm.). </w:t>
      </w:r>
      <w:r>
        <w:rPr>
          <w:rFonts w:ascii="Calibri" w:hAnsi="Calibri" w:cs="Calibri"/>
        </w:rPr>
        <w:t xml:space="preserve">Przepis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art. 14 ust. </w:t>
      </w:r>
      <w:r w:rsidRPr="00CC252E">
        <w:rPr>
          <w:rFonts w:ascii="Calibri" w:hAnsi="Calibri" w:cs="Calibri"/>
        </w:rPr>
        <w:t>6 tej</w:t>
      </w:r>
      <w:r>
        <w:rPr>
          <w:rFonts w:ascii="Calibri" w:hAnsi="Calibri" w:cs="Calibri"/>
        </w:rPr>
        <w:t>że</w:t>
      </w:r>
      <w:r w:rsidRPr="00CC252E">
        <w:rPr>
          <w:rFonts w:ascii="Calibri" w:hAnsi="Calibri" w:cs="Calibri"/>
        </w:rPr>
        <w:t xml:space="preserve"> ustawy zawiera samodzielną delegację dla rady gminy do wprowadzenia w drodze odrębnej uchwały czasowego lub stałego zakazu sprzedaży, podawania, </w:t>
      </w:r>
      <w:r w:rsidRPr="00BE1F72">
        <w:rPr>
          <w:rFonts w:ascii="Calibri" w:hAnsi="Calibri" w:cs="Calibri"/>
          <w:b/>
        </w:rPr>
        <w:t>spożywania oraz wnoszenia napojów alkoholowych w miejscach, obiektach lub na określonych obszarach gminy, inny</w:t>
      </w:r>
      <w:r w:rsidRPr="00BE1F72">
        <w:rPr>
          <w:rFonts w:ascii="Calibri" w:hAnsi="Calibri" w:cs="Calibri"/>
          <w:b/>
        </w:rPr>
        <w:t>ch niż wymienione w art. 14 ust. 1 i w art. 14 ust. 2a ustawy o wychowaniu w </w:t>
      </w:r>
      <w:r>
        <w:rPr>
          <w:rFonts w:ascii="Calibri" w:hAnsi="Calibri" w:cs="Calibri"/>
          <w:b/>
        </w:rPr>
        <w:t>trzeźwości i </w:t>
      </w:r>
      <w:r w:rsidRPr="00BE1F72">
        <w:rPr>
          <w:rFonts w:ascii="Calibri" w:hAnsi="Calibri" w:cs="Calibri"/>
          <w:b/>
        </w:rPr>
        <w:t>przeciwdziałaniu alkoholizmowi,</w:t>
      </w:r>
      <w:r w:rsidRPr="00CC252E">
        <w:rPr>
          <w:rFonts w:ascii="Calibri" w:hAnsi="Calibri" w:cs="Calibri"/>
        </w:rPr>
        <w:t xml:space="preserve"> ze względu na ich charakter. </w:t>
      </w:r>
      <w:r>
        <w:rPr>
          <w:rFonts w:ascii="Calibri" w:hAnsi="Calibri" w:cs="Calibri"/>
        </w:rPr>
        <w:t xml:space="preserve">Przy czym zgodnie z ustawowym zakazem: </w:t>
      </w:r>
    </w:p>
    <w:p w:rsidR="00C023A4" w:rsidRPr="006A7B3B" w:rsidRDefault="00EB786F" w:rsidP="00C023A4">
      <w:pP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„</w:t>
      </w:r>
      <w:r w:rsidRPr="006A7B3B">
        <w:rPr>
          <w:rFonts w:ascii="Calibri" w:hAnsi="Calibri" w:cs="Calibri"/>
          <w:i/>
        </w:rPr>
        <w:t>1. Zabrania się sprzedaży, podawania i spożywania napojów alkoho</w:t>
      </w:r>
      <w:r w:rsidRPr="006A7B3B">
        <w:rPr>
          <w:rFonts w:ascii="Calibri" w:hAnsi="Calibri" w:cs="Calibri"/>
          <w:i/>
        </w:rPr>
        <w:t>lowych:</w:t>
      </w:r>
    </w:p>
    <w:p w:rsidR="00C023A4" w:rsidRPr="00D838D1" w:rsidRDefault="00EB786F" w:rsidP="00C023A4">
      <w:pPr>
        <w:spacing w:line="360" w:lineRule="auto"/>
        <w:ind w:left="284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1)</w:t>
      </w:r>
      <w:r w:rsidRPr="00D838D1">
        <w:rPr>
          <w:rFonts w:ascii="Calibri" w:hAnsi="Calibri" w:cs="Calibri"/>
          <w:i/>
        </w:rPr>
        <w:tab/>
        <w:t>na terenie szkół oraz innych zakładów i placówek oświatow</w:t>
      </w:r>
      <w:r>
        <w:rPr>
          <w:rFonts w:ascii="Calibri" w:hAnsi="Calibri" w:cs="Calibri"/>
          <w:i/>
        </w:rPr>
        <w:t>o-wychowawczych, opiekuńczych i </w:t>
      </w:r>
      <w:r w:rsidRPr="00D838D1">
        <w:rPr>
          <w:rFonts w:ascii="Calibri" w:hAnsi="Calibri" w:cs="Calibri"/>
          <w:i/>
        </w:rPr>
        <w:t>domów studenckich;</w:t>
      </w:r>
    </w:p>
    <w:p w:rsidR="00C023A4" w:rsidRPr="00D838D1" w:rsidRDefault="00EB786F" w:rsidP="00C023A4">
      <w:pPr>
        <w:spacing w:line="360" w:lineRule="auto"/>
        <w:ind w:left="284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2)</w:t>
      </w:r>
      <w:r w:rsidRPr="00D838D1">
        <w:rPr>
          <w:rFonts w:ascii="Calibri" w:hAnsi="Calibri" w:cs="Calibri"/>
          <w:i/>
        </w:rPr>
        <w:tab/>
        <w:t>na terenie zakładów pracy oraz miejsc zbiorowego żywienia pracowników;</w:t>
      </w:r>
    </w:p>
    <w:p w:rsidR="00C023A4" w:rsidRPr="00D838D1" w:rsidRDefault="00EB786F" w:rsidP="00C023A4">
      <w:pPr>
        <w:spacing w:line="360" w:lineRule="auto"/>
        <w:ind w:left="284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3)</w:t>
      </w:r>
      <w:r w:rsidRPr="00D838D1">
        <w:rPr>
          <w:rFonts w:ascii="Calibri" w:hAnsi="Calibri" w:cs="Calibri"/>
          <w:i/>
        </w:rPr>
        <w:tab/>
        <w:t>w miejscach i czasie masowych zgromadzeń;</w:t>
      </w:r>
    </w:p>
    <w:p w:rsidR="00C023A4" w:rsidRPr="00D838D1" w:rsidRDefault="00EB786F" w:rsidP="00C023A4">
      <w:pPr>
        <w:spacing w:line="360" w:lineRule="auto"/>
        <w:ind w:left="284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4)</w:t>
      </w:r>
      <w:r w:rsidRPr="00D838D1">
        <w:rPr>
          <w:rFonts w:ascii="Calibri" w:hAnsi="Calibri" w:cs="Calibri"/>
          <w:i/>
        </w:rPr>
        <w:tab/>
        <w:t>w środkach i ob</w:t>
      </w:r>
      <w:r w:rsidRPr="00D838D1">
        <w:rPr>
          <w:rFonts w:ascii="Calibri" w:hAnsi="Calibri" w:cs="Calibri"/>
          <w:i/>
        </w:rPr>
        <w:t>iektach transportu publicznego, z wyjątkiem:</w:t>
      </w:r>
    </w:p>
    <w:p w:rsidR="00C023A4" w:rsidRPr="00D838D1" w:rsidRDefault="00EB786F" w:rsidP="00C023A4">
      <w:pPr>
        <w:spacing w:line="360" w:lineRule="auto"/>
        <w:ind w:left="567" w:hanging="283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a)</w:t>
      </w:r>
      <w:r w:rsidRPr="00D838D1">
        <w:rPr>
          <w:rFonts w:ascii="Calibri" w:hAnsi="Calibri" w:cs="Calibri"/>
          <w:i/>
        </w:rPr>
        <w:tab/>
        <w:t>wagonów restauracyjnych i bufetów w pociągach komunikacji krajowej, w których dopuszcza się sprzedaż, podawanie i spożywanie napojów alkoholowych o zawartości do 4,5% alkoholu oraz piwa,</w:t>
      </w:r>
    </w:p>
    <w:p w:rsidR="00C023A4" w:rsidRPr="00D838D1" w:rsidRDefault="00EB786F" w:rsidP="00C023A4">
      <w:pPr>
        <w:spacing w:line="360" w:lineRule="auto"/>
        <w:ind w:left="567" w:hanging="283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lastRenderedPageBreak/>
        <w:t>b)</w:t>
      </w:r>
      <w:r w:rsidRPr="00D838D1">
        <w:rPr>
          <w:rFonts w:ascii="Calibri" w:hAnsi="Calibri" w:cs="Calibri"/>
          <w:i/>
        </w:rPr>
        <w:tab/>
        <w:t>pociągów komunikac</w:t>
      </w:r>
      <w:r w:rsidRPr="00D838D1">
        <w:rPr>
          <w:rFonts w:ascii="Calibri" w:hAnsi="Calibri" w:cs="Calibri"/>
          <w:i/>
        </w:rPr>
        <w:t>ji międzynarodowej, w których dopu</w:t>
      </w:r>
      <w:r>
        <w:rPr>
          <w:rFonts w:ascii="Calibri" w:hAnsi="Calibri" w:cs="Calibri"/>
          <w:i/>
        </w:rPr>
        <w:t>szcza się sprzedaż, podawanie i </w:t>
      </w:r>
      <w:r w:rsidRPr="00D838D1">
        <w:rPr>
          <w:rFonts w:ascii="Calibri" w:hAnsi="Calibri" w:cs="Calibri"/>
          <w:i/>
        </w:rPr>
        <w:t>spożywanie:</w:t>
      </w:r>
    </w:p>
    <w:p w:rsidR="00C023A4" w:rsidRPr="00D838D1" w:rsidRDefault="00EB786F" w:rsidP="00C023A4">
      <w:pPr>
        <w:spacing w:line="360" w:lineRule="auto"/>
        <w:ind w:left="851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–</w:t>
      </w:r>
      <w:r w:rsidRPr="00D838D1">
        <w:rPr>
          <w:rFonts w:ascii="Calibri" w:hAnsi="Calibri" w:cs="Calibri"/>
          <w:i/>
        </w:rPr>
        <w:tab/>
        <w:t>napojów alkoholowych o zawartości do 4,5% alkoholu oraz piwa w wagonach restauracyjnych i bufetach oraz w wagonach sypialnych i z miejscami do leżenia,</w:t>
      </w:r>
    </w:p>
    <w:p w:rsidR="00C023A4" w:rsidRPr="00D838D1" w:rsidRDefault="00EB786F" w:rsidP="00C023A4">
      <w:pPr>
        <w:spacing w:line="360" w:lineRule="auto"/>
        <w:ind w:left="851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–</w:t>
      </w:r>
      <w:r w:rsidRPr="00D838D1">
        <w:rPr>
          <w:rFonts w:ascii="Calibri" w:hAnsi="Calibri" w:cs="Calibri"/>
          <w:i/>
        </w:rPr>
        <w:tab/>
        <w:t>napojów alkoholowych o</w:t>
      </w:r>
      <w:r w:rsidRPr="00D838D1">
        <w:rPr>
          <w:rFonts w:ascii="Calibri" w:hAnsi="Calibri" w:cs="Calibri"/>
          <w:i/>
        </w:rPr>
        <w:t xml:space="preserve"> zawartości powyżej 4,5% alkoholu przy stolikach w wagonach restauracyjnych, w tym napojów o zawartości powyżej 18% alkoholu tylko do posiłków,</w:t>
      </w:r>
    </w:p>
    <w:p w:rsidR="00C023A4" w:rsidRPr="00D838D1" w:rsidRDefault="00EB786F" w:rsidP="00C023A4">
      <w:pPr>
        <w:spacing w:line="360" w:lineRule="auto"/>
        <w:ind w:left="567" w:hanging="283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c)</w:t>
      </w:r>
      <w:r w:rsidRPr="00D838D1">
        <w:rPr>
          <w:rFonts w:ascii="Calibri" w:hAnsi="Calibri" w:cs="Calibri"/>
          <w:i/>
        </w:rPr>
        <w:tab/>
        <w:t>międzynarodowych portów lotniczych i samolotów komunikacji międzynarodowej,</w:t>
      </w:r>
    </w:p>
    <w:p w:rsidR="00C023A4" w:rsidRPr="00D838D1" w:rsidRDefault="00EB786F" w:rsidP="00C023A4">
      <w:pPr>
        <w:spacing w:line="360" w:lineRule="auto"/>
        <w:ind w:left="567" w:hanging="283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d)</w:t>
      </w:r>
      <w:r w:rsidRPr="00D838D1">
        <w:rPr>
          <w:rFonts w:ascii="Calibri" w:hAnsi="Calibri" w:cs="Calibri"/>
          <w:i/>
        </w:rPr>
        <w:tab/>
        <w:t>statków i portów morskich;</w:t>
      </w:r>
    </w:p>
    <w:p w:rsidR="00C023A4" w:rsidRPr="00D838D1" w:rsidRDefault="00EB786F" w:rsidP="00C023A4">
      <w:pPr>
        <w:spacing w:line="360" w:lineRule="auto"/>
        <w:ind w:left="284" w:hanging="284"/>
        <w:jc w:val="both"/>
        <w:rPr>
          <w:rFonts w:ascii="Calibri" w:hAnsi="Calibri" w:cs="Calibri"/>
          <w:i/>
        </w:rPr>
      </w:pPr>
      <w:r w:rsidRPr="00D838D1">
        <w:rPr>
          <w:rFonts w:ascii="Calibri" w:hAnsi="Calibri" w:cs="Calibri"/>
          <w:i/>
        </w:rPr>
        <w:t>6)</w:t>
      </w:r>
      <w:r w:rsidRPr="00D838D1">
        <w:rPr>
          <w:rFonts w:ascii="Calibri" w:hAnsi="Calibri" w:cs="Calibri"/>
          <w:i/>
        </w:rPr>
        <w:tab/>
      </w:r>
      <w:r w:rsidRPr="00D838D1">
        <w:rPr>
          <w:rFonts w:ascii="Calibri" w:hAnsi="Calibri" w:cs="Calibri"/>
          <w:i/>
        </w:rPr>
        <w:t>w obiektach zajmowanych przez organy wojskowe i spraw wewnętrznych, jak również w rejonie obiektów koszarowych i zakwaterowania przejściowego jednostek wojskowych.</w:t>
      </w:r>
    </w:p>
    <w:p w:rsidR="00E26295" w:rsidRPr="00A72C67" w:rsidRDefault="00EB786F" w:rsidP="00C023A4">
      <w:pPr>
        <w:spacing w:line="360" w:lineRule="auto"/>
        <w:jc w:val="both"/>
        <w:rPr>
          <w:rFonts w:asciiTheme="minorHAnsi" w:hAnsiTheme="minorHAnsi" w:cstheme="minorHAnsi"/>
        </w:rPr>
      </w:pPr>
      <w:r w:rsidRPr="00D838D1">
        <w:rPr>
          <w:rFonts w:ascii="Calibri" w:hAnsi="Calibri" w:cs="Calibri"/>
          <w:i/>
        </w:rPr>
        <w:t xml:space="preserve">2a. Zabrania się spożywania napojów alkoholowych w miejscu publicznym, z wyjątkiem miejsc </w:t>
      </w:r>
      <w:r w:rsidRPr="00D838D1">
        <w:rPr>
          <w:rFonts w:ascii="Calibri" w:hAnsi="Calibri" w:cs="Calibri"/>
          <w:i/>
        </w:rPr>
        <w:t>przeznaczonych do ich spożycia na miejscu, w punktach sprzedaży tych napojów”.</w:t>
      </w:r>
    </w:p>
    <w:p w:rsidR="00D77B1B" w:rsidRPr="007A7036" w:rsidRDefault="00EB786F" w:rsidP="007A703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Odnosząc się z kolei do pkt 2 lit. e załącznika do uchwały wskazać należy, że Rada wprowadzając zakaz </w:t>
      </w:r>
      <w:r w:rsidRPr="007A7036">
        <w:rPr>
          <w:rFonts w:asciiTheme="minorHAnsi" w:hAnsiTheme="minorHAnsi" w:cstheme="minorHAnsi"/>
        </w:rPr>
        <w:t xml:space="preserve">przebywania </w:t>
      </w:r>
      <w:r>
        <w:rPr>
          <w:rFonts w:asciiTheme="minorHAnsi" w:hAnsiTheme="minorHAnsi" w:cstheme="minorHAnsi"/>
        </w:rPr>
        <w:t xml:space="preserve">na obszarze Glinianek </w:t>
      </w:r>
      <w:r w:rsidRPr="007A7036">
        <w:rPr>
          <w:rFonts w:asciiTheme="minorHAnsi" w:hAnsiTheme="minorHAnsi" w:cstheme="minorHAnsi"/>
        </w:rPr>
        <w:t>osób w stanie nietrzeźwym i pod wpływem ś</w:t>
      </w:r>
      <w:r w:rsidRPr="007A7036">
        <w:rPr>
          <w:rFonts w:asciiTheme="minorHAnsi" w:hAnsiTheme="minorHAnsi" w:cstheme="minorHAnsi"/>
        </w:rPr>
        <w:t>rodków odurzających</w:t>
      </w:r>
      <w:r>
        <w:rPr>
          <w:rFonts w:asciiTheme="minorHAnsi" w:hAnsiTheme="minorHAnsi" w:cstheme="minorHAnsi"/>
        </w:rPr>
        <w:t xml:space="preserve"> przekroczyła normę kompetencyjn</w:t>
      </w:r>
      <w:r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. </w:t>
      </w:r>
    </w:p>
    <w:p w:rsidR="000A3129" w:rsidRDefault="00EB786F" w:rsidP="00166180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Stosownie </w:t>
      </w:r>
      <w:r>
        <w:rPr>
          <w:rFonts w:ascii="Calibri" w:hAnsi="Calibri" w:cs="Calibri"/>
        </w:rPr>
        <w:t xml:space="preserve">zatem </w:t>
      </w:r>
      <w:r>
        <w:rPr>
          <w:rFonts w:ascii="Calibri" w:hAnsi="Calibri" w:cs="Calibri"/>
        </w:rPr>
        <w:t>do brzmienia art</w:t>
      </w:r>
      <w:r w:rsidRPr="00F82005">
        <w:rPr>
          <w:rFonts w:ascii="Calibri" w:hAnsi="Calibri" w:cs="Calibri"/>
        </w:rPr>
        <w:t>. 51 §</w:t>
      </w:r>
      <w:r>
        <w:rPr>
          <w:rFonts w:ascii="Calibri" w:hAnsi="Calibri" w:cs="Calibri"/>
        </w:rPr>
        <w:t xml:space="preserve"> 1 </w:t>
      </w:r>
      <w:r>
        <w:rPr>
          <w:rFonts w:ascii="Calibri" w:hAnsi="Calibri" w:cs="Calibri"/>
        </w:rPr>
        <w:t>k.w.</w:t>
      </w:r>
      <w:r>
        <w:rPr>
          <w:rFonts w:ascii="Calibri" w:hAnsi="Calibri" w:cs="Calibri"/>
        </w:rPr>
        <w:t xml:space="preserve"> „</w:t>
      </w:r>
      <w:r w:rsidRPr="00AF494A">
        <w:rPr>
          <w:rFonts w:ascii="Calibri" w:hAnsi="Calibri" w:cs="Calibri"/>
          <w:i/>
        </w:rPr>
        <w:t xml:space="preserve">Kto krzykiem, hałasem, alarmem lub innym wybrykiem zakłóca spokój, porządek publiczny, spoczynek nocny albo wywołuje zgorszenie w miejscu publicznym, </w:t>
      </w:r>
      <w:r w:rsidRPr="00AF494A">
        <w:rPr>
          <w:rFonts w:ascii="Calibri" w:hAnsi="Calibri" w:cs="Calibri"/>
          <w:i/>
        </w:rPr>
        <w:t>podlega karze aresztu, ograniczenia wolności albo grzywny</w:t>
      </w:r>
      <w:r>
        <w:rPr>
          <w:rFonts w:ascii="Calibri" w:hAnsi="Calibri" w:cs="Calibri"/>
        </w:rPr>
        <w:t>”</w:t>
      </w:r>
      <w:r w:rsidRPr="00F8200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Ponadto zgodnie z</w:t>
      </w:r>
      <w:r w:rsidRPr="00F82005">
        <w:rPr>
          <w:rFonts w:ascii="Calibri" w:hAnsi="Calibri" w:cs="Calibri"/>
        </w:rPr>
        <w:t xml:space="preserve"> art. 33 ustawy z d</w:t>
      </w:r>
      <w:r>
        <w:rPr>
          <w:rFonts w:ascii="Calibri" w:hAnsi="Calibri" w:cs="Calibri"/>
        </w:rPr>
        <w:t>nia 29 lipca 2005 </w:t>
      </w:r>
      <w:r w:rsidRPr="00F82005">
        <w:rPr>
          <w:rFonts w:ascii="Calibri" w:hAnsi="Calibri" w:cs="Calibri"/>
        </w:rPr>
        <w:t>r. o przeciwdziałaniu narkomanii (Dz. U. z 2019</w:t>
      </w:r>
      <w:r>
        <w:rPr>
          <w:rFonts w:ascii="Calibri" w:hAnsi="Calibri" w:cs="Calibri"/>
        </w:rPr>
        <w:t xml:space="preserve"> r. poz. 852, z późn. zm.)</w:t>
      </w:r>
      <w:r w:rsidRPr="00F82005">
        <w:rPr>
          <w:rFonts w:ascii="Calibri" w:hAnsi="Calibri" w:cs="Calibri"/>
        </w:rPr>
        <w:t xml:space="preserve"> środki odurzające grup l-N i ll-N oraz substancje psychotropowe grup</w:t>
      </w:r>
      <w:r w:rsidRPr="00F82005">
        <w:rPr>
          <w:rFonts w:ascii="Calibri" w:hAnsi="Calibri" w:cs="Calibri"/>
        </w:rPr>
        <w:t xml:space="preserve"> ll-P, lll-P i I</w:t>
      </w:r>
      <w:r>
        <w:rPr>
          <w:rFonts w:ascii="Calibri" w:hAnsi="Calibri" w:cs="Calibri"/>
        </w:rPr>
        <w:t xml:space="preserve">V-P mogą być używane wyłącznie </w:t>
      </w:r>
      <w:r w:rsidRPr="00F82005">
        <w:rPr>
          <w:rFonts w:ascii="Calibri" w:hAnsi="Calibri" w:cs="Calibri"/>
        </w:rPr>
        <w:t>w celach medycznych, przemysłowych lub prowadzenia badań. Substancje psychotropowe grupy l</w:t>
      </w:r>
      <w:r>
        <w:rPr>
          <w:rFonts w:ascii="Calibri" w:hAnsi="Calibri" w:cs="Calibri"/>
        </w:rPr>
        <w:t>-P mogą być używane wyłącznie w </w:t>
      </w:r>
      <w:r w:rsidRPr="00F82005">
        <w:rPr>
          <w:rFonts w:ascii="Calibri" w:hAnsi="Calibri" w:cs="Calibri"/>
        </w:rPr>
        <w:t xml:space="preserve">celu prowadzenia badań, a środki odurzające grupy IV-N wyłącznie </w:t>
      </w:r>
      <w:r>
        <w:rPr>
          <w:rFonts w:ascii="Calibri" w:hAnsi="Calibri" w:cs="Calibri"/>
        </w:rPr>
        <w:t>w celu prowadzenia bad</w:t>
      </w:r>
      <w:r>
        <w:rPr>
          <w:rFonts w:ascii="Calibri" w:hAnsi="Calibri" w:cs="Calibri"/>
        </w:rPr>
        <w:t>ań oraz w </w:t>
      </w:r>
      <w:r w:rsidRPr="00F82005">
        <w:rPr>
          <w:rFonts w:ascii="Calibri" w:hAnsi="Calibri" w:cs="Calibri"/>
        </w:rPr>
        <w:t>lecznictwie zwierząt - w zakresie wsk</w:t>
      </w:r>
      <w:r>
        <w:rPr>
          <w:rFonts w:ascii="Calibri" w:hAnsi="Calibri" w:cs="Calibri"/>
        </w:rPr>
        <w:t>azanym w przepisach wydanych na </w:t>
      </w:r>
      <w:r w:rsidRPr="00F82005">
        <w:rPr>
          <w:rFonts w:ascii="Calibri" w:hAnsi="Calibri" w:cs="Calibri"/>
        </w:rPr>
        <w:t>podstawie art. 44f.</w:t>
      </w:r>
    </w:p>
    <w:p w:rsidR="00166180" w:rsidRDefault="00EB786F" w:rsidP="00656E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Odnosząc się z kolei do wprowadzonego przez Radę zakazu </w:t>
      </w:r>
      <w:r w:rsidRPr="00656E74">
        <w:rPr>
          <w:rFonts w:asciiTheme="minorHAnsi" w:hAnsiTheme="minorHAnsi" w:cstheme="minorHAnsi"/>
        </w:rPr>
        <w:t xml:space="preserve">pozostawiania palących się przedmiotów oraz palenia ognisk i użytkowania grilla w miejscach do tego </w:t>
      </w:r>
      <w:r w:rsidRPr="00656E74">
        <w:rPr>
          <w:rFonts w:asciiTheme="minorHAnsi" w:hAnsiTheme="minorHAnsi" w:cstheme="minorHAnsi"/>
        </w:rPr>
        <w:t>nieprzeznaczonych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(pkt 2 lit. f załącznika do uchwały), organ nadzoru wskazuje, że kwestie objęte wskazanym wyżej ustaleniem reguluje </w:t>
      </w:r>
      <w:r>
        <w:rPr>
          <w:rFonts w:asciiTheme="minorHAnsi" w:hAnsiTheme="minorHAnsi" w:cstheme="minorHAnsi"/>
        </w:rPr>
        <w:t xml:space="preserve">k.w. </w:t>
      </w:r>
    </w:p>
    <w:p w:rsidR="004F3FA1" w:rsidRDefault="00EB786F" w:rsidP="004F3FA1">
      <w:pPr>
        <w:spacing w:line="360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dyspozycją art. 82 § 1 pkt 1 k.w., „</w:t>
      </w:r>
      <w:r w:rsidRPr="004F3FA1">
        <w:rPr>
          <w:rFonts w:ascii="Calibri" w:hAnsi="Calibri" w:cs="Calibri"/>
          <w:i/>
        </w:rPr>
        <w:t>Kto dokonuje czynności, które mogą spowodować pożar, jego rozprzestrz</w:t>
      </w:r>
      <w:r w:rsidRPr="004F3FA1">
        <w:rPr>
          <w:rFonts w:ascii="Calibri" w:hAnsi="Calibri" w:cs="Calibri"/>
          <w:i/>
        </w:rPr>
        <w:t xml:space="preserve">enianie się, utrudnienie prowadzenia działania ratowniczego lub ewakuacji, polegających na niedozwolonym używaniu otwartego ognia, paleniu tytoniu i stosowaniu innych czynników mogących zainicjować zapłon materiałów palnych podlega karze </w:t>
      </w:r>
      <w:r w:rsidRPr="004F3FA1">
        <w:rPr>
          <w:rFonts w:ascii="Calibri" w:hAnsi="Calibri" w:cs="Calibri"/>
          <w:i/>
        </w:rPr>
        <w:lastRenderedPageBreak/>
        <w:t>aresztu, grzywny a</w:t>
      </w:r>
      <w:r w:rsidRPr="004F3FA1">
        <w:rPr>
          <w:rFonts w:ascii="Calibri" w:hAnsi="Calibri" w:cs="Calibri"/>
          <w:i/>
        </w:rPr>
        <w:t>lbo karze nagany</w:t>
      </w:r>
      <w:r>
        <w:rPr>
          <w:rFonts w:ascii="Calibri" w:hAnsi="Calibri" w:cs="Calibri"/>
        </w:rPr>
        <w:t>”</w:t>
      </w:r>
      <w:r w:rsidRPr="0050168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Brak jest zatem delegacji do </w:t>
      </w:r>
      <w:r w:rsidRPr="00F82005">
        <w:rPr>
          <w:rFonts w:ascii="Calibri" w:hAnsi="Calibri" w:cs="Calibri"/>
        </w:rPr>
        <w:t xml:space="preserve">wprowadzenia przez Radę </w:t>
      </w:r>
      <w:r>
        <w:rPr>
          <w:rFonts w:ascii="Calibri" w:hAnsi="Calibri" w:cs="Calibri"/>
        </w:rPr>
        <w:t>Miasta</w:t>
      </w:r>
      <w:r w:rsidRPr="00F82005">
        <w:rPr>
          <w:rFonts w:ascii="Calibri" w:hAnsi="Calibri" w:cs="Calibri"/>
        </w:rPr>
        <w:t xml:space="preserve"> zakazu w tym przedmiocie w formie tejże uchwały. </w:t>
      </w:r>
    </w:p>
    <w:p w:rsidR="00C67799" w:rsidRDefault="00EB786F" w:rsidP="00C33CC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odniesieniu do </w:t>
      </w:r>
      <w:r>
        <w:rPr>
          <w:rFonts w:asciiTheme="minorHAnsi" w:hAnsiTheme="minorHAnsi" w:cstheme="minorHAnsi"/>
        </w:rPr>
        <w:t xml:space="preserve">ustalenia Rady zawartego w pkt 2 lit. h załącznika do uchwały </w:t>
      </w:r>
      <w:r>
        <w:rPr>
          <w:rFonts w:asciiTheme="minorHAnsi" w:hAnsiTheme="minorHAnsi" w:cstheme="minorHAnsi"/>
        </w:rPr>
        <w:t xml:space="preserve">organ nadzoru wskazuje, że kwestie </w:t>
      </w:r>
      <w:r w:rsidRPr="00401CA3">
        <w:rPr>
          <w:rFonts w:asciiTheme="minorHAnsi" w:hAnsiTheme="minorHAnsi" w:cstheme="minorHAnsi"/>
        </w:rPr>
        <w:t xml:space="preserve">hałasowania, </w:t>
      </w:r>
      <w:r w:rsidRPr="00401CA3">
        <w:rPr>
          <w:rFonts w:asciiTheme="minorHAnsi" w:hAnsiTheme="minorHAnsi" w:cstheme="minorHAnsi"/>
        </w:rPr>
        <w:t>używania sprzętu nagłaśniającego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reguluje k.w. </w:t>
      </w:r>
      <w:r>
        <w:rPr>
          <w:rFonts w:ascii="Calibri" w:hAnsi="Calibri" w:cs="Calibri"/>
        </w:rPr>
        <w:t>Stosownie zatem do brzmienia art</w:t>
      </w:r>
      <w:r w:rsidRPr="00F82005">
        <w:rPr>
          <w:rFonts w:ascii="Calibri" w:hAnsi="Calibri" w:cs="Calibri"/>
        </w:rPr>
        <w:t>. 51 §</w:t>
      </w:r>
      <w:r>
        <w:rPr>
          <w:rFonts w:ascii="Calibri" w:hAnsi="Calibri" w:cs="Calibri"/>
        </w:rPr>
        <w:t> 1 k.w. „</w:t>
      </w:r>
      <w:r w:rsidRPr="00AF494A">
        <w:rPr>
          <w:rFonts w:ascii="Calibri" w:hAnsi="Calibri" w:cs="Calibri"/>
          <w:i/>
        </w:rPr>
        <w:t>Kto krzykiem, hałasem, alarmem lub innym wybrykiem zakłóca spokój, porządek publiczny, spoczynek nocny albo wywołuje zgorszenie w miejscu publicznym, podlega karz</w:t>
      </w:r>
      <w:r w:rsidRPr="00AF494A">
        <w:rPr>
          <w:rFonts w:ascii="Calibri" w:hAnsi="Calibri" w:cs="Calibri"/>
          <w:i/>
        </w:rPr>
        <w:t>e aresztu, ograniczenia wolności albo grzywny</w:t>
      </w:r>
      <w:r>
        <w:rPr>
          <w:rFonts w:ascii="Calibri" w:hAnsi="Calibri" w:cs="Calibri"/>
        </w:rPr>
        <w:t xml:space="preserve">”. </w:t>
      </w:r>
    </w:p>
    <w:p w:rsidR="00C67799" w:rsidRDefault="00EB786F" w:rsidP="00185BB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odniesieniu do wprowadzonego w pkt 2 </w:t>
      </w:r>
      <w:r>
        <w:rPr>
          <w:rFonts w:asciiTheme="minorHAnsi" w:hAnsiTheme="minorHAnsi" w:cstheme="minorHAnsi"/>
        </w:rPr>
        <w:t xml:space="preserve">lit. i załącznika do uchwały </w:t>
      </w:r>
      <w:r>
        <w:rPr>
          <w:rFonts w:asciiTheme="minorHAnsi" w:hAnsiTheme="minorHAnsi" w:cstheme="minorHAnsi"/>
        </w:rPr>
        <w:t xml:space="preserve">zakazu organ nadzoru stwierdza, że Rada ustalając zakaz </w:t>
      </w:r>
      <w:r w:rsidRPr="00172642">
        <w:rPr>
          <w:rFonts w:asciiTheme="minorHAnsi" w:hAnsiTheme="minorHAnsi" w:cstheme="minorHAnsi"/>
        </w:rPr>
        <w:t>wprowadzania psów bez smyczy i kagańca, oraz pozostawiania psich odchodów na trawie</w:t>
      </w:r>
      <w:r w:rsidRPr="00172642">
        <w:rPr>
          <w:rFonts w:asciiTheme="minorHAnsi" w:hAnsiTheme="minorHAnsi" w:cstheme="minorHAnsi"/>
        </w:rPr>
        <w:t xml:space="preserve"> i ścieżkach (psie odchody należy wrzucać do koszy)</w:t>
      </w:r>
      <w:r>
        <w:rPr>
          <w:rFonts w:asciiTheme="minorHAnsi" w:hAnsiTheme="minorHAnsi" w:cstheme="minorHAnsi"/>
        </w:rPr>
        <w:t xml:space="preserve"> przekroczyła normę kompetencyjną. </w:t>
      </w:r>
    </w:p>
    <w:p w:rsidR="00AB45D8" w:rsidRPr="00D56DA1" w:rsidRDefault="00EB786F" w:rsidP="0090128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56DA1">
        <w:rPr>
          <w:rFonts w:asciiTheme="minorHAnsi" w:hAnsiTheme="minorHAnsi" w:cstheme="minorHAnsi"/>
        </w:rPr>
        <w:t>Rada poczynając wskazane wyżej ustalenie nie uwzględniła ani kryterium możliwości stosowania kagańca, ani kwestii zdrowotnych.</w:t>
      </w:r>
    </w:p>
    <w:p w:rsidR="00AB45D8" w:rsidRPr="00D56DA1" w:rsidRDefault="00EB786F" w:rsidP="0090128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D56DA1">
        <w:rPr>
          <w:rFonts w:asciiTheme="minorHAnsi" w:hAnsiTheme="minorHAnsi" w:cstheme="minorHAnsi"/>
        </w:rPr>
        <w:t>ktualny pozostaje wyrok Naczelnego Sądu A</w:t>
      </w:r>
      <w:r w:rsidRPr="00D56DA1">
        <w:rPr>
          <w:rFonts w:asciiTheme="minorHAnsi" w:hAnsiTheme="minorHAnsi" w:cstheme="minorHAnsi"/>
        </w:rPr>
        <w:t>dministracyjnego, w którym Sąd w odniesieniu do psów orzekł, że: „</w:t>
      </w:r>
      <w:r w:rsidRPr="000E3950">
        <w:rPr>
          <w:rFonts w:asciiTheme="minorHAnsi" w:hAnsiTheme="minorHAnsi" w:cstheme="minorHAnsi"/>
          <w:i/>
        </w:rPr>
        <w:t>Generalny nakaz wyprowadzania psów na smyczy i w kagańcu, niezależnie od jego cech i innych uwarunkowań (w tym choroby) może zatem w określonych sytuacjach prowadzić do działań niehumanitarn</w:t>
      </w:r>
      <w:r w:rsidRPr="000E3950">
        <w:rPr>
          <w:rFonts w:asciiTheme="minorHAnsi" w:hAnsiTheme="minorHAnsi" w:cstheme="minorHAnsi"/>
          <w:i/>
        </w:rPr>
        <w:t>ych. Ponadto jak wszelkie ograniczenia praw jednostki, także ograniczenia uprawnień właściciela psa bądź nałożenie na niego dodatkowych obowiązków, muszą być wprowadzane z poszanowaniem zasady proporcjonalności. Postanowienia Regulaminu czystości i porządk</w:t>
      </w:r>
      <w:r w:rsidRPr="000E3950">
        <w:rPr>
          <w:rFonts w:asciiTheme="minorHAnsi" w:hAnsiTheme="minorHAnsi" w:cstheme="minorHAnsi"/>
          <w:i/>
        </w:rPr>
        <w:t>u nie pozwalające na uwzględnienie specyficznych sytuacji i tym samym niekiedy nadmierne, w rezultacie prowadzące do sankcji karnych, mogą tę zasadę naruszać, tym bardziej gdy nakazane Regulaminem środki ostrożności przy trzymaniu zwierzęcia mogą być uznan</w:t>
      </w:r>
      <w:r w:rsidRPr="000E3950">
        <w:rPr>
          <w:rFonts w:asciiTheme="minorHAnsi" w:hAnsiTheme="minorHAnsi" w:cstheme="minorHAnsi"/>
          <w:i/>
        </w:rPr>
        <w:t>e za bardziej rygorystyczne niż środki przewidziane ustawami i innymi aktami prawa miejscowego</w:t>
      </w:r>
      <w:r w:rsidRPr="00D56DA1">
        <w:rPr>
          <w:rFonts w:asciiTheme="minorHAnsi" w:hAnsiTheme="minorHAnsi" w:cstheme="minorHAnsi"/>
        </w:rPr>
        <w:t>” (wyrok Naczelnego Sądu Administracyjnego z 13 września 2012 r. sygn. akt II OSK 1492/12).</w:t>
      </w:r>
    </w:p>
    <w:p w:rsidR="00AB45D8" w:rsidRPr="00D56DA1" w:rsidRDefault="00EB786F" w:rsidP="0090128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56DA1">
        <w:rPr>
          <w:rFonts w:asciiTheme="minorHAnsi" w:hAnsiTheme="minorHAnsi" w:cstheme="minorHAnsi"/>
        </w:rPr>
        <w:t xml:space="preserve">Z dyspozycji art. 4 ust. 2 pkt 6 </w:t>
      </w:r>
      <w:r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13 września 1996 r. o u</w:t>
      </w:r>
      <w:r>
        <w:rPr>
          <w:rFonts w:asciiTheme="minorHAnsi" w:hAnsiTheme="minorHAnsi" w:cstheme="minorHAnsi"/>
        </w:rPr>
        <w:t>trzymaniu czystości i porządku w gminach (Dz. U. z 2020 r. poz. 1439, z późn. zm.)</w:t>
      </w:r>
      <w:r>
        <w:rPr>
          <w:rFonts w:asciiTheme="minorHAnsi" w:hAnsiTheme="minorHAnsi" w:cstheme="minorHAnsi"/>
        </w:rPr>
        <w:t>, zwanej dalej u.c.p.g.,</w:t>
      </w:r>
      <w:r w:rsidRPr="00D56DA1">
        <w:rPr>
          <w:rFonts w:asciiTheme="minorHAnsi" w:hAnsiTheme="minorHAnsi" w:cstheme="minorHAnsi"/>
        </w:rPr>
        <w:t xml:space="preserve"> wynika jednoznacznie, że przyznaje on radzie gminy kompetencję do szczegółowego określenia wymagań wobec osób utrzymujących zwierzęta domowe w taki s</w:t>
      </w:r>
      <w:r w:rsidRPr="00D56DA1">
        <w:rPr>
          <w:rFonts w:asciiTheme="minorHAnsi" w:hAnsiTheme="minorHAnsi" w:cstheme="minorHAnsi"/>
        </w:rPr>
        <w:t>posób, aby pobyt tych zwierz</w:t>
      </w:r>
      <w:r>
        <w:rPr>
          <w:rFonts w:asciiTheme="minorHAnsi" w:hAnsiTheme="minorHAnsi" w:cstheme="minorHAnsi"/>
        </w:rPr>
        <w:t>ąt na terenach przeznaczonym do </w:t>
      </w:r>
      <w:r w:rsidRPr="00D56DA1">
        <w:rPr>
          <w:rFonts w:asciiTheme="minorHAnsi" w:hAnsiTheme="minorHAnsi" w:cstheme="minorHAnsi"/>
        </w:rPr>
        <w:t>wspólnego użytku nie był uciążliwy i nie stanowił zagrożenia dla przebywających tam osób oraz nie spowodował zanieczyszczenia tych miejsc. Zadaniem legislacji gminnej wynikającej z upoważnienia z </w:t>
      </w:r>
      <w:r w:rsidRPr="00D56DA1"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</w:rPr>
        <w:t xml:space="preserve"> </w:t>
      </w:r>
      <w:r w:rsidRPr="00D56DA1">
        <w:rPr>
          <w:rFonts w:asciiTheme="minorHAnsi" w:hAnsiTheme="minorHAnsi" w:cstheme="minorHAnsi"/>
        </w:rPr>
        <w:t xml:space="preserve">4 ust. 2 pkt 6 u.c.p.g. jest określenie obowiązków osób utrzymujących zwierzęta domowe, ale nie zakazów generalnych. Upoważnienie to nie obejmuje </w:t>
      </w:r>
      <w:r>
        <w:rPr>
          <w:rFonts w:asciiTheme="minorHAnsi" w:hAnsiTheme="minorHAnsi" w:cstheme="minorHAnsi"/>
        </w:rPr>
        <w:t>kwestii uregulowanej w pkt 2 lit. i</w:t>
      </w:r>
      <w:r w:rsidRPr="00D56DA1">
        <w:rPr>
          <w:rFonts w:asciiTheme="minorHAnsi" w:hAnsiTheme="minorHAnsi" w:cstheme="minorHAnsi"/>
        </w:rPr>
        <w:t xml:space="preserve"> regulaminu.</w:t>
      </w:r>
    </w:p>
    <w:p w:rsidR="002C15D0" w:rsidRDefault="00EB786F" w:rsidP="005D46E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Odnosząc się do zakazu wprowadzonego w pkt 2 lit. </w:t>
      </w:r>
      <w:r>
        <w:rPr>
          <w:rFonts w:asciiTheme="minorHAnsi" w:hAnsiTheme="minorHAnsi" w:cstheme="minorHAnsi"/>
        </w:rPr>
        <w:t>k regul</w:t>
      </w:r>
      <w:r>
        <w:rPr>
          <w:rFonts w:asciiTheme="minorHAnsi" w:hAnsiTheme="minorHAnsi" w:cstheme="minorHAnsi"/>
        </w:rPr>
        <w:t xml:space="preserve">aminu </w:t>
      </w:r>
      <w:r>
        <w:rPr>
          <w:rFonts w:asciiTheme="minorHAnsi" w:hAnsiTheme="minorHAnsi" w:cstheme="minorHAnsi"/>
        </w:rPr>
        <w:t>dotyczącego wnoszenia i </w:t>
      </w:r>
      <w:r w:rsidRPr="00844A61">
        <w:rPr>
          <w:rFonts w:asciiTheme="minorHAnsi" w:hAnsiTheme="minorHAnsi" w:cstheme="minorHAnsi"/>
        </w:rPr>
        <w:t>używania materiałów pirotechnicznych, wybuchowych i szkodliwych substancji chemicznych</w:t>
      </w:r>
      <w:r>
        <w:rPr>
          <w:rFonts w:asciiTheme="minorHAnsi" w:hAnsiTheme="minorHAnsi" w:cstheme="minorHAnsi"/>
        </w:rPr>
        <w:t xml:space="preserve"> organ nadzoru wskazuje, że kwestia objęta tym ustaleniem uregulowana została uregulowana na poziomie aktów rangi ustawowej. </w:t>
      </w:r>
    </w:p>
    <w:p w:rsidR="00844A61" w:rsidRPr="00F82005" w:rsidRDefault="00EB786F" w:rsidP="00844A61">
      <w:pPr>
        <w:spacing w:line="360" w:lineRule="auto"/>
        <w:ind w:firstLine="851"/>
        <w:jc w:val="both"/>
        <w:rPr>
          <w:rFonts w:ascii="Calibri" w:hAnsi="Calibri" w:cs="Calibri"/>
        </w:rPr>
      </w:pPr>
      <w:r w:rsidRPr="00F82005">
        <w:rPr>
          <w:rFonts w:ascii="Calibri" w:hAnsi="Calibri" w:cs="Calibri"/>
        </w:rPr>
        <w:t xml:space="preserve">Kwestie dotyczące posiadania, używania wyrobów pirotechnicznymi reguluje ustawa z dnia 21 czerwca 2002 r. o materiałach wybuchowych przeznaczonych do użytku cywilnego (Dz. U.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z 2020 r. poz. 204</w:t>
      </w:r>
      <w:r w:rsidRPr="00F82005">
        <w:rPr>
          <w:rFonts w:ascii="Calibri" w:hAnsi="Calibri" w:cs="Calibri"/>
        </w:rPr>
        <w:t xml:space="preserve">, z późn. zm.). Zgodnie z art. 9 tejże ustawy, nabywanie oraz </w:t>
      </w:r>
      <w:r w:rsidRPr="00F82005">
        <w:rPr>
          <w:rFonts w:ascii="Calibri" w:hAnsi="Calibri" w:cs="Calibri"/>
        </w:rPr>
        <w:t>przechowywanie materiałów wybuchowych przeznaczonych do użytku cywilnego</w:t>
      </w:r>
      <w:r>
        <w:rPr>
          <w:rFonts w:ascii="Calibri" w:hAnsi="Calibri" w:cs="Calibri"/>
        </w:rPr>
        <w:t xml:space="preserve"> wymaga uzyskania pozwolenia na </w:t>
      </w:r>
      <w:r w:rsidRPr="00F82005">
        <w:rPr>
          <w:rFonts w:ascii="Calibri" w:hAnsi="Calibri" w:cs="Calibri"/>
        </w:rPr>
        <w:t>nabywanie i przechowywanie materiałów wybuchowych przeznaczonych do użytku cywilnego, zwanego dalej pozwoleniem.</w:t>
      </w:r>
      <w:r>
        <w:rPr>
          <w:rFonts w:ascii="Calibri" w:hAnsi="Calibri" w:cs="Calibri"/>
        </w:rPr>
        <w:t xml:space="preserve"> Przepis ust. 2 stanowi, że </w:t>
      </w:r>
      <w:r w:rsidRPr="00F82005">
        <w:rPr>
          <w:rFonts w:ascii="Calibri" w:hAnsi="Calibri" w:cs="Calibri"/>
        </w:rPr>
        <w:t>nie jest wym</w:t>
      </w:r>
      <w:r w:rsidRPr="00F82005">
        <w:rPr>
          <w:rFonts w:ascii="Calibri" w:hAnsi="Calibri" w:cs="Calibri"/>
        </w:rPr>
        <w:t>agane uzyskanie pozwolenia</w:t>
      </w:r>
      <w:r>
        <w:rPr>
          <w:rFonts w:ascii="Calibri" w:hAnsi="Calibri" w:cs="Calibri"/>
        </w:rPr>
        <w:t xml:space="preserve"> na </w:t>
      </w:r>
      <w:r w:rsidRPr="00F82005">
        <w:rPr>
          <w:rFonts w:ascii="Calibri" w:hAnsi="Calibri" w:cs="Calibri"/>
        </w:rPr>
        <w:t xml:space="preserve">nabywanie, przechowywanie lub </w:t>
      </w:r>
      <w:r w:rsidRPr="00BD447B">
        <w:rPr>
          <w:rFonts w:ascii="Calibri" w:hAnsi="Calibri" w:cs="Calibri"/>
        </w:rPr>
        <w:t>używanie wyrobów pirotechnicznych</w:t>
      </w:r>
      <w:r w:rsidRPr="00F82005">
        <w:rPr>
          <w:rFonts w:ascii="Calibri" w:hAnsi="Calibri" w:cs="Calibri"/>
        </w:rPr>
        <w:t xml:space="preserve"> wyraźnie wymienionych w art. 62c ust. 1 pkt 1 lit. a-c, pkt 2 lit. a oraz pkt 3 lit. a tejże ustawy.</w:t>
      </w:r>
    </w:p>
    <w:p w:rsidR="00844A61" w:rsidRPr="00501688" w:rsidRDefault="00EB786F" w:rsidP="00844A61">
      <w:pPr>
        <w:spacing w:line="360" w:lineRule="auto"/>
        <w:ind w:firstLine="851"/>
        <w:jc w:val="both"/>
        <w:rPr>
          <w:rFonts w:ascii="Calibri" w:hAnsi="Calibri" w:cs="Calibri"/>
        </w:rPr>
      </w:pPr>
      <w:r w:rsidRPr="00F82005">
        <w:rPr>
          <w:rFonts w:ascii="Calibri" w:hAnsi="Calibri" w:cs="Calibri"/>
        </w:rPr>
        <w:t>Z kolei kwestie</w:t>
      </w:r>
      <w:r>
        <w:rPr>
          <w:rFonts w:ascii="Calibri" w:hAnsi="Calibri" w:cs="Calibri"/>
        </w:rPr>
        <w:t xml:space="preserve"> związane z używaniem szkodliwych substancji </w:t>
      </w:r>
      <w:r w:rsidRPr="00F82005">
        <w:rPr>
          <w:rFonts w:ascii="Calibri" w:hAnsi="Calibri" w:cs="Calibri"/>
        </w:rPr>
        <w:t>r</w:t>
      </w:r>
      <w:r w:rsidRPr="00F82005">
        <w:rPr>
          <w:rFonts w:ascii="Calibri" w:hAnsi="Calibri" w:cs="Calibri"/>
        </w:rPr>
        <w:t>eguluje ustawa z dnia 25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lutego 2011 r. substancjach chemicznych i ich mies</w:t>
      </w:r>
      <w:r>
        <w:rPr>
          <w:rFonts w:ascii="Calibri" w:hAnsi="Calibri" w:cs="Calibri"/>
        </w:rPr>
        <w:t>zaninach (Dz. U. z </w:t>
      </w:r>
      <w:r w:rsidRPr="00F82005">
        <w:rPr>
          <w:rFonts w:ascii="Calibri" w:hAnsi="Calibri" w:cs="Calibri"/>
        </w:rPr>
        <w:t>2019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r. poz.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1225</w:t>
      </w:r>
      <w:r>
        <w:rPr>
          <w:rFonts w:ascii="Calibri" w:hAnsi="Calibri" w:cs="Calibri"/>
        </w:rPr>
        <w:t xml:space="preserve">, z późn. zm.). Przywołana wyżej ustawa </w:t>
      </w:r>
      <w:r w:rsidRPr="00501688">
        <w:rPr>
          <w:rFonts w:ascii="Calibri" w:hAnsi="Calibri" w:cs="Calibri"/>
        </w:rPr>
        <w:t>reguluje warunki lub zakazy produkcji, wprowad</w:t>
      </w:r>
      <w:r>
        <w:rPr>
          <w:rFonts w:ascii="Calibri" w:hAnsi="Calibri" w:cs="Calibri"/>
        </w:rPr>
        <w:t>zania do obrotu lub </w:t>
      </w:r>
      <w:r w:rsidRPr="00501688">
        <w:rPr>
          <w:rFonts w:ascii="Calibri" w:hAnsi="Calibri" w:cs="Calibri"/>
        </w:rPr>
        <w:t>stosowania substancji chemicznych, zwan</w:t>
      </w:r>
      <w:r w:rsidRPr="00501688">
        <w:rPr>
          <w:rFonts w:ascii="Calibri" w:hAnsi="Calibri" w:cs="Calibri"/>
        </w:rPr>
        <w:t>ych dalej „substancjami”, w ich postaci własnej, jako składników mieszanin lub w wyrobach, w</w:t>
      </w:r>
      <w:r>
        <w:rPr>
          <w:rFonts w:ascii="Calibri" w:hAnsi="Calibri" w:cs="Calibri"/>
        </w:rPr>
        <w:t> zakresie nieuregulowanym w </w:t>
      </w:r>
      <w:r>
        <w:rPr>
          <w:rFonts w:ascii="Calibri" w:hAnsi="Calibri" w:cs="Calibri"/>
        </w:rPr>
        <w:t>przepisach rozporządzeń, o </w:t>
      </w:r>
      <w:r w:rsidRPr="00501688">
        <w:rPr>
          <w:rFonts w:ascii="Calibri" w:hAnsi="Calibri" w:cs="Calibri"/>
        </w:rPr>
        <w:t>których mowa w ust. 1.</w:t>
      </w:r>
    </w:p>
    <w:p w:rsidR="00844A61" w:rsidRDefault="00EB786F" w:rsidP="004552E7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Wobec powyższego uznać należy, że wprowadzenie zakazu </w:t>
      </w:r>
      <w:r>
        <w:rPr>
          <w:rFonts w:ascii="Calibri" w:hAnsi="Calibri" w:cs="Calibri"/>
        </w:rPr>
        <w:t xml:space="preserve">w pkt 2 lit. k regulaminu </w:t>
      </w:r>
      <w:r>
        <w:rPr>
          <w:rFonts w:ascii="Calibri" w:hAnsi="Calibri" w:cs="Calibri"/>
        </w:rPr>
        <w:t>stanow</w:t>
      </w:r>
      <w:r>
        <w:rPr>
          <w:rFonts w:ascii="Calibri" w:hAnsi="Calibri" w:cs="Calibri"/>
        </w:rPr>
        <w:t xml:space="preserve">i istotne naruszenie przepisów prawa przez Radę </w:t>
      </w:r>
      <w:r>
        <w:rPr>
          <w:rFonts w:ascii="Calibri" w:hAnsi="Calibri" w:cs="Calibri"/>
        </w:rPr>
        <w:t>Miasta</w:t>
      </w:r>
      <w:r>
        <w:rPr>
          <w:rFonts w:ascii="Calibri" w:hAnsi="Calibri" w:cs="Calibri"/>
        </w:rPr>
        <w:t>.</w:t>
      </w:r>
    </w:p>
    <w:p w:rsidR="005D46E9" w:rsidRDefault="00EB786F" w:rsidP="004552E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na uwadze treść ustalenia Rady zawartego w pkt 2 lit. ł regulaminu organ nadzoru stwierdza, że zostało ono poczynione z istotnym naruszeniem prawa. </w:t>
      </w:r>
    </w:p>
    <w:p w:rsidR="001B1347" w:rsidRPr="00B55321" w:rsidRDefault="00EB786F" w:rsidP="004552E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Kwestia objęta ustaleniem pkt 2 lit. ł </w:t>
      </w:r>
      <w:r>
        <w:rPr>
          <w:rFonts w:asciiTheme="minorHAnsi" w:hAnsiTheme="minorHAnsi" w:cstheme="minorHAnsi"/>
        </w:rPr>
        <w:t xml:space="preserve">regulaminu </w:t>
      </w:r>
      <w:r>
        <w:rPr>
          <w:rFonts w:asciiTheme="minorHAnsi" w:hAnsiTheme="minorHAnsi" w:cstheme="minorHAnsi"/>
        </w:rPr>
        <w:t>została b</w:t>
      </w:r>
      <w:r>
        <w:rPr>
          <w:rFonts w:asciiTheme="minorHAnsi" w:hAnsiTheme="minorHAnsi" w:cstheme="minorHAnsi"/>
        </w:rPr>
        <w:t>owiem uregulowana w art. 6 ust. </w:t>
      </w:r>
      <w:r>
        <w:rPr>
          <w:rFonts w:asciiTheme="minorHAnsi" w:hAnsiTheme="minorHAnsi" w:cstheme="minorHAnsi"/>
        </w:rPr>
        <w:t>1 i 2 pkt 9 ustawy z dnia 21 sierpnia 1997 r. o ochronie zwierz</w:t>
      </w:r>
      <w:r>
        <w:rPr>
          <w:rFonts w:asciiTheme="minorHAnsi" w:hAnsiTheme="minorHAnsi" w:cstheme="minorHAnsi"/>
        </w:rPr>
        <w:t xml:space="preserve">ąt (Dz. U. z 2020 r. poz. 638) oraz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art. 52 ust. 1 pkt 1 i 2 ustawy z dnia </w:t>
      </w:r>
      <w:r>
        <w:rPr>
          <w:rFonts w:asciiTheme="minorHAnsi" w:hAnsiTheme="minorHAnsi" w:cstheme="minorHAnsi"/>
        </w:rPr>
        <w:t xml:space="preserve">16 kwietnia 2004 r. o ochronie </w:t>
      </w:r>
      <w:r>
        <w:rPr>
          <w:rFonts w:asciiTheme="minorHAnsi" w:hAnsiTheme="minorHAnsi" w:cstheme="minorHAnsi"/>
        </w:rPr>
        <w:t>przyrody (Dz. U. z 2020 r. poz. </w:t>
      </w:r>
      <w:r>
        <w:rPr>
          <w:rFonts w:asciiTheme="minorHAnsi" w:hAnsiTheme="minorHAnsi" w:cstheme="minorHAnsi"/>
        </w:rPr>
        <w:t xml:space="preserve">55). Brak jest </w:t>
      </w:r>
      <w:r>
        <w:rPr>
          <w:rFonts w:asciiTheme="minorHAnsi" w:hAnsiTheme="minorHAnsi" w:cstheme="minorHAnsi"/>
        </w:rPr>
        <w:t>zatem</w:t>
      </w:r>
      <w:r>
        <w:rPr>
          <w:rFonts w:asciiTheme="minorHAnsi" w:hAnsiTheme="minorHAnsi" w:cstheme="minorHAnsi"/>
        </w:rPr>
        <w:t xml:space="preserve"> delegacji dla Rady do regulowania </w:t>
      </w:r>
      <w:r w:rsidRPr="00B55321">
        <w:rPr>
          <w:rFonts w:asciiTheme="minorHAnsi" w:hAnsiTheme="minorHAnsi" w:cstheme="minorHAnsi"/>
        </w:rPr>
        <w:t xml:space="preserve">kwestii </w:t>
      </w:r>
      <w:r w:rsidRPr="00B55321">
        <w:rPr>
          <w:rFonts w:asciiTheme="minorHAnsi" w:hAnsiTheme="minorHAnsi" w:cstheme="minorHAnsi"/>
        </w:rPr>
        <w:t>płoszenia, ścigania, chwytania oraz zabijania zwierząt</w:t>
      </w:r>
      <w:r>
        <w:rPr>
          <w:rFonts w:asciiTheme="minorHAnsi" w:hAnsiTheme="minorHAnsi" w:cstheme="minorHAnsi"/>
        </w:rPr>
        <w:t xml:space="preserve"> w akcie prawa miejscowego. </w:t>
      </w:r>
    </w:p>
    <w:p w:rsidR="00F10600" w:rsidRDefault="00EB786F" w:rsidP="006E06E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pkt 2 lit. n załącznika do uchwały Rada wprowadziła zakaz </w:t>
      </w:r>
      <w:r w:rsidRPr="00D92CF6">
        <w:rPr>
          <w:rFonts w:asciiTheme="minorHAnsi" w:hAnsiTheme="minorHAnsi" w:cstheme="minorHAnsi"/>
        </w:rPr>
        <w:t>używania jednostek pływających z napędem spalinowy</w:t>
      </w:r>
      <w:r w:rsidRPr="00D92CF6">
        <w:rPr>
          <w:rFonts w:asciiTheme="minorHAnsi" w:hAnsiTheme="minorHAnsi" w:cstheme="minorHAnsi"/>
        </w:rPr>
        <w:t>m na zbiornikach wodnych Glinianek</w:t>
      </w:r>
      <w:r>
        <w:rPr>
          <w:rFonts w:asciiTheme="minorHAnsi" w:hAnsiTheme="minorHAnsi" w:cstheme="minorHAnsi"/>
        </w:rPr>
        <w:t xml:space="preserve">. Wobec powyższego organ nadzoru wskazuje, że </w:t>
      </w:r>
      <w:r>
        <w:rPr>
          <w:rFonts w:asciiTheme="minorHAnsi" w:hAnsiTheme="minorHAnsi" w:cstheme="minorHAnsi"/>
        </w:rPr>
        <w:t xml:space="preserve">powyższą kwestię regulują odrębne przepisy. Zgodnie zatem z art. 116 ust. 1 ustawy z dnia </w:t>
      </w:r>
      <w:r>
        <w:rPr>
          <w:rFonts w:asciiTheme="minorHAnsi" w:hAnsiTheme="minorHAnsi" w:cstheme="minorHAnsi"/>
        </w:rPr>
        <w:t xml:space="preserve">27 kwietnia 2001 r. Prawo ochrony </w:t>
      </w:r>
      <w:r>
        <w:rPr>
          <w:rFonts w:asciiTheme="minorHAnsi" w:hAnsiTheme="minorHAnsi" w:cstheme="minorHAnsi"/>
        </w:rPr>
        <w:t xml:space="preserve">środowiska </w:t>
      </w:r>
      <w:r>
        <w:rPr>
          <w:rFonts w:asciiTheme="minorHAnsi" w:hAnsiTheme="minorHAnsi" w:cstheme="minorHAnsi"/>
        </w:rPr>
        <w:t>(Dz. U. z 2020, poz. 1219, z późn. zm.) r</w:t>
      </w:r>
      <w:r w:rsidRPr="006F09B0">
        <w:rPr>
          <w:rFonts w:asciiTheme="minorHAnsi" w:hAnsiTheme="minorHAnsi" w:cstheme="minorHAnsi"/>
        </w:rPr>
        <w:t xml:space="preserve">ada powiatu, w drodze uchwały, z zastrzeżeniem ust. 2 i 4, ograniczy lub zakaże używania jednostek pływających lub niektórych ich rodzajów na określonych zbiornikach powierzchniowych wód </w:t>
      </w:r>
      <w:r w:rsidRPr="006F09B0">
        <w:rPr>
          <w:rFonts w:asciiTheme="minorHAnsi" w:hAnsiTheme="minorHAnsi" w:cstheme="minorHAnsi"/>
        </w:rPr>
        <w:lastRenderedPageBreak/>
        <w:t>stojących oraz wodach płynących, jeżeli jest to konieczne do zapewnie</w:t>
      </w:r>
      <w:r w:rsidRPr="006F09B0">
        <w:rPr>
          <w:rFonts w:asciiTheme="minorHAnsi" w:hAnsiTheme="minorHAnsi" w:cstheme="minorHAnsi"/>
        </w:rPr>
        <w:t>nia odpowiednich warunków akustycznych na terenach przeznaczonych na cele rekreacyjno-wypoczynkowe.</w:t>
      </w:r>
      <w:r>
        <w:rPr>
          <w:rFonts w:asciiTheme="minorHAnsi" w:hAnsiTheme="minorHAnsi" w:cstheme="minorHAnsi"/>
        </w:rPr>
        <w:t xml:space="preserve"> </w:t>
      </w:r>
    </w:p>
    <w:p w:rsidR="000C2D7F" w:rsidRDefault="00EB786F" w:rsidP="006E06E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powyższego Rada Miasta nie posiada kompetencji do wp</w:t>
      </w:r>
      <w:r>
        <w:rPr>
          <w:rFonts w:asciiTheme="minorHAnsi" w:hAnsiTheme="minorHAnsi" w:cstheme="minorHAnsi"/>
        </w:rPr>
        <w:t>rowadzania tego rodzaju zakazu.</w:t>
      </w:r>
    </w:p>
    <w:p w:rsidR="004D33E9" w:rsidRPr="00853B56" w:rsidRDefault="00EB786F" w:rsidP="00853B5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Odnosząc się z ko</w:t>
      </w:r>
      <w:r>
        <w:rPr>
          <w:rFonts w:asciiTheme="minorHAnsi" w:hAnsiTheme="minorHAnsi" w:cstheme="minorHAnsi"/>
        </w:rPr>
        <w:t>lei do zakazów</w:t>
      </w:r>
      <w:r>
        <w:rPr>
          <w:rFonts w:asciiTheme="minorHAnsi" w:hAnsiTheme="minorHAnsi" w:cstheme="minorHAnsi"/>
        </w:rPr>
        <w:t xml:space="preserve"> wprowadzonego przez Radę w pkt 2 lit. r </w:t>
      </w:r>
      <w:r>
        <w:rPr>
          <w:rFonts w:asciiTheme="minorHAnsi" w:hAnsiTheme="minorHAnsi" w:cstheme="minorHAnsi"/>
        </w:rPr>
        <w:t xml:space="preserve">i s </w:t>
      </w:r>
      <w:r>
        <w:rPr>
          <w:rFonts w:asciiTheme="minorHAnsi" w:hAnsiTheme="minorHAnsi" w:cstheme="minorHAnsi"/>
        </w:rPr>
        <w:t xml:space="preserve">regulaminu organ nadzoru wskazuje, że </w:t>
      </w:r>
      <w:r>
        <w:rPr>
          <w:rFonts w:asciiTheme="minorHAnsi" w:hAnsiTheme="minorHAnsi" w:cstheme="minorHAnsi"/>
        </w:rPr>
        <w:t>ża</w:t>
      </w:r>
      <w:r>
        <w:rPr>
          <w:rFonts w:asciiTheme="minorHAnsi" w:hAnsiTheme="minorHAnsi" w:cstheme="minorHAnsi"/>
        </w:rPr>
        <w:t xml:space="preserve">dne przepisy powszechnie obowiązujące nie nadają Radzie Miasta uprawnień do regulowania kwestii </w:t>
      </w:r>
      <w:r w:rsidRPr="00853B56">
        <w:rPr>
          <w:rFonts w:asciiTheme="minorHAnsi" w:hAnsiTheme="minorHAnsi" w:cstheme="minorHAnsi"/>
        </w:rPr>
        <w:t>wprowadzania psów i inn</w:t>
      </w:r>
      <w:r>
        <w:rPr>
          <w:rFonts w:asciiTheme="minorHAnsi" w:hAnsiTheme="minorHAnsi" w:cstheme="minorHAnsi"/>
        </w:rPr>
        <w:t>ych zwierząt domowych do wody w </w:t>
      </w:r>
      <w:r w:rsidRPr="00853B56">
        <w:rPr>
          <w:rFonts w:asciiTheme="minorHAnsi" w:hAnsiTheme="minorHAnsi" w:cstheme="minorHAnsi"/>
        </w:rPr>
        <w:t>miejscach wykorzysty</w:t>
      </w:r>
      <w:r w:rsidRPr="00853B56">
        <w:rPr>
          <w:rFonts w:asciiTheme="minorHAnsi" w:hAnsiTheme="minorHAnsi" w:cstheme="minorHAnsi"/>
        </w:rPr>
        <w:t>wanych w sposób zorganizowany lub zwyczajowy do wypoczynku, rekreacji czy</w:t>
      </w:r>
      <w:r>
        <w:rPr>
          <w:rFonts w:asciiTheme="minorHAnsi" w:hAnsiTheme="minorHAnsi" w:cstheme="minorHAnsi"/>
        </w:rPr>
        <w:t xml:space="preserve"> tez uprawiania sportów wodnych, jak również kwestii kąpieli higienicznych zwierząt z wykorzystaniem szamponów i innych środków kosmetycznych.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Ustaleni</w:t>
      </w:r>
      <w:r>
        <w:rPr>
          <w:rFonts w:asciiTheme="minorHAnsi" w:hAnsiTheme="minorHAnsi" w:cstheme="minorHAnsi"/>
        </w:rPr>
        <w:t>e tego rodzaju zakazu przez Radę</w:t>
      </w:r>
      <w:r>
        <w:rPr>
          <w:rFonts w:asciiTheme="minorHAnsi" w:hAnsiTheme="minorHAnsi" w:cstheme="minorHAnsi"/>
        </w:rPr>
        <w:t xml:space="preserve"> uznać należy za niedopuszczalne. </w:t>
      </w:r>
    </w:p>
    <w:p w:rsidR="009C1524" w:rsidRDefault="00EB786F" w:rsidP="00974CA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pkt 3 </w:t>
      </w:r>
      <w:r>
        <w:rPr>
          <w:rFonts w:asciiTheme="minorHAnsi" w:hAnsiTheme="minorHAnsi" w:cstheme="minorHAnsi"/>
        </w:rPr>
        <w:t xml:space="preserve">regulaminu </w:t>
      </w:r>
      <w:r>
        <w:rPr>
          <w:rFonts w:asciiTheme="minorHAnsi" w:hAnsiTheme="minorHAnsi" w:cstheme="minorHAnsi"/>
        </w:rPr>
        <w:t xml:space="preserve">Rada ustaliła, że osoby korzystające </w:t>
      </w:r>
      <w:r>
        <w:rPr>
          <w:rFonts w:asciiTheme="minorHAnsi" w:hAnsiTheme="minorHAnsi" w:cstheme="minorHAnsi"/>
        </w:rPr>
        <w:t>z kąpieliska zobowiązane są do </w:t>
      </w:r>
      <w:r>
        <w:rPr>
          <w:rFonts w:asciiTheme="minorHAnsi" w:hAnsiTheme="minorHAnsi" w:cstheme="minorHAnsi"/>
        </w:rPr>
        <w:t xml:space="preserve">przestrzegania jego regulaminu oraz stosowania się do poleceń ratowników. </w:t>
      </w:r>
    </w:p>
    <w:p w:rsidR="009C1524" w:rsidRDefault="00EB786F" w:rsidP="009C152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powyższego organ nadzoru wskazuje, że brak jest deleg</w:t>
      </w:r>
      <w:r>
        <w:rPr>
          <w:rFonts w:asciiTheme="minorHAnsi" w:hAnsiTheme="minorHAnsi" w:cstheme="minorHAnsi"/>
        </w:rPr>
        <w:t xml:space="preserve">acji do regulowania powyższej kwestii w akcie prawa miejscowego. </w:t>
      </w:r>
    </w:p>
    <w:p w:rsidR="009C1524" w:rsidRDefault="00EB786F" w:rsidP="009C152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kolei w pkt 7 regulaminu Rada Miasta ustaliła, że naruszenie postanowień regulaminu podlega karze wymierzanej w trybie i na zasadach określonych w Kodeksie postepowania w sprawach o wykroc</w:t>
      </w:r>
      <w:r>
        <w:rPr>
          <w:rFonts w:asciiTheme="minorHAnsi" w:hAnsiTheme="minorHAnsi" w:cstheme="minorHAnsi"/>
        </w:rPr>
        <w:t xml:space="preserve">zenia. </w:t>
      </w:r>
      <w:r>
        <w:rPr>
          <w:rFonts w:asciiTheme="minorHAnsi" w:hAnsiTheme="minorHAnsi" w:cstheme="minorHAnsi"/>
        </w:rPr>
        <w:t xml:space="preserve">Wobec tak poczynionego ustalenia organ nadzoru stwierdza, że Rada nie posiada uprawnień do regulowania kwestii, które </w:t>
      </w:r>
      <w:r w:rsidRPr="00155C36">
        <w:rPr>
          <w:rFonts w:asciiTheme="minorHAnsi" w:hAnsiTheme="minorHAnsi" w:cstheme="minorHAnsi"/>
          <w:i/>
        </w:rPr>
        <w:t>de facto</w:t>
      </w:r>
      <w:r>
        <w:rPr>
          <w:rFonts w:asciiTheme="minorHAnsi" w:hAnsiTheme="minorHAnsi" w:cstheme="minorHAnsi"/>
        </w:rPr>
        <w:t xml:space="preserve"> zostały uregulowane na poziomie aktów rangi ustawowej. </w:t>
      </w:r>
    </w:p>
    <w:p w:rsidR="00751F10" w:rsidRDefault="00EB786F" w:rsidP="009C152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uwagi na brak upoważnienia dla Rady do formułowani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 wprowadzan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na podstawie kwestionowanej uchwały g</w:t>
      </w:r>
      <w:r>
        <w:rPr>
          <w:rFonts w:asciiTheme="minorHAnsi" w:hAnsiTheme="minorHAnsi" w:cstheme="minorHAnsi"/>
        </w:rPr>
        <w:t xml:space="preserve">eneralnych zakazów i ograniczeń, jak również ze względu na brak delegacji w zakresie nakładania na korzystających z kąpieliska obowiązku przestrzegania jego regulaminu oraz </w:t>
      </w:r>
      <w:r>
        <w:rPr>
          <w:rFonts w:asciiTheme="minorHAnsi" w:hAnsiTheme="minorHAnsi" w:cstheme="minorHAnsi"/>
        </w:rPr>
        <w:t>w zakresie objęci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regulaminem ustaleń, któr</w:t>
      </w:r>
      <w:r>
        <w:rPr>
          <w:rFonts w:asciiTheme="minorHAnsi" w:hAnsiTheme="minorHAnsi" w:cstheme="minorHAnsi"/>
        </w:rPr>
        <w:t>e zostały uregulowane wprost na </w:t>
      </w:r>
      <w:r>
        <w:rPr>
          <w:rFonts w:asciiTheme="minorHAnsi" w:hAnsiTheme="minorHAnsi" w:cstheme="minorHAnsi"/>
        </w:rPr>
        <w:t xml:space="preserve">poziomie ustaw, stwierdzenie nieważności uchwały w całości jest w pełni uzasadnione. </w:t>
      </w:r>
    </w:p>
    <w:p w:rsidR="00C17B48" w:rsidRPr="00C17B48" w:rsidRDefault="00EB786F" w:rsidP="00A63B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Na niniejsze rozstrzygnięcie nadzorcze Miastu przysługuje skarga do Wojewódzkiego Sądu Administracyjnego w Warsz</w:t>
      </w:r>
      <w:r w:rsidRPr="00C17B48">
        <w:rPr>
          <w:rFonts w:asciiTheme="minorHAnsi" w:hAnsiTheme="minorHAnsi" w:cstheme="minorHAnsi"/>
        </w:rPr>
        <w:t>awie w terminie 30 dni od daty doręczenia, wnoszona za pośrednictwem organu, który skarżone orzeczenie wydał.</w:t>
      </w:r>
    </w:p>
    <w:p w:rsidR="00C17B48" w:rsidRDefault="00EB786F" w:rsidP="00A63B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Informuję, że rozstrzygnięcie nadzorcze wstrzymuje wykonanie uchwał</w:t>
      </w:r>
      <w:r>
        <w:rPr>
          <w:rFonts w:asciiTheme="minorHAnsi" w:hAnsiTheme="minorHAnsi" w:cstheme="minorHAnsi"/>
        </w:rPr>
        <w:t>y z mocy prawa, z </w:t>
      </w:r>
      <w:r w:rsidRPr="00C17B48">
        <w:rPr>
          <w:rFonts w:asciiTheme="minorHAnsi" w:hAnsiTheme="minorHAnsi" w:cstheme="minorHAnsi"/>
        </w:rPr>
        <w:t>dniem jego doręczenia.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4747" w:rsidTr="00910856">
        <w:tc>
          <w:tcPr>
            <w:tcW w:w="4814" w:type="dxa"/>
          </w:tcPr>
          <w:p w:rsidR="00796550" w:rsidRDefault="00EB786F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8D4167" w:rsidRDefault="00EB786F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F10D15" w:rsidRDefault="00EB786F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F10D15" w:rsidRDefault="00EB786F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796550" w:rsidRPr="00F10D15" w:rsidRDefault="00EB786F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910856" w:rsidRDefault="00EB786F" w:rsidP="00910856">
      <w:pPr>
        <w:pStyle w:val="Teksttreci40"/>
        <w:shd w:val="clear" w:color="auto" w:fill="auto"/>
        <w:spacing w:line="360" w:lineRule="auto"/>
        <w:ind w:right="-2"/>
        <w:rPr>
          <w:b w:val="0"/>
          <w:sz w:val="14"/>
          <w:szCs w:val="24"/>
        </w:rPr>
      </w:pPr>
    </w:p>
    <w:sectPr w:rsidR="002960B0" w:rsidRPr="00910856" w:rsidSect="00EC0112">
      <w:footerReference w:type="default" r:id="rId9"/>
      <w:pgSz w:w="11906" w:h="16838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6F" w:rsidRDefault="00EB786F">
      <w:r>
        <w:separator/>
      </w:r>
    </w:p>
  </w:endnote>
  <w:endnote w:type="continuationSeparator" w:id="0">
    <w:p w:rsidR="00EB786F" w:rsidRDefault="00EB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65044"/>
      <w:docPartObj>
        <w:docPartGallery w:val="Page Numbers (Bottom of Page)"/>
        <w:docPartUnique/>
      </w:docPartObj>
    </w:sdtPr>
    <w:sdtEndPr/>
    <w:sdtContent>
      <w:p w:rsidR="00EC0112" w:rsidRDefault="00EB7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53C37" w:rsidRDefault="00EB7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6F" w:rsidRDefault="00EB786F">
      <w:r>
        <w:separator/>
      </w:r>
    </w:p>
  </w:footnote>
  <w:footnote w:type="continuationSeparator" w:id="0">
    <w:p w:rsidR="00EB786F" w:rsidRDefault="00EB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FC4"/>
    <w:multiLevelType w:val="multilevel"/>
    <w:tmpl w:val="506214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0154E"/>
    <w:multiLevelType w:val="multilevel"/>
    <w:tmpl w:val="E7DA35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5110C"/>
    <w:multiLevelType w:val="hybridMultilevel"/>
    <w:tmpl w:val="A4EEB186"/>
    <w:lvl w:ilvl="0" w:tplc="C44AF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610EC" w:tentative="1">
      <w:start w:val="1"/>
      <w:numFmt w:val="lowerLetter"/>
      <w:lvlText w:val="%2."/>
      <w:lvlJc w:val="left"/>
      <w:pPr>
        <w:ind w:left="1440" w:hanging="360"/>
      </w:pPr>
    </w:lvl>
    <w:lvl w:ilvl="2" w:tplc="96F47616" w:tentative="1">
      <w:start w:val="1"/>
      <w:numFmt w:val="lowerRoman"/>
      <w:lvlText w:val="%3."/>
      <w:lvlJc w:val="right"/>
      <w:pPr>
        <w:ind w:left="2160" w:hanging="180"/>
      </w:pPr>
    </w:lvl>
    <w:lvl w:ilvl="3" w:tplc="A83CA3BC" w:tentative="1">
      <w:start w:val="1"/>
      <w:numFmt w:val="decimal"/>
      <w:lvlText w:val="%4."/>
      <w:lvlJc w:val="left"/>
      <w:pPr>
        <w:ind w:left="2880" w:hanging="360"/>
      </w:pPr>
    </w:lvl>
    <w:lvl w:ilvl="4" w:tplc="D7A0BF00" w:tentative="1">
      <w:start w:val="1"/>
      <w:numFmt w:val="lowerLetter"/>
      <w:lvlText w:val="%5."/>
      <w:lvlJc w:val="left"/>
      <w:pPr>
        <w:ind w:left="3600" w:hanging="360"/>
      </w:pPr>
    </w:lvl>
    <w:lvl w:ilvl="5" w:tplc="125E0518" w:tentative="1">
      <w:start w:val="1"/>
      <w:numFmt w:val="lowerRoman"/>
      <w:lvlText w:val="%6."/>
      <w:lvlJc w:val="right"/>
      <w:pPr>
        <w:ind w:left="4320" w:hanging="180"/>
      </w:pPr>
    </w:lvl>
    <w:lvl w:ilvl="6" w:tplc="BF408D64" w:tentative="1">
      <w:start w:val="1"/>
      <w:numFmt w:val="decimal"/>
      <w:lvlText w:val="%7."/>
      <w:lvlJc w:val="left"/>
      <w:pPr>
        <w:ind w:left="5040" w:hanging="360"/>
      </w:pPr>
    </w:lvl>
    <w:lvl w:ilvl="7" w:tplc="D2467B08" w:tentative="1">
      <w:start w:val="1"/>
      <w:numFmt w:val="lowerLetter"/>
      <w:lvlText w:val="%8."/>
      <w:lvlJc w:val="left"/>
      <w:pPr>
        <w:ind w:left="5760" w:hanging="360"/>
      </w:pPr>
    </w:lvl>
    <w:lvl w:ilvl="8" w:tplc="4AD09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4607"/>
    <w:multiLevelType w:val="hybridMultilevel"/>
    <w:tmpl w:val="59B84A40"/>
    <w:lvl w:ilvl="0" w:tplc="2B2807C0">
      <w:start w:val="1"/>
      <w:numFmt w:val="lowerLetter"/>
      <w:lvlText w:val="%1)"/>
      <w:lvlJc w:val="left"/>
      <w:pPr>
        <w:ind w:left="720" w:hanging="360"/>
      </w:pPr>
    </w:lvl>
    <w:lvl w:ilvl="1" w:tplc="D206B75E" w:tentative="1">
      <w:start w:val="1"/>
      <w:numFmt w:val="lowerLetter"/>
      <w:lvlText w:val="%2."/>
      <w:lvlJc w:val="left"/>
      <w:pPr>
        <w:ind w:left="1440" w:hanging="360"/>
      </w:pPr>
    </w:lvl>
    <w:lvl w:ilvl="2" w:tplc="1E76F4D2" w:tentative="1">
      <w:start w:val="1"/>
      <w:numFmt w:val="lowerRoman"/>
      <w:lvlText w:val="%3."/>
      <w:lvlJc w:val="right"/>
      <w:pPr>
        <w:ind w:left="2160" w:hanging="180"/>
      </w:pPr>
    </w:lvl>
    <w:lvl w:ilvl="3" w:tplc="9FEA7A42" w:tentative="1">
      <w:start w:val="1"/>
      <w:numFmt w:val="decimal"/>
      <w:lvlText w:val="%4."/>
      <w:lvlJc w:val="left"/>
      <w:pPr>
        <w:ind w:left="2880" w:hanging="360"/>
      </w:pPr>
    </w:lvl>
    <w:lvl w:ilvl="4" w:tplc="D88276E0" w:tentative="1">
      <w:start w:val="1"/>
      <w:numFmt w:val="lowerLetter"/>
      <w:lvlText w:val="%5."/>
      <w:lvlJc w:val="left"/>
      <w:pPr>
        <w:ind w:left="3600" w:hanging="360"/>
      </w:pPr>
    </w:lvl>
    <w:lvl w:ilvl="5" w:tplc="EADA359C" w:tentative="1">
      <w:start w:val="1"/>
      <w:numFmt w:val="lowerRoman"/>
      <w:lvlText w:val="%6."/>
      <w:lvlJc w:val="right"/>
      <w:pPr>
        <w:ind w:left="4320" w:hanging="180"/>
      </w:pPr>
    </w:lvl>
    <w:lvl w:ilvl="6" w:tplc="0B621D7C" w:tentative="1">
      <w:start w:val="1"/>
      <w:numFmt w:val="decimal"/>
      <w:lvlText w:val="%7."/>
      <w:lvlJc w:val="left"/>
      <w:pPr>
        <w:ind w:left="5040" w:hanging="360"/>
      </w:pPr>
    </w:lvl>
    <w:lvl w:ilvl="7" w:tplc="99FE0BEA" w:tentative="1">
      <w:start w:val="1"/>
      <w:numFmt w:val="lowerLetter"/>
      <w:lvlText w:val="%8."/>
      <w:lvlJc w:val="left"/>
      <w:pPr>
        <w:ind w:left="5760" w:hanging="360"/>
      </w:pPr>
    </w:lvl>
    <w:lvl w:ilvl="8" w:tplc="62B42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23B0"/>
    <w:multiLevelType w:val="hybridMultilevel"/>
    <w:tmpl w:val="7E004D36"/>
    <w:lvl w:ilvl="0" w:tplc="266C8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FC1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C9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AB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B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A1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8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09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25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52C"/>
    <w:multiLevelType w:val="hybridMultilevel"/>
    <w:tmpl w:val="72A4801A"/>
    <w:lvl w:ilvl="0" w:tplc="1568942A">
      <w:start w:val="1"/>
      <w:numFmt w:val="lowerLetter"/>
      <w:lvlText w:val="%1)"/>
      <w:lvlJc w:val="left"/>
      <w:pPr>
        <w:ind w:left="720" w:hanging="360"/>
      </w:pPr>
    </w:lvl>
    <w:lvl w:ilvl="1" w:tplc="B75263F8" w:tentative="1">
      <w:start w:val="1"/>
      <w:numFmt w:val="lowerLetter"/>
      <w:lvlText w:val="%2."/>
      <w:lvlJc w:val="left"/>
      <w:pPr>
        <w:ind w:left="1440" w:hanging="360"/>
      </w:pPr>
    </w:lvl>
    <w:lvl w:ilvl="2" w:tplc="9CA6FEE2" w:tentative="1">
      <w:start w:val="1"/>
      <w:numFmt w:val="lowerRoman"/>
      <w:lvlText w:val="%3."/>
      <w:lvlJc w:val="right"/>
      <w:pPr>
        <w:ind w:left="2160" w:hanging="180"/>
      </w:pPr>
    </w:lvl>
    <w:lvl w:ilvl="3" w:tplc="D916A042" w:tentative="1">
      <w:start w:val="1"/>
      <w:numFmt w:val="decimal"/>
      <w:lvlText w:val="%4."/>
      <w:lvlJc w:val="left"/>
      <w:pPr>
        <w:ind w:left="2880" w:hanging="360"/>
      </w:pPr>
    </w:lvl>
    <w:lvl w:ilvl="4" w:tplc="9FE6C712" w:tentative="1">
      <w:start w:val="1"/>
      <w:numFmt w:val="lowerLetter"/>
      <w:lvlText w:val="%5."/>
      <w:lvlJc w:val="left"/>
      <w:pPr>
        <w:ind w:left="3600" w:hanging="360"/>
      </w:pPr>
    </w:lvl>
    <w:lvl w:ilvl="5" w:tplc="82081554" w:tentative="1">
      <w:start w:val="1"/>
      <w:numFmt w:val="lowerRoman"/>
      <w:lvlText w:val="%6."/>
      <w:lvlJc w:val="right"/>
      <w:pPr>
        <w:ind w:left="4320" w:hanging="180"/>
      </w:pPr>
    </w:lvl>
    <w:lvl w:ilvl="6" w:tplc="8C9E1020" w:tentative="1">
      <w:start w:val="1"/>
      <w:numFmt w:val="decimal"/>
      <w:lvlText w:val="%7."/>
      <w:lvlJc w:val="left"/>
      <w:pPr>
        <w:ind w:left="5040" w:hanging="360"/>
      </w:pPr>
    </w:lvl>
    <w:lvl w:ilvl="7" w:tplc="0F14C224" w:tentative="1">
      <w:start w:val="1"/>
      <w:numFmt w:val="lowerLetter"/>
      <w:lvlText w:val="%8."/>
      <w:lvlJc w:val="left"/>
      <w:pPr>
        <w:ind w:left="5760" w:hanging="360"/>
      </w:pPr>
    </w:lvl>
    <w:lvl w:ilvl="8" w:tplc="7846B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7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47"/>
    <w:rsid w:val="00054747"/>
    <w:rsid w:val="0066086E"/>
    <w:rsid w:val="00E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03BF-985C-4B07-8C8D-4D8754FB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styleId="Tekstpodstawowy">
    <w:name w:val="Body Text"/>
    <w:basedOn w:val="Normalny"/>
    <w:link w:val="TekstpodstawowyZnak"/>
    <w:unhideWhenUsed/>
    <w:rsid w:val="005560EE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60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91452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452C"/>
    <w:pPr>
      <w:widowControl w:val="0"/>
      <w:shd w:val="clear" w:color="auto" w:fill="FFFFFF"/>
      <w:spacing w:before="60" w:after="300" w:line="264" w:lineRule="exact"/>
      <w:ind w:hanging="6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C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3864-77DA-4818-9BAD-ED8D512C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2020-11-19T10:41:00Z</dcterms:created>
  <dcterms:modified xsi:type="dcterms:W3CDTF">2020-11-19T10:41:00Z</dcterms:modified>
</cp:coreProperties>
</file>