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25A82" w14:textId="77777777" w:rsidR="00C64B1B" w:rsidRDefault="00C64B1B" w:rsidP="00C64B1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1097"/>
        <w:gridCol w:w="1736"/>
        <w:gridCol w:w="4186"/>
        <w:gridCol w:w="1560"/>
        <w:gridCol w:w="6318"/>
      </w:tblGrid>
      <w:tr w:rsidR="00F019F8" w:rsidRPr="00F019F8" w14:paraId="39F31C86" w14:textId="77777777" w:rsidTr="001F5185">
        <w:tc>
          <w:tcPr>
            <w:tcW w:w="5000" w:type="pct"/>
            <w:gridSpan w:val="6"/>
            <w:shd w:val="clear" w:color="auto" w:fill="auto"/>
            <w:vAlign w:val="center"/>
          </w:tcPr>
          <w:p w14:paraId="51D6D696" w14:textId="6E972F30" w:rsidR="00A06425" w:rsidRPr="00D768AD" w:rsidRDefault="00A06425" w:rsidP="00D768A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F019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F019F8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 </w:t>
            </w:r>
            <w:r w:rsidR="00D768AD" w:rsidRPr="00D768A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Rozbudowa systemu zarządzania relacjami z klientem KAS</w:t>
            </w:r>
            <w:r w:rsidR="00D768A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768AD" w:rsidRPr="00D768A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(Projekt CRM 2.0) </w:t>
            </w:r>
            <w:r w:rsidR="00F869E6" w:rsidRPr="00F019F8">
              <w:rPr>
                <w:rFonts w:asciiTheme="minorHAnsi" w:hAnsiTheme="minorHAnsi" w:cstheme="minorHAnsi"/>
                <w:i/>
                <w:sz w:val="22"/>
                <w:szCs w:val="22"/>
              </w:rPr>
              <w:t>(wnioskodawca - Minister Finansów, beneficjent - Ministerstwo F</w:t>
            </w:r>
            <w:r w:rsidR="00D103B6">
              <w:rPr>
                <w:rFonts w:asciiTheme="minorHAnsi" w:hAnsiTheme="minorHAnsi" w:cstheme="minorHAnsi"/>
                <w:i/>
                <w:sz w:val="22"/>
                <w:szCs w:val="22"/>
              </w:rPr>
              <w:t>inansów</w:t>
            </w:r>
            <w:r w:rsidR="00F869E6" w:rsidRPr="00F019F8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A3192" w:rsidRPr="00F019F8" w14:paraId="455CC6EC" w14:textId="77777777" w:rsidTr="00AA3192">
        <w:tc>
          <w:tcPr>
            <w:tcW w:w="160" w:type="pct"/>
            <w:shd w:val="clear" w:color="auto" w:fill="auto"/>
            <w:vAlign w:val="center"/>
          </w:tcPr>
          <w:p w14:paraId="3E9A06F6" w14:textId="77777777" w:rsidR="00A06425" w:rsidRPr="00F019F8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6" w:type="pct"/>
            <w:shd w:val="clear" w:color="auto" w:fill="auto"/>
            <w:vAlign w:val="center"/>
          </w:tcPr>
          <w:p w14:paraId="3609F3BE" w14:textId="77777777" w:rsidR="00A06425" w:rsidRPr="00F019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36D89AD6" w14:textId="77777777" w:rsidR="00A06425" w:rsidRPr="00F019F8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2EB8E347" w14:textId="77777777" w:rsidR="00A06425" w:rsidRPr="00F019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Treść uwag</w:t>
            </w:r>
            <w:r w:rsidR="002E5147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5F3E4FA" w14:textId="77777777" w:rsidR="00A06425" w:rsidRPr="00F019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054" w:type="pct"/>
            <w:vAlign w:val="center"/>
          </w:tcPr>
          <w:p w14:paraId="78A3F78D" w14:textId="77777777" w:rsidR="00A06425" w:rsidRPr="00F019F8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A3192" w:rsidRPr="00F019F8" w14:paraId="37548FB9" w14:textId="77777777" w:rsidTr="00AA3192">
        <w:tc>
          <w:tcPr>
            <w:tcW w:w="160" w:type="pct"/>
            <w:shd w:val="clear" w:color="auto" w:fill="auto"/>
          </w:tcPr>
          <w:p w14:paraId="25994A02" w14:textId="77777777" w:rsidR="00D103B6" w:rsidRPr="00C45E21" w:rsidRDefault="00D103B6" w:rsidP="00E73B00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04B8E7D3" w14:textId="7550B2C8" w:rsidR="00D103B6" w:rsidRPr="00806F9F" w:rsidRDefault="006C4A6E" w:rsidP="00E73B0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64" w:type="pct"/>
            <w:shd w:val="clear" w:color="auto" w:fill="auto"/>
          </w:tcPr>
          <w:p w14:paraId="44A24CDD" w14:textId="77777777" w:rsidR="00D103B6" w:rsidRPr="00D103B6" w:rsidRDefault="00502670" w:rsidP="00E73B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2670">
              <w:rPr>
                <w:rFonts w:asciiTheme="minorHAnsi" w:hAnsiTheme="minorHAnsi" w:cstheme="minorHAnsi"/>
                <w:sz w:val="22"/>
                <w:szCs w:val="22"/>
              </w:rPr>
              <w:t>1.1 Identyfikacja problemu i potrzeb</w:t>
            </w:r>
          </w:p>
        </w:tc>
        <w:tc>
          <w:tcPr>
            <w:tcW w:w="1360" w:type="pct"/>
            <w:shd w:val="clear" w:color="auto" w:fill="auto"/>
          </w:tcPr>
          <w:p w14:paraId="5DC3AAE8" w14:textId="38BE0CE8" w:rsidR="0026694E" w:rsidRDefault="00A84FE5" w:rsidP="005026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A84FE5">
              <w:rPr>
                <w:rFonts w:asciiTheme="minorHAnsi" w:hAnsiTheme="minorHAnsi" w:cstheme="minorHAnsi"/>
                <w:sz w:val="22"/>
                <w:szCs w:val="22"/>
              </w:rPr>
              <w:t xml:space="preserve"> tabeli interesariuszy nie wymieniono żadnych klientów urzędów skarbowych, których potrzeby i problemy powinien rozwiązywać niniejszy projekt</w:t>
            </w:r>
          </w:p>
        </w:tc>
        <w:tc>
          <w:tcPr>
            <w:tcW w:w="507" w:type="pct"/>
            <w:shd w:val="clear" w:color="auto" w:fill="auto"/>
          </w:tcPr>
          <w:p w14:paraId="368070E8" w14:textId="77777777" w:rsidR="00D103B6" w:rsidRDefault="00D103B6" w:rsidP="00D103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054" w:type="pct"/>
          </w:tcPr>
          <w:p w14:paraId="457FE607" w14:textId="77777777" w:rsidR="00DA6E2C" w:rsidRDefault="00DA6E2C" w:rsidP="00E73B0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B530387" w14:textId="095964E2" w:rsidR="006017E6" w:rsidRPr="00DA6E2C" w:rsidRDefault="006017E6" w:rsidP="00E73B0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6E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uwzględniona.</w:t>
            </w:r>
          </w:p>
          <w:p w14:paraId="0CC849A9" w14:textId="77777777" w:rsidR="006017E6" w:rsidRDefault="006017E6" w:rsidP="00E73B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46E549" w14:textId="192B1B8F" w:rsidR="00D103B6" w:rsidRDefault="00FE2010" w:rsidP="00E73B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2010">
              <w:rPr>
                <w:rFonts w:asciiTheme="minorHAnsi" w:hAnsiTheme="minorHAnsi" w:cstheme="minorHAnsi"/>
                <w:sz w:val="22"/>
                <w:szCs w:val="22"/>
              </w:rPr>
              <w:t xml:space="preserve">Projekt CRM 2.0 przewiduje </w:t>
            </w:r>
            <w:r w:rsidR="004B3BB9">
              <w:rPr>
                <w:rFonts w:asciiTheme="minorHAnsi" w:hAnsiTheme="minorHAnsi" w:cstheme="minorHAnsi"/>
                <w:sz w:val="22"/>
                <w:szCs w:val="22"/>
              </w:rPr>
              <w:t>modyfikację</w:t>
            </w:r>
            <w:r w:rsidRPr="00FE2010">
              <w:rPr>
                <w:rFonts w:asciiTheme="minorHAnsi" w:hAnsiTheme="minorHAnsi" w:cstheme="minorHAnsi"/>
                <w:sz w:val="22"/>
                <w:szCs w:val="22"/>
              </w:rPr>
              <w:t xml:space="preserve"> narzędzia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CRM-RF</w:t>
            </w:r>
            <w:r w:rsidRPr="00FE2010">
              <w:rPr>
                <w:rFonts w:asciiTheme="minorHAnsi" w:hAnsiTheme="minorHAnsi" w:cstheme="minorHAnsi"/>
                <w:sz w:val="22"/>
                <w:szCs w:val="22"/>
              </w:rPr>
              <w:t xml:space="preserve">, które jest wykorzystywane bezpośrednio </w:t>
            </w:r>
            <w:r w:rsidR="004B3BB9">
              <w:rPr>
                <w:rFonts w:asciiTheme="minorHAnsi" w:hAnsiTheme="minorHAnsi" w:cstheme="minorHAnsi"/>
                <w:sz w:val="22"/>
                <w:szCs w:val="22"/>
              </w:rPr>
              <w:t xml:space="preserve">tylko </w:t>
            </w:r>
            <w:r w:rsidRPr="00FE2010">
              <w:rPr>
                <w:rFonts w:asciiTheme="minorHAnsi" w:hAnsiTheme="minorHAnsi" w:cstheme="minorHAnsi"/>
                <w:sz w:val="22"/>
                <w:szCs w:val="22"/>
              </w:rPr>
              <w:t>przez pracowników Resortu Finansów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przy realizacji swoich obowiązków służbowych</w:t>
            </w:r>
            <w:r w:rsidRPr="00FE2010">
              <w:rPr>
                <w:rFonts w:asciiTheme="minorHAnsi" w:hAnsiTheme="minorHAnsi" w:cstheme="minorHAnsi"/>
                <w:sz w:val="22"/>
                <w:szCs w:val="22"/>
              </w:rPr>
              <w:t xml:space="preserve"> – stąd jako interesariusza wpisano pracowników Resortu Finansów. </w:t>
            </w:r>
            <w:r w:rsidR="006017E6" w:rsidRPr="00FE2010">
              <w:rPr>
                <w:rFonts w:asciiTheme="minorHAnsi" w:hAnsiTheme="minorHAnsi" w:cstheme="minorHAnsi"/>
                <w:sz w:val="22"/>
                <w:szCs w:val="22"/>
              </w:rPr>
              <w:t>Wykorzystując to narzędzie pracownicy będą udzielali informacji podatnikom.</w:t>
            </w:r>
          </w:p>
          <w:p w14:paraId="25CD0B53" w14:textId="463848D7" w:rsidR="004B3BB9" w:rsidRDefault="004B3BB9" w:rsidP="00E73B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4F4A33" w14:textId="0BC6ED86" w:rsidR="004B3BB9" w:rsidRDefault="004B3BB9" w:rsidP="00E73B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Informacje o fakcie modernizacji narzędzia zostały umieszczone w punktach 1.2, 2.1, 2.4, 3, 7.1 i 7.2</w:t>
            </w:r>
            <w:r w:rsidR="00A7374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992EA85" w14:textId="443BDD0A" w:rsidR="00A73747" w:rsidRDefault="00A73747" w:rsidP="00E73B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E4B207" w14:textId="2BE34E9D" w:rsidR="00A73747" w:rsidRPr="00A73747" w:rsidRDefault="00A73747" w:rsidP="00A737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 w punkcie 1.2 zamieszczono fragment wyjaśniający, że i</w:t>
            </w:r>
            <w:r w:rsidRPr="00A73747">
              <w:rPr>
                <w:rFonts w:asciiTheme="minorHAnsi" w:hAnsiTheme="minorHAnsi" w:cstheme="minorHAnsi"/>
                <w:sz w:val="22"/>
                <w:szCs w:val="22"/>
              </w:rPr>
              <w:t>nformacje przetwarzane w systemie CRM-RF pochodzą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</w:p>
          <w:p w14:paraId="479B919D" w14:textId="091123C0" w:rsidR="00A73747" w:rsidRDefault="00A73747" w:rsidP="00A737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3747">
              <w:rPr>
                <w:rFonts w:asciiTheme="minorHAnsi" w:hAnsiTheme="minorHAnsi" w:cstheme="minorHAnsi"/>
                <w:sz w:val="22"/>
                <w:szCs w:val="22"/>
              </w:rPr>
              <w:t xml:space="preserve">systemów dziedzinowych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A73747">
              <w:rPr>
                <w:rFonts w:asciiTheme="minorHAnsi" w:hAnsiTheme="minorHAnsi" w:cstheme="minorHAnsi"/>
                <w:sz w:val="22"/>
                <w:szCs w:val="22"/>
              </w:rPr>
              <w:t xml:space="preserve">esortu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A73747">
              <w:rPr>
                <w:rFonts w:asciiTheme="minorHAnsi" w:hAnsiTheme="minorHAnsi" w:cstheme="minorHAnsi"/>
                <w:sz w:val="22"/>
                <w:szCs w:val="22"/>
              </w:rPr>
              <w:t xml:space="preserve">inansów i są wprowadzane </w:t>
            </w:r>
            <w:r w:rsidR="00F82E31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5C2D5F">
              <w:rPr>
                <w:rFonts w:asciiTheme="minorHAnsi" w:hAnsiTheme="minorHAnsi" w:cstheme="minorHAnsi"/>
                <w:sz w:val="22"/>
                <w:szCs w:val="22"/>
              </w:rPr>
              <w:t xml:space="preserve"> nich </w:t>
            </w:r>
            <w:r w:rsidRPr="00A73747">
              <w:rPr>
                <w:rFonts w:asciiTheme="minorHAnsi" w:hAnsiTheme="minorHAnsi" w:cstheme="minorHAnsi"/>
                <w:sz w:val="22"/>
                <w:szCs w:val="22"/>
              </w:rPr>
              <w:t>bezpośrednio przez pracowników urzędów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administracji skarbowej. Informacje w narzędziu CRM-RF są wykorzystywane wyłącznie przez pracowników Resortu Finansów.</w:t>
            </w:r>
          </w:p>
          <w:p w14:paraId="787839F6" w14:textId="6CB68CDD" w:rsidR="00FE2010" w:rsidRPr="00F019F8" w:rsidRDefault="00FE2010" w:rsidP="004B3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192" w:rsidRPr="00F019F8" w14:paraId="66660A7B" w14:textId="77777777" w:rsidTr="00AA3192">
        <w:tc>
          <w:tcPr>
            <w:tcW w:w="160" w:type="pct"/>
            <w:shd w:val="clear" w:color="auto" w:fill="auto"/>
          </w:tcPr>
          <w:p w14:paraId="47954DF8" w14:textId="77777777" w:rsidR="006C4A6E" w:rsidRPr="00C45E21" w:rsidRDefault="006C4A6E" w:rsidP="006C4A6E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45DCEE2C" w14:textId="64596EFF" w:rsidR="006C4A6E" w:rsidRDefault="006C4A6E" w:rsidP="006C4A6E">
            <w:pPr>
              <w:jc w:val="center"/>
            </w:pPr>
            <w:r w:rsidRPr="000C41E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64" w:type="pct"/>
            <w:shd w:val="clear" w:color="auto" w:fill="auto"/>
          </w:tcPr>
          <w:p w14:paraId="47A9E7F9" w14:textId="77777777" w:rsidR="006C4A6E" w:rsidRDefault="006C4A6E" w:rsidP="006C4A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  <w:p w14:paraId="5C351B10" w14:textId="77777777" w:rsidR="006C4A6E" w:rsidRDefault="006C4A6E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0" w:type="pct"/>
            <w:shd w:val="clear" w:color="auto" w:fill="auto"/>
          </w:tcPr>
          <w:p w14:paraId="422262A9" w14:textId="17BD8341" w:rsidR="00817A9C" w:rsidRPr="0026694E" w:rsidRDefault="00A84FE5" w:rsidP="00817A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tym punkcie jest mowa </w:t>
            </w:r>
            <w:r w:rsidRPr="00A84FE5">
              <w:rPr>
                <w:rFonts w:ascii="Calibri" w:hAnsi="Calibri" w:cs="Calibri"/>
                <w:color w:val="000000"/>
                <w:sz w:val="22"/>
                <w:szCs w:val="22"/>
              </w:rPr>
              <w:t>o 8000 użytkowników systemu, tymczasem w punkcie 1.1 jest liczba  30 000, a przeszkolonych osób będzie około 3000 czyli nie więcej niż 10 %. - Niezrozumiałym jest więc zapis o zwiększaniu licz</w:t>
            </w:r>
            <w:r w:rsidR="009E30DF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  <w:r w:rsidRPr="00A84FE5">
              <w:rPr>
                <w:rFonts w:ascii="Calibri" w:hAnsi="Calibri" w:cs="Calibri"/>
                <w:color w:val="000000"/>
                <w:sz w:val="22"/>
                <w:szCs w:val="22"/>
              </w:rPr>
              <w:t>y użytkowników i zmniejszenie liczby osób przeszkolonych</w:t>
            </w:r>
          </w:p>
        </w:tc>
        <w:tc>
          <w:tcPr>
            <w:tcW w:w="507" w:type="pct"/>
            <w:shd w:val="clear" w:color="auto" w:fill="auto"/>
          </w:tcPr>
          <w:p w14:paraId="3C2FC4D6" w14:textId="62911A04" w:rsidR="006C4A6E" w:rsidRPr="00F019F8" w:rsidRDefault="006C4A6E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analizę i </w:t>
            </w:r>
            <w:r w:rsidR="009E30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ew.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korektę opisu założeń.</w:t>
            </w:r>
          </w:p>
        </w:tc>
        <w:tc>
          <w:tcPr>
            <w:tcW w:w="2054" w:type="pct"/>
          </w:tcPr>
          <w:p w14:paraId="16D08D6C" w14:textId="77777777" w:rsidR="00DA6E2C" w:rsidRDefault="00DA6E2C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8755EB" w14:textId="56A86FA9" w:rsidR="007A2753" w:rsidRDefault="00C24B0E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6E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nieuwzględniona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z</w:t>
            </w:r>
            <w:r w:rsidR="00AA3192">
              <w:rPr>
                <w:rFonts w:asciiTheme="minorHAnsi" w:hAnsiTheme="minorHAnsi" w:cstheme="minorHAnsi"/>
                <w:sz w:val="22"/>
                <w:szCs w:val="22"/>
              </w:rPr>
              <w:t>aprezentowane w OZPI informacj</w:t>
            </w:r>
            <w:r w:rsidR="007A2753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AA3192">
              <w:rPr>
                <w:rFonts w:asciiTheme="minorHAnsi" w:hAnsiTheme="minorHAnsi" w:cstheme="minorHAnsi"/>
                <w:sz w:val="22"/>
                <w:szCs w:val="22"/>
              </w:rPr>
              <w:t xml:space="preserve"> odzwierciedlają stan faktyczny.</w:t>
            </w:r>
          </w:p>
          <w:p w14:paraId="770C59C9" w14:textId="0779964A" w:rsidR="00216EA5" w:rsidRDefault="00AA3192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ramach </w:t>
            </w:r>
            <w:r w:rsidR="00216EA5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rojektu </w:t>
            </w:r>
            <w:r w:rsidR="00216EA5">
              <w:rPr>
                <w:rFonts w:asciiTheme="minorHAnsi" w:hAnsiTheme="minorHAnsi" w:cstheme="minorHAnsi"/>
                <w:sz w:val="22"/>
                <w:szCs w:val="22"/>
              </w:rPr>
              <w:t xml:space="preserve">pt. Zarządzanie relacjami z klientem KAS (tzw. projekt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CRM 1.0</w:t>
            </w:r>
            <w:r w:rsidR="00216EA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stworzono narzędzie CRM-RF, które integruje część z systemów bazodanowych</w:t>
            </w:r>
            <w:r w:rsidR="00216EA5">
              <w:rPr>
                <w:rFonts w:asciiTheme="minorHAnsi" w:hAnsiTheme="minorHAnsi" w:cstheme="minorHAnsi"/>
                <w:sz w:val="22"/>
                <w:szCs w:val="22"/>
              </w:rPr>
              <w:t xml:space="preserve"> Resortu Finansów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W związku z tym aktualnie</w:t>
            </w:r>
            <w:r w:rsidR="00216EA5">
              <w:rPr>
                <w:rFonts w:asciiTheme="minorHAnsi" w:hAnsiTheme="minorHAnsi" w:cstheme="minorHAnsi"/>
                <w:sz w:val="22"/>
                <w:szCs w:val="22"/>
              </w:rPr>
              <w:t xml:space="preserve">, przy realizacji swoich obowiązków służbowych </w:t>
            </w:r>
            <w:r w:rsidR="00216EA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związanych z obsługą podatników,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korzysta z niego około 8</w:t>
            </w:r>
            <w:r w:rsidR="007A27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000 użytkowników</w:t>
            </w:r>
            <w:r w:rsidR="00216EA5">
              <w:rPr>
                <w:rFonts w:asciiTheme="minorHAnsi" w:hAnsiTheme="minorHAnsi" w:cstheme="minorHAnsi"/>
                <w:sz w:val="22"/>
                <w:szCs w:val="22"/>
              </w:rPr>
              <w:t xml:space="preserve"> (pracowników Resortu Finansów). Jednocześnie należy zaznaczyć, że w ramach projektu CRM 1.0  przeszkolono część z 8000 użytkowników. Przeszkoleni pracownicy dzielili się zdobytą wiedzą i umiejętnościami z innymi pracownikami  na zasadzie szkoleń kaskadowych.</w:t>
            </w:r>
          </w:p>
          <w:p w14:paraId="4502226C" w14:textId="77777777" w:rsidR="00216EA5" w:rsidRDefault="00216EA5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7F5682" w14:textId="77777777" w:rsidR="004B3BB9" w:rsidRDefault="00216EA5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Wnioskodawca planując rozbudowę narzędzia </w:t>
            </w:r>
            <w:r w:rsidRPr="004B3BB9">
              <w:rPr>
                <w:rFonts w:asciiTheme="minorHAnsi" w:hAnsiTheme="minorHAnsi" w:cstheme="minorHAnsi"/>
                <w:sz w:val="22"/>
                <w:szCs w:val="22"/>
              </w:rPr>
              <w:t xml:space="preserve">uwzględnił integrację z </w:t>
            </w:r>
            <w:r w:rsidR="004B3BB9">
              <w:rPr>
                <w:rFonts w:asciiTheme="minorHAnsi" w:hAnsiTheme="minorHAnsi" w:cstheme="minorHAnsi"/>
                <w:sz w:val="22"/>
                <w:szCs w:val="22"/>
              </w:rPr>
              <w:t>najważniejszymi</w:t>
            </w:r>
            <w:r w:rsidRPr="004B3BB9">
              <w:rPr>
                <w:rFonts w:asciiTheme="minorHAnsi" w:hAnsiTheme="minorHAnsi" w:cstheme="minorHAnsi"/>
                <w:sz w:val="22"/>
                <w:szCs w:val="22"/>
              </w:rPr>
              <w:t xml:space="preserve"> system</w:t>
            </w:r>
            <w:r w:rsidR="004B3BB9">
              <w:rPr>
                <w:rFonts w:asciiTheme="minorHAnsi" w:hAnsiTheme="minorHAnsi" w:cstheme="minorHAnsi"/>
                <w:sz w:val="22"/>
                <w:szCs w:val="22"/>
              </w:rPr>
              <w:t>ami</w:t>
            </w:r>
            <w:r w:rsidRPr="004B3BB9">
              <w:rPr>
                <w:rFonts w:asciiTheme="minorHAnsi" w:hAnsiTheme="minorHAnsi" w:cstheme="minorHAnsi"/>
                <w:sz w:val="22"/>
                <w:szCs w:val="22"/>
              </w:rPr>
              <w:t xml:space="preserve"> bazodanowych Resortu Finansów. Pozwoli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to na znaczne zwiększenie wolumenu użytkowników narzędzia. </w:t>
            </w:r>
            <w:r w:rsidR="00AA3192">
              <w:rPr>
                <w:rFonts w:asciiTheme="minorHAnsi" w:hAnsiTheme="minorHAnsi" w:cstheme="minorHAnsi"/>
                <w:sz w:val="22"/>
                <w:szCs w:val="22"/>
              </w:rPr>
              <w:t>Zgodnie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 w:rsidR="00AA3192">
              <w:rPr>
                <w:rFonts w:asciiTheme="minorHAnsi" w:hAnsiTheme="minorHAnsi" w:cstheme="minorHAnsi"/>
                <w:sz w:val="22"/>
                <w:szCs w:val="22"/>
              </w:rPr>
              <w:t xml:space="preserve"> dokonanymi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szacunkami liczba</w:t>
            </w:r>
            <w:r w:rsidR="00AA3192">
              <w:rPr>
                <w:rFonts w:asciiTheme="minorHAnsi" w:hAnsiTheme="minorHAnsi" w:cstheme="minorHAnsi"/>
                <w:sz w:val="22"/>
                <w:szCs w:val="22"/>
              </w:rPr>
              <w:t xml:space="preserve"> pracowników administracji skarbowej, którz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 </w:t>
            </w:r>
            <w:r w:rsidR="004B3BB9">
              <w:rPr>
                <w:rFonts w:asciiTheme="minorHAnsi" w:hAnsiTheme="minorHAnsi" w:cstheme="minorHAnsi"/>
                <w:sz w:val="22"/>
                <w:szCs w:val="22"/>
              </w:rPr>
              <w:t xml:space="preserve">będą mogli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korzystać z zmodernizowanego narzędzia wynosić będzie 30</w:t>
            </w:r>
            <w:r w:rsidR="007A27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000</w:t>
            </w:r>
            <w:r w:rsidR="00AA31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2753">
              <w:rPr>
                <w:rFonts w:asciiTheme="minorHAnsi" w:hAnsiTheme="minorHAnsi" w:cstheme="minorHAnsi"/>
                <w:sz w:val="22"/>
                <w:szCs w:val="22"/>
              </w:rPr>
              <w:t>(są to zidentyfikowani i</w:t>
            </w:r>
            <w:r w:rsidR="00AA3192">
              <w:rPr>
                <w:rFonts w:asciiTheme="minorHAnsi" w:hAnsiTheme="minorHAnsi" w:cstheme="minorHAnsi"/>
                <w:sz w:val="22"/>
                <w:szCs w:val="22"/>
              </w:rPr>
              <w:t>nteresariusze projektu</w:t>
            </w:r>
            <w:r w:rsidR="007A2753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14:paraId="70C162DC" w14:textId="56009FE7" w:rsidR="00440C2C" w:rsidRDefault="007A2753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Modernizacja narzędzia (obejmująca kolejne integracje i nowe funkcjonalności) pociąga za sobą konieczność przeprowadzenia szkoleń dla użytkowników ze zmodernizowanego </w:t>
            </w:r>
            <w:r w:rsidR="004B3BB9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Liczba osób (liczona wg numeru PESEL) zaplanowanych do przeszkolenia w ramach projektu wynosi 3 000, a wśród nich znajdą się przedstawiciele wszystkich urzędów, tak aby następnie mog</w:t>
            </w:r>
            <w:r w:rsidR="00F82E31">
              <w:rPr>
                <w:rFonts w:asciiTheme="minorHAnsi" w:hAnsiTheme="minorHAnsi" w:cstheme="minorHAnsi"/>
                <w:sz w:val="22"/>
                <w:szCs w:val="22"/>
              </w:rPr>
              <w:t>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dzielić się swoją wiedzą z</w:t>
            </w:r>
            <w:r w:rsidR="004B3BB9">
              <w:rPr>
                <w:rFonts w:asciiTheme="minorHAnsi" w:hAnsiTheme="minorHAnsi" w:cstheme="minorHAnsi"/>
                <w:sz w:val="22"/>
                <w:szCs w:val="22"/>
              </w:rPr>
              <w:t>e współ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pracownikami.</w:t>
            </w:r>
            <w:r w:rsidR="00440C2C">
              <w:rPr>
                <w:rFonts w:asciiTheme="minorHAnsi" w:hAnsiTheme="minorHAnsi" w:cstheme="minorHAnsi"/>
                <w:sz w:val="22"/>
                <w:szCs w:val="22"/>
              </w:rPr>
              <w:t xml:space="preserve"> Wskazana liczba osób do przeszkolenia odnosi się do planowanych zakupów szkoleniowych, natomiast docelowo przeszkoleni zostaną wszyscy użytkownicy (kaskadowo, siłami własnymi).</w:t>
            </w:r>
          </w:p>
          <w:p w14:paraId="505865BB" w14:textId="459EA76D" w:rsidR="006C4A6E" w:rsidRDefault="007A2753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Należy zwrócić uwagę, że </w:t>
            </w:r>
            <w:r w:rsidR="00440C2C">
              <w:rPr>
                <w:rFonts w:asciiTheme="minorHAnsi" w:hAnsiTheme="minorHAnsi" w:cstheme="minorHAnsi"/>
                <w:sz w:val="22"/>
                <w:szCs w:val="22"/>
              </w:rPr>
              <w:t xml:space="preserve">możliwość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przeszkoleni</w:t>
            </w:r>
            <w:r w:rsidR="00440C2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użytkowników w ramach planowanego projektu jest </w:t>
            </w:r>
            <w:r w:rsidR="00440C2C">
              <w:rPr>
                <w:rFonts w:asciiTheme="minorHAnsi" w:hAnsiTheme="minorHAnsi" w:cstheme="minorHAnsi"/>
                <w:sz w:val="22"/>
                <w:szCs w:val="22"/>
              </w:rPr>
              <w:t xml:space="preserve">ograniczona posiadanymi zasobami – zarówno finansowymi, jak i czasowymi. Wartość docelowa przyjęta na potrzeby naboru </w:t>
            </w:r>
            <w:r w:rsidR="00440C2C" w:rsidRPr="00440C2C">
              <w:rPr>
                <w:rFonts w:asciiTheme="minorHAnsi" w:hAnsiTheme="minorHAnsi" w:cstheme="minorHAnsi"/>
                <w:sz w:val="22"/>
                <w:szCs w:val="22"/>
              </w:rPr>
              <w:t>FERC.02.01-IP.01-001/23</w:t>
            </w:r>
            <w:r w:rsidR="00440C2C">
              <w:rPr>
                <w:rFonts w:asciiTheme="minorHAnsi" w:hAnsiTheme="minorHAnsi" w:cstheme="minorHAnsi"/>
                <w:sz w:val="22"/>
                <w:szCs w:val="22"/>
              </w:rPr>
              <w:t xml:space="preserve"> jest</w:t>
            </w:r>
            <w:r w:rsidR="00C24B0E">
              <w:rPr>
                <w:rFonts w:asciiTheme="minorHAnsi" w:hAnsiTheme="minorHAnsi" w:cstheme="minorHAnsi"/>
                <w:sz w:val="22"/>
                <w:szCs w:val="22"/>
              </w:rPr>
              <w:t xml:space="preserve"> w opinii wnioskodawcy</w:t>
            </w:r>
            <w:r w:rsidR="00440C2C">
              <w:rPr>
                <w:rFonts w:asciiTheme="minorHAnsi" w:hAnsiTheme="minorHAnsi" w:cstheme="minorHAnsi"/>
                <w:sz w:val="22"/>
                <w:szCs w:val="22"/>
              </w:rPr>
              <w:t xml:space="preserve"> oszacowana realnie i rzetelnie.</w:t>
            </w:r>
            <w:r w:rsidR="004B3BB9">
              <w:rPr>
                <w:rFonts w:asciiTheme="minorHAnsi" w:hAnsiTheme="minorHAnsi" w:cstheme="minorHAnsi"/>
                <w:sz w:val="22"/>
                <w:szCs w:val="22"/>
              </w:rPr>
              <w:t xml:space="preserve"> Dochowana zostanie staranność, aby ostatecznie liczba osób przeszkolonych obejmowała wszystkich użytkowników narzędzia.</w:t>
            </w:r>
          </w:p>
          <w:p w14:paraId="0F9F1E9C" w14:textId="3B4139EF" w:rsidR="00FE2010" w:rsidRPr="00F019F8" w:rsidRDefault="00FE2010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192" w:rsidRPr="00F019F8" w14:paraId="3D9FF1AD" w14:textId="77777777" w:rsidTr="00AA3192">
        <w:tc>
          <w:tcPr>
            <w:tcW w:w="160" w:type="pct"/>
            <w:shd w:val="clear" w:color="auto" w:fill="auto"/>
          </w:tcPr>
          <w:p w14:paraId="73ACF948" w14:textId="77777777" w:rsidR="009D7C56" w:rsidRPr="00C45E21" w:rsidRDefault="009D7C56" w:rsidP="006C4A6E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4DE42EE0" w14:textId="5176BAFC" w:rsidR="009D7C56" w:rsidRPr="000C41E6" w:rsidRDefault="009D7C56" w:rsidP="006C4A6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64" w:type="pct"/>
            <w:shd w:val="clear" w:color="auto" w:fill="auto"/>
          </w:tcPr>
          <w:p w14:paraId="45E71A9F" w14:textId="77777777" w:rsidR="009D7C56" w:rsidRDefault="009D7C56" w:rsidP="009D7C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2.1. Cele i korzyści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wynikające z projektu</w:t>
            </w:r>
          </w:p>
        </w:tc>
        <w:tc>
          <w:tcPr>
            <w:tcW w:w="1360" w:type="pct"/>
            <w:shd w:val="clear" w:color="auto" w:fill="auto"/>
          </w:tcPr>
          <w:p w14:paraId="77F51927" w14:textId="1FBF441C" w:rsidR="00BD1DCD" w:rsidRDefault="009E30DF" w:rsidP="00C866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E30D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KPI poza numerami 3, 14 nie mówią nic znaczącego o rezultatach czy produktach </w:t>
            </w:r>
            <w:r w:rsidRPr="009E30D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Sugerujemy przemyślenie własnych KPI.</w:t>
            </w:r>
          </w:p>
        </w:tc>
        <w:tc>
          <w:tcPr>
            <w:tcW w:w="507" w:type="pct"/>
            <w:shd w:val="clear" w:color="auto" w:fill="auto"/>
          </w:tcPr>
          <w:p w14:paraId="10D2E907" w14:textId="5A9E636C" w:rsidR="009D7C56" w:rsidRDefault="00C866C8" w:rsidP="006C4A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analizę i</w:t>
            </w:r>
            <w:r w:rsidR="009E30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korektę opisu założeń.</w:t>
            </w:r>
          </w:p>
        </w:tc>
        <w:tc>
          <w:tcPr>
            <w:tcW w:w="2054" w:type="pct"/>
          </w:tcPr>
          <w:p w14:paraId="576254BD" w14:textId="77777777" w:rsidR="00DA6E2C" w:rsidRDefault="00DA6E2C" w:rsidP="00B328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D4879C" w14:textId="59CE38B5" w:rsidR="00B328B8" w:rsidRPr="00DA6E2C" w:rsidRDefault="00B328B8" w:rsidP="00B328B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6E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Uwaga </w:t>
            </w:r>
            <w:r w:rsidR="000041F8" w:rsidRPr="00DA6E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częściowo uwzględniona.</w:t>
            </w:r>
          </w:p>
          <w:p w14:paraId="604E1A0A" w14:textId="77777777" w:rsidR="009D7C56" w:rsidRDefault="009D7C56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B4F0A6" w14:textId="3470BC6E" w:rsidR="000041F8" w:rsidRDefault="00B328B8" w:rsidP="00CE3B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28B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Wymienione przez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Wnioskodawcę</w:t>
            </w:r>
            <w:r w:rsidRPr="00B328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KPI w punkcie 2.1 Cele i korzyści wynikające z projektu</w:t>
            </w:r>
            <w:r w:rsidRPr="00B328B8">
              <w:rPr>
                <w:rFonts w:asciiTheme="minorHAnsi" w:hAnsiTheme="minorHAnsi" w:cstheme="minorHAnsi"/>
                <w:sz w:val="22"/>
                <w:szCs w:val="22"/>
              </w:rPr>
              <w:t xml:space="preserve"> obejmują wskaźniki </w:t>
            </w:r>
            <w:r w:rsidR="00F82E31">
              <w:rPr>
                <w:rFonts w:asciiTheme="minorHAnsi" w:hAnsiTheme="minorHAnsi" w:cstheme="minorHAnsi"/>
                <w:sz w:val="22"/>
                <w:szCs w:val="22"/>
              </w:rPr>
              <w:t>narzucone</w:t>
            </w:r>
            <w:r w:rsidRPr="00B328B8">
              <w:rPr>
                <w:rFonts w:asciiTheme="minorHAnsi" w:hAnsiTheme="minorHAnsi" w:cstheme="minorHAnsi"/>
                <w:sz w:val="22"/>
                <w:szCs w:val="22"/>
              </w:rPr>
              <w:t xml:space="preserve"> przez FERC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(wymienione w punktach 1-10 </w:t>
            </w:r>
            <w:r w:rsidRPr="00B328B8">
              <w:rPr>
                <w:rFonts w:asciiTheme="minorHAnsi" w:hAnsiTheme="minorHAnsi" w:cstheme="minorHAnsi"/>
                <w:sz w:val="22"/>
                <w:szCs w:val="22"/>
              </w:rPr>
              <w:t>oraz wskaźniki własne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wymienione w punktach 11-14)</w:t>
            </w:r>
            <w:r w:rsidRPr="00B328B8">
              <w:rPr>
                <w:rFonts w:asciiTheme="minorHAnsi" w:hAnsiTheme="minorHAnsi" w:cstheme="minorHAnsi"/>
                <w:sz w:val="22"/>
                <w:szCs w:val="22"/>
              </w:rPr>
              <w:t>. Ich dobór i wielkość były przedmiotem analizy na potrzeby składania wniosku o dofinansowanie z FERC. Biorąc pod uwagę, że jest to projekt, w ramach którego rozbudow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ywane jest </w:t>
            </w:r>
            <w:r w:rsidRPr="00B328B8">
              <w:rPr>
                <w:rFonts w:asciiTheme="minorHAnsi" w:hAnsiTheme="minorHAnsi" w:cstheme="minorHAnsi"/>
                <w:sz w:val="22"/>
                <w:szCs w:val="22"/>
              </w:rPr>
              <w:t xml:space="preserve">narzędzie informatyczne typu </w:t>
            </w:r>
            <w:proofErr w:type="spellStart"/>
            <w:r w:rsidRPr="00B328B8">
              <w:rPr>
                <w:rFonts w:asciiTheme="minorHAnsi" w:hAnsiTheme="minorHAnsi" w:cstheme="minorHAnsi"/>
                <w:sz w:val="22"/>
                <w:szCs w:val="22"/>
              </w:rPr>
              <w:t>back-office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zaproponowane KPI odzwierciedlają zaplanowane rezultaty i produkty</w:t>
            </w:r>
            <w:r w:rsidR="00CE3B4C">
              <w:rPr>
                <w:rFonts w:asciiTheme="minorHAnsi" w:hAnsiTheme="minorHAnsi" w:cstheme="minorHAnsi"/>
                <w:sz w:val="22"/>
                <w:szCs w:val="22"/>
              </w:rPr>
              <w:t>. P</w:t>
            </w:r>
            <w:r w:rsidR="004B3BB9">
              <w:rPr>
                <w:rFonts w:asciiTheme="minorHAnsi" w:hAnsiTheme="minorHAnsi" w:cstheme="minorHAnsi"/>
                <w:sz w:val="22"/>
                <w:szCs w:val="22"/>
              </w:rPr>
              <w:t xml:space="preserve">rzedstawiają zakupione licencje i infrastrukturę, która udowadnia, ze zaplanowane środowisko będzie stabilne i wydajne. </w:t>
            </w:r>
          </w:p>
          <w:p w14:paraId="28808CDC" w14:textId="77777777" w:rsidR="00CE3B4C" w:rsidRDefault="00CE3B4C" w:rsidP="00CE3B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1605AC" w14:textId="3221CBD5" w:rsidR="004B3BB9" w:rsidRDefault="000041F8" w:rsidP="00DA6E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Wnioskodawca poprawił </w:t>
            </w:r>
            <w:r w:rsidR="00F82E31">
              <w:rPr>
                <w:rFonts w:asciiTheme="minorHAnsi" w:hAnsiTheme="minorHAnsi" w:cstheme="minorHAnsi"/>
                <w:sz w:val="22"/>
                <w:szCs w:val="22"/>
              </w:rPr>
              <w:t>KPI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usuwając wskaźnik „</w:t>
            </w:r>
            <w:r w:rsidRPr="000041F8">
              <w:rPr>
                <w:rFonts w:asciiTheme="minorHAnsi" w:hAnsiTheme="minorHAnsi" w:cstheme="minorHAnsi"/>
                <w:sz w:val="22"/>
                <w:szCs w:val="22"/>
              </w:rPr>
              <w:t>Liczba podmiotów wspartych w zakresie rozwoju usług, produktów i procesów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”, a dodając wskaźnik produktu określający oddane do użytkowanie zmodernizowane narzędzie: </w:t>
            </w:r>
            <w:r w:rsidR="00DA6E2C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DA6E2C" w:rsidRPr="00DA6E2C">
              <w:rPr>
                <w:rFonts w:asciiTheme="minorHAnsi" w:hAnsiTheme="minorHAnsi" w:cstheme="minorHAnsi"/>
                <w:sz w:val="22"/>
                <w:szCs w:val="22"/>
              </w:rPr>
              <w:t>Liczba uruchomionych</w:t>
            </w:r>
            <w:r w:rsidR="00DA6E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6E2C" w:rsidRPr="00DA6E2C">
              <w:rPr>
                <w:rFonts w:asciiTheme="minorHAnsi" w:hAnsiTheme="minorHAnsi" w:cstheme="minorHAnsi"/>
                <w:sz w:val="22"/>
                <w:szCs w:val="22"/>
              </w:rPr>
              <w:t>systemów teleinformatycznych w podmiotach wykonujących</w:t>
            </w:r>
            <w:r w:rsidR="00DA6E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6E2C" w:rsidRPr="00DA6E2C">
              <w:rPr>
                <w:rFonts w:asciiTheme="minorHAnsi" w:hAnsiTheme="minorHAnsi" w:cstheme="minorHAnsi"/>
                <w:sz w:val="22"/>
                <w:szCs w:val="22"/>
              </w:rPr>
              <w:t>zadania publiczne”.</w:t>
            </w:r>
          </w:p>
          <w:p w14:paraId="06426EC3" w14:textId="0ED601F6" w:rsidR="00DA6E2C" w:rsidRPr="00F019F8" w:rsidRDefault="00DA6E2C" w:rsidP="00DA6E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192" w:rsidRPr="00F019F8" w14:paraId="1B601968" w14:textId="77777777" w:rsidTr="00AA3192">
        <w:tc>
          <w:tcPr>
            <w:tcW w:w="160" w:type="pct"/>
            <w:shd w:val="clear" w:color="auto" w:fill="auto"/>
          </w:tcPr>
          <w:p w14:paraId="1C517282" w14:textId="77777777" w:rsidR="000823E2" w:rsidRPr="00C45E21" w:rsidRDefault="000823E2" w:rsidP="000823E2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7BA2B446" w14:textId="4A9DEB31" w:rsidR="000823E2" w:rsidRPr="000C41E6" w:rsidRDefault="000823E2" w:rsidP="000823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64" w:type="pct"/>
            <w:shd w:val="clear" w:color="auto" w:fill="auto"/>
          </w:tcPr>
          <w:p w14:paraId="2BEAD379" w14:textId="617EEF52" w:rsidR="000823E2" w:rsidRPr="00967B18" w:rsidRDefault="00BD3E48" w:rsidP="000823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3E48">
              <w:rPr>
                <w:rFonts w:ascii="Calibri" w:hAnsi="Calibri" w:cs="Calibri"/>
                <w:color w:val="000000"/>
                <w:sz w:val="22"/>
                <w:szCs w:val="22"/>
              </w:rPr>
              <w:t>2.2. Udostępnione e-usługi</w:t>
            </w:r>
          </w:p>
        </w:tc>
        <w:tc>
          <w:tcPr>
            <w:tcW w:w="1360" w:type="pct"/>
            <w:shd w:val="clear" w:color="auto" w:fill="auto"/>
          </w:tcPr>
          <w:p w14:paraId="3851500D" w14:textId="61BC02C7" w:rsidR="009E30DF" w:rsidRPr="008363FE" w:rsidRDefault="009E30DF" w:rsidP="009E30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E30DF">
              <w:rPr>
                <w:rFonts w:asciiTheme="minorHAnsi" w:hAnsiTheme="minorHAnsi" w:cstheme="minorHAnsi"/>
                <w:sz w:val="22"/>
                <w:szCs w:val="22"/>
              </w:rPr>
              <w:t>Mało prawdopodobne aby zakres odziaływania wszystkich usług był identyczny „Resort Finansów (rocznie ok 7500000 transakcji)”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1BBE179" w14:textId="6013B583" w:rsidR="000823E2" w:rsidRPr="008363FE" w:rsidRDefault="000823E2" w:rsidP="00BD3E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shd w:val="clear" w:color="auto" w:fill="auto"/>
          </w:tcPr>
          <w:p w14:paraId="2FC5D139" w14:textId="7A92D33D" w:rsidR="000823E2" w:rsidRPr="00891E39" w:rsidRDefault="000823E2" w:rsidP="000823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oszę o analizę i </w:t>
            </w:r>
            <w:r w:rsidR="009E30DF"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2054" w:type="pct"/>
          </w:tcPr>
          <w:p w14:paraId="7839349F" w14:textId="77777777" w:rsidR="00DA6E2C" w:rsidRDefault="00DA6E2C" w:rsidP="000823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D2CD5D" w14:textId="7259C075" w:rsidR="00C24B0E" w:rsidRPr="00DA6E2C" w:rsidRDefault="00C24B0E" w:rsidP="000823E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6E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nieuwzględniona.</w:t>
            </w:r>
          </w:p>
          <w:p w14:paraId="4279C1D9" w14:textId="77777777" w:rsidR="00C24B0E" w:rsidRDefault="00C24B0E" w:rsidP="000823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E972F6" w14:textId="7D51823A" w:rsidR="000823E2" w:rsidRPr="001A02DC" w:rsidRDefault="00C24B0E" w:rsidP="000823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02DC">
              <w:rPr>
                <w:rFonts w:asciiTheme="minorHAnsi" w:hAnsiTheme="minorHAnsi" w:cstheme="minorHAnsi"/>
                <w:sz w:val="22"/>
                <w:szCs w:val="22"/>
              </w:rPr>
              <w:t>Liczba transakcji dla każdej z usług została oszacowana przy uwzględnieniu 30 000 użytkowników korzystających z usług przez ok</w:t>
            </w:r>
            <w:r w:rsidR="001A02DC" w:rsidRPr="001A02D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A02DC">
              <w:rPr>
                <w:rFonts w:asciiTheme="minorHAnsi" w:hAnsiTheme="minorHAnsi" w:cstheme="minorHAnsi"/>
                <w:sz w:val="22"/>
                <w:szCs w:val="22"/>
              </w:rPr>
              <w:t xml:space="preserve"> 250 dni roboczych w roku. Liczba transakcji może się nieznacznie różnić między sobą, jednak na potrzeby analizy przyjęto pewne stałe</w:t>
            </w:r>
            <w:r w:rsidR="001A02DC" w:rsidRPr="001A02DC">
              <w:rPr>
                <w:rFonts w:asciiTheme="minorHAnsi" w:hAnsiTheme="minorHAnsi" w:cstheme="minorHAnsi"/>
                <w:sz w:val="22"/>
                <w:szCs w:val="22"/>
              </w:rPr>
              <w:t xml:space="preserve"> wartości</w:t>
            </w:r>
            <w:r w:rsidRPr="001A02D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2F8519F" w14:textId="64D6E3AE" w:rsidR="00FE2010" w:rsidRPr="00F019F8" w:rsidRDefault="00FE2010" w:rsidP="000823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192" w:rsidRPr="00F019F8" w14:paraId="2B058814" w14:textId="77777777" w:rsidTr="00AA3192">
        <w:tc>
          <w:tcPr>
            <w:tcW w:w="160" w:type="pct"/>
            <w:shd w:val="clear" w:color="auto" w:fill="auto"/>
          </w:tcPr>
          <w:p w14:paraId="50BB59B0" w14:textId="77777777" w:rsidR="0053028A" w:rsidRPr="00C45E21" w:rsidRDefault="0053028A" w:rsidP="0053028A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3E6C838A" w14:textId="71B3BB74" w:rsidR="0053028A" w:rsidRDefault="0053028A" w:rsidP="0053028A">
            <w:pPr>
              <w:jc w:val="center"/>
            </w:pPr>
            <w:r w:rsidRPr="000C41E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64" w:type="pct"/>
            <w:shd w:val="clear" w:color="auto" w:fill="auto"/>
          </w:tcPr>
          <w:p w14:paraId="63FF0D5D" w14:textId="46330634" w:rsidR="0053028A" w:rsidRPr="00183597" w:rsidRDefault="009E30DF" w:rsidP="005302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3E48">
              <w:rPr>
                <w:rFonts w:ascii="Calibri" w:hAnsi="Calibri" w:cs="Calibri"/>
                <w:color w:val="000000"/>
                <w:sz w:val="22"/>
                <w:szCs w:val="22"/>
              </w:rPr>
              <w:t>2.2. Udostępnione e-usługi</w:t>
            </w:r>
          </w:p>
        </w:tc>
        <w:tc>
          <w:tcPr>
            <w:tcW w:w="1360" w:type="pct"/>
            <w:shd w:val="clear" w:color="auto" w:fill="auto"/>
          </w:tcPr>
          <w:p w14:paraId="0DEA8EC7" w14:textId="590A8C4E" w:rsidR="0053028A" w:rsidRDefault="009E30DF" w:rsidP="005302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E30DF">
              <w:rPr>
                <w:rFonts w:asciiTheme="minorHAnsi" w:hAnsiTheme="minorHAnsi" w:cstheme="minorHAnsi"/>
                <w:sz w:val="22"/>
                <w:szCs w:val="22"/>
              </w:rPr>
              <w:t>Projekt mający na celu poprawę relacji z klientami i szybkość udzielania informacji powinien dostarczać również usługi bezpośrednio klientom, w szczególności podatnikom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07" w:type="pct"/>
            <w:shd w:val="clear" w:color="auto" w:fill="auto"/>
          </w:tcPr>
          <w:p w14:paraId="7A7415EC" w14:textId="70EF4089" w:rsidR="0053028A" w:rsidRDefault="00554138" w:rsidP="005302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2054" w:type="pct"/>
          </w:tcPr>
          <w:p w14:paraId="5BD3493C" w14:textId="77777777" w:rsidR="00DA6E2C" w:rsidRDefault="00DA6E2C" w:rsidP="005302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BFBD45" w14:textId="45A4BC29" w:rsidR="00C24B0E" w:rsidRPr="00DA6E2C" w:rsidRDefault="00C24B0E" w:rsidP="0053028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6E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nieuwzględniona</w:t>
            </w:r>
          </w:p>
          <w:p w14:paraId="15DE734A" w14:textId="77777777" w:rsidR="00C24B0E" w:rsidRPr="00DA6E2C" w:rsidRDefault="00C24B0E" w:rsidP="0053028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27DA0FE" w14:textId="65B3C831" w:rsidR="00CE3B4C" w:rsidRDefault="00C24B0E" w:rsidP="00CE3B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B0E">
              <w:rPr>
                <w:rFonts w:asciiTheme="minorHAnsi" w:hAnsiTheme="minorHAnsi" w:cstheme="minorHAnsi"/>
                <w:sz w:val="22"/>
                <w:szCs w:val="22"/>
              </w:rPr>
              <w:t xml:space="preserve">W założeniu projektu nie ma usług bezpośrednich </w:t>
            </w:r>
            <w:r w:rsidR="00DA6E2C"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r w:rsidRPr="00C24B0E">
              <w:rPr>
                <w:rFonts w:asciiTheme="minorHAnsi" w:hAnsiTheme="minorHAnsi" w:cstheme="minorHAnsi"/>
                <w:sz w:val="22"/>
                <w:szCs w:val="22"/>
              </w:rPr>
              <w:t xml:space="preserve"> podatników.</w:t>
            </w:r>
            <w:r w:rsidR="001339CF">
              <w:rPr>
                <w:rFonts w:asciiTheme="minorHAnsi" w:hAnsiTheme="minorHAnsi" w:cstheme="minorHAnsi"/>
                <w:sz w:val="22"/>
                <w:szCs w:val="22"/>
              </w:rPr>
              <w:t xml:space="preserve"> Projekt modernizuje narzędzie CRM-RF</w:t>
            </w:r>
            <w:r w:rsidR="00F82E31">
              <w:rPr>
                <w:rFonts w:asciiTheme="minorHAnsi" w:hAnsiTheme="minorHAnsi" w:cstheme="minorHAnsi"/>
                <w:sz w:val="22"/>
                <w:szCs w:val="22"/>
              </w:rPr>
              <w:t xml:space="preserve"> typu </w:t>
            </w:r>
            <w:proofErr w:type="spellStart"/>
            <w:r w:rsidR="00F82E31">
              <w:rPr>
                <w:rFonts w:asciiTheme="minorHAnsi" w:hAnsiTheme="minorHAnsi" w:cstheme="minorHAnsi"/>
                <w:sz w:val="22"/>
                <w:szCs w:val="22"/>
              </w:rPr>
              <w:t>back</w:t>
            </w:r>
            <w:proofErr w:type="spellEnd"/>
            <w:r w:rsidR="00F82E3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82E31">
              <w:rPr>
                <w:rFonts w:asciiTheme="minorHAnsi" w:hAnsiTheme="minorHAnsi" w:cstheme="minorHAnsi"/>
                <w:sz w:val="22"/>
                <w:szCs w:val="22"/>
              </w:rPr>
              <w:t>office</w:t>
            </w:r>
            <w:proofErr w:type="spellEnd"/>
            <w:r w:rsidR="001339CF">
              <w:rPr>
                <w:rFonts w:asciiTheme="minorHAnsi" w:hAnsiTheme="minorHAnsi" w:cstheme="minorHAnsi"/>
                <w:sz w:val="22"/>
                <w:szCs w:val="22"/>
              </w:rPr>
              <w:t>, z którego korzystać będą wyłącznie pracownicy Resortu Finansów.</w:t>
            </w:r>
            <w:r w:rsidR="00CE3B4C" w:rsidRPr="00FE2010">
              <w:rPr>
                <w:rFonts w:asciiTheme="minorHAnsi" w:hAnsiTheme="minorHAnsi" w:cstheme="minorHAnsi"/>
                <w:sz w:val="22"/>
                <w:szCs w:val="22"/>
              </w:rPr>
              <w:t xml:space="preserve"> Wykorzystując </w:t>
            </w:r>
            <w:r w:rsidR="00CE3B4C">
              <w:rPr>
                <w:rFonts w:asciiTheme="minorHAnsi" w:hAnsiTheme="minorHAnsi" w:cstheme="minorHAnsi"/>
                <w:sz w:val="22"/>
                <w:szCs w:val="22"/>
              </w:rPr>
              <w:t xml:space="preserve">zmodyfikowane </w:t>
            </w:r>
            <w:r w:rsidR="00CE3B4C" w:rsidRPr="00FE2010">
              <w:rPr>
                <w:rFonts w:asciiTheme="minorHAnsi" w:hAnsiTheme="minorHAnsi" w:cstheme="minorHAnsi"/>
                <w:sz w:val="22"/>
                <w:szCs w:val="22"/>
              </w:rPr>
              <w:t>narzędzie</w:t>
            </w:r>
            <w:r w:rsidR="00CE3B4C">
              <w:rPr>
                <w:rFonts w:asciiTheme="minorHAnsi" w:hAnsiTheme="minorHAnsi" w:cstheme="minorHAnsi"/>
                <w:sz w:val="22"/>
                <w:szCs w:val="22"/>
              </w:rPr>
              <w:t xml:space="preserve"> CMR</w:t>
            </w:r>
            <w:r w:rsidR="00CE3B4C" w:rsidRPr="00FE2010">
              <w:rPr>
                <w:rFonts w:asciiTheme="minorHAnsi" w:hAnsiTheme="minorHAnsi" w:cstheme="minorHAnsi"/>
                <w:sz w:val="22"/>
                <w:szCs w:val="22"/>
              </w:rPr>
              <w:t xml:space="preserve"> pracownicy będą udzielali informacji podatnikom.</w:t>
            </w:r>
          </w:p>
          <w:p w14:paraId="66958CBB" w14:textId="5896369E" w:rsidR="00DA6E2C" w:rsidRDefault="001339CF" w:rsidP="005302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Odpowiednie poprawki podkreślające ten fakt zostały zamieszczone zgodnie z innymi uwagami.</w:t>
            </w:r>
          </w:p>
          <w:p w14:paraId="7268A6A6" w14:textId="77777777" w:rsidR="00DA6E2C" w:rsidRDefault="00DA6E2C" w:rsidP="005302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497321" w14:textId="0A26C955" w:rsidR="0053028A" w:rsidRDefault="00C24B0E" w:rsidP="001339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4B0E">
              <w:rPr>
                <w:rFonts w:asciiTheme="minorHAnsi" w:hAnsiTheme="minorHAnsi" w:cstheme="minorHAnsi"/>
                <w:sz w:val="22"/>
                <w:szCs w:val="22"/>
              </w:rPr>
              <w:t>Poprawa relacji</w:t>
            </w:r>
            <w:r w:rsidR="001339CF">
              <w:rPr>
                <w:rFonts w:asciiTheme="minorHAnsi" w:hAnsiTheme="minorHAnsi" w:cstheme="minorHAnsi"/>
                <w:sz w:val="22"/>
                <w:szCs w:val="22"/>
              </w:rPr>
              <w:t xml:space="preserve">, o której mowa </w:t>
            </w:r>
            <w:r w:rsidRPr="00C24B0E">
              <w:rPr>
                <w:rFonts w:asciiTheme="minorHAnsi" w:hAnsiTheme="minorHAnsi" w:cstheme="minorHAnsi"/>
                <w:sz w:val="22"/>
                <w:szCs w:val="22"/>
              </w:rPr>
              <w:t xml:space="preserve">jest osiągana przez to, że podatnik kontaktujący się z administracją skarbową w sprawny sposób otrzymuje pełne, aktualne i przekrojowe informacje, które pracownik udzielający wyjaśnień </w:t>
            </w:r>
            <w:r w:rsidR="006017E6">
              <w:rPr>
                <w:rFonts w:asciiTheme="minorHAnsi" w:hAnsiTheme="minorHAnsi" w:cstheme="minorHAnsi"/>
                <w:sz w:val="22"/>
                <w:szCs w:val="22"/>
              </w:rPr>
              <w:t>pozyska ze zmodernizowanego</w:t>
            </w:r>
            <w:r w:rsidRPr="00C24B0E">
              <w:rPr>
                <w:rFonts w:asciiTheme="minorHAnsi" w:hAnsiTheme="minorHAnsi" w:cstheme="minorHAnsi"/>
                <w:sz w:val="22"/>
                <w:szCs w:val="22"/>
              </w:rPr>
              <w:t xml:space="preserve"> narzędzia</w:t>
            </w:r>
            <w:r w:rsidR="006017E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339CF">
              <w:rPr>
                <w:rFonts w:asciiTheme="minorHAnsi" w:hAnsiTheme="minorHAnsi" w:cstheme="minorHAnsi"/>
                <w:sz w:val="22"/>
                <w:szCs w:val="22"/>
              </w:rPr>
              <w:t xml:space="preserve"> Nie rozwiązuje to więc bezpośrednio problemów podatników, natomiast </w:t>
            </w:r>
            <w:r w:rsidR="001339CF" w:rsidRPr="00FE2010">
              <w:rPr>
                <w:rFonts w:asciiTheme="minorHAnsi" w:hAnsiTheme="minorHAnsi" w:cstheme="minorHAnsi"/>
                <w:sz w:val="22"/>
                <w:szCs w:val="22"/>
              </w:rPr>
              <w:t>pośrednio przekłada się to na jakość</w:t>
            </w:r>
            <w:r w:rsidR="001339CF">
              <w:rPr>
                <w:rFonts w:asciiTheme="minorHAnsi" w:hAnsiTheme="minorHAnsi" w:cstheme="minorHAnsi"/>
                <w:sz w:val="22"/>
                <w:szCs w:val="22"/>
              </w:rPr>
              <w:t xml:space="preserve"> ich</w:t>
            </w:r>
            <w:r w:rsidR="001339CF" w:rsidRPr="00FE2010">
              <w:rPr>
                <w:rFonts w:asciiTheme="minorHAnsi" w:hAnsiTheme="minorHAnsi" w:cstheme="minorHAnsi"/>
                <w:sz w:val="22"/>
                <w:szCs w:val="22"/>
              </w:rPr>
              <w:t xml:space="preserve"> obsługi </w:t>
            </w:r>
            <w:r w:rsidR="001339CF">
              <w:rPr>
                <w:rFonts w:asciiTheme="minorHAnsi" w:hAnsiTheme="minorHAnsi" w:cstheme="minorHAnsi"/>
                <w:sz w:val="22"/>
                <w:szCs w:val="22"/>
              </w:rPr>
              <w:t>i kształtowanie relacji obywatel-państwo</w:t>
            </w:r>
            <w:r w:rsidR="001339CF" w:rsidRPr="00FE201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279F053" w14:textId="2AEED40B" w:rsidR="006017E6" w:rsidRPr="00F019F8" w:rsidRDefault="006017E6" w:rsidP="00CE3B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192" w:rsidRPr="00F019F8" w14:paraId="2B1AE3A8" w14:textId="77777777" w:rsidTr="00AA3192">
        <w:tc>
          <w:tcPr>
            <w:tcW w:w="160" w:type="pct"/>
            <w:shd w:val="clear" w:color="auto" w:fill="auto"/>
          </w:tcPr>
          <w:p w14:paraId="42CD495C" w14:textId="77777777" w:rsidR="006C4A6E" w:rsidRPr="00C45E21" w:rsidRDefault="006C4A6E" w:rsidP="006C4A6E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58841D3F" w14:textId="3B7EBF84" w:rsidR="006C4A6E" w:rsidRDefault="006C4A6E" w:rsidP="006C4A6E">
            <w:pPr>
              <w:jc w:val="center"/>
            </w:pPr>
            <w:r w:rsidRPr="000C41E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64" w:type="pct"/>
            <w:shd w:val="clear" w:color="auto" w:fill="auto"/>
          </w:tcPr>
          <w:p w14:paraId="5F62D705" w14:textId="77777777" w:rsidR="006C4A6E" w:rsidRPr="00D103B6" w:rsidRDefault="006C4A6E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2.4. Produkty końcowe projektu</w:t>
            </w:r>
          </w:p>
        </w:tc>
        <w:tc>
          <w:tcPr>
            <w:tcW w:w="1360" w:type="pct"/>
            <w:shd w:val="clear" w:color="auto" w:fill="auto"/>
          </w:tcPr>
          <w:p w14:paraId="6DDFD28D" w14:textId="56A6C012" w:rsidR="006C4A6E" w:rsidRDefault="00554138" w:rsidP="006C4A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4138">
              <w:rPr>
                <w:rFonts w:asciiTheme="minorHAnsi" w:hAnsiTheme="minorHAnsi" w:cstheme="minorHAnsi"/>
                <w:sz w:val="22"/>
                <w:szCs w:val="22"/>
              </w:rPr>
              <w:t>Wszystkie produkty oddawane są w jednym terminie czyli grudniu 2027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07" w:type="pct"/>
            <w:shd w:val="clear" w:color="auto" w:fill="auto"/>
          </w:tcPr>
          <w:p w14:paraId="3E9D4F1A" w14:textId="48898C0F" w:rsidR="006C4A6E" w:rsidRDefault="006C4A6E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analizę i </w:t>
            </w:r>
            <w:r w:rsidR="005541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ew.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korektę opisu założeń.</w:t>
            </w:r>
          </w:p>
        </w:tc>
        <w:tc>
          <w:tcPr>
            <w:tcW w:w="2054" w:type="pct"/>
          </w:tcPr>
          <w:p w14:paraId="20791F2B" w14:textId="77777777" w:rsidR="001339CF" w:rsidRDefault="001339CF" w:rsidP="006C4A6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DFEB639" w14:textId="551BA440" w:rsidR="006C4A6E" w:rsidRPr="001339CF" w:rsidRDefault="00C24B0E" w:rsidP="006C4A6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339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uwzględniona.</w:t>
            </w:r>
          </w:p>
          <w:p w14:paraId="33BDB3A7" w14:textId="77777777" w:rsidR="00C24B0E" w:rsidRDefault="00C24B0E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894BF7" w14:textId="77777777" w:rsidR="00C24B0E" w:rsidRDefault="00C24B0E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oddania produktów zostały dostosowane do kamieni milowych.</w:t>
            </w:r>
          </w:p>
          <w:p w14:paraId="33F0773B" w14:textId="5901BBAA" w:rsidR="00FE2010" w:rsidRPr="00F019F8" w:rsidRDefault="00FE2010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192" w:rsidRPr="00F019F8" w14:paraId="378DA8D6" w14:textId="77777777" w:rsidTr="00AA3192">
        <w:tc>
          <w:tcPr>
            <w:tcW w:w="160" w:type="pct"/>
            <w:shd w:val="clear" w:color="auto" w:fill="auto"/>
          </w:tcPr>
          <w:p w14:paraId="6F29D765" w14:textId="77777777" w:rsidR="006C4A6E" w:rsidRPr="00C45E21" w:rsidRDefault="006C4A6E" w:rsidP="006C4A6E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33392A90" w14:textId="1952E755" w:rsidR="006C4A6E" w:rsidRDefault="006C4A6E" w:rsidP="006C4A6E">
            <w:pPr>
              <w:jc w:val="center"/>
            </w:pPr>
            <w:r w:rsidRPr="000C41E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64" w:type="pct"/>
            <w:shd w:val="clear" w:color="auto" w:fill="auto"/>
          </w:tcPr>
          <w:p w14:paraId="3322AD4E" w14:textId="77777777" w:rsidR="006C4A6E" w:rsidRPr="00D103B6" w:rsidRDefault="006C4A6E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Kamienie milowe</w:t>
            </w:r>
          </w:p>
        </w:tc>
        <w:tc>
          <w:tcPr>
            <w:tcW w:w="1360" w:type="pct"/>
            <w:shd w:val="clear" w:color="auto" w:fill="auto"/>
          </w:tcPr>
          <w:p w14:paraId="6BA8E7AF" w14:textId="77777777" w:rsidR="00554138" w:rsidRPr="00554138" w:rsidRDefault="00554138" w:rsidP="00554138">
            <w:pPr>
              <w:rPr>
                <w:rFonts w:ascii="Calibri" w:hAnsi="Calibri" w:cs="Calibri"/>
                <w:sz w:val="22"/>
                <w:szCs w:val="22"/>
              </w:rPr>
            </w:pPr>
            <w:r w:rsidRPr="00554138">
              <w:rPr>
                <w:rFonts w:ascii="Calibri" w:hAnsi="Calibri" w:cs="Calibri"/>
                <w:sz w:val="22"/>
                <w:szCs w:val="22"/>
              </w:rPr>
              <w:t>Kamienie milowe są lakoniczne i nie mogą podlegać ocenie.</w:t>
            </w:r>
          </w:p>
          <w:p w14:paraId="1029BEBE" w14:textId="0D30D8D8" w:rsidR="006C4A6E" w:rsidRPr="00264DB4" w:rsidRDefault="00554138" w:rsidP="0055413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54138">
              <w:rPr>
                <w:rFonts w:ascii="Calibri" w:hAnsi="Calibri" w:cs="Calibri"/>
                <w:sz w:val="22"/>
                <w:szCs w:val="22"/>
              </w:rPr>
              <w:t>Zakupy sprzętu komputerowego przy jednym post</w:t>
            </w:r>
            <w:r>
              <w:rPr>
                <w:rFonts w:ascii="Calibri" w:hAnsi="Calibri" w:cs="Calibri"/>
                <w:sz w:val="22"/>
                <w:szCs w:val="22"/>
              </w:rPr>
              <w:t>ę</w:t>
            </w:r>
            <w:r w:rsidRPr="00554138">
              <w:rPr>
                <w:rFonts w:ascii="Calibri" w:hAnsi="Calibri" w:cs="Calibri"/>
                <w:sz w:val="22"/>
                <w:szCs w:val="22"/>
              </w:rPr>
              <w:t>powaniu z roku 2024, podczas gdy mamy dostawę sprzętu komputerowego i oprogramowania w latach 2024, 2025, 2026.2027</w:t>
            </w:r>
          </w:p>
        </w:tc>
        <w:tc>
          <w:tcPr>
            <w:tcW w:w="507" w:type="pct"/>
            <w:shd w:val="clear" w:color="auto" w:fill="auto"/>
          </w:tcPr>
          <w:p w14:paraId="2C87460F" w14:textId="6379BB02" w:rsidR="006C4A6E" w:rsidRDefault="006C4A6E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054" w:type="pct"/>
          </w:tcPr>
          <w:p w14:paraId="547C78E2" w14:textId="77777777" w:rsidR="001339CF" w:rsidRDefault="001339CF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ECF2F3" w14:textId="61AD6805" w:rsidR="006C4A6E" w:rsidRPr="001339CF" w:rsidRDefault="00AA3BB4" w:rsidP="006C4A6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339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uwzględniona.</w:t>
            </w:r>
          </w:p>
          <w:p w14:paraId="418346E3" w14:textId="77777777" w:rsidR="00AA3BB4" w:rsidRDefault="00AA3BB4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658D6F" w14:textId="77777777" w:rsidR="00AA3BB4" w:rsidRDefault="00AA3BB4" w:rsidP="006C4A6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Dostosowano kamienie milowe do faktycznych dostaw </w:t>
            </w:r>
            <w:r w:rsidRPr="00554138">
              <w:rPr>
                <w:rFonts w:ascii="Calibri" w:hAnsi="Calibri" w:cs="Calibri"/>
                <w:sz w:val="22"/>
                <w:szCs w:val="22"/>
              </w:rPr>
              <w:t>sprzętu komputerowego i oprogramowania w latach 2024, 2025, 2026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r w:rsidRPr="00554138">
              <w:rPr>
                <w:rFonts w:ascii="Calibri" w:hAnsi="Calibri" w:cs="Calibri"/>
                <w:sz w:val="22"/>
                <w:szCs w:val="22"/>
              </w:rPr>
              <w:t>2027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EC3C0E8" w14:textId="77777777" w:rsidR="00AA3BB4" w:rsidRDefault="00AA3BB4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0CE059" w14:textId="60E9EDEC" w:rsidR="00AA3BB4" w:rsidRDefault="00AA3BB4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3BB4">
              <w:rPr>
                <w:rFonts w:asciiTheme="minorHAnsi" w:hAnsiTheme="minorHAnsi" w:cstheme="minorHAnsi"/>
                <w:sz w:val="22"/>
                <w:szCs w:val="22"/>
              </w:rPr>
              <w:t xml:space="preserve">Na potrzeby wniosku o dofinansowanie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FERC </w:t>
            </w:r>
            <w:r w:rsidRPr="00AA3BB4">
              <w:rPr>
                <w:rFonts w:asciiTheme="minorHAnsi" w:hAnsiTheme="minorHAnsi" w:cstheme="minorHAnsi"/>
                <w:sz w:val="22"/>
                <w:szCs w:val="22"/>
              </w:rPr>
              <w:t xml:space="preserve">opracowano szczegółowy plan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realizacji zadań</w:t>
            </w:r>
            <w:r w:rsidRPr="00AA3BB4">
              <w:rPr>
                <w:rFonts w:asciiTheme="minorHAnsi" w:hAnsiTheme="minorHAnsi" w:cstheme="minorHAnsi"/>
                <w:sz w:val="22"/>
                <w:szCs w:val="22"/>
              </w:rPr>
              <w:t xml:space="preserve">, tj. jakie działania wchodzą w zakres etapów deweloperskich oraz jakie ilości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danego</w:t>
            </w:r>
            <w:r w:rsidRPr="00AA3BB4">
              <w:rPr>
                <w:rFonts w:asciiTheme="minorHAnsi" w:hAnsiTheme="minorHAnsi" w:cstheme="minorHAnsi"/>
                <w:sz w:val="22"/>
                <w:szCs w:val="22"/>
              </w:rPr>
              <w:t xml:space="preserve"> sprzętu i oprogramowania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będą</w:t>
            </w:r>
            <w:r w:rsidRPr="00AA3B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dostarczane</w:t>
            </w:r>
            <w:r w:rsidRPr="00AA3BB4">
              <w:rPr>
                <w:rFonts w:asciiTheme="minorHAnsi" w:hAnsiTheme="minorHAnsi" w:cstheme="minorHAnsi"/>
                <w:sz w:val="22"/>
                <w:szCs w:val="22"/>
              </w:rPr>
              <w:t xml:space="preserve"> w poszczególnych latach. </w:t>
            </w:r>
            <w:r w:rsidR="00DA6E2C">
              <w:rPr>
                <w:rFonts w:asciiTheme="minorHAnsi" w:hAnsiTheme="minorHAnsi" w:cstheme="minorHAnsi"/>
                <w:sz w:val="22"/>
                <w:szCs w:val="22"/>
              </w:rPr>
              <w:t>W kamieniach milowych dodano krótkie wyjaśnienia wskazujące na zakres działań przewidziany w danym etapie.</w:t>
            </w:r>
          </w:p>
          <w:p w14:paraId="5C97686B" w14:textId="4206814A" w:rsidR="00AA3BB4" w:rsidRPr="00F019F8" w:rsidRDefault="00AA3BB4" w:rsidP="00DA6E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192" w:rsidRPr="00F019F8" w14:paraId="05ACC41D" w14:textId="77777777" w:rsidTr="00AA3192">
        <w:tc>
          <w:tcPr>
            <w:tcW w:w="160" w:type="pct"/>
            <w:shd w:val="clear" w:color="auto" w:fill="auto"/>
          </w:tcPr>
          <w:p w14:paraId="79ED0FB4" w14:textId="77777777" w:rsidR="00F83CEB" w:rsidRPr="00C45E21" w:rsidRDefault="00F83CEB" w:rsidP="00F83CEB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16805BA9" w14:textId="00FC8B1E" w:rsidR="00F83CEB" w:rsidRDefault="00F83CEB" w:rsidP="00F83CE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41E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64" w:type="pct"/>
            <w:shd w:val="clear" w:color="auto" w:fill="auto"/>
          </w:tcPr>
          <w:p w14:paraId="55493231" w14:textId="4708FF3E" w:rsidR="00F83CEB" w:rsidRDefault="00554138" w:rsidP="00F83C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4138">
              <w:rPr>
                <w:rFonts w:ascii="Calibri" w:hAnsi="Calibri" w:cs="Calibri"/>
                <w:color w:val="000000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1360" w:type="pct"/>
            <w:shd w:val="clear" w:color="auto" w:fill="auto"/>
          </w:tcPr>
          <w:p w14:paraId="74176CCC" w14:textId="4B84A1A3" w:rsidR="00F83CEB" w:rsidRDefault="00554138" w:rsidP="00F83CEB">
            <w:pPr>
              <w:rPr>
                <w:rFonts w:ascii="Calibri" w:hAnsi="Calibri" w:cs="Calibri"/>
                <w:sz w:val="22"/>
                <w:szCs w:val="22"/>
              </w:rPr>
            </w:pPr>
            <w:r w:rsidRPr="00554138">
              <w:rPr>
                <w:rFonts w:ascii="Calibri" w:hAnsi="Calibri" w:cs="Calibri"/>
                <w:sz w:val="22"/>
                <w:szCs w:val="22"/>
              </w:rPr>
              <w:t>Brak kosztów promocji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07" w:type="pct"/>
            <w:shd w:val="clear" w:color="auto" w:fill="auto"/>
          </w:tcPr>
          <w:p w14:paraId="41B5B6A2" w14:textId="3BF10CA6" w:rsidR="00F83CEB" w:rsidRDefault="00F83CEB" w:rsidP="00F83C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054" w:type="pct"/>
          </w:tcPr>
          <w:p w14:paraId="2D327BE3" w14:textId="77777777" w:rsidR="001339CF" w:rsidRDefault="001339CF" w:rsidP="00AA3B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743E05" w14:textId="4636539D" w:rsidR="00AA3BB4" w:rsidRPr="001339CF" w:rsidRDefault="00AA3BB4" w:rsidP="00AA3BB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339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uwzględniona.</w:t>
            </w:r>
          </w:p>
          <w:p w14:paraId="18C9582C" w14:textId="77777777" w:rsidR="00F83CEB" w:rsidRDefault="00F83CEB" w:rsidP="00F83C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4D8056" w14:textId="7B790044" w:rsidR="00AA3BB4" w:rsidRDefault="00AA3BB4" w:rsidP="00AA3B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 działań</w:t>
            </w:r>
            <w:r w:rsidR="001339CF">
              <w:rPr>
                <w:rFonts w:asciiTheme="minorHAnsi" w:hAnsiTheme="minorHAnsi" w:cstheme="minorHAnsi"/>
                <w:sz w:val="22"/>
                <w:szCs w:val="22"/>
              </w:rPr>
              <w:t xml:space="preserve"> informacyjno-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promocyjnych zostały uzupełnione. </w:t>
            </w:r>
            <w:r w:rsidR="00C87A95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aplanowan</w:t>
            </w:r>
            <w:r w:rsidR="00C87A95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wydatk</w:t>
            </w:r>
            <w:r w:rsidR="00C87A95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wynika</w:t>
            </w:r>
            <w:r w:rsidR="00C87A95">
              <w:rPr>
                <w:rFonts w:asciiTheme="minorHAnsi" w:hAnsiTheme="minorHAnsi" w:cstheme="minorHAnsi"/>
                <w:sz w:val="22"/>
                <w:szCs w:val="22"/>
              </w:rPr>
              <w:t>ją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obowiązków </w:t>
            </w:r>
            <w:r w:rsidR="00C87A95">
              <w:rPr>
                <w:rFonts w:asciiTheme="minorHAnsi" w:hAnsiTheme="minorHAnsi" w:cstheme="minorHAnsi"/>
                <w:sz w:val="22"/>
                <w:szCs w:val="22"/>
              </w:rPr>
              <w:t xml:space="preserve">ujętych w wytycznych </w:t>
            </w:r>
            <w:r w:rsidR="00C87A9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FERC. W związku z tym, że projekt przewiduję modernizację narzędzia typu </w:t>
            </w:r>
            <w:proofErr w:type="spellStart"/>
            <w:r w:rsidR="00C87A95">
              <w:rPr>
                <w:rFonts w:asciiTheme="minorHAnsi" w:hAnsiTheme="minorHAnsi" w:cstheme="minorHAnsi"/>
                <w:sz w:val="22"/>
                <w:szCs w:val="22"/>
              </w:rPr>
              <w:t>back-office</w:t>
            </w:r>
            <w:proofErr w:type="spellEnd"/>
            <w:r w:rsidR="00C87A95">
              <w:rPr>
                <w:rFonts w:asciiTheme="minorHAnsi" w:hAnsiTheme="minorHAnsi" w:cstheme="minorHAnsi"/>
                <w:sz w:val="22"/>
                <w:szCs w:val="22"/>
              </w:rPr>
              <w:t xml:space="preserve"> nie przewiduje się szerokiej kampanii informującej obywateli. Część</w:t>
            </w:r>
            <w:r w:rsidR="00FE2010">
              <w:rPr>
                <w:rFonts w:asciiTheme="minorHAnsi" w:hAnsiTheme="minorHAnsi" w:cstheme="minorHAnsi"/>
                <w:sz w:val="22"/>
                <w:szCs w:val="22"/>
              </w:rPr>
              <w:t xml:space="preserve"> zaplanowanych </w:t>
            </w:r>
            <w:r w:rsidR="00C87A95">
              <w:rPr>
                <w:rFonts w:asciiTheme="minorHAnsi" w:hAnsiTheme="minorHAnsi" w:cstheme="minorHAnsi"/>
                <w:sz w:val="22"/>
                <w:szCs w:val="22"/>
              </w:rPr>
              <w:t xml:space="preserve">działań informujących społeczeństwo jest </w:t>
            </w:r>
            <w:proofErr w:type="spellStart"/>
            <w:r w:rsidR="00C87A95">
              <w:rPr>
                <w:rFonts w:asciiTheme="minorHAnsi" w:hAnsiTheme="minorHAnsi" w:cstheme="minorHAnsi"/>
                <w:sz w:val="22"/>
                <w:szCs w:val="22"/>
              </w:rPr>
              <w:t>bezkosztowa</w:t>
            </w:r>
            <w:proofErr w:type="spellEnd"/>
            <w:r w:rsidR="00C87A9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339CF">
              <w:rPr>
                <w:rFonts w:asciiTheme="minorHAnsi" w:hAnsiTheme="minorHAnsi" w:cstheme="minorHAnsi"/>
                <w:sz w:val="22"/>
                <w:szCs w:val="22"/>
              </w:rPr>
              <w:t xml:space="preserve"> Informacje o realizowanym projekcie będą przekazywane kanałami wewnętrznymi RF.</w:t>
            </w:r>
          </w:p>
          <w:p w14:paraId="732C4DAC" w14:textId="58340916" w:rsidR="00FE2010" w:rsidRPr="00F019F8" w:rsidRDefault="00FE2010" w:rsidP="00AA3B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192" w:rsidRPr="00F019F8" w14:paraId="39266A2C" w14:textId="77777777" w:rsidTr="00AA3192">
        <w:tc>
          <w:tcPr>
            <w:tcW w:w="160" w:type="pct"/>
            <w:shd w:val="clear" w:color="auto" w:fill="auto"/>
          </w:tcPr>
          <w:p w14:paraId="22DEC3AD" w14:textId="77777777" w:rsidR="008C0224" w:rsidRPr="00C45E21" w:rsidRDefault="008C0224" w:rsidP="008C0224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57058290" w14:textId="2C58077B" w:rsidR="008C0224" w:rsidRDefault="008C0224" w:rsidP="008C022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64" w:type="pct"/>
            <w:shd w:val="clear" w:color="auto" w:fill="auto"/>
          </w:tcPr>
          <w:p w14:paraId="096EA96E" w14:textId="77777777" w:rsidR="008C0224" w:rsidRPr="00D208A4" w:rsidRDefault="008C0224" w:rsidP="008C022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7798">
              <w:rPr>
                <w:rFonts w:ascii="Calibri" w:hAnsi="Calibri" w:cs="Calibri"/>
                <w:color w:val="000000"/>
                <w:sz w:val="22"/>
                <w:szCs w:val="22"/>
              </w:rPr>
              <w:t>5.1 Główne ryzyka. Ryzyka wpływające na realizację projektu</w:t>
            </w:r>
          </w:p>
        </w:tc>
        <w:tc>
          <w:tcPr>
            <w:tcW w:w="1360" w:type="pct"/>
            <w:shd w:val="clear" w:color="auto" w:fill="auto"/>
          </w:tcPr>
          <w:p w14:paraId="7AA166A2" w14:textId="58BFC8FC" w:rsidR="008C0224" w:rsidRDefault="00554138" w:rsidP="008C022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4138">
              <w:rPr>
                <w:rFonts w:ascii="Calibri" w:hAnsi="Calibri" w:cs="Calibri"/>
                <w:color w:val="000000"/>
                <w:sz w:val="22"/>
                <w:szCs w:val="22"/>
              </w:rPr>
              <w:t>Sposób zarzadzania ryzyka wydaje się nieadekwatny dla przypisanych ryzyka – prosimy o poprawę zapisu</w:t>
            </w:r>
          </w:p>
        </w:tc>
        <w:tc>
          <w:tcPr>
            <w:tcW w:w="507" w:type="pct"/>
            <w:shd w:val="clear" w:color="auto" w:fill="auto"/>
          </w:tcPr>
          <w:p w14:paraId="1CEB4FF6" w14:textId="77777777" w:rsidR="008C0224" w:rsidRPr="0046275A" w:rsidRDefault="008C0224" w:rsidP="008C02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2054" w:type="pct"/>
          </w:tcPr>
          <w:p w14:paraId="28D45C04" w14:textId="77777777" w:rsidR="001339CF" w:rsidRDefault="001339CF" w:rsidP="00FE20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3BCF43" w14:textId="6C0C242A" w:rsidR="00FE2010" w:rsidRPr="001339CF" w:rsidRDefault="00FE2010" w:rsidP="00FE201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339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uwzględniona.</w:t>
            </w:r>
          </w:p>
          <w:p w14:paraId="4A8D2F8B" w14:textId="77777777" w:rsidR="008C0224" w:rsidRDefault="008C0224" w:rsidP="008C022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ED409A0" w14:textId="77777777" w:rsidR="00FE2010" w:rsidRDefault="00FE2010" w:rsidP="008C0224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Opis zarzadzania ryzykami został poprawiony.</w:t>
            </w:r>
          </w:p>
          <w:p w14:paraId="0A6754A1" w14:textId="5C17F9B9" w:rsidR="001339CF" w:rsidRPr="00FE2010" w:rsidRDefault="001339CF" w:rsidP="008C0224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A3192" w:rsidRPr="00F019F8" w14:paraId="76320B72" w14:textId="77777777" w:rsidTr="00AA3192">
        <w:tc>
          <w:tcPr>
            <w:tcW w:w="160" w:type="pct"/>
            <w:shd w:val="clear" w:color="auto" w:fill="auto"/>
          </w:tcPr>
          <w:p w14:paraId="3C26E5B1" w14:textId="77777777" w:rsidR="006C4A6E" w:rsidRPr="00C45E21" w:rsidRDefault="006C4A6E" w:rsidP="006C4A6E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3B469017" w14:textId="1FE9DF33" w:rsidR="006C4A6E" w:rsidRDefault="006C4A6E" w:rsidP="006C4A6E">
            <w:pPr>
              <w:jc w:val="center"/>
            </w:pPr>
            <w:r w:rsidRPr="000C41E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64" w:type="pct"/>
            <w:shd w:val="clear" w:color="auto" w:fill="auto"/>
          </w:tcPr>
          <w:p w14:paraId="1D12A590" w14:textId="77777777" w:rsidR="006C4A6E" w:rsidRPr="00806F9F" w:rsidRDefault="006C4A6E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3B6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1360" w:type="pct"/>
            <w:shd w:val="clear" w:color="auto" w:fill="auto"/>
          </w:tcPr>
          <w:p w14:paraId="6314A0D3" w14:textId="12669E6E" w:rsidR="003C5FAD" w:rsidRPr="003C5FAD" w:rsidRDefault="00554138" w:rsidP="00DD7A6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4138">
              <w:rPr>
                <w:rFonts w:ascii="Calibri" w:hAnsi="Calibri" w:cs="Calibri"/>
                <w:color w:val="000000"/>
                <w:sz w:val="22"/>
                <w:szCs w:val="22"/>
              </w:rPr>
              <w:t>Nieścisłość: albo system jest budowany od nowa albo mamy rozbudowę systemu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5541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Pr="005541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opisu stanu obecnego system istnieje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07" w:type="pct"/>
            <w:shd w:val="clear" w:color="auto" w:fill="auto"/>
          </w:tcPr>
          <w:p w14:paraId="296AA0F6" w14:textId="77777777" w:rsidR="006C4A6E" w:rsidRPr="00F019F8" w:rsidRDefault="006C4A6E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054" w:type="pct"/>
          </w:tcPr>
          <w:p w14:paraId="6573776C" w14:textId="77777777" w:rsidR="001339CF" w:rsidRDefault="001339CF" w:rsidP="00FE20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51ADC1" w14:textId="75DAC98F" w:rsidR="00FE2010" w:rsidRPr="001339CF" w:rsidRDefault="00FE2010" w:rsidP="00FE201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339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uwzględniona.</w:t>
            </w:r>
          </w:p>
          <w:p w14:paraId="4033F973" w14:textId="77777777" w:rsidR="006C4A6E" w:rsidRDefault="006C4A6E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95B8EA" w14:textId="77777777" w:rsidR="006017E6" w:rsidRDefault="006017E6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 przewiduje modernizację narzędzia – poprawiono widok kooperacji.</w:t>
            </w:r>
          </w:p>
          <w:p w14:paraId="7AADBCD4" w14:textId="1892961E" w:rsidR="006017E6" w:rsidRPr="00F019F8" w:rsidRDefault="006017E6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192" w:rsidRPr="00F019F8" w14:paraId="28863C1D" w14:textId="77777777" w:rsidTr="00AA3192">
        <w:tc>
          <w:tcPr>
            <w:tcW w:w="160" w:type="pct"/>
            <w:shd w:val="clear" w:color="auto" w:fill="auto"/>
          </w:tcPr>
          <w:p w14:paraId="15A1849E" w14:textId="77777777" w:rsidR="00554138" w:rsidRPr="00C45E21" w:rsidRDefault="00554138" w:rsidP="006C4A6E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706966B4" w14:textId="146FD13D" w:rsidR="00554138" w:rsidRPr="000C41E6" w:rsidRDefault="00554138" w:rsidP="006C4A6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64" w:type="pct"/>
            <w:shd w:val="clear" w:color="auto" w:fill="auto"/>
          </w:tcPr>
          <w:p w14:paraId="16960845" w14:textId="77D4D8B2" w:rsidR="00554138" w:rsidRPr="00D103B6" w:rsidRDefault="00554138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4138">
              <w:rPr>
                <w:rFonts w:asciiTheme="minorHAnsi" w:hAnsiTheme="minorHAnsi" w:cstheme="minorHAnsi"/>
                <w:sz w:val="22"/>
                <w:szCs w:val="22"/>
              </w:rPr>
              <w:t>7.3. Przyjęte założenia technologiczne</w:t>
            </w:r>
          </w:p>
        </w:tc>
        <w:tc>
          <w:tcPr>
            <w:tcW w:w="1360" w:type="pct"/>
            <w:shd w:val="clear" w:color="auto" w:fill="auto"/>
          </w:tcPr>
          <w:p w14:paraId="14C802BB" w14:textId="4C9561D8" w:rsidR="00554138" w:rsidRPr="00554138" w:rsidRDefault="00554138" w:rsidP="00DD7A6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41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Brak jakichkolwiek założeń architektonicznych  </w:t>
            </w:r>
          </w:p>
        </w:tc>
        <w:tc>
          <w:tcPr>
            <w:tcW w:w="507" w:type="pct"/>
            <w:shd w:val="clear" w:color="auto" w:fill="auto"/>
          </w:tcPr>
          <w:p w14:paraId="581D743B" w14:textId="6D9AB75F" w:rsidR="00554138" w:rsidRDefault="00554138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054" w:type="pct"/>
          </w:tcPr>
          <w:p w14:paraId="74445543" w14:textId="77777777" w:rsidR="001339CF" w:rsidRDefault="001339CF" w:rsidP="00FE20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AB4BB4" w14:textId="19B94979" w:rsidR="00FE2010" w:rsidRPr="001339CF" w:rsidRDefault="00FE2010" w:rsidP="00FE201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339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uwzględniona.</w:t>
            </w:r>
          </w:p>
          <w:p w14:paraId="7B8E0FC8" w14:textId="77777777" w:rsidR="00554138" w:rsidRDefault="00554138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19F6A6" w14:textId="77777777" w:rsidR="006017E6" w:rsidRDefault="006017E6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Uzupełniono założenia </w:t>
            </w:r>
            <w:r w:rsidRPr="00554138">
              <w:rPr>
                <w:rFonts w:asciiTheme="minorHAnsi" w:hAnsiTheme="minorHAnsi" w:cstheme="minorHAnsi"/>
                <w:sz w:val="22"/>
                <w:szCs w:val="22"/>
              </w:rPr>
              <w:t>technologiczne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D00F364" w14:textId="7C87CEEB" w:rsidR="001339CF" w:rsidRPr="00F019F8" w:rsidRDefault="001339CF" w:rsidP="006C4A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3DD97EC" w14:textId="12BA3843" w:rsidR="00C64B1B" w:rsidRDefault="00C64B1B" w:rsidP="001936C2"/>
    <w:p w14:paraId="0D0D1B83" w14:textId="3EE42BA3" w:rsidR="001936C2" w:rsidRPr="001936C2" w:rsidRDefault="001936C2" w:rsidP="001936C2">
      <w:pPr>
        <w:rPr>
          <w:rFonts w:asciiTheme="minorHAnsi" w:hAnsiTheme="minorHAnsi" w:cstheme="minorHAnsi"/>
          <w:sz w:val="22"/>
          <w:szCs w:val="22"/>
        </w:rPr>
      </w:pPr>
      <w:r w:rsidRPr="001936C2">
        <w:rPr>
          <w:rFonts w:asciiTheme="minorHAnsi" w:hAnsiTheme="minorHAnsi" w:cstheme="minorHAnsi"/>
          <w:sz w:val="22"/>
          <w:szCs w:val="22"/>
        </w:rPr>
        <w:t>Dodatkow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1936C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1936C2">
        <w:rPr>
          <w:rFonts w:asciiTheme="minorHAnsi" w:hAnsiTheme="minorHAnsi" w:cstheme="minorHAnsi"/>
          <w:sz w:val="22"/>
          <w:szCs w:val="22"/>
        </w:rPr>
        <w:t>wagi Ministerstwa Funduszy i Polityki Regionalnej do opisu założeń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936C2">
        <w:rPr>
          <w:rFonts w:asciiTheme="minorHAnsi" w:hAnsiTheme="minorHAnsi" w:cstheme="minorHAnsi"/>
          <w:sz w:val="22"/>
          <w:szCs w:val="22"/>
        </w:rPr>
        <w:t>projektu informatycznego pn. „Rozbudowa systemu zarządzania relacjami 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936C2">
        <w:rPr>
          <w:rFonts w:asciiTheme="minorHAnsi" w:hAnsiTheme="minorHAnsi" w:cstheme="minorHAnsi"/>
          <w:sz w:val="22"/>
          <w:szCs w:val="22"/>
        </w:rPr>
        <w:t>klientem KAS (Projekt CRM 2.0)”</w:t>
      </w:r>
      <w:r>
        <w:rPr>
          <w:rFonts w:asciiTheme="minorHAnsi" w:hAnsiTheme="minorHAnsi" w:cstheme="minorHAnsi"/>
          <w:sz w:val="22"/>
          <w:szCs w:val="22"/>
        </w:rPr>
        <w:t xml:space="preserve"> z dnia 27 listopada 2023 r.</w:t>
      </w:r>
    </w:p>
    <w:p w14:paraId="49C7D81A" w14:textId="77777777" w:rsidR="001936C2" w:rsidRDefault="001936C2" w:rsidP="00C64B1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1096"/>
        <w:gridCol w:w="1736"/>
        <w:gridCol w:w="4186"/>
        <w:gridCol w:w="1560"/>
        <w:gridCol w:w="6318"/>
      </w:tblGrid>
      <w:tr w:rsidR="00DA6E2C" w:rsidRPr="00F019F8" w14:paraId="0AB4DC28" w14:textId="77777777" w:rsidTr="00CE6A1B">
        <w:tc>
          <w:tcPr>
            <w:tcW w:w="160" w:type="pct"/>
            <w:shd w:val="clear" w:color="auto" w:fill="auto"/>
          </w:tcPr>
          <w:p w14:paraId="05399B4D" w14:textId="77777777" w:rsidR="00DA6E2C" w:rsidRPr="00C45E21" w:rsidRDefault="00DA6E2C" w:rsidP="00DA6E2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0E0797D7" w14:textId="71D2DE4D" w:rsidR="00DA6E2C" w:rsidRPr="000C41E6" w:rsidRDefault="00DA6E2C" w:rsidP="00CE6A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564" w:type="pct"/>
            <w:shd w:val="clear" w:color="auto" w:fill="auto"/>
          </w:tcPr>
          <w:p w14:paraId="5458D5CA" w14:textId="41A712CE" w:rsidR="00DA6E2C" w:rsidRPr="00D103B6" w:rsidRDefault="00DA6E2C" w:rsidP="00CE6A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0" w:type="pct"/>
            <w:shd w:val="clear" w:color="auto" w:fill="auto"/>
          </w:tcPr>
          <w:p w14:paraId="11BF9A1B" w14:textId="0B5DC645" w:rsidR="00DA6E2C" w:rsidRDefault="00DA6E2C" w:rsidP="00DA6E2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1) Wskaźnik „Liczba podmiotów wspartych w zakresie rozwoju usług, produktów i procesów cyfrowych” nie powinien być określony w tym projekcie. Jest on wybierany zamiennie ze wskaźnikiem „Instytucje publiczne…” – wskaźniki</w:t>
            </w:r>
          </w:p>
          <w:p w14:paraId="7E87B1CE" w14:textId="77777777" w:rsidR="00DA6E2C" w:rsidRDefault="00DA6E2C" w:rsidP="00DA6E2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odnoszą się albo do beneficjenta albo do</w:t>
            </w:r>
          </w:p>
          <w:p w14:paraId="47BCB7C5" w14:textId="023A2272" w:rsidR="00DA6E2C" w:rsidRDefault="00DA6E2C" w:rsidP="00DA6E2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partnera. W tym przypadku, w projekcie jest tylko beneficjent, który zostanie wykazany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we wskaźniku „Instytucje publiczne…” (wartość docelowa wyniesie 1).</w:t>
            </w:r>
          </w:p>
          <w:p w14:paraId="0B4826B7" w14:textId="77777777" w:rsidR="00DA6E2C" w:rsidRDefault="00DA6E2C" w:rsidP="00DA6E2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14:paraId="2DE2D636" w14:textId="77777777" w:rsidR="00DA6E2C" w:rsidRDefault="00DA6E2C" w:rsidP="00DA6E2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2) Wskaźnik „Użytkownicy nowych i</w:t>
            </w:r>
          </w:p>
          <w:p w14:paraId="2A3C38D0" w14:textId="47008313" w:rsidR="00DA6E2C" w:rsidRDefault="00DA6E2C" w:rsidP="00DA6E2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zmodernizowanych publicznych usług, produktów i procesów cyfrowych” – podano, iż jego wartość wyniesie 30 tys. W ramach wskaźnika wykazać należy pracowników instytucji, którzy będą</w:t>
            </w:r>
          </w:p>
          <w:p w14:paraId="1625339D" w14:textId="6A01EFE8" w:rsidR="00DA6E2C" w:rsidRDefault="00DA6E2C" w:rsidP="00DA6E2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korzystać z wdrożonych usług. W tym przypadku należy zweryfikować podaną wartość, czy faktycznie dotyczy liczby pracowników.</w:t>
            </w:r>
          </w:p>
          <w:p w14:paraId="675D754E" w14:textId="77777777" w:rsidR="00DA6E2C" w:rsidRDefault="00DA6E2C" w:rsidP="00DA6E2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14:paraId="5E08B869" w14:textId="0D9402BF" w:rsidR="00DA6E2C" w:rsidRDefault="00DA6E2C" w:rsidP="00DA6E2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3) W opisie projektu podano, iż jego celem będzie rozbudowa systemu, zatem konieczne jest wprowadzenie jeszcze wskaźnika „Liczba uruchomionych systemów teleinformatycznych w</w:t>
            </w:r>
          </w:p>
          <w:p w14:paraId="6F0E998C" w14:textId="0F97873D" w:rsidR="00DA6E2C" w:rsidRPr="00554138" w:rsidRDefault="00DA6E2C" w:rsidP="00DA6E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podmiotach wykonujących zadania publiczne”.</w:t>
            </w:r>
            <w:r w:rsidRPr="005541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07" w:type="pct"/>
            <w:shd w:val="clear" w:color="auto" w:fill="auto"/>
          </w:tcPr>
          <w:p w14:paraId="1E2570AB" w14:textId="77777777" w:rsidR="00DA6E2C" w:rsidRDefault="00DA6E2C" w:rsidP="00CE6A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2054" w:type="pct"/>
          </w:tcPr>
          <w:p w14:paraId="5EB23636" w14:textId="77777777" w:rsidR="001339CF" w:rsidRDefault="001339CF" w:rsidP="001339CF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1CE5F4" w14:textId="0B1127D9" w:rsidR="00DA6E2C" w:rsidRDefault="00DA6E2C" w:rsidP="00DA6E2C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339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uwzględniona.</w:t>
            </w:r>
          </w:p>
          <w:p w14:paraId="2C325DD7" w14:textId="77777777" w:rsidR="001339CF" w:rsidRPr="001936C2" w:rsidRDefault="001339CF" w:rsidP="001339CF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628D04" w14:textId="67F5BCEB" w:rsidR="00DA6E2C" w:rsidRPr="005C2D5F" w:rsidRDefault="00DA6E2C" w:rsidP="005C2D5F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2D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Wyj</w:t>
            </w:r>
            <w:r w:rsidR="001339CF" w:rsidRPr="005C2D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aśnienia: </w:t>
            </w:r>
            <w:r w:rsidR="001936C2" w:rsidRPr="005C2D5F">
              <w:rPr>
                <w:rFonts w:asciiTheme="minorHAnsi" w:hAnsiTheme="minorHAnsi" w:cstheme="minorHAnsi"/>
                <w:sz w:val="22"/>
                <w:szCs w:val="22"/>
              </w:rPr>
              <w:t>Szacowana łączna liczba pracowników Resortu Finansów wynosi około 65 000. Liczba użytkowników narzędzia została oszacowana na 30 000 – są to pracownicy</w:t>
            </w:r>
            <w:r w:rsidR="005C2D5F" w:rsidRPr="005C2D5F">
              <w:rPr>
                <w:rFonts w:asciiTheme="minorHAnsi" w:hAnsiTheme="minorHAnsi" w:cstheme="minorHAnsi"/>
                <w:sz w:val="22"/>
                <w:szCs w:val="22"/>
              </w:rPr>
              <w:t xml:space="preserve"> z 16 Izb Administracji Skarbowej (w skład których wchodzą m.in. urzędy skarbowe i urzędy celno-skarbowe) oraz z Ministerstwa Finansów</w:t>
            </w:r>
            <w:r w:rsidR="001936C2" w:rsidRPr="005C2D5F">
              <w:rPr>
                <w:rFonts w:asciiTheme="minorHAnsi" w:hAnsiTheme="minorHAnsi" w:cstheme="minorHAnsi"/>
                <w:sz w:val="22"/>
                <w:szCs w:val="22"/>
              </w:rPr>
              <w:t xml:space="preserve">, który będą używać zmodyfikowanego narzędzia </w:t>
            </w:r>
            <w:r w:rsidR="001936C2" w:rsidRPr="005C2D5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CRM-RF</w:t>
            </w:r>
            <w:r w:rsidR="00A73747" w:rsidRPr="005C2D5F">
              <w:rPr>
                <w:rFonts w:asciiTheme="minorHAnsi" w:hAnsiTheme="minorHAnsi" w:cstheme="minorHAnsi"/>
                <w:sz w:val="22"/>
                <w:szCs w:val="22"/>
              </w:rPr>
              <w:t xml:space="preserve"> do realizacji swoich obowiązków służbowych związanych z obsługą podatników</w:t>
            </w:r>
            <w:r w:rsidR="001A02DC">
              <w:rPr>
                <w:rFonts w:asciiTheme="minorHAnsi" w:hAnsiTheme="minorHAnsi" w:cstheme="minorHAnsi"/>
                <w:sz w:val="22"/>
                <w:szCs w:val="22"/>
              </w:rPr>
              <w:t>. W</w:t>
            </w:r>
            <w:r w:rsidR="00A73747" w:rsidRPr="005C2D5F">
              <w:rPr>
                <w:rFonts w:asciiTheme="minorHAnsi" w:hAnsiTheme="minorHAnsi" w:cstheme="minorHAnsi"/>
                <w:sz w:val="22"/>
                <w:szCs w:val="22"/>
              </w:rPr>
              <w:t xml:space="preserve"> myśl zachowania bezpieczeństwa i ochrony informacji dostęp przydzielany jest tylko tym pracownikom, którzy go faktycznie potrzebują.</w:t>
            </w:r>
            <w:r w:rsidR="001A0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747" w:rsidRPr="005C2D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C3258C" w14:textId="77777777" w:rsidR="001339CF" w:rsidRPr="001339CF" w:rsidRDefault="001339CF" w:rsidP="001339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BE46F4" w14:textId="0480CC43" w:rsidR="00DA6E2C" w:rsidRPr="001339CF" w:rsidRDefault="00DA6E2C" w:rsidP="00DA6E2C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339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uwzględniona.</w:t>
            </w:r>
          </w:p>
        </w:tc>
      </w:tr>
    </w:tbl>
    <w:p w14:paraId="6D44D8AF" w14:textId="722FAC8F" w:rsidR="00DA6E2C" w:rsidRDefault="00DA6E2C" w:rsidP="00C64B1B">
      <w:pPr>
        <w:jc w:val="center"/>
      </w:pPr>
    </w:p>
    <w:p w14:paraId="29FBD998" w14:textId="3DD76892" w:rsidR="001A02DC" w:rsidRDefault="001A02DC" w:rsidP="00C64B1B">
      <w:pPr>
        <w:jc w:val="center"/>
      </w:pPr>
    </w:p>
    <w:p w14:paraId="0BD38667" w14:textId="77777777" w:rsidR="001A02DC" w:rsidRDefault="001A02DC" w:rsidP="00C64B1B">
      <w:pPr>
        <w:jc w:val="center"/>
      </w:pPr>
    </w:p>
    <w:sectPr w:rsidR="001A02DC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F6953" w14:textId="77777777" w:rsidR="00F857DF" w:rsidRDefault="00F857DF" w:rsidP="00306D42">
      <w:r>
        <w:separator/>
      </w:r>
    </w:p>
  </w:endnote>
  <w:endnote w:type="continuationSeparator" w:id="0">
    <w:p w14:paraId="299261D5" w14:textId="77777777" w:rsidR="00F857DF" w:rsidRDefault="00F857DF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2913A1" w14:textId="77777777"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B203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9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B203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9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8E30DB0" w14:textId="77777777"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10714" w14:textId="77777777" w:rsidR="00F857DF" w:rsidRDefault="00F857DF" w:rsidP="00306D42">
      <w:r>
        <w:separator/>
      </w:r>
    </w:p>
  </w:footnote>
  <w:footnote w:type="continuationSeparator" w:id="0">
    <w:p w14:paraId="07505AED" w14:textId="77777777" w:rsidR="00F857DF" w:rsidRDefault="00F857DF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8F2223"/>
    <w:multiLevelType w:val="hybridMultilevel"/>
    <w:tmpl w:val="8286C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76A2C"/>
    <w:multiLevelType w:val="hybridMultilevel"/>
    <w:tmpl w:val="99200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D7082F"/>
    <w:multiLevelType w:val="hybridMultilevel"/>
    <w:tmpl w:val="67408C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893334"/>
    <w:multiLevelType w:val="hybridMultilevel"/>
    <w:tmpl w:val="3C40E2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130DFF"/>
    <w:multiLevelType w:val="hybridMultilevel"/>
    <w:tmpl w:val="1C7C4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12C65"/>
    <w:multiLevelType w:val="hybridMultilevel"/>
    <w:tmpl w:val="D52238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F37704"/>
    <w:multiLevelType w:val="hybridMultilevel"/>
    <w:tmpl w:val="59EE67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82B3E"/>
    <w:multiLevelType w:val="hybridMultilevel"/>
    <w:tmpl w:val="3828A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4B4536"/>
    <w:multiLevelType w:val="hybridMultilevel"/>
    <w:tmpl w:val="DF4ACD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8E2224"/>
    <w:multiLevelType w:val="hybridMultilevel"/>
    <w:tmpl w:val="BA783E6A"/>
    <w:lvl w:ilvl="0" w:tplc="0A98C9DC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DE19B7"/>
    <w:multiLevelType w:val="hybridMultilevel"/>
    <w:tmpl w:val="831EB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A14098"/>
    <w:multiLevelType w:val="hybridMultilevel"/>
    <w:tmpl w:val="903860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7237BE"/>
    <w:multiLevelType w:val="hybridMultilevel"/>
    <w:tmpl w:val="0BB2301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02A24"/>
    <w:multiLevelType w:val="hybridMultilevel"/>
    <w:tmpl w:val="C7F215CC"/>
    <w:lvl w:ilvl="0" w:tplc="0A98C9DC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661A18"/>
    <w:multiLevelType w:val="hybridMultilevel"/>
    <w:tmpl w:val="903860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B516C5"/>
    <w:multiLevelType w:val="hybridMultilevel"/>
    <w:tmpl w:val="79FE72A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86394"/>
    <w:multiLevelType w:val="hybridMultilevel"/>
    <w:tmpl w:val="FA02C1D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5C6D8C"/>
    <w:multiLevelType w:val="hybridMultilevel"/>
    <w:tmpl w:val="DEB67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6508C1"/>
    <w:multiLevelType w:val="hybridMultilevel"/>
    <w:tmpl w:val="F34EC0B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2668AF"/>
    <w:multiLevelType w:val="hybridMultilevel"/>
    <w:tmpl w:val="B52A97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8B2575"/>
    <w:multiLevelType w:val="hybridMultilevel"/>
    <w:tmpl w:val="55D412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F40EE"/>
    <w:multiLevelType w:val="hybridMultilevel"/>
    <w:tmpl w:val="746E3944"/>
    <w:lvl w:ilvl="0" w:tplc="0A98C9DC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8D3999"/>
    <w:multiLevelType w:val="hybridMultilevel"/>
    <w:tmpl w:val="ABAC8A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CD5685"/>
    <w:multiLevelType w:val="hybridMultilevel"/>
    <w:tmpl w:val="F9D4D7C6"/>
    <w:lvl w:ilvl="0" w:tplc="EDEAE96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06C4F6E"/>
    <w:multiLevelType w:val="hybridMultilevel"/>
    <w:tmpl w:val="F460A9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5A704ED"/>
    <w:multiLevelType w:val="hybridMultilevel"/>
    <w:tmpl w:val="618A72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66F02C0"/>
    <w:multiLevelType w:val="hybridMultilevel"/>
    <w:tmpl w:val="42C284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FD3A58"/>
    <w:multiLevelType w:val="hybridMultilevel"/>
    <w:tmpl w:val="FB7C5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AB5C5D"/>
    <w:multiLevelType w:val="hybridMultilevel"/>
    <w:tmpl w:val="6F92C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F023DD"/>
    <w:multiLevelType w:val="hybridMultilevel"/>
    <w:tmpl w:val="247294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E730976"/>
    <w:multiLevelType w:val="hybridMultilevel"/>
    <w:tmpl w:val="6D1056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55934D3"/>
    <w:multiLevelType w:val="hybridMultilevel"/>
    <w:tmpl w:val="5F6E6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102F15"/>
    <w:multiLevelType w:val="hybridMultilevel"/>
    <w:tmpl w:val="74068B8C"/>
    <w:lvl w:ilvl="0" w:tplc="0A98C9DC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A76189"/>
    <w:multiLevelType w:val="hybridMultilevel"/>
    <w:tmpl w:val="1DB64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C8B473B"/>
    <w:multiLevelType w:val="hybridMultilevel"/>
    <w:tmpl w:val="D508378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1"/>
  </w:num>
  <w:num w:numId="3">
    <w:abstractNumId w:val="26"/>
  </w:num>
  <w:num w:numId="4">
    <w:abstractNumId w:val="4"/>
  </w:num>
  <w:num w:numId="5">
    <w:abstractNumId w:val="34"/>
  </w:num>
  <w:num w:numId="6">
    <w:abstractNumId w:val="43"/>
  </w:num>
  <w:num w:numId="7">
    <w:abstractNumId w:val="0"/>
  </w:num>
  <w:num w:numId="8">
    <w:abstractNumId w:val="46"/>
  </w:num>
  <w:num w:numId="9">
    <w:abstractNumId w:val="13"/>
  </w:num>
  <w:num w:numId="10">
    <w:abstractNumId w:val="15"/>
  </w:num>
  <w:num w:numId="11">
    <w:abstractNumId w:val="24"/>
  </w:num>
  <w:num w:numId="12">
    <w:abstractNumId w:val="39"/>
  </w:num>
  <w:num w:numId="13">
    <w:abstractNumId w:val="36"/>
  </w:num>
  <w:num w:numId="14">
    <w:abstractNumId w:val="38"/>
  </w:num>
  <w:num w:numId="15">
    <w:abstractNumId w:val="22"/>
  </w:num>
  <w:num w:numId="16">
    <w:abstractNumId w:val="35"/>
  </w:num>
  <w:num w:numId="17">
    <w:abstractNumId w:val="23"/>
  </w:num>
  <w:num w:numId="18">
    <w:abstractNumId w:val="12"/>
  </w:num>
  <w:num w:numId="19">
    <w:abstractNumId w:val="21"/>
  </w:num>
  <w:num w:numId="20">
    <w:abstractNumId w:val="3"/>
  </w:num>
  <w:num w:numId="21">
    <w:abstractNumId w:val="47"/>
  </w:num>
  <w:num w:numId="22">
    <w:abstractNumId w:val="37"/>
  </w:num>
  <w:num w:numId="23">
    <w:abstractNumId w:val="5"/>
  </w:num>
  <w:num w:numId="24">
    <w:abstractNumId w:val="16"/>
  </w:num>
  <w:num w:numId="25">
    <w:abstractNumId w:val="25"/>
  </w:num>
  <w:num w:numId="26">
    <w:abstractNumId w:val="33"/>
  </w:num>
  <w:num w:numId="27">
    <w:abstractNumId w:val="44"/>
  </w:num>
  <w:num w:numId="28">
    <w:abstractNumId w:val="28"/>
  </w:num>
  <w:num w:numId="29">
    <w:abstractNumId w:val="14"/>
  </w:num>
  <w:num w:numId="30">
    <w:abstractNumId w:val="19"/>
  </w:num>
  <w:num w:numId="31">
    <w:abstractNumId w:val="40"/>
  </w:num>
  <w:num w:numId="32">
    <w:abstractNumId w:val="42"/>
  </w:num>
  <w:num w:numId="33">
    <w:abstractNumId w:val="7"/>
  </w:num>
  <w:num w:numId="34">
    <w:abstractNumId w:val="45"/>
  </w:num>
  <w:num w:numId="35">
    <w:abstractNumId w:val="29"/>
  </w:num>
  <w:num w:numId="36">
    <w:abstractNumId w:val="6"/>
  </w:num>
  <w:num w:numId="37">
    <w:abstractNumId w:val="2"/>
  </w:num>
  <w:num w:numId="38">
    <w:abstractNumId w:val="1"/>
  </w:num>
  <w:num w:numId="39">
    <w:abstractNumId w:val="11"/>
  </w:num>
  <w:num w:numId="40">
    <w:abstractNumId w:val="30"/>
  </w:num>
  <w:num w:numId="41">
    <w:abstractNumId w:val="9"/>
  </w:num>
  <w:num w:numId="42">
    <w:abstractNumId w:val="8"/>
  </w:num>
  <w:num w:numId="43">
    <w:abstractNumId w:val="27"/>
  </w:num>
  <w:num w:numId="44">
    <w:abstractNumId w:val="10"/>
  </w:num>
  <w:num w:numId="45">
    <w:abstractNumId w:val="32"/>
  </w:num>
  <w:num w:numId="46">
    <w:abstractNumId w:val="31"/>
  </w:num>
  <w:num w:numId="47">
    <w:abstractNumId w:val="20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41F8"/>
    <w:rsid w:val="0001702C"/>
    <w:rsid w:val="00034258"/>
    <w:rsid w:val="000475C5"/>
    <w:rsid w:val="00057E92"/>
    <w:rsid w:val="00067F46"/>
    <w:rsid w:val="00074257"/>
    <w:rsid w:val="000823E2"/>
    <w:rsid w:val="00093D8B"/>
    <w:rsid w:val="000B20A3"/>
    <w:rsid w:val="000B7EC9"/>
    <w:rsid w:val="000E33B9"/>
    <w:rsid w:val="000E705D"/>
    <w:rsid w:val="000F37CF"/>
    <w:rsid w:val="000F45DE"/>
    <w:rsid w:val="000F6679"/>
    <w:rsid w:val="00105DDE"/>
    <w:rsid w:val="00124098"/>
    <w:rsid w:val="0012679E"/>
    <w:rsid w:val="001339CF"/>
    <w:rsid w:val="00140BE8"/>
    <w:rsid w:val="00145E7F"/>
    <w:rsid w:val="00180A27"/>
    <w:rsid w:val="00183597"/>
    <w:rsid w:val="0018795A"/>
    <w:rsid w:val="001936C2"/>
    <w:rsid w:val="0019451D"/>
    <w:rsid w:val="00195CCB"/>
    <w:rsid w:val="0019648E"/>
    <w:rsid w:val="001A02DC"/>
    <w:rsid w:val="001B57E6"/>
    <w:rsid w:val="001C1078"/>
    <w:rsid w:val="001C12E9"/>
    <w:rsid w:val="001C70F8"/>
    <w:rsid w:val="001D7AA0"/>
    <w:rsid w:val="001F5185"/>
    <w:rsid w:val="0020012B"/>
    <w:rsid w:val="00213669"/>
    <w:rsid w:val="00213772"/>
    <w:rsid w:val="00216EA5"/>
    <w:rsid w:val="00220996"/>
    <w:rsid w:val="00224D4F"/>
    <w:rsid w:val="00231CF4"/>
    <w:rsid w:val="00245A88"/>
    <w:rsid w:val="002519C9"/>
    <w:rsid w:val="002524F7"/>
    <w:rsid w:val="00264DB4"/>
    <w:rsid w:val="0026694E"/>
    <w:rsid w:val="002715B2"/>
    <w:rsid w:val="002901C3"/>
    <w:rsid w:val="00292E8D"/>
    <w:rsid w:val="00297C8E"/>
    <w:rsid w:val="002D497E"/>
    <w:rsid w:val="002E1C66"/>
    <w:rsid w:val="002E5147"/>
    <w:rsid w:val="002E7B3C"/>
    <w:rsid w:val="002F2066"/>
    <w:rsid w:val="003035F3"/>
    <w:rsid w:val="00305EE4"/>
    <w:rsid w:val="00306D42"/>
    <w:rsid w:val="00311CC6"/>
    <w:rsid w:val="003124D1"/>
    <w:rsid w:val="00325648"/>
    <w:rsid w:val="00327212"/>
    <w:rsid w:val="0033339F"/>
    <w:rsid w:val="00335D93"/>
    <w:rsid w:val="00336B83"/>
    <w:rsid w:val="003426BF"/>
    <w:rsid w:val="00346051"/>
    <w:rsid w:val="0035100A"/>
    <w:rsid w:val="003564FA"/>
    <w:rsid w:val="0037500A"/>
    <w:rsid w:val="003814F6"/>
    <w:rsid w:val="00393A92"/>
    <w:rsid w:val="00395708"/>
    <w:rsid w:val="003A3582"/>
    <w:rsid w:val="003A462E"/>
    <w:rsid w:val="003B067F"/>
    <w:rsid w:val="003B4105"/>
    <w:rsid w:val="003B4DDA"/>
    <w:rsid w:val="003B5236"/>
    <w:rsid w:val="003B5D9C"/>
    <w:rsid w:val="003C24B1"/>
    <w:rsid w:val="003C5FAD"/>
    <w:rsid w:val="003D47EC"/>
    <w:rsid w:val="003E0026"/>
    <w:rsid w:val="003E138F"/>
    <w:rsid w:val="003E185A"/>
    <w:rsid w:val="003E4163"/>
    <w:rsid w:val="00405397"/>
    <w:rsid w:val="00436786"/>
    <w:rsid w:val="00440C2C"/>
    <w:rsid w:val="00441220"/>
    <w:rsid w:val="00457CE5"/>
    <w:rsid w:val="0046120E"/>
    <w:rsid w:val="0046705B"/>
    <w:rsid w:val="0047099E"/>
    <w:rsid w:val="0047221C"/>
    <w:rsid w:val="00487FE7"/>
    <w:rsid w:val="004A7260"/>
    <w:rsid w:val="004B3BB9"/>
    <w:rsid w:val="004B695A"/>
    <w:rsid w:val="004D086F"/>
    <w:rsid w:val="00502670"/>
    <w:rsid w:val="0053028A"/>
    <w:rsid w:val="00534E8D"/>
    <w:rsid w:val="00540079"/>
    <w:rsid w:val="00554138"/>
    <w:rsid w:val="00557519"/>
    <w:rsid w:val="005578C2"/>
    <w:rsid w:val="005606E0"/>
    <w:rsid w:val="005716C4"/>
    <w:rsid w:val="0058089A"/>
    <w:rsid w:val="00582666"/>
    <w:rsid w:val="00582880"/>
    <w:rsid w:val="005B7F56"/>
    <w:rsid w:val="005C2D5F"/>
    <w:rsid w:val="005C483A"/>
    <w:rsid w:val="005C5D53"/>
    <w:rsid w:val="005D7B94"/>
    <w:rsid w:val="005F6527"/>
    <w:rsid w:val="006017E6"/>
    <w:rsid w:val="00622CDD"/>
    <w:rsid w:val="00626712"/>
    <w:rsid w:val="0064052D"/>
    <w:rsid w:val="006705EC"/>
    <w:rsid w:val="006768D1"/>
    <w:rsid w:val="00676C72"/>
    <w:rsid w:val="0068274C"/>
    <w:rsid w:val="006843C4"/>
    <w:rsid w:val="00684ED1"/>
    <w:rsid w:val="00685E3C"/>
    <w:rsid w:val="00690C9D"/>
    <w:rsid w:val="00697A02"/>
    <w:rsid w:val="006A7E89"/>
    <w:rsid w:val="006C4A6E"/>
    <w:rsid w:val="006C55FD"/>
    <w:rsid w:val="006C6FE0"/>
    <w:rsid w:val="006E122E"/>
    <w:rsid w:val="006E16E9"/>
    <w:rsid w:val="006E5A15"/>
    <w:rsid w:val="006F4B8E"/>
    <w:rsid w:val="00713746"/>
    <w:rsid w:val="0072026B"/>
    <w:rsid w:val="0074103D"/>
    <w:rsid w:val="00770E57"/>
    <w:rsid w:val="00784B26"/>
    <w:rsid w:val="0079342F"/>
    <w:rsid w:val="007A2753"/>
    <w:rsid w:val="007B4E9D"/>
    <w:rsid w:val="007B7100"/>
    <w:rsid w:val="007C27BD"/>
    <w:rsid w:val="007E53DA"/>
    <w:rsid w:val="007E7985"/>
    <w:rsid w:val="007F4B36"/>
    <w:rsid w:val="00806F9F"/>
    <w:rsid w:val="00807385"/>
    <w:rsid w:val="0081484A"/>
    <w:rsid w:val="0081599C"/>
    <w:rsid w:val="00817A9C"/>
    <w:rsid w:val="008204CE"/>
    <w:rsid w:val="00825909"/>
    <w:rsid w:val="00871ADF"/>
    <w:rsid w:val="00885776"/>
    <w:rsid w:val="008A1D46"/>
    <w:rsid w:val="008A6311"/>
    <w:rsid w:val="008B3FC6"/>
    <w:rsid w:val="008C0224"/>
    <w:rsid w:val="00911C49"/>
    <w:rsid w:val="009167E7"/>
    <w:rsid w:val="009207F6"/>
    <w:rsid w:val="009232F9"/>
    <w:rsid w:val="00923866"/>
    <w:rsid w:val="00930415"/>
    <w:rsid w:val="009322B3"/>
    <w:rsid w:val="009364E5"/>
    <w:rsid w:val="00937D6F"/>
    <w:rsid w:val="0094181B"/>
    <w:rsid w:val="00943478"/>
    <w:rsid w:val="00944932"/>
    <w:rsid w:val="00985991"/>
    <w:rsid w:val="00986ABE"/>
    <w:rsid w:val="009966AB"/>
    <w:rsid w:val="009A6C38"/>
    <w:rsid w:val="009B03C6"/>
    <w:rsid w:val="009B57C5"/>
    <w:rsid w:val="009D233C"/>
    <w:rsid w:val="009D2E1D"/>
    <w:rsid w:val="009D7C56"/>
    <w:rsid w:val="009E30DF"/>
    <w:rsid w:val="009E5FDB"/>
    <w:rsid w:val="00A06425"/>
    <w:rsid w:val="00A06F10"/>
    <w:rsid w:val="00A10C56"/>
    <w:rsid w:val="00A14BC1"/>
    <w:rsid w:val="00A2323F"/>
    <w:rsid w:val="00A259C4"/>
    <w:rsid w:val="00A73747"/>
    <w:rsid w:val="00A743E6"/>
    <w:rsid w:val="00A84FE5"/>
    <w:rsid w:val="00A85626"/>
    <w:rsid w:val="00AA3192"/>
    <w:rsid w:val="00AA3BB4"/>
    <w:rsid w:val="00AB2036"/>
    <w:rsid w:val="00AC0420"/>
    <w:rsid w:val="00AC0D28"/>
    <w:rsid w:val="00AC1954"/>
    <w:rsid w:val="00AC6BF4"/>
    <w:rsid w:val="00AC7796"/>
    <w:rsid w:val="00AD1BD5"/>
    <w:rsid w:val="00AD7524"/>
    <w:rsid w:val="00AE1598"/>
    <w:rsid w:val="00AF139A"/>
    <w:rsid w:val="00AF7D4E"/>
    <w:rsid w:val="00B03310"/>
    <w:rsid w:val="00B11FE8"/>
    <w:rsid w:val="00B26649"/>
    <w:rsid w:val="00B328B8"/>
    <w:rsid w:val="00B3769C"/>
    <w:rsid w:val="00B441CB"/>
    <w:rsid w:val="00B63623"/>
    <w:rsid w:val="00B67CFF"/>
    <w:rsid w:val="00B70F70"/>
    <w:rsid w:val="00B871B6"/>
    <w:rsid w:val="00BA0917"/>
    <w:rsid w:val="00BB0B8F"/>
    <w:rsid w:val="00BC112E"/>
    <w:rsid w:val="00BC122B"/>
    <w:rsid w:val="00BC170B"/>
    <w:rsid w:val="00BD128A"/>
    <w:rsid w:val="00BD1DCD"/>
    <w:rsid w:val="00BD3E48"/>
    <w:rsid w:val="00BF7390"/>
    <w:rsid w:val="00C24B0E"/>
    <w:rsid w:val="00C45E21"/>
    <w:rsid w:val="00C64B1B"/>
    <w:rsid w:val="00C73026"/>
    <w:rsid w:val="00C866C8"/>
    <w:rsid w:val="00C87A95"/>
    <w:rsid w:val="00C9619A"/>
    <w:rsid w:val="00CA0300"/>
    <w:rsid w:val="00CA5E19"/>
    <w:rsid w:val="00CC271D"/>
    <w:rsid w:val="00CC4C71"/>
    <w:rsid w:val="00CD0B30"/>
    <w:rsid w:val="00CD5EB0"/>
    <w:rsid w:val="00CE1578"/>
    <w:rsid w:val="00CE3B4C"/>
    <w:rsid w:val="00CF1637"/>
    <w:rsid w:val="00D058CC"/>
    <w:rsid w:val="00D103B6"/>
    <w:rsid w:val="00D13D1E"/>
    <w:rsid w:val="00D16C7B"/>
    <w:rsid w:val="00D247C7"/>
    <w:rsid w:val="00D25ED4"/>
    <w:rsid w:val="00D35D84"/>
    <w:rsid w:val="00D543E4"/>
    <w:rsid w:val="00D67C0C"/>
    <w:rsid w:val="00D768AD"/>
    <w:rsid w:val="00DA6E2C"/>
    <w:rsid w:val="00DB6EF6"/>
    <w:rsid w:val="00DC2B0F"/>
    <w:rsid w:val="00DD2E5E"/>
    <w:rsid w:val="00DD7A6B"/>
    <w:rsid w:val="00DE4752"/>
    <w:rsid w:val="00E031A5"/>
    <w:rsid w:val="00E14C33"/>
    <w:rsid w:val="00E173AE"/>
    <w:rsid w:val="00E24678"/>
    <w:rsid w:val="00E2697A"/>
    <w:rsid w:val="00E37340"/>
    <w:rsid w:val="00E46D95"/>
    <w:rsid w:val="00E51C8D"/>
    <w:rsid w:val="00E677BB"/>
    <w:rsid w:val="00E73B00"/>
    <w:rsid w:val="00E83083"/>
    <w:rsid w:val="00EB6543"/>
    <w:rsid w:val="00EB70D8"/>
    <w:rsid w:val="00EB7158"/>
    <w:rsid w:val="00EB79CB"/>
    <w:rsid w:val="00EC1BEB"/>
    <w:rsid w:val="00EC7391"/>
    <w:rsid w:val="00ED5713"/>
    <w:rsid w:val="00ED5A8B"/>
    <w:rsid w:val="00EE6879"/>
    <w:rsid w:val="00F019F8"/>
    <w:rsid w:val="00F0231F"/>
    <w:rsid w:val="00F15DC8"/>
    <w:rsid w:val="00F27556"/>
    <w:rsid w:val="00F32902"/>
    <w:rsid w:val="00F335F1"/>
    <w:rsid w:val="00F35C9F"/>
    <w:rsid w:val="00F44950"/>
    <w:rsid w:val="00F53B8D"/>
    <w:rsid w:val="00F57D85"/>
    <w:rsid w:val="00F82E31"/>
    <w:rsid w:val="00F83CEB"/>
    <w:rsid w:val="00F857DF"/>
    <w:rsid w:val="00F86451"/>
    <w:rsid w:val="00F869E6"/>
    <w:rsid w:val="00FA27CD"/>
    <w:rsid w:val="00FA6118"/>
    <w:rsid w:val="00FA64D0"/>
    <w:rsid w:val="00FB3EFB"/>
    <w:rsid w:val="00FC1BE4"/>
    <w:rsid w:val="00FE2010"/>
    <w:rsid w:val="00FE2C96"/>
    <w:rsid w:val="00FE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F56AE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A6E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opis dzialania,K-P_odwolanie,Akapit z listą mon"/>
    <w:basedOn w:val="Normalny"/>
    <w:link w:val="AkapitzlistZnak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  <w:style w:type="character" w:styleId="Hipercze">
    <w:name w:val="Hyperlink"/>
    <w:basedOn w:val="Domylnaczcionkaakapitu"/>
    <w:rsid w:val="00F0231F"/>
    <w:rPr>
      <w:color w:val="0563C1" w:themeColor="hyperlink"/>
      <w:u w:val="single"/>
    </w:rPr>
  </w:style>
  <w:style w:type="paragraph" w:customStyle="1" w:styleId="Default">
    <w:name w:val="Default"/>
    <w:rsid w:val="000F45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opis dzialania Znak,K-P_odwolanie Znak,Akapit z listą mon Znak"/>
    <w:link w:val="Akapitzlist"/>
    <w:uiPriority w:val="34"/>
    <w:qFormat/>
    <w:locked/>
    <w:rsid w:val="00D103B6"/>
    <w:rPr>
      <w:sz w:val="24"/>
      <w:szCs w:val="24"/>
    </w:rPr>
  </w:style>
  <w:style w:type="paragraph" w:customStyle="1" w:styleId="pf0">
    <w:name w:val="pf0"/>
    <w:basedOn w:val="Normalny"/>
    <w:rsid w:val="00817A9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1385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2023-11-28T16:20:00Z</dcterms:created>
  <dcterms:modified xsi:type="dcterms:W3CDTF">2023-11-28T16:20:00Z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UxC4dwLulzfINJ8nQH+xvX5LNGipWa4BRSZhPgxsCvl/O/gxn6IOWWKzqMhT2jvT8K7bqlXUQnFvoWqNhglN4g==</vt:lpwstr>
  </property>
  <property fmtid="{D5CDD505-2E9C-101B-9397-08002B2CF9AE}" pid="4" name="MFClassificationDate">
    <vt:lpwstr>2023-11-27T21:56:09.6870946+01:00</vt:lpwstr>
  </property>
  <property fmtid="{D5CDD505-2E9C-101B-9397-08002B2CF9AE}" pid="5" name="MFClassifiedBySID">
    <vt:lpwstr>UxC4dwLulzfINJ8nQH+xvX5LNGipWa4BRSZhPgxsCvm42mrIC/DSDv0ggS+FjUN/2v1BBotkLlY5aAiEhoi6uTAPy76NqsDBBPX8+JiOlbVdRtsReJnWBUalRhiDCoTV</vt:lpwstr>
  </property>
  <property fmtid="{D5CDD505-2E9C-101B-9397-08002B2CF9AE}" pid="6" name="MFGRNItemId">
    <vt:lpwstr>GRN-25dd79b8-0c61-4a24-8ece-27b206c042bd</vt:lpwstr>
  </property>
  <property fmtid="{D5CDD505-2E9C-101B-9397-08002B2CF9AE}" pid="7" name="MFHash">
    <vt:lpwstr>lcCB+Zv6DQNvXYxMKbCZbvk3u1IkaoBRJlQUaVAveOo=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