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1B" w:rsidRDefault="00C64B1B" w:rsidP="00C64B1B">
      <w:pPr>
        <w:jc w:val="center"/>
      </w:pPr>
    </w:p>
    <w:tbl>
      <w:tblPr>
        <w:tblW w:w="14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1203"/>
        <w:gridCol w:w="1436"/>
        <w:gridCol w:w="6642"/>
        <w:gridCol w:w="4514"/>
      </w:tblGrid>
      <w:tr w:rsidR="00807385" w:rsidTr="006A7837">
        <w:trPr>
          <w:jc w:val="center"/>
        </w:trPr>
        <w:tc>
          <w:tcPr>
            <w:tcW w:w="14545" w:type="dxa"/>
            <w:gridSpan w:val="5"/>
            <w:shd w:val="clear" w:color="auto" w:fill="auto"/>
            <w:vAlign w:val="center"/>
          </w:tcPr>
          <w:p w:rsidR="00807385" w:rsidRPr="004D086F" w:rsidRDefault="00807385" w:rsidP="00651688">
            <w:pPr>
              <w:spacing w:before="120" w:after="120"/>
              <w:ind w:left="2948" w:hanging="2948"/>
              <w:rPr>
                <w:b/>
                <w:i/>
              </w:rPr>
            </w:pPr>
            <w:r w:rsidRPr="004D086F">
              <w:rPr>
                <w:b/>
                <w:i/>
              </w:rPr>
              <w:t>Nazwa projektu dokumentu</w:t>
            </w:r>
            <w:r w:rsidR="002E0D6A" w:rsidRPr="004D086F">
              <w:rPr>
                <w:b/>
                <w:i/>
              </w:rPr>
              <w:t>:</w:t>
            </w:r>
            <w:r w:rsidR="00564F2F">
              <w:rPr>
                <w:b/>
                <w:i/>
              </w:rPr>
              <w:t xml:space="preserve"> </w:t>
            </w:r>
            <w:r w:rsidR="00AA3419" w:rsidRPr="00AA3419">
              <w:rPr>
                <w:i/>
              </w:rPr>
              <w:t>ustawa o zmianie ustawy o wspieraniu rozwoju sieci usług i sieci telekomunikacyjnych oraz niektórych innych ustaw</w:t>
            </w:r>
          </w:p>
        </w:tc>
      </w:tr>
      <w:tr w:rsidR="00807385" w:rsidTr="006A783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807385" w:rsidRPr="004D086F" w:rsidRDefault="00807385" w:rsidP="00B67B92">
            <w:pPr>
              <w:jc w:val="center"/>
              <w:rPr>
                <w:b/>
              </w:rPr>
            </w:pPr>
            <w:r w:rsidRPr="004D086F">
              <w:rPr>
                <w:b/>
              </w:rPr>
              <w:t>L.p.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07385" w:rsidRPr="004D086F" w:rsidRDefault="00807385" w:rsidP="004D086F">
            <w:pPr>
              <w:jc w:val="center"/>
              <w:rPr>
                <w:b/>
              </w:rPr>
            </w:pPr>
            <w:r w:rsidRPr="004D086F">
              <w:rPr>
                <w:b/>
              </w:rPr>
              <w:t>Organ wnoszący uwagi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07385" w:rsidRPr="004D086F" w:rsidRDefault="00807385" w:rsidP="004D086F">
            <w:pPr>
              <w:jc w:val="center"/>
              <w:rPr>
                <w:b/>
              </w:rPr>
            </w:pPr>
            <w:r w:rsidRPr="004D086F">
              <w:rPr>
                <w:b/>
              </w:rPr>
              <w:t>Jednostka redakcyjna, do której wnoszone są uwagi</w:t>
            </w:r>
          </w:p>
        </w:tc>
        <w:tc>
          <w:tcPr>
            <w:tcW w:w="6642" w:type="dxa"/>
            <w:shd w:val="clear" w:color="auto" w:fill="auto"/>
            <w:vAlign w:val="center"/>
          </w:tcPr>
          <w:p w:rsidR="00807385" w:rsidRPr="004D086F" w:rsidRDefault="00807385" w:rsidP="004D086F">
            <w:pPr>
              <w:jc w:val="center"/>
              <w:rPr>
                <w:b/>
              </w:rPr>
            </w:pPr>
            <w:r w:rsidRPr="004D086F">
              <w:rPr>
                <w:b/>
              </w:rPr>
              <w:t>Treść uwagi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807385" w:rsidRPr="004D086F" w:rsidRDefault="00807385" w:rsidP="004D086F">
            <w:pPr>
              <w:jc w:val="center"/>
              <w:rPr>
                <w:b/>
              </w:rPr>
            </w:pPr>
            <w:r w:rsidRPr="004D086F">
              <w:rPr>
                <w:b/>
              </w:rPr>
              <w:t>Propozycja zmian zapisu</w:t>
            </w:r>
          </w:p>
        </w:tc>
      </w:tr>
      <w:tr w:rsidR="00807385" w:rsidTr="006A783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807385" w:rsidRPr="004D086F" w:rsidRDefault="00807385" w:rsidP="006A7837">
            <w:pPr>
              <w:numPr>
                <w:ilvl w:val="0"/>
                <w:numId w:val="3"/>
              </w:numPr>
              <w:spacing w:before="60" w:after="60"/>
              <w:jc w:val="center"/>
              <w:rPr>
                <w:b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807385" w:rsidRPr="004D086F" w:rsidRDefault="005310EA" w:rsidP="006A783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Rządowe Centrum Legislacji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07385" w:rsidRDefault="00626AAF" w:rsidP="002E0D6A">
            <w:pPr>
              <w:jc w:val="center"/>
            </w:pPr>
            <w:r w:rsidRPr="00626AAF">
              <w:t>Art. 1 pkt 1 lit. b projektu</w:t>
            </w:r>
          </w:p>
        </w:tc>
        <w:tc>
          <w:tcPr>
            <w:tcW w:w="6642" w:type="dxa"/>
            <w:shd w:val="clear" w:color="auto" w:fill="auto"/>
          </w:tcPr>
          <w:p w:rsidR="00626AAF" w:rsidRPr="000E75C7" w:rsidRDefault="00626AAF" w:rsidP="00626AAF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5C7">
              <w:rPr>
                <w:rFonts w:ascii="Times New Roman" w:hAnsi="Times New Roman"/>
                <w:sz w:val="24"/>
                <w:szCs w:val="24"/>
              </w:rPr>
              <w:t>Zgodnie z definicją punktu dostępu bezprzewodowego o bliskim zasięgu, zawartą w projektowanym art. 2 ust. 1 pkt 10 ustawy o wspieraniu rozwoju i usług i sieci telekomunikacyjnych, punktem dostępowym jest „</w:t>
            </w:r>
            <w:r w:rsidRPr="000E75C7">
              <w:rPr>
                <w:rFonts w:ascii="Times New Roman" w:hAnsi="Times New Roman"/>
                <w:i/>
                <w:sz w:val="24"/>
                <w:szCs w:val="24"/>
              </w:rPr>
              <w:t>niewielkie urządzenie radiowe o małej mocy</w:t>
            </w:r>
            <w:r w:rsidRPr="000E75C7">
              <w:rPr>
                <w:rFonts w:ascii="Times New Roman" w:hAnsi="Times New Roman"/>
                <w:sz w:val="24"/>
                <w:szCs w:val="24"/>
              </w:rPr>
              <w:t xml:space="preserve">”. Po pierwsze zwrócić należy uwagę na nieokreśloność pojęcia </w:t>
            </w:r>
            <w:r w:rsidRPr="000E75C7">
              <w:rPr>
                <w:rFonts w:ascii="Times New Roman" w:hAnsi="Times New Roman"/>
                <w:i/>
                <w:sz w:val="24"/>
                <w:szCs w:val="24"/>
              </w:rPr>
              <w:t>niewielkie</w:t>
            </w:r>
            <w:r w:rsidRPr="000E75C7">
              <w:rPr>
                <w:rFonts w:ascii="Times New Roman" w:hAnsi="Times New Roman"/>
                <w:sz w:val="24"/>
                <w:szCs w:val="24"/>
              </w:rPr>
              <w:t xml:space="preserve"> urządzenie. Przepisy ustawy powinny bowiem dokładnie i w sposób zrozumiały dla adresatów zawartych w nich norm wyrażać intencje prawodawcy, a w związku z czym być formułowane w sposób poprawny, precyzyjny i jasny. Niestosowanie się do wskazanych zasad narusza konstytucyjną zasadę określoności i wywodzącą się z niej zasadą poprawnej legislacji. </w:t>
            </w:r>
          </w:p>
          <w:p w:rsidR="00626AAF" w:rsidRPr="000E75C7" w:rsidRDefault="00626AAF" w:rsidP="00626AAF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5C7">
              <w:rPr>
                <w:rFonts w:ascii="Times New Roman" w:hAnsi="Times New Roman"/>
                <w:sz w:val="24"/>
                <w:szCs w:val="24"/>
              </w:rPr>
              <w:t>Zgodnie z informacjami zwartymi w tabeli zgodności definicja „</w:t>
            </w:r>
            <w:r w:rsidRPr="000E75C7">
              <w:rPr>
                <w:rFonts w:ascii="Times New Roman" w:hAnsi="Times New Roman"/>
                <w:i/>
                <w:sz w:val="24"/>
                <w:szCs w:val="24"/>
              </w:rPr>
              <w:t>punktu dostępu bezprzewodowego o bliskim zasięgu</w:t>
            </w:r>
            <w:r w:rsidRPr="000E75C7">
              <w:rPr>
                <w:rFonts w:ascii="Times New Roman" w:hAnsi="Times New Roman"/>
                <w:sz w:val="24"/>
                <w:szCs w:val="24"/>
              </w:rPr>
              <w:t xml:space="preserve">” związana jest z definicją tego punktu zawartą w dyrektywie 2018/1972, która też posługuje się pojęciami niedookreślonymi. Przepisy dyrektywy, w opinii RCL, nie powinny jednak wpływać na jakość stanowienia przepisów krajowych.  </w:t>
            </w:r>
          </w:p>
          <w:p w:rsidR="00626AAF" w:rsidRPr="000E75C7" w:rsidRDefault="00626AAF" w:rsidP="00626AAF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5C7">
              <w:rPr>
                <w:rFonts w:ascii="Times New Roman" w:hAnsi="Times New Roman"/>
                <w:sz w:val="24"/>
                <w:szCs w:val="24"/>
              </w:rPr>
              <w:t xml:space="preserve">Zaznaczyć trzeba, że w powyższym zakresie decydujący głos będzie miał jednak Minister Spraw Zagranicznych oceniający sposób transpozycji przepisów dyrektywy. Na marginesie wskazać też należy na obawy RCL o zasadność funkcjonowania aktu </w:t>
            </w:r>
            <w:r w:rsidRPr="000E7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prawnego podjętego w przedstawionej wersji, mając na uwadze termin wejścia w życie projektowanej ustawy (po upływie 30 dni od dnia ogłoszenia) oraz przepis art. 57 ust. 2 dyrektywy 2018/1972 wskazujący, że fizyczne i techniczne cechy punktów dostępu bezprzewodowego o bliskim zasięgu określi Komisja w drodze aktów wykonawczych, a pierwszy akt wykonawczy zostanie przyjęty do 30 czerwca 2020 r. </w:t>
            </w:r>
          </w:p>
          <w:p w:rsidR="00626AAF" w:rsidRPr="000E75C7" w:rsidRDefault="00626AAF" w:rsidP="00626AAF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5C7">
              <w:rPr>
                <w:rFonts w:ascii="Times New Roman" w:hAnsi="Times New Roman"/>
                <w:sz w:val="24"/>
                <w:szCs w:val="24"/>
              </w:rPr>
              <w:t xml:space="preserve">Po drugie wskazać należy, że ustawa - Prawo telekomunikacyjne w art. 2 pkt 33 i 38 wprowadza pojęcia </w:t>
            </w:r>
            <w:r w:rsidRPr="000E75C7">
              <w:rPr>
                <w:rFonts w:ascii="Times New Roman" w:hAnsi="Times New Roman"/>
                <w:i/>
                <w:sz w:val="24"/>
                <w:szCs w:val="24"/>
              </w:rPr>
              <w:t>ruchomej i stacjonarnej publicznej sieci telekomunikacyjnej</w:t>
            </w:r>
            <w:r w:rsidRPr="000E75C7">
              <w:rPr>
                <w:rFonts w:ascii="Times New Roman" w:hAnsi="Times New Roman"/>
                <w:sz w:val="24"/>
                <w:szCs w:val="24"/>
              </w:rPr>
              <w:t>. Nie posługuje się natomiast pojęciem „</w:t>
            </w:r>
            <w:r w:rsidRPr="000E75C7">
              <w:rPr>
                <w:rFonts w:ascii="Times New Roman" w:hAnsi="Times New Roman"/>
                <w:i/>
                <w:sz w:val="24"/>
                <w:szCs w:val="24"/>
              </w:rPr>
              <w:t>stałej sieci</w:t>
            </w:r>
            <w:r w:rsidRPr="000E75C7">
              <w:rPr>
                <w:rFonts w:ascii="Times New Roman" w:hAnsi="Times New Roman"/>
                <w:sz w:val="24"/>
                <w:szCs w:val="24"/>
              </w:rPr>
              <w:t xml:space="preserve">”. We wskazanym zakresie należy więc wprowadzić odpowiednią korektę. </w:t>
            </w:r>
          </w:p>
          <w:p w:rsidR="00807385" w:rsidRPr="00371A2B" w:rsidRDefault="00626AAF" w:rsidP="00626AAF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5C7">
              <w:rPr>
                <w:rFonts w:ascii="Times New Roman" w:hAnsi="Times New Roman"/>
                <w:sz w:val="24"/>
                <w:szCs w:val="24"/>
              </w:rPr>
              <w:t xml:space="preserve">Po trzecie, mając na uwadze, że </w:t>
            </w:r>
            <w:r w:rsidRPr="000E75C7">
              <w:rPr>
                <w:rFonts w:ascii="Times New Roman" w:hAnsi="Times New Roman"/>
                <w:i/>
                <w:sz w:val="24"/>
                <w:szCs w:val="24"/>
              </w:rPr>
              <w:t>punkt dostępu bezprzewodowego o bliskim zasięgu</w:t>
            </w:r>
            <w:r w:rsidRPr="000E75C7">
              <w:rPr>
                <w:rFonts w:ascii="Times New Roman" w:hAnsi="Times New Roman"/>
                <w:sz w:val="24"/>
                <w:szCs w:val="24"/>
              </w:rPr>
              <w:t xml:space="preserve"> został zdefiniowany jako </w:t>
            </w:r>
            <w:r w:rsidRPr="000E75C7">
              <w:rPr>
                <w:rFonts w:ascii="Times New Roman" w:hAnsi="Times New Roman"/>
                <w:b/>
                <w:i/>
                <w:sz w:val="24"/>
                <w:szCs w:val="24"/>
              </w:rPr>
              <w:t>urządzenie radiowe</w:t>
            </w:r>
            <w:r w:rsidRPr="000E75C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75C7">
              <w:rPr>
                <w:rFonts w:ascii="Times New Roman" w:hAnsi="Times New Roman"/>
                <w:sz w:val="24"/>
                <w:szCs w:val="24"/>
              </w:rPr>
              <w:t>(zdefiniowane z kolei w ustawie – Prawo telekomunikacyjne), w opinii RCL ewentualnego wyjaśnienia wymaga, czy nie należy dokonać odpowiedniej nowelizacji przepisów Prawa telekomunikacyjnego (w zakresie działu VI rozdziału 2 i 3 tej ustawy) dotyczącego używania i obsługi urządzeń (pozwolenia radiowe, rejestr urządzeń, warunki wykorzystywania częstotliwości), a także wymagań dla urządzeń radiowych.</w:t>
            </w:r>
          </w:p>
        </w:tc>
        <w:tc>
          <w:tcPr>
            <w:tcW w:w="4514" w:type="dxa"/>
            <w:shd w:val="clear" w:color="auto" w:fill="auto"/>
          </w:tcPr>
          <w:p w:rsidR="00626AAF" w:rsidRPr="000E75C7" w:rsidRDefault="00626AAF" w:rsidP="00626AAF">
            <w:pPr>
              <w:spacing w:line="276" w:lineRule="auto"/>
              <w:jc w:val="both"/>
            </w:pPr>
            <w:r w:rsidRPr="000E75C7">
              <w:lastRenderedPageBreak/>
              <w:t xml:space="preserve">- usunięcie z definicji </w:t>
            </w:r>
            <w:r w:rsidRPr="000E75C7">
              <w:rPr>
                <w:i/>
              </w:rPr>
              <w:t>punktu dostępu bezprzewodowego o bliskim zasięgu</w:t>
            </w:r>
            <w:r w:rsidRPr="000E75C7">
              <w:t xml:space="preserve"> wyrazu „niewielkie”;</w:t>
            </w:r>
          </w:p>
          <w:p w:rsidR="00626AAF" w:rsidRPr="000E75C7" w:rsidRDefault="00626AAF" w:rsidP="00626AAF">
            <w:pPr>
              <w:spacing w:line="276" w:lineRule="auto"/>
              <w:jc w:val="both"/>
            </w:pPr>
            <w:r w:rsidRPr="000E75C7">
              <w:t>- korekta pojęcia „</w:t>
            </w:r>
            <w:r w:rsidRPr="000E75C7">
              <w:rPr>
                <w:i/>
              </w:rPr>
              <w:t>stałej sieci</w:t>
            </w:r>
            <w:r w:rsidRPr="000E75C7">
              <w:t>”,</w:t>
            </w:r>
          </w:p>
          <w:p w:rsidR="00626AAF" w:rsidRPr="000E75C7" w:rsidRDefault="00626AAF" w:rsidP="00626AAF">
            <w:pPr>
              <w:spacing w:line="276" w:lineRule="auto"/>
              <w:jc w:val="both"/>
            </w:pPr>
            <w:r w:rsidRPr="000E75C7">
              <w:t>- ewentualne nowelizacje przepisów działu VI rozdziałów 2 i 6 ustawy – Prawo telekomunikacyjne lub uzupełnienie uzasadnienia w zakresie odpowiedniego stosowania ww. przepisów do punktu dostępu bezprzewodowego o bliskim zasięgu.</w:t>
            </w:r>
          </w:p>
          <w:p w:rsidR="00807385" w:rsidRDefault="00807385" w:rsidP="00651688">
            <w:pPr>
              <w:spacing w:line="276" w:lineRule="auto"/>
              <w:jc w:val="both"/>
            </w:pPr>
          </w:p>
        </w:tc>
      </w:tr>
      <w:tr w:rsidR="00B67B92" w:rsidTr="006A783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B67B92" w:rsidRPr="004D086F" w:rsidRDefault="00B67B92" w:rsidP="006A7837">
            <w:pPr>
              <w:numPr>
                <w:ilvl w:val="0"/>
                <w:numId w:val="3"/>
              </w:numPr>
              <w:spacing w:before="60" w:after="60"/>
              <w:jc w:val="center"/>
              <w:rPr>
                <w:b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B67B92" w:rsidRDefault="00B67B92" w:rsidP="006A783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B67B92" w:rsidRDefault="00626AAF" w:rsidP="002E0D6A">
            <w:pPr>
              <w:jc w:val="center"/>
            </w:pPr>
            <w:r w:rsidRPr="000E75C7">
              <w:t>Art. 1 pkt 15 lit. a i b projektu</w:t>
            </w:r>
          </w:p>
        </w:tc>
        <w:tc>
          <w:tcPr>
            <w:tcW w:w="6642" w:type="dxa"/>
            <w:shd w:val="clear" w:color="auto" w:fill="auto"/>
          </w:tcPr>
          <w:p w:rsidR="00626AAF" w:rsidRPr="000E75C7" w:rsidRDefault="00626AAF" w:rsidP="00626AAF">
            <w:pPr>
              <w:shd w:val="clear" w:color="auto" w:fill="FFFFFF"/>
              <w:spacing w:line="315" w:lineRule="atLeast"/>
              <w:jc w:val="both"/>
              <w:rPr>
                <w:color w:val="333333"/>
              </w:rPr>
            </w:pPr>
            <w:r w:rsidRPr="000E75C7">
              <w:t xml:space="preserve">Zgodnie z nowelizowanymi przepisami art. 29 ust. 4 i 6 właściwy zarządca drogi oraz wójt (burmistrz, prezydent miasta), starosta i marszałek województwa przekazują Prezesowi UKE, </w:t>
            </w:r>
            <w:r w:rsidRPr="000E75C7">
              <w:rPr>
                <w:b/>
              </w:rPr>
              <w:t>w systemie teleinformatycznym, o którym mowa w art. 29b ust. 2</w:t>
            </w:r>
            <w:r w:rsidRPr="000E75C7">
              <w:t xml:space="preserve">, informacje (…). Zwrócić jednak należy uwagę, że zgodnie z art. 29b ust. </w:t>
            </w:r>
            <w:r w:rsidRPr="000E75C7">
              <w:rPr>
                <w:color w:val="333333"/>
              </w:rPr>
              <w:t>3 ustawy o wspieraniu rozwoju usług system teleinformatyczny, o którym mowa w ust. 2, umożliwia</w:t>
            </w:r>
            <w:bookmarkStart w:id="0" w:name="mip40429315"/>
            <w:bookmarkEnd w:id="0"/>
            <w:r w:rsidRPr="000E75C7">
              <w:rPr>
                <w:color w:val="333333"/>
              </w:rPr>
              <w:t xml:space="preserve">  </w:t>
            </w:r>
            <w:r w:rsidRPr="000E75C7">
              <w:rPr>
                <w:color w:val="333333"/>
                <w:u w:val="single"/>
              </w:rPr>
              <w:lastRenderedPageBreak/>
              <w:t>bezpośrednie wprowadzanie informacji przez podmioty</w:t>
            </w:r>
            <w:r w:rsidRPr="000E75C7">
              <w:rPr>
                <w:color w:val="333333"/>
              </w:rPr>
              <w:t>, o których mowa w</w:t>
            </w:r>
            <w:r w:rsidRPr="000E75C7">
              <w:rPr>
                <w:rStyle w:val="apple-converted-space"/>
                <w:color w:val="333333"/>
              </w:rPr>
              <w:t> </w:t>
            </w:r>
            <w:hyperlink r:id="rId8" w:history="1">
              <w:r w:rsidRPr="000E75C7">
                <w:rPr>
                  <w:rStyle w:val="Hipercze"/>
                  <w:color w:val="auto"/>
                  <w:u w:val="none"/>
                </w:rPr>
                <w:t>art. 29c ust. 1</w:t>
              </w:r>
            </w:hyperlink>
            <w:r w:rsidRPr="000E75C7">
              <w:rPr>
                <w:rStyle w:val="apple-converted-space"/>
              </w:rPr>
              <w:t> </w:t>
            </w:r>
            <w:r w:rsidRPr="000E75C7">
              <w:t>i</w:t>
            </w:r>
            <w:r w:rsidRPr="000E75C7">
              <w:rPr>
                <w:rStyle w:val="apple-converted-space"/>
              </w:rPr>
              <w:t> </w:t>
            </w:r>
            <w:hyperlink r:id="rId9" w:history="1">
              <w:r w:rsidRPr="000E75C7">
                <w:rPr>
                  <w:rStyle w:val="Hipercze"/>
                  <w:color w:val="auto"/>
                  <w:u w:val="none"/>
                </w:rPr>
                <w:t xml:space="preserve">art. 29d ust. </w:t>
              </w:r>
              <w:r w:rsidRPr="000E75C7">
                <w:rPr>
                  <w:rStyle w:val="Hipercze"/>
                  <w:b/>
                  <w:color w:val="auto"/>
                  <w:u w:val="none"/>
                </w:rPr>
                <w:t>1</w:t>
              </w:r>
              <w:r w:rsidRPr="000E75C7">
                <w:rPr>
                  <w:rStyle w:val="Hipercze"/>
                  <w:color w:val="auto"/>
                  <w:u w:val="none"/>
                </w:rPr>
                <w:t>-</w:t>
              </w:r>
              <w:r w:rsidRPr="000E75C7">
                <w:rPr>
                  <w:rStyle w:val="Hipercze"/>
                  <w:b/>
                  <w:color w:val="auto"/>
                  <w:u w:val="none"/>
                </w:rPr>
                <w:t>4</w:t>
              </w:r>
              <w:r w:rsidRPr="000E75C7">
                <w:rPr>
                  <w:rStyle w:val="Hipercze"/>
                  <w:color w:val="auto"/>
                  <w:u w:val="none"/>
                </w:rPr>
                <w:t xml:space="preserve">, </w:t>
              </w:r>
              <w:r w:rsidRPr="000E75C7">
                <w:rPr>
                  <w:rStyle w:val="Hipercze"/>
                  <w:b/>
                  <w:color w:val="auto"/>
                  <w:u w:val="none"/>
                </w:rPr>
                <w:t>6</w:t>
              </w:r>
              <w:r w:rsidRPr="000E75C7">
                <w:rPr>
                  <w:rStyle w:val="Hipercze"/>
                  <w:color w:val="auto"/>
                  <w:u w:val="none"/>
                </w:rPr>
                <w:t xml:space="preserve"> i 7</w:t>
              </w:r>
            </w:hyperlink>
            <w:r w:rsidRPr="000E75C7">
              <w:rPr>
                <w:color w:val="333333"/>
              </w:rPr>
              <w:t xml:space="preserve">, </w:t>
            </w:r>
            <w:r w:rsidRPr="000E75C7">
              <w:rPr>
                <w:color w:val="333333"/>
                <w:u w:val="single"/>
              </w:rPr>
              <w:t xml:space="preserve">do bazy danych oraz ich aktualizowanie </w:t>
            </w:r>
            <w:r w:rsidRPr="000E75C7">
              <w:rPr>
                <w:color w:val="333333"/>
              </w:rPr>
              <w:t xml:space="preserve">przez stronę internetową punktu informacyjnego do spraw telekomunikacji. Pojawia się więc pytanie, czy proponowana regulacja nie jest zbędna i czy nie można w tym przypadku zastosować przepisu </w:t>
            </w:r>
            <w:r w:rsidRPr="000E75C7">
              <w:t xml:space="preserve">art. 29b ust. </w:t>
            </w:r>
            <w:r w:rsidRPr="000E75C7">
              <w:rPr>
                <w:color w:val="333333"/>
              </w:rPr>
              <w:t xml:space="preserve">3, lub czy przekazywanie to jest czynnością odrębną od „bezpośredniego wprowadzania informacji przez podmioty do bazy danych oraz ich aktualizowania” (co sugerowałoby brzmienie nowelizowanego art. 29c ust. 1 gdzie wskazano cel przekazywania informacji w systemie teleinformatycznym – ich udostępnienie przez punkt informacyjny do spraw telekomunikacji). Kwestia ta wymaga wyjaśnienia i odpowiedniego uzupełnienia uzasadnienia. </w:t>
            </w:r>
          </w:p>
          <w:p w:rsidR="00B67B92" w:rsidRDefault="00B67B92" w:rsidP="0065168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</w:tcPr>
          <w:p w:rsidR="00B67B92" w:rsidRDefault="00626AAF" w:rsidP="00651688">
            <w:pPr>
              <w:spacing w:line="276" w:lineRule="auto"/>
              <w:jc w:val="both"/>
            </w:pPr>
            <w:r w:rsidRPr="00626AAF">
              <w:lastRenderedPageBreak/>
              <w:t>Uzupełnienie uzasadnienia.</w:t>
            </w:r>
          </w:p>
        </w:tc>
      </w:tr>
      <w:tr w:rsidR="00B67B92" w:rsidTr="006A783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B67B92" w:rsidRPr="004D086F" w:rsidRDefault="00B67B92" w:rsidP="006A7837">
            <w:pPr>
              <w:numPr>
                <w:ilvl w:val="0"/>
                <w:numId w:val="3"/>
              </w:numPr>
              <w:spacing w:before="60" w:after="60"/>
              <w:jc w:val="center"/>
              <w:rPr>
                <w:b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B67B92" w:rsidRDefault="00B67B92" w:rsidP="006A783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B67B92" w:rsidRDefault="00626AAF" w:rsidP="002E0D6A">
            <w:pPr>
              <w:jc w:val="center"/>
            </w:pPr>
            <w:r w:rsidRPr="000E75C7">
              <w:t>Art. 1 pkt 16 projektu</w:t>
            </w:r>
          </w:p>
        </w:tc>
        <w:tc>
          <w:tcPr>
            <w:tcW w:w="6642" w:type="dxa"/>
            <w:shd w:val="clear" w:color="auto" w:fill="auto"/>
          </w:tcPr>
          <w:p w:rsidR="00626AAF" w:rsidRPr="000E75C7" w:rsidRDefault="00626AAF" w:rsidP="00626AAF">
            <w:pPr>
              <w:shd w:val="clear" w:color="auto" w:fill="FFFFFF"/>
              <w:spacing w:line="300" w:lineRule="atLeast"/>
              <w:rPr>
                <w:color w:val="333333"/>
              </w:rPr>
            </w:pPr>
            <w:r w:rsidRPr="000E75C7">
              <w:t xml:space="preserve">Zgodnie z projektowanym art. 29g ust. 2 system informacyjny PEM (publiczna baza danych) jest prowadzony za pośrednictwem strony internetowej tego systemu. RCL zwraca uwagę, że strona internetowa nie służy do prowadzenia bazy danych, jest tylko dokumentem - </w:t>
            </w:r>
            <w:r w:rsidRPr="000E75C7">
              <w:rPr>
                <w:color w:val="333333"/>
              </w:rPr>
              <w:t xml:space="preserve">informacją w postaci tekstu, obrazu lub dźwięku zamieszczonym pod jednym adresem internetowym, </w:t>
            </w:r>
            <w:r w:rsidRPr="000E75C7">
              <w:rPr>
                <w:color w:val="333333"/>
                <w:shd w:val="clear" w:color="auto" w:fill="FFFFFF"/>
              </w:rPr>
              <w:t xml:space="preserve">opublikowanym w Internecie. Wobec powyższego RCL proponuje wprowadzenie przepisu wskazującego, że system PEM jest  </w:t>
            </w:r>
          </w:p>
          <w:p w:rsidR="00626AAF" w:rsidRPr="000E75C7" w:rsidRDefault="00626AAF" w:rsidP="00626AAF">
            <w:pPr>
              <w:pStyle w:val="Akapitzlist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E75C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prowadzony w</w:t>
            </w:r>
            <w:r w:rsidRPr="000E75C7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bookmarkStart w:id="1" w:name="highlightHit_17"/>
            <w:bookmarkEnd w:id="1"/>
            <w:r w:rsidRPr="000E75C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systemie teleinformatycznym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co będzie zgodne z brzmieniem art. 29h ust. 2. </w:t>
            </w:r>
          </w:p>
          <w:p w:rsidR="00626AAF" w:rsidRDefault="00626AAF" w:rsidP="00626AAF">
            <w:pPr>
              <w:pStyle w:val="Akapitzlist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E75C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Ponadto przepisy art. 29g oraz art. 29h ust. 2 wymagają ponownej analizy pod kątem spójności regulacji w zakresie prowadzenia systemu teleinformatycznego. </w:t>
            </w:r>
          </w:p>
          <w:p w:rsidR="00B67B92" w:rsidRDefault="00626AAF" w:rsidP="00626AAF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Ponadto wyjaśnienia wymaga w jaki sposób i w jakim trybie podmioty, o których mowa </w:t>
            </w:r>
            <w:r w:rsidRPr="00CC038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w art. 29h ust. 4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będą otrzymywały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dostęp do systemu. Brak w tym zakresie odpowiedniej regulacji.</w:t>
            </w:r>
          </w:p>
        </w:tc>
        <w:tc>
          <w:tcPr>
            <w:tcW w:w="4514" w:type="dxa"/>
            <w:shd w:val="clear" w:color="auto" w:fill="auto"/>
          </w:tcPr>
          <w:p w:rsidR="00B67B92" w:rsidRDefault="00626AAF" w:rsidP="00651688">
            <w:pPr>
              <w:spacing w:line="276" w:lineRule="auto"/>
              <w:jc w:val="both"/>
            </w:pPr>
            <w:r w:rsidRPr="000E75C7">
              <w:lastRenderedPageBreak/>
              <w:t>Korekta projektowanego art. 29g ust. 2</w:t>
            </w:r>
            <w:r>
              <w:t>.</w:t>
            </w:r>
          </w:p>
        </w:tc>
      </w:tr>
      <w:tr w:rsidR="00B67B92" w:rsidTr="006A783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B67B92" w:rsidRPr="004D086F" w:rsidRDefault="00B67B92" w:rsidP="006A7837">
            <w:pPr>
              <w:numPr>
                <w:ilvl w:val="0"/>
                <w:numId w:val="3"/>
              </w:numPr>
              <w:spacing w:before="60" w:after="60"/>
              <w:jc w:val="center"/>
              <w:rPr>
                <w:b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B67B92" w:rsidRDefault="00B67B92" w:rsidP="006A783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B67B92" w:rsidRDefault="00626AAF" w:rsidP="002E0D6A">
            <w:pPr>
              <w:jc w:val="center"/>
            </w:pPr>
            <w:r>
              <w:t>Art. 9 pkt 5 projektu</w:t>
            </w:r>
          </w:p>
        </w:tc>
        <w:tc>
          <w:tcPr>
            <w:tcW w:w="6642" w:type="dxa"/>
            <w:shd w:val="clear" w:color="auto" w:fill="auto"/>
          </w:tcPr>
          <w:p w:rsidR="00B67B92" w:rsidRDefault="00626AAF" w:rsidP="0065168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Z</w:t>
            </w:r>
            <w:r w:rsidRPr="001663ED">
              <w:rPr>
                <w:rFonts w:ascii="Times New Roman" w:hAnsi="Times New Roman"/>
                <w:sz w:val="24"/>
                <w:szCs w:val="24"/>
              </w:rPr>
              <w:t xml:space="preserve">godnie z art. 152b ust. 2 </w:t>
            </w:r>
            <w:r>
              <w:t xml:space="preserve">pkt 1 </w:t>
            </w:r>
            <w:r w:rsidRPr="001663ED">
              <w:rPr>
                <w:rFonts w:ascii="Times New Roman" w:hAnsi="Times New Roman"/>
                <w:sz w:val="24"/>
                <w:szCs w:val="24"/>
              </w:rPr>
              <w:t>na stronie podmiotowej, o które</w:t>
            </w:r>
            <w:r>
              <w:t xml:space="preserve">j mowa w ust. 1 udostępnia się </w:t>
            </w:r>
            <w:r w:rsidRPr="001663ED">
              <w:rPr>
                <w:rFonts w:ascii="Times New Roman" w:hAnsi="Times New Roman"/>
                <w:b/>
                <w:sz w:val="24"/>
                <w:szCs w:val="24"/>
              </w:rPr>
              <w:t>sprawozdanie, o którym mowa w art. 122a ust.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663ED">
              <w:rPr>
                <w:rFonts w:ascii="Times New Roman" w:hAnsi="Times New Roman"/>
                <w:sz w:val="24"/>
                <w:szCs w:val="24"/>
              </w:rPr>
              <w:t xml:space="preserve">Zauważyć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natomiast </w:t>
            </w:r>
            <w:r w:rsidRPr="001663ED">
              <w:rPr>
                <w:rFonts w:ascii="Times New Roman" w:hAnsi="Times New Roman"/>
                <w:sz w:val="24"/>
                <w:szCs w:val="24"/>
              </w:rPr>
              <w:t>należy</w:t>
            </w:r>
            <w:r>
              <w:rPr>
                <w:rFonts w:ascii="Times New Roman" w:hAnsi="Times New Roman"/>
                <w:sz w:val="24"/>
                <w:szCs w:val="24"/>
              </w:rPr>
              <w:t>, że art. 122a ust. 2 dotyczy przekazywania wyników pomiarów w postaci elektronicznej i przepis ten obecnie nie precyzuje, że przekazywanie to ma formę sprawozdania.</w:t>
            </w:r>
          </w:p>
        </w:tc>
        <w:tc>
          <w:tcPr>
            <w:tcW w:w="4514" w:type="dxa"/>
            <w:shd w:val="clear" w:color="auto" w:fill="auto"/>
          </w:tcPr>
          <w:p w:rsidR="00B67B92" w:rsidRDefault="00626AAF" w:rsidP="00651688">
            <w:pPr>
              <w:spacing w:line="276" w:lineRule="auto"/>
              <w:jc w:val="both"/>
            </w:pPr>
            <w:r>
              <w:t xml:space="preserve">Uspójnienie przepisów </w:t>
            </w:r>
            <w:r w:rsidRPr="001663ED">
              <w:t>art. 152b ust. 2</w:t>
            </w:r>
            <w:r>
              <w:t xml:space="preserve"> i </w:t>
            </w:r>
            <w:r w:rsidRPr="001663ED">
              <w:t>art. 122a ust. 2</w:t>
            </w:r>
            <w:r>
              <w:t>.</w:t>
            </w:r>
          </w:p>
        </w:tc>
      </w:tr>
      <w:tr w:rsidR="00B67B92" w:rsidTr="006A783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B67B92" w:rsidRPr="004D086F" w:rsidRDefault="00B67B92" w:rsidP="006A7837">
            <w:pPr>
              <w:numPr>
                <w:ilvl w:val="0"/>
                <w:numId w:val="3"/>
              </w:numPr>
              <w:spacing w:before="60" w:after="60"/>
              <w:jc w:val="center"/>
              <w:rPr>
                <w:b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B67B92" w:rsidRDefault="00B67B92" w:rsidP="006A783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B67B92" w:rsidRDefault="00626AAF" w:rsidP="002E0D6A">
            <w:pPr>
              <w:jc w:val="center"/>
            </w:pPr>
            <w:r w:rsidRPr="000E75C7">
              <w:t>Art. 16 pkt 2 projektu</w:t>
            </w:r>
          </w:p>
        </w:tc>
        <w:tc>
          <w:tcPr>
            <w:tcW w:w="6642" w:type="dxa"/>
            <w:shd w:val="clear" w:color="auto" w:fill="auto"/>
          </w:tcPr>
          <w:p w:rsidR="00B67B92" w:rsidRDefault="00626AAF" w:rsidP="0065168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5C7">
              <w:rPr>
                <w:rFonts w:ascii="Times New Roman" w:hAnsi="Times New Roman"/>
                <w:sz w:val="24"/>
                <w:szCs w:val="24"/>
              </w:rPr>
              <w:t xml:space="preserve">Zgodnie z nowelizowanym art. 7 ust. 4 operator OSE rozpoczyna świadczenie usług, o których mowa w art. 5 pkt 2 i 3 albo art. 6, w terminie nie dłuższym niż 6 miesięcy </w:t>
            </w:r>
            <w:r w:rsidRPr="000E75C7">
              <w:rPr>
                <w:rFonts w:ascii="Times New Roman" w:hAnsi="Times New Roman"/>
                <w:sz w:val="24"/>
                <w:szCs w:val="24"/>
                <w:u w:val="single"/>
              </w:rPr>
              <w:t>od dnia zawarcia z organem</w:t>
            </w:r>
            <w:r w:rsidRPr="000E75C7">
              <w:rPr>
                <w:rFonts w:ascii="Times New Roman" w:hAnsi="Times New Roman"/>
                <w:sz w:val="24"/>
                <w:szCs w:val="24"/>
              </w:rPr>
              <w:t xml:space="preserve"> prowadzącym szkołę albo dyrektorem szkoły, za zgodą tego organu, </w:t>
            </w:r>
            <w:r w:rsidRPr="000E75C7">
              <w:rPr>
                <w:rFonts w:ascii="Times New Roman" w:hAnsi="Times New Roman"/>
                <w:sz w:val="24"/>
                <w:szCs w:val="24"/>
                <w:u w:val="single"/>
              </w:rPr>
              <w:t>umowy o świadczenie usług</w:t>
            </w:r>
            <w:r w:rsidRPr="000E75C7">
              <w:rPr>
                <w:rFonts w:ascii="Times New Roman" w:hAnsi="Times New Roman"/>
                <w:sz w:val="24"/>
                <w:szCs w:val="24"/>
              </w:rPr>
              <w:t xml:space="preserve">. Zauważyć należy, że ustawa o Ogólnopolskiej Sieci Edukacyjnej nie zawiera żadnych przepisów dotyczących procedury zawierania umów, nie odsyła także w tej kwestii do przepisów Prawa telekomunikacyjnego.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Sprawa ta wymaga więc ponownej analizy i co najmniej uzupełnienia uzasadnienia do projektowanej zmiany. </w:t>
            </w:r>
            <w:r w:rsidRPr="000E7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14" w:type="dxa"/>
            <w:shd w:val="clear" w:color="auto" w:fill="auto"/>
          </w:tcPr>
          <w:p w:rsidR="00B67B92" w:rsidRDefault="00626AAF" w:rsidP="00651688">
            <w:pPr>
              <w:spacing w:line="276" w:lineRule="auto"/>
              <w:jc w:val="both"/>
            </w:pPr>
            <w:r>
              <w:t>Uzupełnienie uzasadnienia.</w:t>
            </w:r>
            <w:bookmarkStart w:id="2" w:name="_GoBack"/>
            <w:bookmarkEnd w:id="2"/>
          </w:p>
        </w:tc>
      </w:tr>
    </w:tbl>
    <w:p w:rsidR="00C64B1B" w:rsidRDefault="00C64B1B" w:rsidP="00C64B1B">
      <w:pPr>
        <w:jc w:val="center"/>
      </w:pPr>
    </w:p>
    <w:sectPr w:rsidR="00C64B1B" w:rsidSect="00630397">
      <w:footerReference w:type="default" r:id="rId10"/>
      <w:pgSz w:w="16838" w:h="11906" w:orient="landscape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DD3" w:rsidRDefault="00937DD3" w:rsidP="006F2464">
      <w:r>
        <w:separator/>
      </w:r>
    </w:p>
  </w:endnote>
  <w:endnote w:type="continuationSeparator" w:id="0">
    <w:p w:rsidR="00937DD3" w:rsidRDefault="00937DD3" w:rsidP="006F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C2" w:rsidRDefault="002144C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6AAF">
      <w:rPr>
        <w:noProof/>
      </w:rPr>
      <w:t>2</w:t>
    </w:r>
    <w:r>
      <w:rPr>
        <w:noProof/>
      </w:rPr>
      <w:fldChar w:fldCharType="end"/>
    </w:r>
  </w:p>
  <w:p w:rsidR="002144C2" w:rsidRDefault="002144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DD3" w:rsidRDefault="00937DD3" w:rsidP="006F2464">
      <w:r>
        <w:separator/>
      </w:r>
    </w:p>
  </w:footnote>
  <w:footnote w:type="continuationSeparator" w:id="0">
    <w:p w:rsidR="00937DD3" w:rsidRDefault="00937DD3" w:rsidP="006F2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632F"/>
    <w:multiLevelType w:val="hybridMultilevel"/>
    <w:tmpl w:val="BA280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06B08"/>
    <w:multiLevelType w:val="hybridMultilevel"/>
    <w:tmpl w:val="F8684A5A"/>
    <w:lvl w:ilvl="0" w:tplc="4D58C06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16EF5"/>
    <w:multiLevelType w:val="hybridMultilevel"/>
    <w:tmpl w:val="8A9C0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37"/>
    <w:rsid w:val="00034258"/>
    <w:rsid w:val="000F70DC"/>
    <w:rsid w:val="00204D78"/>
    <w:rsid w:val="002144C2"/>
    <w:rsid w:val="002715B2"/>
    <w:rsid w:val="002830F3"/>
    <w:rsid w:val="002C3EF7"/>
    <w:rsid w:val="002E0D6A"/>
    <w:rsid w:val="003124D1"/>
    <w:rsid w:val="00371A2B"/>
    <w:rsid w:val="003C5A07"/>
    <w:rsid w:val="003E4667"/>
    <w:rsid w:val="00462ED0"/>
    <w:rsid w:val="0047105F"/>
    <w:rsid w:val="0048004E"/>
    <w:rsid w:val="00494158"/>
    <w:rsid w:val="004D086F"/>
    <w:rsid w:val="005310EA"/>
    <w:rsid w:val="00540339"/>
    <w:rsid w:val="00564F2F"/>
    <w:rsid w:val="005728C0"/>
    <w:rsid w:val="005967FA"/>
    <w:rsid w:val="005F6527"/>
    <w:rsid w:val="00626AAF"/>
    <w:rsid w:val="00630397"/>
    <w:rsid w:val="00651688"/>
    <w:rsid w:val="00652FFF"/>
    <w:rsid w:val="006705EC"/>
    <w:rsid w:val="006A7837"/>
    <w:rsid w:val="006E16E9"/>
    <w:rsid w:val="006F2464"/>
    <w:rsid w:val="007343EB"/>
    <w:rsid w:val="00764098"/>
    <w:rsid w:val="007E156A"/>
    <w:rsid w:val="00807385"/>
    <w:rsid w:val="00834518"/>
    <w:rsid w:val="00885551"/>
    <w:rsid w:val="008C1A18"/>
    <w:rsid w:val="008C1BB1"/>
    <w:rsid w:val="00937DD3"/>
    <w:rsid w:val="00944932"/>
    <w:rsid w:val="00961A22"/>
    <w:rsid w:val="009C6C55"/>
    <w:rsid w:val="00A75FC1"/>
    <w:rsid w:val="00A9613E"/>
    <w:rsid w:val="00AA3419"/>
    <w:rsid w:val="00AC59E1"/>
    <w:rsid w:val="00AC6AD3"/>
    <w:rsid w:val="00B67B92"/>
    <w:rsid w:val="00C64B1B"/>
    <w:rsid w:val="00C82EA3"/>
    <w:rsid w:val="00C86AA6"/>
    <w:rsid w:val="00C86B63"/>
    <w:rsid w:val="00CF662D"/>
    <w:rsid w:val="00E14C33"/>
    <w:rsid w:val="00F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6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0EA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F24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F24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F2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F24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F24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2464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626AAF"/>
  </w:style>
  <w:style w:type="character" w:styleId="Hipercze">
    <w:name w:val="Hyperlink"/>
    <w:basedOn w:val="Domylnaczcionkaakapitu"/>
    <w:uiPriority w:val="99"/>
    <w:unhideWhenUsed/>
    <w:rsid w:val="00626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6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0EA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F24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F24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F2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F24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F24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2464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626AAF"/>
  </w:style>
  <w:style w:type="character" w:styleId="Hipercze">
    <w:name w:val="Hyperlink"/>
    <w:basedOn w:val="Domylnaczcionkaakapitu"/>
    <w:uiPriority w:val="99"/>
    <w:unhideWhenUsed/>
    <w:rsid w:val="0062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cnrqga2teltqmfyc4nbqgqzdsmzsg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cnrqga2teltqmfyc4nbqgqzdsmzsg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arbarczyk\Desktop\szablon%20-%20KRMC%20tabel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- KRMC tabela</Template>
  <TotalTime>5</TotalTime>
  <Pages>4</Pages>
  <Words>947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Garbarczyk</dc:creator>
  <cp:lastModifiedBy>Gałązka Anna</cp:lastModifiedBy>
  <cp:revision>6</cp:revision>
  <cp:lastPrinted>2012-08-20T11:53:00Z</cp:lastPrinted>
  <dcterms:created xsi:type="dcterms:W3CDTF">2015-01-27T10:05:00Z</dcterms:created>
  <dcterms:modified xsi:type="dcterms:W3CDTF">2019-03-27T09:10:00Z</dcterms:modified>
</cp:coreProperties>
</file>