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43" w:rsidRPr="00F24143" w:rsidRDefault="00F24143" w:rsidP="00F241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4143">
        <w:rPr>
          <w:rFonts w:ascii="Times New Roman" w:hAnsi="Times New Roman" w:cs="Times New Roman"/>
          <w:b/>
          <w:sz w:val="32"/>
          <w:szCs w:val="32"/>
        </w:rPr>
        <w:t>Program Fundusze Europejskie dla Rybactwa</w:t>
      </w:r>
      <w:r>
        <w:rPr>
          <w:rFonts w:ascii="Times New Roman" w:hAnsi="Times New Roman" w:cs="Times New Roman"/>
          <w:b/>
          <w:sz w:val="32"/>
          <w:szCs w:val="32"/>
        </w:rPr>
        <w:t xml:space="preserve"> w</w:t>
      </w:r>
      <w:r w:rsidRPr="00F24143">
        <w:rPr>
          <w:rFonts w:ascii="Times New Roman" w:hAnsi="Times New Roman" w:cs="Times New Roman"/>
          <w:b/>
          <w:sz w:val="32"/>
          <w:szCs w:val="32"/>
        </w:rPr>
        <w:t xml:space="preserve"> lata</w:t>
      </w:r>
      <w:r>
        <w:rPr>
          <w:rFonts w:ascii="Times New Roman" w:hAnsi="Times New Roman" w:cs="Times New Roman"/>
          <w:b/>
          <w:sz w:val="32"/>
          <w:szCs w:val="32"/>
        </w:rPr>
        <w:t>ch</w:t>
      </w:r>
      <w:r w:rsidRPr="00F24143">
        <w:rPr>
          <w:rFonts w:ascii="Times New Roman" w:hAnsi="Times New Roman" w:cs="Times New Roman"/>
          <w:b/>
          <w:sz w:val="32"/>
          <w:szCs w:val="32"/>
        </w:rPr>
        <w:t xml:space="preserve"> 2021-2027</w:t>
      </w:r>
      <w:r>
        <w:rPr>
          <w:rFonts w:ascii="Times New Roman" w:hAnsi="Times New Roman" w:cs="Times New Roman"/>
          <w:b/>
          <w:sz w:val="32"/>
          <w:szCs w:val="32"/>
        </w:rPr>
        <w:t xml:space="preserve"> realizowany w ramach Europejskiego Funduszu Morskiego, Rybackiego i Akwakultury</w:t>
      </w:r>
    </w:p>
    <w:p w:rsidR="00F24143" w:rsidRPr="00F24143" w:rsidRDefault="00F24143" w:rsidP="00F241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Europejski Fundusz Morski, Rybacki i Akwakultury (EFMRA) w Polsce jest wdrażany za pośrednictwem programu Fundusze Europejskie dla Rybactwa. EFMRA będzie realizowany w latach 2021-2027.</w:t>
      </w:r>
    </w:p>
    <w:p w:rsidR="00F24143" w:rsidRPr="00F24143" w:rsidRDefault="00F24143" w:rsidP="00F241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Fundusz ten jest następcą Europejskiego Funduszu Morskiego i Rybackiego wdrażanego w latach 2014-2020.</w:t>
      </w:r>
    </w:p>
    <w:p w:rsidR="00F24143" w:rsidRPr="00F24143" w:rsidRDefault="00F24143" w:rsidP="00F241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EFMRA służy do wykorzystywania środków finansowych z budżetu UE w celu wspierania wspólnej polityki rybołówstwa (</w:t>
      </w:r>
      <w:proofErr w:type="spellStart"/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WPRyb</w:t>
      </w:r>
      <w:proofErr w:type="spellEnd"/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), zintegrowanej polityki morskiej międzynarodowych zobowiązań UE w dziedzinie zarządzania oceanami.</w:t>
      </w:r>
    </w:p>
    <w:p w:rsidR="00F24143" w:rsidRPr="00F24143" w:rsidRDefault="00F24143" w:rsidP="00F241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Fundusz zapewnia wsparcie finansowe na rzecz opracowywania innowacyjnych projektów, które mają na celu, aby zasoby wodne i morskie były wykorzystywane w sposób zrównoważony.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Pomoże to w realizacji celów Europejskiego Zielonego Ładu – planu działania dotyczącego unijnej polityki ochrony środowiska i polityki klimatycznej. </w:t>
      </w:r>
    </w:p>
    <w:p w:rsidR="00F24143" w:rsidRPr="00F24143" w:rsidRDefault="00F24143" w:rsidP="00F24143">
      <w:pPr>
        <w:shd w:val="clear" w:color="auto" w:fill="FFFFFF"/>
        <w:spacing w:after="120" w:line="480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Priorytety EFMRA</w:t>
      </w:r>
    </w:p>
    <w:p w:rsidR="00F24143" w:rsidRPr="00F24143" w:rsidRDefault="00F24143" w:rsidP="00F241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Wspieranie zrównoważonego rybołówstwa oraz odbudowy i ochrony żywych zasobów wodnych.</w:t>
      </w:r>
    </w:p>
    <w:p w:rsidR="00F24143" w:rsidRPr="00F24143" w:rsidRDefault="00F24143" w:rsidP="00F241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Wspieranie zrównoważonej działalności w zakresie akwakultury oraz przetwarzania i wprowadzania do obrotu produktów rybołówstwa i akwakultury, a co za tym idzie – przyczynianie się do bezpieczeństwa żywnościowego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Unii.</w:t>
      </w:r>
    </w:p>
    <w:p w:rsidR="00F24143" w:rsidRPr="00F24143" w:rsidRDefault="00F24143" w:rsidP="00F241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Sprzyjanie zrównoważonej niebieskiej gospodarce na obszarach przybrzeżnych, wyspiarskich i śródlądowych, która obejmuje tradycyjną i nowo powstającą działalność gospodarczą związaną z oceanami, morzami, wybrzeżami i wodami śródlądowymi, oraz wspieranie rozwoju społeczności rybackich i sektora akwakultury.</w:t>
      </w:r>
    </w:p>
    <w:p w:rsidR="00F24143" w:rsidRPr="00F24143" w:rsidRDefault="00F24143" w:rsidP="00F241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Wzmocnienie międzynarodowego zarządzania oceanami oraz przyczynianie się do zapewnienia bezpieczeństwa i czystości mórz i oceanów, ochrony na nich,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 także zrównoważonego zarządzania nimi. </w:t>
      </w:r>
    </w:p>
    <w:p w:rsidR="00F24143" w:rsidRPr="00F24143" w:rsidRDefault="00F24143" w:rsidP="00F241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EFMRA wspomaga innowacyjne projekty, które przyczyniają się do zrównoważonej eksploatacji zasobów wodnych i morskich oraz zarządzania nimi. </w:t>
      </w:r>
    </w:p>
    <w:p w:rsidR="00F24143" w:rsidRPr="00F24143" w:rsidRDefault="00F24143" w:rsidP="00F241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Fundusz sprzyja przede wszystkim:</w:t>
      </w:r>
    </w:p>
    <w:p w:rsidR="00F24143" w:rsidRPr="00F24143" w:rsidRDefault="00F24143" w:rsidP="00F2414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zrównoważonej i niskoemisyjnej działalności połowowej;</w:t>
      </w:r>
    </w:p>
    <w:p w:rsidR="00F24143" w:rsidRPr="00F24143" w:rsidRDefault="00F24143" w:rsidP="00F2414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ochronie różnorodności biologicznej mórz i ekosystemów morskich;</w:t>
      </w:r>
    </w:p>
    <w:p w:rsidR="00F24143" w:rsidRPr="00F24143" w:rsidRDefault="00F24143" w:rsidP="00F2414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zaopatrzeniu europejskich konsumentów w zdrową żywność pochodzenia morskiego wysokiej jakości;</w:t>
      </w:r>
    </w:p>
    <w:p w:rsidR="00F24143" w:rsidRPr="00F24143" w:rsidRDefault="00F24143" w:rsidP="00F2414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zwiększaniu atrakcyjności społeczno-ekonomicznej sektora rybołówstwa i odmłodzeniu tego sektora, w szczególności w przypadku łodziowego rybołówstwa przybrzeżnego;</w:t>
      </w:r>
    </w:p>
    <w:p w:rsidR="00F24143" w:rsidRPr="00F24143" w:rsidRDefault="00F24143" w:rsidP="00F2414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rozwojowi zrównoważonej i konkurencyjnej akwakultury zwiększającej bezpieczeństwo żywnościowe;</w:t>
      </w:r>
    </w:p>
    <w:p w:rsidR="00F24143" w:rsidRPr="00F24143" w:rsidRDefault="00F24143" w:rsidP="00F2414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rozwojowi umiejętności i poprawie warunków pracy w sektorach rybołówstwa i akwakultury;</w:t>
      </w:r>
    </w:p>
    <w:p w:rsidR="00F24143" w:rsidRPr="00F24143" w:rsidRDefault="00F24143" w:rsidP="00F2414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gospodarczej i społecznej witalności społeczności </w:t>
      </w:r>
      <w:proofErr w:type="spellStart"/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nadbrzeżnych;innowacjom</w:t>
      </w:r>
      <w:proofErr w:type="spellEnd"/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 ramach zrównoważonej niebieskiej gospodarki;</w:t>
      </w:r>
    </w:p>
    <w:p w:rsidR="00F24143" w:rsidRPr="00F24143" w:rsidRDefault="00F24143" w:rsidP="00F2414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ochronie na morzu, dzięki której morza są bezpieczne;</w:t>
      </w:r>
    </w:p>
    <w:p w:rsidR="00F24143" w:rsidRPr="00F24143" w:rsidRDefault="00F24143" w:rsidP="00F2414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współpracy międzynarodowej, dzięki której oceany będą zdrowe, bezpieczne i zarządzane w sposób zrównoważony.</w:t>
      </w:r>
    </w:p>
    <w:p w:rsidR="00F24143" w:rsidRPr="00F24143" w:rsidRDefault="00F24143" w:rsidP="00F24143">
      <w:pPr>
        <w:shd w:val="clear" w:color="auto" w:fill="FFFFFF"/>
        <w:spacing w:after="120" w:line="480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O programie</w:t>
      </w:r>
    </w:p>
    <w:p w:rsidR="00F24143" w:rsidRPr="00F24143" w:rsidRDefault="00F24143" w:rsidP="00F241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Program został przygotowany z myślą o kontynuacji wsparcia udzielanego sektorowi rybactwa w perspektywie finansowej Unii Europejskiej (UE), kiedy to środki z Europejskiego Funduszu Morskiego i Rybackiego (EFMR) były wdrażane za pośrednictwem Programu Operacyjnego „Rybactwo i Morze” (PO RYBY 2014–2020). </w:t>
      </w:r>
      <w:proofErr w:type="spellStart"/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Porgram</w:t>
      </w:r>
      <w:proofErr w:type="spellEnd"/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na lata 2021-2027 został zatwierdzony 9 grudnia 2022 r., Decyzją Wykonawczą Komisji Europejskiej Nr C(2022)8957.</w:t>
      </w:r>
    </w:p>
    <w:p w:rsidR="00F24143" w:rsidRPr="00F24143" w:rsidRDefault="00F24143" w:rsidP="00F24143">
      <w:pPr>
        <w:shd w:val="clear" w:color="auto" w:fill="FFFFFF"/>
        <w:spacing w:after="120" w:line="480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 xml:space="preserve">Źródło </w:t>
      </w:r>
      <w:proofErr w:type="spellStart"/>
      <w:r w:rsidRPr="00F2414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finasowania</w:t>
      </w:r>
      <w:proofErr w:type="spellEnd"/>
      <w:r w:rsidRPr="00F2414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 </w:t>
      </w:r>
    </w:p>
    <w:p w:rsidR="00F24143" w:rsidRPr="00F24143" w:rsidRDefault="00F24143" w:rsidP="00F241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Budżet programu Fundusze Europejskie dla Rybactwa na lata 2021-2027 to ponad 3,1 mld zł, czyli blisko 732 mln euro.</w:t>
      </w:r>
    </w:p>
    <w:p w:rsidR="00F24143" w:rsidRPr="00F24143" w:rsidRDefault="00F24143" w:rsidP="00F241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Program jest współfinansowany ze środków Europejskiego Funduszu Morskiego, Rybackiego i Akwakultury w stosunku: 70% (środki UE) i 30% (budżet państwa).</w:t>
      </w:r>
    </w:p>
    <w:p w:rsidR="00F24143" w:rsidRPr="00F24143" w:rsidRDefault="00F24143" w:rsidP="00F241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Wkład UE: około 2,2 mld zł</w:t>
      </w:r>
    </w:p>
    <w:p w:rsidR="00F24143" w:rsidRPr="00F24143" w:rsidRDefault="00F24143" w:rsidP="00F241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Wkład krajowy: ponad 943 mln zł</w:t>
      </w:r>
    </w:p>
    <w:p w:rsidR="00F24143" w:rsidRPr="00F24143" w:rsidRDefault="00F24143" w:rsidP="00F24143">
      <w:pPr>
        <w:shd w:val="clear" w:color="auto" w:fill="FFFFFF"/>
        <w:spacing w:after="120" w:line="480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Instytucje </w:t>
      </w:r>
    </w:p>
    <w:p w:rsidR="00F24143" w:rsidRPr="00F24143" w:rsidRDefault="00F24143" w:rsidP="00F241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Planuje się, że program będzie realizowany przez następujące instytucje:</w:t>
      </w:r>
    </w:p>
    <w:p w:rsidR="00F24143" w:rsidRPr="00F24143" w:rsidRDefault="00F24143" w:rsidP="00F2414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Instytucja Zarządzająca –  minister właściwy ds. rybołówstwa;</w:t>
      </w:r>
    </w:p>
    <w:p w:rsidR="00F24143" w:rsidRPr="00F24143" w:rsidRDefault="00F24143" w:rsidP="00F2414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Instytucja Pośrednicząca – Agencja Restrukturyzacji i Modernizacji Rolnictwa;</w:t>
      </w:r>
    </w:p>
    <w:p w:rsidR="00F24143" w:rsidRPr="00F24143" w:rsidRDefault="00F24143" w:rsidP="00F2414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Instytucja </w:t>
      </w:r>
      <w:proofErr w:type="spellStart"/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Audytowa</w:t>
      </w:r>
      <w:proofErr w:type="spellEnd"/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– szef Krajowej Administracji Skarbowej</w:t>
      </w:r>
    </w:p>
    <w:p w:rsidR="00F24143" w:rsidRPr="00F24143" w:rsidRDefault="00F24143" w:rsidP="00F2414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Organ otrzymujący płatności od KE – Ministerstwo Finansów</w:t>
      </w:r>
    </w:p>
    <w:p w:rsidR="00F24143" w:rsidRPr="00F24143" w:rsidRDefault="00F24143" w:rsidP="00F241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Za koordynację wdrażania funduszy europejskich w Polsce odpowiada </w:t>
      </w:r>
      <w:proofErr w:type="spellStart"/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MFiPR</w:t>
      </w:r>
      <w:proofErr w:type="spellEnd"/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F24143" w:rsidRPr="00F24143" w:rsidRDefault="00F24143" w:rsidP="00F24143">
      <w:pPr>
        <w:shd w:val="clear" w:color="auto" w:fill="FFFFFF"/>
        <w:spacing w:after="120" w:line="480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Główne cele</w:t>
      </w:r>
    </w:p>
    <w:p w:rsidR="00F24143" w:rsidRPr="00F24143" w:rsidRDefault="00F24143" w:rsidP="00F2414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realizacja wspólnej polityki rybołówstwa, unijnej polityki morskiej oraz międzynarodowych zobowiązań Unii w dziedzinie zarządzania oceanami,</w:t>
      </w:r>
    </w:p>
    <w:p w:rsidR="00F24143" w:rsidRPr="00F24143" w:rsidRDefault="00F24143" w:rsidP="00F2414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promowanie zrównoważonego rybołówstwa i ochrony żywych zasobów morza,</w:t>
      </w:r>
    </w:p>
    <w:p w:rsidR="00F24143" w:rsidRPr="00F24143" w:rsidRDefault="00F24143" w:rsidP="00F2414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zapewnienie bezpieczeństwa żywnościowego dzięki dostawom produktów rybołówstwa i akwakultury,</w:t>
      </w:r>
    </w:p>
    <w:p w:rsidR="00F24143" w:rsidRPr="00F24143" w:rsidRDefault="00F24143" w:rsidP="00F2414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przyczynianie się do rozwoju zrównoważonej niebieskiej gospodarki, oraz</w:t>
      </w:r>
    </w:p>
    <w:p w:rsidR="00F24143" w:rsidRPr="00F24143" w:rsidRDefault="00F24143" w:rsidP="00F2414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zapewnienie zdrowego stanu, bezpieczeństwa i czystości mórz i oceanów, ochrony na nich, a także przyczynianie się do zrównoważonego zarządzania nimi.</w:t>
      </w:r>
    </w:p>
    <w:p w:rsidR="00F24143" w:rsidRPr="00F24143" w:rsidRDefault="00F24143" w:rsidP="00F241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Zaplanowano realizację działań pogrupowanych w pięć priorytetów:</w:t>
      </w:r>
    </w:p>
    <w:p w:rsidR="00F24143" w:rsidRPr="00F24143" w:rsidRDefault="00F24143" w:rsidP="00F2414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Wspieranie zrównoważonego rybołówstwa oraz odbudowy i ochrony żywych zasobów wodnych – czyli wspieranie projektów ukierunkowanych na wzmocnienie działalności połowowej zrównoważonej pod względem gospodarczym, społecznym i środowiskowym; ochronę i odbudowę wodnej różnorodności biologicznej i ekosystemów wodnych; zwiększenie efektywności energetycznej i zmniejszenie emisji CO2; propagowanie dostosowania zdolności połowowej do uprawnień do połowów; wspieranie systemu skutecznej kontroli i egzekwowania w zakresie rybołówstwa oraz pozyskiwania i gromadzenia wiarygodnych danych rybackich na potrzeby podejmowania decyzji w oparciu o wiedzę.</w:t>
      </w:r>
    </w:p>
    <w:p w:rsidR="00F24143" w:rsidRPr="00F24143" w:rsidRDefault="00F24143" w:rsidP="00F2414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Wspieranie zrównoważonej działalności w zakresie akwakultury oraz przetwarzania i wprowadzania do obrotu produktów rybołówstwa i akwakultury, przyczyniające się do bezpieczeństwa żywnościowego w Unii – czyli wspieranie projektów ukierunkowanych na  propagowanie zrównoważonej działalności w zakresie akwakultury, w szczególności zwiększanie konkurencyjności produkcji akwakultury przy zapewnieniu, aby działalność ta była zrównoważona środowiskowo w perspektywie długoterminowej; propagowanie wprowadzania do obrotu, jakości i wartości dodanej produktów rybołówstwa i akwakultury, a także przetwarzania tych produktów.</w:t>
      </w:r>
    </w:p>
    <w:p w:rsidR="00F24143" w:rsidRPr="00F24143" w:rsidRDefault="00F24143" w:rsidP="00F2414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Sprzyjanie zrównoważonej niebieskiej gospodarce na obszarach przybrzeżnych, wyspiarskich i śródlądowych oraz wspieranie rozwoju społeczności rybackich i sektora akwakultury.</w:t>
      </w:r>
    </w:p>
    <w:p w:rsidR="00F24143" w:rsidRPr="00F24143" w:rsidRDefault="00F24143" w:rsidP="00F2414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Wzmocnienie międzynarodowego zarządzania oceanami oraz przyczynianie się do zapewnienia bezpieczeństwa i czystość mórz i oceanów, ochrony na nich, a także zrównoważonego zarządzania nimi – czyli  zapewnienie dofinansowania dla projektów przyczyniających się do Wzmocnienia zrównoważonego zarządzania morzami i oceanami poprzez propagowanie wiedzy o morzu, nadzoru morskiego lub współpracy straży przybrzeżnej.</w:t>
      </w:r>
    </w:p>
    <w:p w:rsidR="00F24143" w:rsidRPr="00F24143" w:rsidRDefault="00F24143" w:rsidP="00F2414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Pomoc Techniczna – czyli zapewnienie systemowego wsparcia administracyjnego w realizacji programu.</w:t>
      </w:r>
    </w:p>
    <w:p w:rsidR="00F24143" w:rsidRPr="00F24143" w:rsidRDefault="003050A5" w:rsidP="00F241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="00F24143"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Program jest skierowany m.in. do:</w:t>
      </w:r>
    </w:p>
    <w:p w:rsidR="00F24143" w:rsidRPr="00F24143" w:rsidRDefault="00F24143" w:rsidP="00F2414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podmiotów prowadzących działalność w zakresie rybołówstwa morskiego, rybołówstwa śródlądowego, chowu i hodowli ryb, przetwarzania i obrotu produktami rybołówstwa i akwakultury,</w:t>
      </w:r>
    </w:p>
    <w:p w:rsidR="00F24143" w:rsidRPr="00F24143" w:rsidRDefault="00F24143" w:rsidP="00F2414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Rybackich Lokalnych Grup Działania,</w:t>
      </w:r>
    </w:p>
    <w:p w:rsidR="00F24143" w:rsidRPr="00F24143" w:rsidRDefault="00F24143" w:rsidP="00F2414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organizacji rybackich, organizacji zrzeszających producentów akwakultury, organizacji producentów ryb, związków, stowarzyszeń fundacji i organizacji pożytku publicznego realizujących statutowe działania w zakresie rybactwa,</w:t>
      </w:r>
    </w:p>
    <w:p w:rsidR="00F24143" w:rsidRPr="00F24143" w:rsidRDefault="00F24143" w:rsidP="00F2414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sektora nauki,</w:t>
      </w:r>
    </w:p>
    <w:p w:rsidR="00F24143" w:rsidRPr="00F24143" w:rsidRDefault="00F24143" w:rsidP="00F2414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administracji.</w:t>
      </w:r>
    </w:p>
    <w:p w:rsidR="00F24143" w:rsidRPr="00F24143" w:rsidRDefault="00F24143" w:rsidP="00F24143">
      <w:pPr>
        <w:shd w:val="clear" w:color="auto" w:fill="FFFFFF"/>
        <w:spacing w:after="120" w:line="480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W programie będą wdrażane wszystkie 4 priorytety EFMRA: </w:t>
      </w:r>
    </w:p>
    <w:p w:rsidR="00F24143" w:rsidRPr="00F24143" w:rsidRDefault="00F24143" w:rsidP="003050A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Priorytet 1 - Wspieranie zrównoważonego rybołówstwa oraz odbudowy i ochrony żywych zasobów wodnych</w:t>
      </w:r>
      <w:r w:rsidR="003050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 </w:t>
      </w:r>
      <w:r w:rsidR="003050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Priorytet ten obejmuje wzmocnienie działalności połowowej zrównoważonej pod względem gospodarczym, społecznym i środowiskowym, takie jak projekty innowacyjne w zakresie opracowania i stosowania alternatywnych metod, technik lub technologii połowu czy poszukiwania metod ochrony połowów, zróżnicowanie działalności rybackiej, takie jak budowa smażalni, wędzarni czy zakup środków transportu, poprawę warunków i bezpieczeństwa pracy, takie jak modernizacja statków rybackich, zakup sprzętu rybackiego czy inwestycje infrastrukturalne w portach i miejscach wyładunku ryb, zmniejszenie emisji CO2 polegające na wymianie silników na statkach rybackich, ochronę i odbudowę wodnej różnorodności biologicznej i ekosystemów wodnych, takie jak zbieranie i utylizacja utraconych narzędzi połowowych czy budowa przepławek w celu przywracania ekologicznej ciągłości rzek. </w:t>
      </w:r>
    </w:p>
    <w:p w:rsidR="00F24143" w:rsidRPr="00F24143" w:rsidRDefault="00F24143" w:rsidP="003050A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Priorytet 2 - Wspieranie zrównoważonej działalności w zakresie akwakultury oraz przetwarzania i wprowadzania do obrotu produktów rybołówstwa i akwakultury, przyczyniając się w ten sposób do bezpieczeństwa żywnościowego w Unii</w:t>
      </w:r>
      <w:r w:rsidR="003050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3050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Inwestycje realizowane w ramach tego priorytetu to propagowanie zrównoważonej działalności w zakresie akwakultury, w szczególności </w:t>
      </w: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zwiększanie konkurencyjności produkcji akwakultury przy zapewnieniu, aby działalność ta była zrównoważona środowiskowo w perspektywie długoterminowej, takie jak projekty związane z modernizacją sprzętu i urządzeń wykorzystywanych w gospodarstwach akwakultury, projekty związane z poprawą efektywności energetycznej gospodarstw, inwestycje w technologie redukujące zużycie wody i zwiększające zdolność jej retencjonowania czy inwestycje mające na celu różnicowanie dochodów gospodarstw akwakultury m.in. przez rozbudowę łowisk i bazy gastronomiczno-turystycznej, propagowanie wprowadzania do obrotu, jakości i wartości dodanej produktów rybołówstwa i akwakultury, a także przetwarzania tych produktów, takie jak zakup lub modernizację maszyn, urządzeń i ciągów technologicznych przeznaczonych do pakowania produktów rybołówstwa, operacje poprawiające bezpieczeństwo, higienę i warunki pracy czy wprowadzanie na rynek nowych produktów. </w:t>
      </w:r>
    </w:p>
    <w:p w:rsidR="00F24143" w:rsidRPr="00F24143" w:rsidRDefault="00F24143" w:rsidP="003050A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Priorytet 3 - Sprzyjanie zrównoważonej niebieskiej gospodarce na obszarach przybrzeżnych, wyspiarskich i śródlądowych oraz wspieranie rozwoju społeczności rybackich i sektora akwakultury</w:t>
      </w:r>
      <w:r w:rsidR="003050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3050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Środki z tego priorytetu będą realizowane na poprawę jakości życia (dobrostanu społecznego) i możliwości twórczego korzystania z dóbr cywilizacji, oświaty i kultury (dobrostan kulturowy) na terenach zależnych od rybactwa i akwakultury, takie jak operacje wspierające zróżnicowanie działalności podmiotów tradycyjnie związanych z rybactwem, projekty związane z rozwijaniem ogólnodostępnej infrastruktury rekreacyjno-turystycznej, budową izb pamięci i ścieżek edukacyjnych czy promowaniem dziedzictwa kulturowego związanego z rybactwem. </w:t>
      </w:r>
    </w:p>
    <w:p w:rsidR="00F24143" w:rsidRPr="00F24143" w:rsidRDefault="00F24143" w:rsidP="003050A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Priorytet 4 -  Wzmocnienie międzynarodowego zarządzania oceanami oraz przyczynianie się do zapewnienia bezpieczeństwa i czystości mórz i oceanów, ochrony na nich, a także zrównoważonego zarządzania nimi. </w:t>
      </w:r>
      <w:r w:rsidR="003050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Inwestycje realizowane w ramach tego priorytetu to wzmocnienie zrównoważonego zarządzania morzami i oceanami poprzez propagowanie wiedzy o morzu, nadzoru morskiego lub współpracy straży przybrzeżnej, takie jak zakup i modernizacja środków technicznych służących do prowadzenia badań i zbierania danych o stanie środowiska morskiego czy środków technicznych służących do wykonywania zadań związanych z kontrolą rybołówstwa.</w:t>
      </w:r>
    </w:p>
    <w:p w:rsidR="00F24143" w:rsidRPr="00F24143" w:rsidRDefault="00F24143" w:rsidP="00F24143">
      <w:pPr>
        <w:shd w:val="clear" w:color="auto" w:fill="FFFFFF"/>
        <w:spacing w:after="120" w:line="480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Oczekiwane rezultaty </w:t>
      </w:r>
    </w:p>
    <w:p w:rsidR="00F24143" w:rsidRPr="00F24143" w:rsidRDefault="00F24143" w:rsidP="00F241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Operacje realizowane przez beneficjentów programu przyczynią się do poprawy odporności i stabilności sektora rybackiego m.in. przez poprawę konkurencyjności i rentowności podmiotów działających w branżach rybołówstwa, akwakultury i przetwórstwa oraz branż z nimi powiązanych.</w:t>
      </w:r>
    </w:p>
    <w:p w:rsidR="00F24143" w:rsidRPr="00F24143" w:rsidRDefault="00F24143" w:rsidP="00F241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Wsparcie finansowe udzielane z programu przyniesie także zbiorową korzyść dla lokalnych społeczności na przykład przez popularyzację produktów rybnych, zróżnicowanie dochodów mieszkańców tradycyjnie utrzymujących się z rybactwa czy, jak w przypadku terenów nadmorskich wkład programu w zbalansowanie i poprawę kondycji floty rybackiej.</w:t>
      </w:r>
    </w:p>
    <w:p w:rsidR="00F24143" w:rsidRPr="00F24143" w:rsidRDefault="00F24143" w:rsidP="00F2414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F241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Program oddziaływać będzie także na ogół społeczeństwa na przykład przez realizację operacji z zakresu poprawy stanu środowiska i stanu wiedzy na jego temat. </w:t>
      </w:r>
    </w:p>
    <w:p w:rsidR="00F24143" w:rsidRPr="00F24143" w:rsidRDefault="00F24143" w:rsidP="00F24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24143" w:rsidRPr="00F24143" w:rsidSect="007C0B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C20" w:rsidRDefault="007E6C20" w:rsidP="00F24143">
      <w:pPr>
        <w:spacing w:after="0" w:line="240" w:lineRule="auto"/>
      </w:pPr>
      <w:r>
        <w:separator/>
      </w:r>
    </w:p>
  </w:endnote>
  <w:endnote w:type="continuationSeparator" w:id="0">
    <w:p w:rsidR="007E6C20" w:rsidRDefault="007E6C20" w:rsidP="00F2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C20" w:rsidRDefault="007E6C20" w:rsidP="00F24143">
      <w:pPr>
        <w:spacing w:after="0" w:line="240" w:lineRule="auto"/>
      </w:pPr>
      <w:r>
        <w:separator/>
      </w:r>
    </w:p>
  </w:footnote>
  <w:footnote w:type="continuationSeparator" w:id="0">
    <w:p w:rsidR="007E6C20" w:rsidRDefault="007E6C20" w:rsidP="00F24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143" w:rsidRDefault="00F24143" w:rsidP="00F24143">
    <w:pPr>
      <w:rPr>
        <w:color w:val="000000" w:themeColor="text1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4671060</wp:posOffset>
          </wp:positionH>
          <wp:positionV relativeFrom="paragraph">
            <wp:posOffset>18415</wp:posOffset>
          </wp:positionV>
          <wp:extent cx="1209675" cy="299720"/>
          <wp:effectExtent l="19050" t="0" r="9525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299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3274060</wp:posOffset>
          </wp:positionH>
          <wp:positionV relativeFrom="paragraph">
            <wp:posOffset>18415</wp:posOffset>
          </wp:positionV>
          <wp:extent cx="1224280" cy="321310"/>
          <wp:effectExtent l="19050" t="0" r="0" b="0"/>
          <wp:wrapNone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321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2156460</wp:posOffset>
          </wp:positionH>
          <wp:positionV relativeFrom="paragraph">
            <wp:posOffset>-53975</wp:posOffset>
          </wp:positionV>
          <wp:extent cx="988060" cy="350520"/>
          <wp:effectExtent l="1905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984885</wp:posOffset>
          </wp:positionH>
          <wp:positionV relativeFrom="paragraph">
            <wp:posOffset>-3175</wp:posOffset>
          </wp:positionV>
          <wp:extent cx="1172210" cy="299720"/>
          <wp:effectExtent l="1905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299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-91440</wp:posOffset>
          </wp:positionV>
          <wp:extent cx="1043940" cy="438785"/>
          <wp:effectExtent l="19050" t="0" r="3810" b="0"/>
          <wp:wrapNone/>
          <wp:docPr id="5" name="Obraz 1" descr="FER_RP_UE_RGB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R_RP_UE_RGB_poziom_kolo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000000" w:themeColor="text1"/>
      </w:rPr>
      <w:t xml:space="preserve">  </w:t>
    </w:r>
  </w:p>
  <w:p w:rsidR="00F24143" w:rsidRPr="00F24143" w:rsidRDefault="00F24143" w:rsidP="00F24143">
    <w:pPr>
      <w:rPr>
        <w:color w:val="000000" w:themeColor="text1"/>
      </w:rPr>
    </w:pPr>
    <w:r>
      <w:rPr>
        <w:color w:val="000000" w:themeColor="text1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4A0D"/>
    <w:multiLevelType w:val="multilevel"/>
    <w:tmpl w:val="10D2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6738F"/>
    <w:multiLevelType w:val="multilevel"/>
    <w:tmpl w:val="F0D2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434A9"/>
    <w:multiLevelType w:val="multilevel"/>
    <w:tmpl w:val="E72C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0604D"/>
    <w:multiLevelType w:val="multilevel"/>
    <w:tmpl w:val="71AA2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E128D"/>
    <w:multiLevelType w:val="multilevel"/>
    <w:tmpl w:val="A992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DA79DB"/>
    <w:multiLevelType w:val="multilevel"/>
    <w:tmpl w:val="22BCD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3305AC"/>
    <w:multiLevelType w:val="multilevel"/>
    <w:tmpl w:val="9A08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3"/>
    <w:lvlOverride w:ilvl="1">
      <w:lvl w:ilvl="1">
        <w:numFmt w:val="decimal"/>
        <w:lvlText w:val="%2."/>
        <w:lvlJc w:val="left"/>
      </w:lvl>
    </w:lvlOverride>
  </w:num>
  <w:num w:numId="9">
    <w:abstractNumId w:val="3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0">
    <w:abstractNumId w:val="3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1">
    <w:abstractNumId w:val="3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24143"/>
    <w:rsid w:val="000E0DF9"/>
    <w:rsid w:val="001154BE"/>
    <w:rsid w:val="003050A5"/>
    <w:rsid w:val="007C0BE3"/>
    <w:rsid w:val="007E6C20"/>
    <w:rsid w:val="00B05883"/>
    <w:rsid w:val="00F24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BE3"/>
  </w:style>
  <w:style w:type="paragraph" w:styleId="Nagwek2">
    <w:name w:val="heading 2"/>
    <w:basedOn w:val="Normalny"/>
    <w:link w:val="Nagwek2Znak"/>
    <w:uiPriority w:val="9"/>
    <w:qFormat/>
    <w:rsid w:val="00F241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semiHidden/>
    <w:unhideWhenUsed/>
    <w:rsid w:val="00F24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semiHidden/>
    <w:rsid w:val="00F24143"/>
  </w:style>
  <w:style w:type="paragraph" w:styleId="Stopka">
    <w:name w:val="footer"/>
    <w:basedOn w:val="Normalny"/>
    <w:link w:val="StopkaZnak"/>
    <w:uiPriority w:val="99"/>
    <w:semiHidden/>
    <w:unhideWhenUsed/>
    <w:rsid w:val="00F24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4143"/>
  </w:style>
  <w:style w:type="character" w:customStyle="1" w:styleId="Nagwek2Znak">
    <w:name w:val="Nagłówek 2 Znak"/>
    <w:basedOn w:val="Domylnaczcionkaakapitu"/>
    <w:link w:val="Nagwek2"/>
    <w:uiPriority w:val="9"/>
    <w:rsid w:val="00F2414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2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1646</Words>
  <Characters>9877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2024-12-12T12:22:00Z</dcterms:created>
  <dcterms:modified xsi:type="dcterms:W3CDTF">2024-12-12T12:22:00Z</dcterms:modified>
</cp:coreProperties>
</file>