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B711E" w14:textId="16215E7D" w:rsidR="00C216DC" w:rsidRDefault="00423691" w:rsidP="00C216DC">
      <w:pPr>
        <w:pStyle w:val="Bezodstpw"/>
        <w:jc w:val="center"/>
        <w:rPr>
          <w:color w:val="000000" w:themeColor="text1"/>
          <w:sz w:val="36"/>
          <w:szCs w:val="36"/>
        </w:rPr>
      </w:pPr>
      <w:r>
        <w:rPr>
          <w:noProof/>
          <w:color w:val="000000" w:themeColor="text1"/>
          <w:sz w:val="36"/>
          <w:szCs w:val="36"/>
        </w:rPr>
        <w:drawing>
          <wp:inline distT="0" distB="0" distL="0" distR="0" wp14:anchorId="19329916" wp14:editId="287B86C4">
            <wp:extent cx="5760720" cy="8148320"/>
            <wp:effectExtent l="0" t="0" r="0" b="5080"/>
            <wp:docPr id="2124799947" name="Obraz 1" descr="Obraz zawierający tekst, zrzut ekranu,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799947" name="Obraz 1" descr="Obraz zawierający tekst, zrzut ekranu, Czcionka, symbol&#10;&#10;Opis wygenerowany automatyczni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8148320"/>
                    </a:xfrm>
                    <a:prstGeom prst="rect">
                      <a:avLst/>
                    </a:prstGeom>
                  </pic:spPr>
                </pic:pic>
              </a:graphicData>
            </a:graphic>
          </wp:inline>
        </w:drawing>
      </w:r>
    </w:p>
    <w:p w14:paraId="3235174B" w14:textId="77777777" w:rsidR="00C216DC" w:rsidRDefault="00C216DC" w:rsidP="00C216DC">
      <w:pPr>
        <w:pStyle w:val="Bezodstpw"/>
        <w:jc w:val="center"/>
        <w:rPr>
          <w:color w:val="000000" w:themeColor="text1"/>
          <w:sz w:val="36"/>
          <w:szCs w:val="36"/>
        </w:rPr>
      </w:pPr>
    </w:p>
    <w:p w14:paraId="4AC2603C" w14:textId="77777777" w:rsidR="00C216DC" w:rsidRDefault="00C216DC" w:rsidP="00C216DC">
      <w:pPr>
        <w:pStyle w:val="Bezodstpw"/>
        <w:jc w:val="center"/>
        <w:rPr>
          <w:color w:val="000000" w:themeColor="text1"/>
          <w:sz w:val="36"/>
          <w:szCs w:val="36"/>
        </w:rPr>
      </w:pPr>
    </w:p>
    <w:p w14:paraId="300CC25D" w14:textId="77777777" w:rsidR="009A486A" w:rsidRPr="00D21DD0" w:rsidRDefault="009A486A" w:rsidP="00D21DD0">
      <w:pPr>
        <w:pStyle w:val="Bezodstpw"/>
      </w:pPr>
      <w:bookmarkStart w:id="0" w:name="_Hlk164921033"/>
    </w:p>
    <w:p w14:paraId="443B4B7C" w14:textId="50A34102" w:rsidR="00225A83" w:rsidRPr="00225A83" w:rsidRDefault="00225A83" w:rsidP="00423691">
      <w:pPr>
        <w:pStyle w:val="Nagwek2"/>
      </w:pPr>
      <w:bookmarkStart w:id="1" w:name="_Toc165033219"/>
      <w:r w:rsidRPr="00225A83">
        <w:lastRenderedPageBreak/>
        <w:t>Wyrok KIO z dnia 5 lutego 2024 r., sygn. akt: KIO 119/24</w:t>
      </w:r>
      <w:bookmarkEnd w:id="1"/>
      <w:r w:rsidR="005C1EBC">
        <w:t xml:space="preserve"> </w:t>
      </w:r>
      <w:r w:rsidR="00202CE4">
        <w:t xml:space="preserve">– omyłki </w:t>
      </w:r>
      <w:r w:rsidR="00DC7E6E">
        <w:t>(</w:t>
      </w:r>
      <w:r w:rsidR="00420B4F">
        <w:t xml:space="preserve">art. 223 ust. 2 </w:t>
      </w:r>
      <w:proofErr w:type="spellStart"/>
      <w:r w:rsidR="00420B4F">
        <w:t>Pzp</w:t>
      </w:r>
      <w:proofErr w:type="spellEnd"/>
      <w:r w:rsidR="00DC7E6E">
        <w:t>)</w:t>
      </w:r>
    </w:p>
    <w:p w14:paraId="31CBBAB3" w14:textId="77777777" w:rsidR="00225A83" w:rsidRPr="00225A83" w:rsidRDefault="00225A83" w:rsidP="00423691">
      <w:pPr>
        <w:tabs>
          <w:tab w:val="left" w:pos="1077"/>
        </w:tabs>
        <w:spacing w:after="0" w:line="360" w:lineRule="auto"/>
        <w:outlineLvl w:val="0"/>
        <w:rPr>
          <w:rFonts w:cstheme="minorHAnsi"/>
          <w:b/>
          <w:bCs/>
          <w:sz w:val="24"/>
          <w:szCs w:val="24"/>
          <w:u w:val="single"/>
        </w:rPr>
      </w:pPr>
    </w:p>
    <w:p w14:paraId="6FC63905" w14:textId="77777777" w:rsidR="00225A83" w:rsidRDefault="00225A83" w:rsidP="00423691">
      <w:pPr>
        <w:tabs>
          <w:tab w:val="left" w:pos="1077"/>
        </w:tabs>
        <w:spacing w:after="0" w:line="240" w:lineRule="auto"/>
        <w:outlineLvl w:val="0"/>
        <w:rPr>
          <w:rFonts w:cstheme="minorHAnsi"/>
          <w:i/>
          <w:iCs/>
          <w:sz w:val="24"/>
          <w:szCs w:val="24"/>
        </w:rPr>
      </w:pPr>
      <w:r w:rsidRPr="00225A83">
        <w:rPr>
          <w:rFonts w:cstheme="minorHAnsi"/>
          <w:i/>
          <w:iCs/>
          <w:sz w:val="24"/>
          <w:szCs w:val="24"/>
        </w:rPr>
        <w:t xml:space="preserve">„W przepisie tym [art. 223 ust. 2 pkt 1 ustawy </w:t>
      </w:r>
      <w:proofErr w:type="spellStart"/>
      <w:r w:rsidRPr="00225A83">
        <w:rPr>
          <w:rFonts w:cstheme="minorHAnsi"/>
          <w:i/>
          <w:iCs/>
          <w:sz w:val="24"/>
          <w:szCs w:val="24"/>
        </w:rPr>
        <w:t>Pzp</w:t>
      </w:r>
      <w:proofErr w:type="spellEnd"/>
      <w:r w:rsidRPr="00225A83">
        <w:rPr>
          <w:rFonts w:cstheme="minorHAnsi"/>
          <w:i/>
          <w:iCs/>
          <w:sz w:val="24"/>
          <w:szCs w:val="24"/>
        </w:rPr>
        <w:t xml:space="preserve"> - przyp. red.] przewidziane jest odstępstwo od zasady niezmienności treści oferty dotyczące poprawiania w ofertach omyłek. Na treść oferty składa się formularz ofertowy oraz wszystkie dokumenty dookreślające i precyzujące zobowiązanie wykonawcy, składane wraz z formularzem ofertowym. Tak więc treść oferty to oferowany przedmiot zamówienia oraz jego wielkość lub zakres. Dokumentem składającym się na treść oferty nie jest więc dokument gwarancji, w tym przypadku gwarancji ubezpieczeniowej. Co więcej jest to dokument (gwarancja) wystawiony przez inny podmiot (gwaranta). Nie może więc być poprawiony przez Zamawiającego ani też wykonawcę, którego gwarancja dotyczy. Podstawą zastosowania przepisów dotyczących poprawiania omyłek jest bowiem stwierdzenie przez Zamawiającego, że istniejące w ofercie rozbieżności, w szczególności w stosunku do dokumentów zamówienia, można zakwalifikować do kategorii omyłek. A dokumentem takim, jak już wyżej wskazano, nie jest gwarancja. Wobec powyższego brak jest podstaw do stosowania do dokumentu gwarancji ubezpieczeniowej art. 223 ust. 2 pkt 1 ustawy </w:t>
      </w:r>
      <w:proofErr w:type="spellStart"/>
      <w:r w:rsidRPr="00225A83">
        <w:rPr>
          <w:rFonts w:cstheme="minorHAnsi"/>
          <w:i/>
          <w:iCs/>
          <w:sz w:val="24"/>
          <w:szCs w:val="24"/>
        </w:rPr>
        <w:t>Pzp</w:t>
      </w:r>
      <w:proofErr w:type="spellEnd"/>
      <w:r w:rsidRPr="00225A83">
        <w:rPr>
          <w:rFonts w:cstheme="minorHAnsi"/>
          <w:i/>
          <w:iCs/>
          <w:sz w:val="24"/>
          <w:szCs w:val="24"/>
        </w:rPr>
        <w:t>, gdyż przewidziana w tym przepisie instytucja odnosi się wyłącznie do treści oferty.</w:t>
      </w:r>
    </w:p>
    <w:p w14:paraId="1DC3A04C" w14:textId="77777777" w:rsidR="005803FC" w:rsidRPr="00225A83" w:rsidRDefault="005803FC" w:rsidP="00423691">
      <w:pPr>
        <w:tabs>
          <w:tab w:val="left" w:pos="1077"/>
        </w:tabs>
        <w:spacing w:after="0" w:line="240" w:lineRule="auto"/>
        <w:outlineLvl w:val="0"/>
        <w:rPr>
          <w:rFonts w:cstheme="minorHAnsi"/>
          <w:i/>
          <w:iCs/>
          <w:sz w:val="24"/>
          <w:szCs w:val="24"/>
        </w:rPr>
      </w:pPr>
    </w:p>
    <w:p w14:paraId="22866669" w14:textId="77777777" w:rsidR="00225A83" w:rsidRPr="00225A83" w:rsidRDefault="00225A83" w:rsidP="00423691">
      <w:pPr>
        <w:tabs>
          <w:tab w:val="left" w:pos="1077"/>
        </w:tabs>
        <w:spacing w:after="0" w:line="240" w:lineRule="auto"/>
        <w:outlineLvl w:val="0"/>
        <w:rPr>
          <w:rFonts w:cstheme="minorHAnsi"/>
          <w:i/>
          <w:iCs/>
          <w:sz w:val="24"/>
          <w:szCs w:val="24"/>
        </w:rPr>
      </w:pPr>
      <w:r w:rsidRPr="00225A83">
        <w:rPr>
          <w:rFonts w:cstheme="minorHAnsi"/>
          <w:i/>
          <w:iCs/>
          <w:sz w:val="24"/>
          <w:szCs w:val="24"/>
        </w:rPr>
        <w:t xml:space="preserve">Dlatego też Zamawiający, stwierdzając istnienie omyłki pisarskiej w dokumencie Gwarancji ubezpieczeniowej zapłaty wadium nr …………… z 14.11.2023 r., gdzie jako datę końcową obowiązującej gwarancji podano błędnie „08-03-2023 r.” zamiast prawidłowo „08-03-2024 r.”, nie miał żadnych podstaw prawnych do jej poprawienia z wszelkimi konsekwencjami wynikającymi z tego przepisu. Ustawa </w:t>
      </w:r>
      <w:proofErr w:type="spellStart"/>
      <w:r w:rsidRPr="00225A83">
        <w:rPr>
          <w:rFonts w:cstheme="minorHAnsi"/>
          <w:i/>
          <w:iCs/>
          <w:sz w:val="24"/>
          <w:szCs w:val="24"/>
        </w:rPr>
        <w:t>Pzp</w:t>
      </w:r>
      <w:proofErr w:type="spellEnd"/>
      <w:r w:rsidRPr="00225A83">
        <w:rPr>
          <w:rFonts w:cstheme="minorHAnsi"/>
          <w:i/>
          <w:iCs/>
          <w:sz w:val="24"/>
          <w:szCs w:val="24"/>
        </w:rPr>
        <w:t xml:space="preserve"> nie daje takiej możliwości.”</w:t>
      </w:r>
    </w:p>
    <w:p w14:paraId="58CD934F" w14:textId="77777777" w:rsidR="00225A83" w:rsidRDefault="00225A83" w:rsidP="00423691">
      <w:pPr>
        <w:tabs>
          <w:tab w:val="left" w:pos="1077"/>
        </w:tabs>
        <w:spacing w:after="0" w:line="360" w:lineRule="auto"/>
        <w:outlineLvl w:val="0"/>
        <w:rPr>
          <w:rFonts w:cstheme="minorHAnsi"/>
          <w:b/>
          <w:bCs/>
          <w:sz w:val="24"/>
          <w:szCs w:val="24"/>
          <w:u w:val="single"/>
          <w:lang w:bidi="pl-PL"/>
        </w:rPr>
      </w:pPr>
    </w:p>
    <w:p w14:paraId="36BDAB51" w14:textId="77777777" w:rsidR="005803FC" w:rsidRPr="00225A83" w:rsidRDefault="005803FC" w:rsidP="00423691">
      <w:pPr>
        <w:tabs>
          <w:tab w:val="left" w:pos="1077"/>
        </w:tabs>
        <w:spacing w:after="0" w:line="360" w:lineRule="auto"/>
        <w:outlineLvl w:val="0"/>
        <w:rPr>
          <w:rFonts w:cstheme="minorHAnsi"/>
          <w:b/>
          <w:bCs/>
          <w:sz w:val="24"/>
          <w:szCs w:val="24"/>
          <w:u w:val="single"/>
          <w:lang w:bidi="pl-PL"/>
        </w:rPr>
      </w:pPr>
    </w:p>
    <w:p w14:paraId="3F09AD46" w14:textId="3B1EB4B4" w:rsidR="003C7EA1" w:rsidRPr="0079534A" w:rsidRDefault="003C7EA1" w:rsidP="00423691">
      <w:pPr>
        <w:pStyle w:val="Nagwek2"/>
      </w:pPr>
      <w:r w:rsidRPr="0079534A">
        <w:t xml:space="preserve">Wyrok KIO z dnia </w:t>
      </w:r>
      <w:r w:rsidR="00965FCF" w:rsidRPr="0079534A">
        <w:t xml:space="preserve">22 lutego </w:t>
      </w:r>
      <w:r w:rsidRPr="0079534A">
        <w:t>2024 r. sygn. akt KIO 334/</w:t>
      </w:r>
      <w:r w:rsidRPr="00CF30FB">
        <w:t xml:space="preserve">24 </w:t>
      </w:r>
      <w:r w:rsidR="005C1EBC">
        <w:t xml:space="preserve">- </w:t>
      </w:r>
      <w:r w:rsidR="00965FCF" w:rsidRPr="00CF30FB">
        <w:t>pełnomocnictwo</w:t>
      </w:r>
      <w:bookmarkEnd w:id="0"/>
    </w:p>
    <w:p w14:paraId="5E2238D8" w14:textId="77777777" w:rsidR="00965FCF" w:rsidRPr="00A6515B" w:rsidRDefault="00965FCF" w:rsidP="00423691">
      <w:pPr>
        <w:pStyle w:val="Bezodstpw"/>
      </w:pPr>
    </w:p>
    <w:p w14:paraId="61301A04" w14:textId="1D51245A" w:rsidR="003C7EA1" w:rsidRDefault="003C7EA1" w:rsidP="00423691">
      <w:pPr>
        <w:spacing w:after="0" w:line="240" w:lineRule="auto"/>
        <w:rPr>
          <w:rFonts w:cstheme="minorHAnsi"/>
          <w:i/>
          <w:iCs/>
          <w:sz w:val="24"/>
          <w:szCs w:val="24"/>
        </w:rPr>
      </w:pPr>
      <w:r w:rsidRPr="007811E8">
        <w:rPr>
          <w:rFonts w:cstheme="minorHAnsi"/>
          <w:i/>
          <w:iCs/>
          <w:sz w:val="24"/>
          <w:szCs w:val="24"/>
        </w:rPr>
        <w:t xml:space="preserve">„Zarzut naruszenia art. 128 ust. 1 ustawy </w:t>
      </w:r>
      <w:proofErr w:type="spellStart"/>
      <w:r w:rsidRPr="007811E8">
        <w:rPr>
          <w:rFonts w:cstheme="minorHAnsi"/>
          <w:i/>
          <w:iCs/>
          <w:sz w:val="24"/>
          <w:szCs w:val="24"/>
        </w:rPr>
        <w:t>Pzp</w:t>
      </w:r>
      <w:proofErr w:type="spellEnd"/>
      <w:r w:rsidRPr="007811E8">
        <w:rPr>
          <w:rFonts w:cstheme="minorHAnsi"/>
          <w:i/>
          <w:iCs/>
          <w:sz w:val="24"/>
          <w:szCs w:val="24"/>
        </w:rPr>
        <w:t xml:space="preserve"> także zasługiwał na uwzględnienie. Odwołujący wskazał w odwołaniu jakie pliki w ramach udostępnienia dokumentacji postępowania zostały mu przekazane wśród plików tych nie było pełnomocnictwa dla Pana K</w:t>
      </w:r>
      <w:r w:rsidR="00124269" w:rsidRPr="007811E8">
        <w:rPr>
          <w:rFonts w:cstheme="minorHAnsi"/>
          <w:i/>
          <w:iCs/>
          <w:sz w:val="24"/>
          <w:szCs w:val="24"/>
        </w:rPr>
        <w:t>.</w:t>
      </w:r>
      <w:r w:rsidRPr="007811E8">
        <w:rPr>
          <w:rFonts w:cstheme="minorHAnsi"/>
          <w:i/>
          <w:iCs/>
          <w:sz w:val="24"/>
          <w:szCs w:val="24"/>
        </w:rPr>
        <w:t>W.</w:t>
      </w:r>
    </w:p>
    <w:p w14:paraId="23AEDEBB" w14:textId="77777777" w:rsidR="005803FC" w:rsidRPr="007811E8" w:rsidRDefault="005803FC" w:rsidP="00423691">
      <w:pPr>
        <w:spacing w:after="0" w:line="240" w:lineRule="auto"/>
        <w:rPr>
          <w:rFonts w:cstheme="minorHAnsi"/>
          <w:i/>
          <w:iCs/>
          <w:sz w:val="24"/>
          <w:szCs w:val="24"/>
        </w:rPr>
      </w:pPr>
    </w:p>
    <w:p w14:paraId="0D62FB8D" w14:textId="4F1F5B77" w:rsidR="003C7EA1" w:rsidRDefault="003C7EA1" w:rsidP="00423691">
      <w:pPr>
        <w:spacing w:after="0" w:line="240" w:lineRule="auto"/>
        <w:rPr>
          <w:rFonts w:cstheme="minorHAnsi"/>
          <w:i/>
          <w:iCs/>
          <w:sz w:val="24"/>
          <w:szCs w:val="24"/>
        </w:rPr>
      </w:pPr>
      <w:r w:rsidRPr="007811E8">
        <w:rPr>
          <w:rFonts w:cstheme="minorHAnsi"/>
          <w:i/>
          <w:iCs/>
          <w:sz w:val="24"/>
          <w:szCs w:val="24"/>
        </w:rPr>
        <w:t>Na rozprawie Odwołujący poinformował, że dopiero w dniu rozprawy otrzymał od Zamawiającego pełnomocnictwo, które złożono dla wskazanej osoby wraz z ofertą. Odwołujący podtrzymał zarzut, wskazując, że przekazany dokument złożony został</w:t>
      </w:r>
      <w:r w:rsidR="00965FCF" w:rsidRPr="007811E8">
        <w:rPr>
          <w:rFonts w:cstheme="minorHAnsi"/>
          <w:i/>
          <w:iCs/>
          <w:sz w:val="24"/>
          <w:szCs w:val="24"/>
        </w:rPr>
        <w:t xml:space="preserve"> </w:t>
      </w:r>
      <w:r w:rsidRPr="007811E8">
        <w:rPr>
          <w:rFonts w:cstheme="minorHAnsi"/>
          <w:i/>
          <w:iCs/>
          <w:sz w:val="24"/>
          <w:szCs w:val="24"/>
        </w:rPr>
        <w:t>w nieprawidłowej formie i z tego powodu Wykonawca wybrany powinien zostać wezwany do jego uzupełnienia.</w:t>
      </w:r>
    </w:p>
    <w:p w14:paraId="4A109172" w14:textId="77777777" w:rsidR="005803FC" w:rsidRPr="007811E8" w:rsidRDefault="005803FC" w:rsidP="00423691">
      <w:pPr>
        <w:spacing w:after="0" w:line="240" w:lineRule="auto"/>
        <w:rPr>
          <w:rFonts w:cstheme="minorHAnsi"/>
          <w:i/>
          <w:iCs/>
          <w:sz w:val="24"/>
          <w:szCs w:val="24"/>
        </w:rPr>
      </w:pPr>
    </w:p>
    <w:p w14:paraId="2958F983" w14:textId="3CC0E5CB" w:rsidR="003C7EA1" w:rsidRPr="007811E8" w:rsidRDefault="003C7EA1" w:rsidP="00423691">
      <w:pPr>
        <w:spacing w:after="0" w:line="240" w:lineRule="auto"/>
        <w:rPr>
          <w:rFonts w:cstheme="minorHAnsi"/>
          <w:i/>
          <w:iCs/>
          <w:sz w:val="24"/>
          <w:szCs w:val="24"/>
        </w:rPr>
      </w:pPr>
      <w:r w:rsidRPr="007811E8">
        <w:rPr>
          <w:rFonts w:cstheme="minorHAnsi"/>
          <w:i/>
          <w:iCs/>
          <w:sz w:val="24"/>
          <w:szCs w:val="24"/>
        </w:rPr>
        <w:t xml:space="preserve">Izba podziela stanowisko Odwołującego. W postępowaniu z ofertą złożono skan pełnomocnictwa z dnia 31 lipca 2023 roku, z podpisami własnoręcznymi dwóch członków zarządu (Pani </w:t>
      </w:r>
      <w:r w:rsidR="004429FA" w:rsidRPr="007811E8">
        <w:rPr>
          <w:rFonts w:cstheme="minorHAnsi"/>
          <w:i/>
          <w:iCs/>
          <w:sz w:val="24"/>
          <w:szCs w:val="24"/>
        </w:rPr>
        <w:t>(…)</w:t>
      </w:r>
      <w:r w:rsidRPr="007811E8">
        <w:rPr>
          <w:rFonts w:cstheme="minorHAnsi"/>
          <w:i/>
          <w:iCs/>
          <w:sz w:val="24"/>
          <w:szCs w:val="24"/>
        </w:rPr>
        <w:t xml:space="preserve"> oraz Pan </w:t>
      </w:r>
      <w:r w:rsidR="004429FA" w:rsidRPr="007811E8">
        <w:rPr>
          <w:rFonts w:cstheme="minorHAnsi"/>
          <w:i/>
          <w:iCs/>
          <w:sz w:val="24"/>
          <w:szCs w:val="24"/>
        </w:rPr>
        <w:t>(…))</w:t>
      </w:r>
      <w:r w:rsidRPr="007811E8">
        <w:rPr>
          <w:rFonts w:cstheme="minorHAnsi"/>
          <w:i/>
          <w:iCs/>
          <w:sz w:val="24"/>
          <w:szCs w:val="24"/>
        </w:rPr>
        <w:t xml:space="preserve"> upoważniający do reprezentowania </w:t>
      </w:r>
      <w:r w:rsidR="005A15CE" w:rsidRPr="007811E8">
        <w:rPr>
          <w:rFonts w:cstheme="minorHAnsi"/>
          <w:i/>
          <w:iCs/>
          <w:sz w:val="24"/>
          <w:szCs w:val="24"/>
        </w:rPr>
        <w:t>R.</w:t>
      </w:r>
      <w:r w:rsidRPr="007811E8">
        <w:rPr>
          <w:rFonts w:cstheme="minorHAnsi"/>
          <w:i/>
          <w:iCs/>
          <w:sz w:val="24"/>
          <w:szCs w:val="24"/>
        </w:rPr>
        <w:t xml:space="preserve"> przez Pana </w:t>
      </w:r>
      <w:r w:rsidR="005A15CE" w:rsidRPr="007811E8">
        <w:rPr>
          <w:rFonts w:cstheme="minorHAnsi"/>
          <w:i/>
          <w:iCs/>
          <w:sz w:val="24"/>
          <w:szCs w:val="24"/>
        </w:rPr>
        <w:t>(…).</w:t>
      </w:r>
      <w:r w:rsidRPr="007811E8">
        <w:rPr>
          <w:rFonts w:cstheme="minorHAnsi"/>
          <w:i/>
          <w:iCs/>
          <w:sz w:val="24"/>
          <w:szCs w:val="24"/>
        </w:rPr>
        <w:t xml:space="preserve"> Następnie skan ten został podpisany podpisem elektronicznym przez osobę, której udzielono pełnomocnictwa. Innych podpisów elektronicznych na złożonym dokumencie nie ujawniono. </w:t>
      </w:r>
    </w:p>
    <w:p w14:paraId="5568CD49" w14:textId="78A8A9BD" w:rsidR="003C7EA1" w:rsidRDefault="003C7EA1" w:rsidP="00423691">
      <w:pPr>
        <w:spacing w:after="0" w:line="240" w:lineRule="auto"/>
        <w:rPr>
          <w:rFonts w:cstheme="minorHAnsi"/>
          <w:i/>
          <w:iCs/>
          <w:sz w:val="24"/>
          <w:szCs w:val="24"/>
        </w:rPr>
      </w:pPr>
      <w:r w:rsidRPr="007811E8">
        <w:rPr>
          <w:rFonts w:cstheme="minorHAnsi"/>
          <w:i/>
          <w:iCs/>
          <w:sz w:val="24"/>
          <w:szCs w:val="24"/>
        </w:rPr>
        <w:lastRenderedPageBreak/>
        <w:t xml:space="preserve">Zgodnie z Rozporządzeniem Prezesa Rady Ministrów z dnia 30 grudnia 2020 r. </w:t>
      </w:r>
      <w:r w:rsidRPr="007811E8">
        <w:rPr>
          <w:rFonts w:cstheme="minorHAnsi"/>
          <w:i/>
          <w:iCs/>
          <w:sz w:val="24"/>
          <w:szCs w:val="24"/>
        </w:rPr>
        <w:br/>
        <w:t xml:space="preserve">w sprawie sposobu sporządzania i przekazywania informacji oraz wymagań technicznych dla dokumentów elektronicznych oraz środków komunikacji elektronicznej w postępowaniu </w:t>
      </w:r>
      <w:r w:rsidRPr="007811E8">
        <w:rPr>
          <w:rFonts w:cstheme="minorHAnsi"/>
          <w:i/>
          <w:iCs/>
          <w:sz w:val="24"/>
          <w:szCs w:val="24"/>
        </w:rPr>
        <w:br/>
        <w:t xml:space="preserve">o udzielenie zamówienia publicznego lub konkursie (Dz. U. z 2020 r., poz. 2452) pełnomocnictwo, sporządza się w postaci elektronicznej, w formatach danych określonych </w:t>
      </w:r>
      <w:r w:rsidRPr="007811E8">
        <w:rPr>
          <w:rFonts w:cstheme="minorHAnsi"/>
          <w:i/>
          <w:iCs/>
          <w:sz w:val="24"/>
          <w:szCs w:val="24"/>
        </w:rPr>
        <w:br/>
        <w:t xml:space="preserve">w przepisach wydanych na podstawie art. 18 ustawy z dnia 17 lutego 2005 r. o informatyzacji działalności podmiotów realizujących zadania publiczne (Dz. U. z 2020 r. poz. 346, 568, 695, 1517 i 2320), z zastrzeżeniem formatów, o których mowa w art. 66 ust. 1 ustawy, </w:t>
      </w:r>
      <w:r w:rsidRPr="007811E8">
        <w:rPr>
          <w:rFonts w:cstheme="minorHAnsi"/>
          <w:i/>
          <w:iCs/>
          <w:sz w:val="24"/>
          <w:szCs w:val="24"/>
        </w:rPr>
        <w:br/>
        <w:t>z uwzględnieniem rodzaju przekazywanych danych.</w:t>
      </w:r>
    </w:p>
    <w:p w14:paraId="7094AD60" w14:textId="77777777" w:rsidR="005803FC" w:rsidRPr="007811E8" w:rsidRDefault="005803FC" w:rsidP="00423691">
      <w:pPr>
        <w:spacing w:after="0" w:line="240" w:lineRule="auto"/>
        <w:rPr>
          <w:rFonts w:cstheme="minorHAnsi"/>
          <w:i/>
          <w:iCs/>
          <w:sz w:val="24"/>
          <w:szCs w:val="24"/>
        </w:rPr>
      </w:pPr>
    </w:p>
    <w:p w14:paraId="30985A4A" w14:textId="77777777" w:rsidR="003C7EA1" w:rsidRDefault="003C7EA1" w:rsidP="00423691">
      <w:pPr>
        <w:spacing w:after="0" w:line="240" w:lineRule="auto"/>
        <w:rPr>
          <w:rFonts w:cstheme="minorHAnsi"/>
          <w:i/>
          <w:iCs/>
          <w:sz w:val="24"/>
          <w:szCs w:val="24"/>
        </w:rPr>
      </w:pPr>
      <w:r w:rsidRPr="007811E8">
        <w:rPr>
          <w:rFonts w:cstheme="minorHAnsi"/>
          <w:i/>
          <w:iCs/>
          <w:sz w:val="24"/>
          <w:szCs w:val="24"/>
        </w:rPr>
        <w:t>W przypadku gdy pełnomocnictwo,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 Poświadczenia zgodności cyfrowego odwzorowania z dokumentem w postaci papierowej, o którym mowa w ust. 2, dokonuje w przypadku: 3) pełnomocnictwa – mocodawca.</w:t>
      </w:r>
    </w:p>
    <w:p w14:paraId="3F2128E9" w14:textId="77777777" w:rsidR="005803FC" w:rsidRPr="007811E8" w:rsidRDefault="005803FC" w:rsidP="00423691">
      <w:pPr>
        <w:spacing w:after="0" w:line="240" w:lineRule="auto"/>
        <w:rPr>
          <w:rFonts w:cstheme="minorHAnsi"/>
          <w:i/>
          <w:iCs/>
          <w:sz w:val="24"/>
          <w:szCs w:val="24"/>
        </w:rPr>
      </w:pPr>
    </w:p>
    <w:p w14:paraId="5FCC8A85" w14:textId="77777777" w:rsidR="003C7EA1" w:rsidRPr="007811E8" w:rsidRDefault="003C7EA1" w:rsidP="00423691">
      <w:pPr>
        <w:spacing w:after="0" w:line="240" w:lineRule="auto"/>
        <w:rPr>
          <w:rFonts w:cstheme="minorHAnsi"/>
          <w:i/>
          <w:iCs/>
          <w:sz w:val="24"/>
          <w:szCs w:val="24"/>
        </w:rPr>
      </w:pPr>
      <w:r w:rsidRPr="007811E8">
        <w:rPr>
          <w:rFonts w:cstheme="minorHAnsi"/>
          <w:i/>
          <w:iCs/>
          <w:sz w:val="24"/>
          <w:szCs w:val="24"/>
        </w:rPr>
        <w:t xml:space="preserve">Innymi słowy, Wykonawca składając skan dokumentu pełnomocnictwa, powinien złożyć go poświadczony za zgodność podpisany podpisem elektronicznym przez mocodawcę, a nie przyjmującego umocowanie. Ewentualnie pełnomocnictwo powinno zostać podpisane elektronicznie przez osoby udzielające pełnomocnictwa i złożony w postaci elektronicznej. </w:t>
      </w:r>
    </w:p>
    <w:p w14:paraId="6B701F97" w14:textId="4BE4CD6F" w:rsidR="005174A3" w:rsidRPr="008D3055" w:rsidRDefault="003C7EA1" w:rsidP="00423691">
      <w:pPr>
        <w:spacing w:after="0" w:line="240" w:lineRule="auto"/>
        <w:rPr>
          <w:rFonts w:cstheme="minorHAnsi"/>
          <w:i/>
          <w:iCs/>
          <w:sz w:val="24"/>
          <w:szCs w:val="24"/>
        </w:rPr>
      </w:pPr>
      <w:r w:rsidRPr="007811E8">
        <w:rPr>
          <w:rFonts w:cstheme="minorHAnsi"/>
          <w:i/>
          <w:iCs/>
          <w:sz w:val="24"/>
          <w:szCs w:val="24"/>
        </w:rPr>
        <w:t>Z tych powodów Izba uwzględniła zarzut i nakazała Zamawiającemu unieważnienie czynności wyboru oferty najkorzystniejszej we wszystkich częściach postępowania, ponowienie procesu badania i oceny ofert, w tym wezwanie Wykonawcy R</w:t>
      </w:r>
      <w:r w:rsidR="00965FCF" w:rsidRPr="007811E8">
        <w:rPr>
          <w:rFonts w:cstheme="minorHAnsi"/>
          <w:i/>
          <w:iCs/>
          <w:sz w:val="24"/>
          <w:szCs w:val="24"/>
        </w:rPr>
        <w:t xml:space="preserve">. </w:t>
      </w:r>
      <w:r w:rsidRPr="007811E8">
        <w:rPr>
          <w:rFonts w:cstheme="minorHAnsi"/>
          <w:i/>
          <w:iCs/>
          <w:sz w:val="24"/>
          <w:szCs w:val="24"/>
        </w:rPr>
        <w:t>Oddział w G</w:t>
      </w:r>
      <w:r w:rsidR="00965FCF" w:rsidRPr="007811E8">
        <w:rPr>
          <w:rFonts w:cstheme="minorHAnsi"/>
          <w:i/>
          <w:iCs/>
          <w:sz w:val="24"/>
          <w:szCs w:val="24"/>
        </w:rPr>
        <w:t xml:space="preserve">. </w:t>
      </w:r>
      <w:r w:rsidRPr="007811E8">
        <w:rPr>
          <w:rFonts w:cstheme="minorHAnsi"/>
          <w:i/>
          <w:iCs/>
          <w:sz w:val="24"/>
          <w:szCs w:val="24"/>
        </w:rPr>
        <w:t xml:space="preserve">na podstawie art. 128 ust. 1 ustawy </w:t>
      </w:r>
      <w:proofErr w:type="spellStart"/>
      <w:r w:rsidRPr="007811E8">
        <w:rPr>
          <w:rFonts w:cstheme="minorHAnsi"/>
          <w:i/>
          <w:iCs/>
          <w:sz w:val="24"/>
          <w:szCs w:val="24"/>
        </w:rPr>
        <w:t>Pzp</w:t>
      </w:r>
      <w:proofErr w:type="spellEnd"/>
      <w:r w:rsidRPr="007811E8">
        <w:rPr>
          <w:rFonts w:cstheme="minorHAnsi"/>
          <w:i/>
          <w:iCs/>
          <w:sz w:val="24"/>
          <w:szCs w:val="24"/>
        </w:rPr>
        <w:t xml:space="preserve"> do uzupełnienia w wyznaczonym terminie dokumentu potwierdzającego umocowanie dla osoby reprezentującej Wykonawcę.</w:t>
      </w:r>
      <w:r w:rsidR="00965FCF" w:rsidRPr="007811E8">
        <w:rPr>
          <w:rFonts w:cstheme="minorHAnsi"/>
          <w:i/>
          <w:iCs/>
          <w:sz w:val="24"/>
          <w:szCs w:val="24"/>
        </w:rPr>
        <w:t>”</w:t>
      </w:r>
    </w:p>
    <w:p w14:paraId="310EF0CB" w14:textId="77777777" w:rsidR="008D3055" w:rsidRDefault="008D3055" w:rsidP="00423691">
      <w:pPr>
        <w:tabs>
          <w:tab w:val="left" w:pos="1077"/>
        </w:tabs>
        <w:spacing w:after="0" w:line="360" w:lineRule="auto"/>
        <w:outlineLvl w:val="0"/>
        <w:rPr>
          <w:rFonts w:cstheme="minorHAnsi"/>
          <w:b/>
          <w:bCs/>
          <w:sz w:val="24"/>
          <w:szCs w:val="24"/>
          <w:u w:val="single"/>
        </w:rPr>
      </w:pPr>
    </w:p>
    <w:p w14:paraId="67562B01" w14:textId="77777777" w:rsidR="005803FC" w:rsidRDefault="005803FC" w:rsidP="00423691">
      <w:pPr>
        <w:tabs>
          <w:tab w:val="left" w:pos="1077"/>
        </w:tabs>
        <w:spacing w:after="0" w:line="360" w:lineRule="auto"/>
        <w:outlineLvl w:val="0"/>
        <w:rPr>
          <w:rFonts w:cstheme="minorHAnsi"/>
          <w:b/>
          <w:bCs/>
          <w:sz w:val="24"/>
          <w:szCs w:val="24"/>
          <w:u w:val="single"/>
        </w:rPr>
      </w:pPr>
    </w:p>
    <w:p w14:paraId="7479FC09" w14:textId="2D8060D1" w:rsidR="00E4068D" w:rsidRPr="0079534A" w:rsidRDefault="002E173A" w:rsidP="00423691">
      <w:pPr>
        <w:pStyle w:val="Nagwek2"/>
      </w:pPr>
      <w:r w:rsidRPr="0079534A">
        <w:t xml:space="preserve">Wyrok KIO z dnia </w:t>
      </w:r>
      <w:r w:rsidR="006361B2" w:rsidRPr="0079534A">
        <w:t xml:space="preserve">6 marca 2024 r. </w:t>
      </w:r>
      <w:r w:rsidRPr="0079534A">
        <w:t xml:space="preserve">sygn. akt KIO 512/24  - </w:t>
      </w:r>
      <w:r w:rsidR="006361B2" w:rsidRPr="0079534A">
        <w:t>oferta, podpis</w:t>
      </w:r>
    </w:p>
    <w:p w14:paraId="41AF9FBF" w14:textId="77777777" w:rsidR="002E173A" w:rsidRPr="00A6515B" w:rsidRDefault="002E173A" w:rsidP="00423691">
      <w:pPr>
        <w:pStyle w:val="Bezodstpw"/>
        <w:spacing w:line="360" w:lineRule="auto"/>
      </w:pPr>
    </w:p>
    <w:p w14:paraId="19843ECA" w14:textId="66948577" w:rsidR="002E173A" w:rsidRPr="007811E8" w:rsidRDefault="002E173A" w:rsidP="00423691">
      <w:pPr>
        <w:spacing w:after="0" w:line="240" w:lineRule="auto"/>
        <w:rPr>
          <w:rFonts w:eastAsia="Times New Roman" w:cstheme="minorHAnsi"/>
          <w:i/>
          <w:iCs/>
          <w:kern w:val="0"/>
          <w:sz w:val="24"/>
          <w:szCs w:val="24"/>
          <w14:ligatures w14:val="none"/>
        </w:rPr>
      </w:pPr>
      <w:r w:rsidRPr="007811E8">
        <w:rPr>
          <w:rFonts w:cstheme="minorHAnsi"/>
          <w:b/>
          <w:bCs/>
          <w:i/>
          <w:iCs/>
          <w:sz w:val="24"/>
          <w:szCs w:val="24"/>
        </w:rPr>
        <w:t>„</w:t>
      </w:r>
      <w:r w:rsidRPr="007811E8">
        <w:rPr>
          <w:rFonts w:eastAsia="Times New Roman" w:cstheme="minorHAnsi"/>
          <w:i/>
          <w:iCs/>
          <w:kern w:val="0"/>
          <w:sz w:val="24"/>
          <w:szCs w:val="24"/>
          <w14:ligatures w14:val="none"/>
        </w:rPr>
        <w:t xml:space="preserve">Wobec twierdzeń przedstawionych w odwołaniu należy stwierdzić, iż niewątpliwe jest, że zgodnie z art. 63 ust. 2 </w:t>
      </w:r>
      <w:proofErr w:type="spellStart"/>
      <w:r w:rsidRPr="007811E8">
        <w:rPr>
          <w:rFonts w:eastAsia="Times New Roman" w:cstheme="minorHAnsi"/>
          <w:i/>
          <w:iCs/>
          <w:kern w:val="0"/>
          <w:sz w:val="24"/>
          <w:szCs w:val="24"/>
          <w14:ligatures w14:val="none"/>
        </w:rPr>
        <w:t>Pzp</w:t>
      </w:r>
      <w:proofErr w:type="spellEnd"/>
      <w:r w:rsidRPr="007811E8">
        <w:rPr>
          <w:rFonts w:eastAsia="Times New Roman" w:cstheme="minorHAnsi"/>
          <w:i/>
          <w:iCs/>
          <w:kern w:val="0"/>
          <w:sz w:val="24"/>
          <w:szCs w:val="24"/>
          <w14:ligatures w14:val="none"/>
        </w:rPr>
        <w:t xml:space="preserve"> ofertę w Postępowaniu Odwołujący zobowiązany był złożyć, pod rygorem nieważności, w formie elektronicznej lub w postaci elektronicznej opatrzonej podpisem zaufanym lub podpisem osobistym. Ponieważ w </w:t>
      </w:r>
      <w:proofErr w:type="spellStart"/>
      <w:r w:rsidRPr="007811E8">
        <w:rPr>
          <w:rFonts w:eastAsia="Times New Roman" w:cstheme="minorHAnsi"/>
          <w:i/>
          <w:iCs/>
          <w:kern w:val="0"/>
          <w:sz w:val="24"/>
          <w:szCs w:val="24"/>
          <w14:ligatures w14:val="none"/>
        </w:rPr>
        <w:t>Pzp</w:t>
      </w:r>
      <w:proofErr w:type="spellEnd"/>
      <w:r w:rsidRPr="007811E8">
        <w:rPr>
          <w:rFonts w:eastAsia="Times New Roman" w:cstheme="minorHAnsi"/>
          <w:i/>
          <w:iCs/>
          <w:kern w:val="0"/>
          <w:sz w:val="24"/>
          <w:szCs w:val="24"/>
          <w14:ligatures w14:val="none"/>
        </w:rPr>
        <w:t xml:space="preserve"> nie uregulowano, co należy rozumieć przez „formę elektroniczną”, na podstawie art. 8 ust. 1 </w:t>
      </w:r>
      <w:proofErr w:type="spellStart"/>
      <w:r w:rsidRPr="007811E8">
        <w:rPr>
          <w:rFonts w:eastAsia="Times New Roman" w:cstheme="minorHAnsi"/>
          <w:i/>
          <w:iCs/>
          <w:kern w:val="0"/>
          <w:sz w:val="24"/>
          <w:szCs w:val="24"/>
          <w14:ligatures w14:val="none"/>
        </w:rPr>
        <w:t>Pzp</w:t>
      </w:r>
      <w:proofErr w:type="spellEnd"/>
      <w:r w:rsidRPr="007811E8">
        <w:rPr>
          <w:rFonts w:eastAsia="Times New Roman" w:cstheme="minorHAnsi"/>
          <w:i/>
          <w:iCs/>
          <w:kern w:val="0"/>
          <w:sz w:val="24"/>
          <w:szCs w:val="24"/>
          <w14:ligatures w14:val="none"/>
        </w:rPr>
        <w:t>, zgodnie z którym „do czynności podejmowanych przez zamawiającego, wykonawców oraz uczestników konkursu w postępowaniu o udzielenie zamówienia i konkursie oraz do umów w sprawach zamówień publicznych stosuje się przepisy ustawy z dnia 23 kwietnia 1964 r. - Kodeks cywilny (…), jeżeli przepisy ustawy nie stanowią inaczej”, zastosować należy art. 78</w:t>
      </w:r>
      <w:r w:rsidRPr="007811E8">
        <w:rPr>
          <w:rFonts w:eastAsia="Times New Roman" w:cstheme="minorHAnsi"/>
          <w:i/>
          <w:iCs/>
          <w:kern w:val="0"/>
          <w:sz w:val="24"/>
          <w:szCs w:val="24"/>
          <w:vertAlign w:val="superscript"/>
          <w14:ligatures w14:val="none"/>
        </w:rPr>
        <w:t>1</w:t>
      </w:r>
      <w:r w:rsidRPr="007811E8">
        <w:rPr>
          <w:rFonts w:eastAsia="Times New Roman" w:cstheme="minorHAnsi"/>
          <w:i/>
          <w:iCs/>
          <w:kern w:val="0"/>
          <w:sz w:val="24"/>
          <w:szCs w:val="24"/>
          <w14:ligatures w14:val="none"/>
        </w:rPr>
        <w:t xml:space="preserve"> § 1 ustawy z dnia 23 kwietnia 1964 r. Kodeks cywilny, który stanowi „do zachowania elektronicznej formy czynności prawnej wystarcza złożenie oświadczenia woli w postaci elektronicznej i opatrzenie go kwalifikowanym podpisem elektronicznym.</w:t>
      </w:r>
    </w:p>
    <w:p w14:paraId="766F9F39" w14:textId="77777777" w:rsidR="005803FC" w:rsidRDefault="005803FC" w:rsidP="00423691">
      <w:pPr>
        <w:spacing w:after="0" w:line="240" w:lineRule="auto"/>
        <w:rPr>
          <w:rFonts w:eastAsia="Times New Roman" w:cstheme="minorHAnsi"/>
          <w:i/>
          <w:iCs/>
          <w:kern w:val="0"/>
          <w:sz w:val="24"/>
          <w:szCs w:val="24"/>
          <w14:ligatures w14:val="none"/>
        </w:rPr>
      </w:pPr>
    </w:p>
    <w:p w14:paraId="01698156" w14:textId="762B4E81" w:rsidR="002E173A" w:rsidRPr="007811E8" w:rsidRDefault="002E173A" w:rsidP="00423691">
      <w:pPr>
        <w:spacing w:after="0" w:line="240" w:lineRule="auto"/>
        <w:rPr>
          <w:rFonts w:eastAsia="Times New Roman" w:cstheme="minorHAnsi"/>
          <w:i/>
          <w:iCs/>
          <w:kern w:val="0"/>
          <w:sz w:val="24"/>
          <w:szCs w:val="24"/>
          <w14:ligatures w14:val="none"/>
        </w:rPr>
      </w:pPr>
      <w:r w:rsidRPr="007811E8">
        <w:rPr>
          <w:rFonts w:eastAsia="Times New Roman" w:cstheme="minorHAnsi"/>
          <w:i/>
          <w:iCs/>
          <w:kern w:val="0"/>
          <w:sz w:val="24"/>
          <w:szCs w:val="24"/>
          <w14:ligatures w14:val="none"/>
        </w:rPr>
        <w:t>Okolicznością bezsporną pomiędzy stronami postępowania odwoławczego było, że złożona przez Odwołującego w Postępowaniu oferta - formularz ofertowy w pliku o nazwie „cds-148610-a2f01909-a96c-11ee-a06e-7a3efa199397_Oferta_1” była opatrzona przez Odwołującego kwalifikowanym podpisem elektronicznym w rozumieniu art. 78</w:t>
      </w:r>
      <w:r w:rsidRPr="007811E8">
        <w:rPr>
          <w:rFonts w:eastAsia="Times New Roman" w:cstheme="minorHAnsi"/>
          <w:i/>
          <w:iCs/>
          <w:kern w:val="0"/>
          <w:sz w:val="24"/>
          <w:szCs w:val="24"/>
          <w:vertAlign w:val="superscript"/>
          <w14:ligatures w14:val="none"/>
        </w:rPr>
        <w:t>1</w:t>
      </w:r>
      <w:r w:rsidRPr="007811E8">
        <w:rPr>
          <w:rFonts w:eastAsia="Times New Roman" w:cstheme="minorHAnsi"/>
          <w:i/>
          <w:iCs/>
          <w:kern w:val="0"/>
          <w:sz w:val="24"/>
          <w:szCs w:val="24"/>
          <w14:ligatures w14:val="none"/>
        </w:rPr>
        <w:t xml:space="preserve"> § 1 ustawy z dnia 23 kwietnia 1964 r. Kodeks cywilny oraz art. 3 pkt 7) Rozporządzenia (zgodnie z którym ,,kwalifikowany podpis elektroniczny'' oznacza zaawansowany podpis elektroniczny, który jest składany za pomocą kwalifikowanego urządzenia do składania podpisu elektronicznego i który opiera się na kwalifikowanym certyfikacie podpisu elektronicznego”) - złożonym za pomocą kwalifikowanego urządzenia do składania podpisu elektronicznego i opartym na kwalifikowanym certyfikacie podpisu elektronicznego. Wynika to także z załączonego do odwołania dokumentu zatytułowanego „Raport z przebiegu otwarcia ofert”, w którym napisane jest „○ nazwa pliku: ocds-148610-a2f01909-a96c-11ee-a06e-</w:t>
      </w:r>
      <w:r w:rsidR="00941E66">
        <w:rPr>
          <w:rFonts w:eastAsia="Times New Roman" w:cstheme="minorHAnsi"/>
          <w:i/>
          <w:iCs/>
          <w:kern w:val="0"/>
          <w:sz w:val="24"/>
          <w:szCs w:val="24"/>
          <w14:ligatures w14:val="none"/>
        </w:rPr>
        <w:t xml:space="preserve"> </w:t>
      </w:r>
      <w:r w:rsidRPr="007811E8">
        <w:rPr>
          <w:rFonts w:eastAsia="Times New Roman" w:cstheme="minorHAnsi"/>
          <w:i/>
          <w:iCs/>
          <w:kern w:val="0"/>
          <w:sz w:val="24"/>
          <w:szCs w:val="24"/>
          <w14:ligatures w14:val="none"/>
        </w:rPr>
        <w:t>3efa199397_Oferta_1.pdf ○ typ pliku: Formularz (…) ○ czy podpisany: Tak”.</w:t>
      </w:r>
    </w:p>
    <w:p w14:paraId="7D8939FF" w14:textId="7C0EA057" w:rsidR="002E173A" w:rsidRPr="007811E8" w:rsidRDefault="002E173A" w:rsidP="00423691">
      <w:pPr>
        <w:spacing w:after="0" w:line="240" w:lineRule="auto"/>
        <w:rPr>
          <w:rFonts w:eastAsia="Times New Roman" w:cstheme="minorHAnsi"/>
          <w:i/>
          <w:iCs/>
          <w:kern w:val="0"/>
          <w:sz w:val="24"/>
          <w:szCs w:val="24"/>
          <w14:ligatures w14:val="none"/>
        </w:rPr>
      </w:pPr>
      <w:r w:rsidRPr="007811E8">
        <w:rPr>
          <w:rFonts w:eastAsia="Times New Roman" w:cstheme="minorHAnsi"/>
          <w:i/>
          <w:iCs/>
          <w:kern w:val="0"/>
          <w:sz w:val="24"/>
          <w:szCs w:val="24"/>
          <w14:ligatures w14:val="none"/>
        </w:rPr>
        <w:t>Nie budziło ponadto wątpliwości, że podpis ten został złożony w okresie ważności kwalifikowanego certyfikatu podpisu elektronicznego, na którym był on oparty.</w:t>
      </w:r>
    </w:p>
    <w:p w14:paraId="7F72F3D8" w14:textId="1BE0B804" w:rsidR="002E173A" w:rsidRDefault="002E173A" w:rsidP="00423691">
      <w:pPr>
        <w:spacing w:after="0" w:line="240" w:lineRule="auto"/>
        <w:rPr>
          <w:rFonts w:eastAsia="Times New Roman" w:cstheme="minorHAnsi"/>
          <w:i/>
          <w:iCs/>
          <w:kern w:val="0"/>
          <w:sz w:val="24"/>
          <w:szCs w:val="24"/>
          <w14:ligatures w14:val="none"/>
        </w:rPr>
      </w:pPr>
      <w:r w:rsidRPr="007811E8">
        <w:rPr>
          <w:rFonts w:eastAsia="Times New Roman" w:cstheme="minorHAnsi"/>
          <w:i/>
          <w:iCs/>
          <w:kern w:val="0"/>
          <w:sz w:val="24"/>
          <w:szCs w:val="24"/>
          <w14:ligatures w14:val="none"/>
        </w:rPr>
        <w:t>W świetle stanowisk stron postępowania odwoławczego należy stwierdzić, że kwestią sporną było to, czy oferta Odwołującego została opatrzona prawidłowo kwalifikowanym podpisem elektronicznym, a podpis ten jest ważny.</w:t>
      </w:r>
    </w:p>
    <w:p w14:paraId="2C09EF72" w14:textId="77777777" w:rsidR="005803FC" w:rsidRPr="007811E8" w:rsidRDefault="005803FC" w:rsidP="00423691">
      <w:pPr>
        <w:spacing w:after="0" w:line="240" w:lineRule="auto"/>
        <w:rPr>
          <w:rFonts w:eastAsia="Times New Roman" w:cstheme="minorHAnsi"/>
          <w:i/>
          <w:iCs/>
          <w:kern w:val="0"/>
          <w:sz w:val="24"/>
          <w:szCs w:val="24"/>
          <w14:ligatures w14:val="none"/>
        </w:rPr>
      </w:pPr>
    </w:p>
    <w:p w14:paraId="7154B3C7" w14:textId="2FBB3F67" w:rsidR="002E173A" w:rsidRDefault="002E173A" w:rsidP="00423691">
      <w:pPr>
        <w:spacing w:after="0" w:line="240" w:lineRule="auto"/>
        <w:rPr>
          <w:rFonts w:eastAsia="Times New Roman" w:cstheme="minorHAnsi"/>
          <w:i/>
          <w:iCs/>
          <w:kern w:val="0"/>
          <w:sz w:val="24"/>
          <w:szCs w:val="24"/>
          <w14:ligatures w14:val="none"/>
        </w:rPr>
      </w:pPr>
      <w:r w:rsidRPr="007811E8">
        <w:rPr>
          <w:rFonts w:eastAsia="Times New Roman" w:cstheme="minorHAnsi"/>
          <w:i/>
          <w:iCs/>
          <w:kern w:val="0"/>
          <w:sz w:val="24"/>
          <w:szCs w:val="24"/>
          <w14:ligatures w14:val="none"/>
        </w:rPr>
        <w:t>Jak wskazano w odwołaniu i co nie było kwestionowane przez Zamawiającego, „kwalifikowany podpis elektroniczny można uznać za prawidłowo złożony wówczas, gdy można go skutecznie zweryfikować i potwierdzić jego ważność”.</w:t>
      </w:r>
    </w:p>
    <w:p w14:paraId="1C409C5F" w14:textId="77777777" w:rsidR="005803FC" w:rsidRPr="007811E8" w:rsidRDefault="005803FC" w:rsidP="00423691">
      <w:pPr>
        <w:spacing w:after="0" w:line="240" w:lineRule="auto"/>
        <w:rPr>
          <w:rFonts w:eastAsia="Times New Roman" w:cstheme="minorHAnsi"/>
          <w:i/>
          <w:iCs/>
          <w:kern w:val="0"/>
          <w:sz w:val="24"/>
          <w:szCs w:val="24"/>
          <w14:ligatures w14:val="none"/>
        </w:rPr>
      </w:pPr>
    </w:p>
    <w:p w14:paraId="7254AB6F" w14:textId="20D27FCF" w:rsidR="00E3731A" w:rsidRDefault="002E173A" w:rsidP="00423691">
      <w:pPr>
        <w:spacing w:after="0" w:line="240" w:lineRule="auto"/>
        <w:rPr>
          <w:rFonts w:eastAsia="Times New Roman" w:cstheme="minorHAnsi"/>
          <w:i/>
          <w:iCs/>
          <w:kern w:val="0"/>
          <w:sz w:val="24"/>
          <w:szCs w:val="24"/>
          <w14:ligatures w14:val="none"/>
        </w:rPr>
      </w:pPr>
      <w:r w:rsidRPr="007811E8">
        <w:rPr>
          <w:rFonts w:eastAsia="Times New Roman" w:cstheme="minorHAnsi"/>
          <w:i/>
          <w:iCs/>
          <w:kern w:val="0"/>
          <w:sz w:val="24"/>
          <w:szCs w:val="24"/>
          <w14:ligatures w14:val="none"/>
        </w:rPr>
        <w:t>Z art. 32 ust. 1 Rozporządzenia, stosownie do którego „Proces walidacji kwalifikowanego podpisu elektronicznego potwierdza ważność kwalifikowanego podpisu elektronicznego, pod warunkiem że: a) certyfikat, który towarzyszy podpisowi, był w momencie składania podpisu kwalifikowanym certyfikatem podpisu elektronicznego zgodnym z załącznikiem I; b) kwalifikowany certyfikat został wydany przez kwalifikowanego dostawcę usług zaufania i był ważny w momencie składania podpisu; c) dane służące do walidacji podpisu odpowiadają danym dostarczonym stronie ufającej; d) unikalny zestaw danych reprezentujących podpisującego umieszczony w certyfikacie jest prawidłowo dostarczony stronie ufającej; e) jeżeli w momencie składania podpisu użyty został pseudonim, zostaje to wyraźnie wskazane stronie ufającej; f) podpis elektroniczny został złożony za pomocą kwalifikowanego urządzenia do składania podpisu elektronicznego; g) integralność podpisanych danych nie została naruszona; h) wymogi przewidziane w art. 26 zostały spełnione w momencie składania podpisu”, wynika, że ważność kwalifikowanego podpisu elektronicznego zostaje potwierdzona wtedy, gdy między innymi nie została naruszona integralność podpisanych danych.</w:t>
      </w:r>
      <w:r w:rsidR="00E3731A" w:rsidRPr="007811E8">
        <w:rPr>
          <w:rFonts w:eastAsia="Times New Roman" w:cstheme="minorHAnsi"/>
          <w:i/>
          <w:iCs/>
          <w:kern w:val="0"/>
          <w:sz w:val="24"/>
          <w:szCs w:val="24"/>
          <w14:ligatures w14:val="none"/>
        </w:rPr>
        <w:t xml:space="preserve"> (…) Treść tych dokumentów prowadzi do wniosku, że wyniki procesu walidacji kwalifikowanego podpisu elektronicznego zawartego w pliku o nazwie ocds-148610-a2f01909-a96c-11ee-a06e-7a3efa 199397_Oferta_1.pdf.xades nie wskazują na prawidłowość tego podpisu, lecz na jego nieważność bądź nieprawidłowość, prawdopodobnie z powodu naruszenia integralności podpisanych danych. Koresponduje to z treścią ww. dokumentu załączonego do odwołania, w którym wskazano „Integralność: Nieokreślona - weryfikator nie był w stanie określić integralności podpisu”, czego nie sposób uznać za potwierdzenie, że integralność podpisanych danych nie została naruszona, a w konsekwencji za potwierdzenie ważności ww. kwalifikowanego podpisu elektronicznego. </w:t>
      </w:r>
      <w:r w:rsidR="00E3731A" w:rsidRPr="007811E8">
        <w:rPr>
          <w:rFonts w:eastAsia="Times New Roman" w:cstheme="minorHAnsi"/>
          <w:i/>
          <w:iCs/>
          <w:kern w:val="0"/>
          <w:sz w:val="24"/>
          <w:szCs w:val="24"/>
          <w14:ligatures w14:val="none"/>
        </w:rPr>
        <w:lastRenderedPageBreak/>
        <w:t>Należało więc uznać, że nie zostały spełnione wszystkie określone w art. 32 ust. 1 Rozporządzenia warunki potwierdzenia ważności ww. kwalifikowanego podpisu elektronicznego.</w:t>
      </w:r>
    </w:p>
    <w:p w14:paraId="3BC60EC7" w14:textId="77777777" w:rsidR="005803FC" w:rsidRPr="007811E8" w:rsidRDefault="005803FC" w:rsidP="00423691">
      <w:pPr>
        <w:spacing w:after="0" w:line="240" w:lineRule="auto"/>
        <w:rPr>
          <w:rFonts w:eastAsia="Times New Roman" w:cstheme="minorHAnsi"/>
          <w:i/>
          <w:iCs/>
          <w:kern w:val="0"/>
          <w:sz w:val="24"/>
          <w:szCs w:val="24"/>
          <w14:ligatures w14:val="none"/>
        </w:rPr>
      </w:pPr>
    </w:p>
    <w:p w14:paraId="3541A461" w14:textId="484C220A" w:rsidR="00E3731A" w:rsidRDefault="00E3731A" w:rsidP="00423691">
      <w:pPr>
        <w:spacing w:after="0" w:line="240" w:lineRule="auto"/>
        <w:rPr>
          <w:rFonts w:eastAsia="Times New Roman" w:cstheme="minorHAnsi"/>
          <w:i/>
          <w:iCs/>
          <w:kern w:val="0"/>
          <w:sz w:val="24"/>
          <w:szCs w:val="24"/>
          <w14:ligatures w14:val="none"/>
        </w:rPr>
      </w:pPr>
      <w:r w:rsidRPr="007811E8">
        <w:rPr>
          <w:rFonts w:eastAsia="Times New Roman" w:cstheme="minorHAnsi"/>
          <w:i/>
          <w:iCs/>
          <w:kern w:val="0"/>
          <w:sz w:val="24"/>
          <w:szCs w:val="24"/>
          <w14:ligatures w14:val="none"/>
        </w:rPr>
        <w:t>W tym stanie rzeczy należało przyjąć, że oferta Odwołującego nie została opatrzona prawidłowo kwalifikowanym podpisem elektronicznym.”</w:t>
      </w:r>
    </w:p>
    <w:p w14:paraId="6F043031" w14:textId="77777777" w:rsidR="00F53A88" w:rsidRDefault="00F53A88" w:rsidP="00423691">
      <w:pPr>
        <w:pStyle w:val="Teksttreci1"/>
        <w:spacing w:after="0" w:line="240" w:lineRule="auto"/>
        <w:rPr>
          <w:rFonts w:asciiTheme="minorHAnsi" w:hAnsiTheme="minorHAnsi" w:cstheme="minorHAnsi"/>
          <w:i/>
          <w:iCs/>
          <w:sz w:val="24"/>
          <w:szCs w:val="24"/>
        </w:rPr>
      </w:pPr>
    </w:p>
    <w:p w14:paraId="05F31A4B" w14:textId="77777777" w:rsidR="00F53A88" w:rsidRPr="007811E8" w:rsidRDefault="00F53A88" w:rsidP="00423691">
      <w:pPr>
        <w:pStyle w:val="Teksttreci1"/>
        <w:spacing w:after="0" w:line="240" w:lineRule="auto"/>
        <w:rPr>
          <w:rFonts w:asciiTheme="minorHAnsi" w:hAnsiTheme="minorHAnsi" w:cstheme="minorHAnsi"/>
          <w:i/>
          <w:iCs/>
          <w:sz w:val="24"/>
          <w:szCs w:val="24"/>
        </w:rPr>
      </w:pPr>
    </w:p>
    <w:p w14:paraId="496C5106" w14:textId="3C8E369C" w:rsidR="00C6519C" w:rsidRDefault="001D5CCB" w:rsidP="00423691">
      <w:pPr>
        <w:pStyle w:val="Nagwek2"/>
      </w:pPr>
      <w:r w:rsidRPr="0079534A">
        <w:t>Wyrok K</w:t>
      </w:r>
      <w:r w:rsidR="00C6519C" w:rsidRPr="0079534A">
        <w:t>I</w:t>
      </w:r>
      <w:r w:rsidRPr="0079534A">
        <w:t>O z dnia 3 stycznia 2024 r. sygn. akt KIO 3</w:t>
      </w:r>
      <w:r w:rsidR="00A86D14" w:rsidRPr="0079534A">
        <w:t>7</w:t>
      </w:r>
      <w:r w:rsidRPr="0079534A">
        <w:t>77/</w:t>
      </w:r>
      <w:r w:rsidRPr="00CF30FB">
        <w:t>23  - status wykonawc</w:t>
      </w:r>
      <w:r w:rsidR="00847D1D" w:rsidRPr="00CF30FB">
        <w:t>y</w:t>
      </w:r>
    </w:p>
    <w:p w14:paraId="298900FD" w14:textId="77777777" w:rsidR="00F53A88" w:rsidRPr="00F53A88" w:rsidRDefault="00F53A88" w:rsidP="00423691">
      <w:pPr>
        <w:pStyle w:val="Teksttreci1"/>
        <w:spacing w:after="0" w:line="360" w:lineRule="auto"/>
        <w:rPr>
          <w:rFonts w:asciiTheme="minorHAnsi" w:hAnsiTheme="minorHAnsi" w:cstheme="minorHAnsi"/>
          <w:b/>
          <w:bCs/>
          <w:sz w:val="24"/>
          <w:szCs w:val="24"/>
          <w:u w:val="single"/>
        </w:rPr>
      </w:pPr>
    </w:p>
    <w:p w14:paraId="11EBB886" w14:textId="25620CAF" w:rsidR="00C519F1" w:rsidRDefault="001D5CCB" w:rsidP="00423691">
      <w:pPr>
        <w:autoSpaceDE w:val="0"/>
        <w:autoSpaceDN w:val="0"/>
        <w:adjustRightInd w:val="0"/>
        <w:spacing w:after="0" w:line="240" w:lineRule="auto"/>
        <w:rPr>
          <w:rFonts w:ascii="Arial" w:eastAsia="Courier New" w:hAnsi="Arial" w:cs="Arial"/>
          <w:bCs/>
          <w:kern w:val="3"/>
          <w:sz w:val="24"/>
          <w:szCs w:val="24"/>
        </w:rPr>
      </w:pPr>
      <w:r w:rsidRPr="00141185">
        <w:rPr>
          <w:rFonts w:cstheme="minorHAnsi"/>
          <w:i/>
          <w:iCs/>
          <w:sz w:val="24"/>
          <w:szCs w:val="24"/>
        </w:rPr>
        <w:t>„</w:t>
      </w:r>
      <w:r w:rsidR="007C221E" w:rsidRPr="00141185">
        <w:rPr>
          <w:rFonts w:cstheme="minorHAnsi"/>
          <w:i/>
          <w:iCs/>
          <w:sz w:val="24"/>
          <w:szCs w:val="24"/>
        </w:rPr>
        <w:t xml:space="preserve"> </w:t>
      </w:r>
      <w:r w:rsidR="007C221E" w:rsidRPr="00141185">
        <w:rPr>
          <w:rFonts w:eastAsia="Courier New" w:cstheme="minorHAnsi"/>
          <w:bCs/>
          <w:i/>
          <w:iCs/>
          <w:kern w:val="3"/>
          <w:sz w:val="24"/>
          <w:szCs w:val="24"/>
        </w:rPr>
        <w:t xml:space="preserve">Odnosząc się szczegółowo do okoliczności uzasadniającej odrzucenie odwołania na podstawie art. 528 pkt 2 ustawy </w:t>
      </w:r>
      <w:proofErr w:type="spellStart"/>
      <w:r w:rsidR="007C221E" w:rsidRPr="00141185">
        <w:rPr>
          <w:rFonts w:eastAsia="Courier New" w:cstheme="minorHAnsi"/>
          <w:bCs/>
          <w:i/>
          <w:iCs/>
          <w:kern w:val="3"/>
          <w:sz w:val="24"/>
          <w:szCs w:val="24"/>
        </w:rPr>
        <w:t>Pzp</w:t>
      </w:r>
      <w:proofErr w:type="spellEnd"/>
      <w:r w:rsidR="007C221E" w:rsidRPr="00141185">
        <w:rPr>
          <w:rFonts w:eastAsia="Courier New" w:cstheme="minorHAnsi"/>
          <w:bCs/>
          <w:i/>
          <w:iCs/>
          <w:kern w:val="3"/>
          <w:sz w:val="24"/>
          <w:szCs w:val="24"/>
        </w:rPr>
        <w:t xml:space="preserve"> Izba zauważa, że ustawodawca określił krąg podmiotów uprawnionych do wniesienia odwołania w art. 505 ust. 1 i 2 ustawy </w:t>
      </w:r>
      <w:proofErr w:type="spellStart"/>
      <w:r w:rsidR="007C221E" w:rsidRPr="00141185">
        <w:rPr>
          <w:rFonts w:eastAsia="Courier New" w:cstheme="minorHAnsi"/>
          <w:bCs/>
          <w:i/>
          <w:iCs/>
          <w:kern w:val="3"/>
          <w:sz w:val="24"/>
          <w:szCs w:val="24"/>
        </w:rPr>
        <w:t>Pzp</w:t>
      </w:r>
      <w:proofErr w:type="spellEnd"/>
      <w:r w:rsidR="007C221E" w:rsidRPr="00141185">
        <w:rPr>
          <w:rFonts w:eastAsia="Courier New" w:cstheme="minorHAnsi"/>
          <w:bCs/>
          <w:i/>
          <w:iCs/>
          <w:kern w:val="3"/>
          <w:sz w:val="24"/>
          <w:szCs w:val="24"/>
        </w:rPr>
        <w:t xml:space="preserve">. Są to wykonawcy, uczestnicy konkursu, a także inne podmioty, jeżeli mają lub mieli interes w uzyskaniu zamówienia lub nagrody w konkursie oraz ponieśli lub mogą ponieść szkodę w wyniku naruszenia przez zamawiającego przepisów ustawy </w:t>
      </w:r>
      <w:proofErr w:type="spellStart"/>
      <w:r w:rsidR="007C221E" w:rsidRPr="00141185">
        <w:rPr>
          <w:rFonts w:eastAsia="Courier New" w:cstheme="minorHAnsi"/>
          <w:bCs/>
          <w:i/>
          <w:iCs/>
          <w:kern w:val="3"/>
          <w:sz w:val="24"/>
          <w:szCs w:val="24"/>
        </w:rPr>
        <w:t>Pzp</w:t>
      </w:r>
      <w:proofErr w:type="spellEnd"/>
      <w:r w:rsidR="007C221E" w:rsidRPr="00141185">
        <w:rPr>
          <w:rFonts w:eastAsia="Courier New" w:cstheme="minorHAnsi"/>
          <w:bCs/>
          <w:i/>
          <w:iCs/>
          <w:kern w:val="3"/>
          <w:sz w:val="24"/>
          <w:szCs w:val="24"/>
        </w:rPr>
        <w:t xml:space="preserve">. Ponadto podmiotami uprawnionymi, ale jedynie w przypadku wnoszenia odwołania wobec ogłoszenia wszczynającego postępowanie o udzielenie zamówienia lub ogłoszenia o konkursie oraz dokumentów zamówienia, będą organizacje wpisane na listę, o której mowa w art. 469 pkt 15 ustawy </w:t>
      </w:r>
      <w:proofErr w:type="spellStart"/>
      <w:r w:rsidR="007C221E" w:rsidRPr="00141185">
        <w:rPr>
          <w:rFonts w:eastAsia="Courier New" w:cstheme="minorHAnsi"/>
          <w:bCs/>
          <w:i/>
          <w:iCs/>
          <w:kern w:val="3"/>
          <w:sz w:val="24"/>
          <w:szCs w:val="24"/>
        </w:rPr>
        <w:t>Pzp</w:t>
      </w:r>
      <w:proofErr w:type="spellEnd"/>
      <w:r w:rsidR="007C221E" w:rsidRPr="00141185">
        <w:rPr>
          <w:rFonts w:eastAsia="Courier New" w:cstheme="minorHAnsi"/>
          <w:bCs/>
          <w:i/>
          <w:iCs/>
          <w:kern w:val="3"/>
          <w:sz w:val="24"/>
          <w:szCs w:val="24"/>
        </w:rPr>
        <w:t xml:space="preserve"> oraz Rzecznik Małych i Średnich Przedsiębiorców. Niewątpliwie uprawnionymi do wniesienia odwołania mogą być wyłącznie podmioty wskazane w wyżej wymienionym przepisie, w tym w szczególności wykonawca, którego definicję legalną ustawodawca zawarł w art. 7 pkt 30 ustawy </w:t>
      </w:r>
      <w:proofErr w:type="spellStart"/>
      <w:r w:rsidR="007C221E" w:rsidRPr="00141185">
        <w:rPr>
          <w:rFonts w:eastAsia="Courier New" w:cstheme="minorHAnsi"/>
          <w:bCs/>
          <w:i/>
          <w:iCs/>
          <w:kern w:val="3"/>
          <w:sz w:val="24"/>
          <w:szCs w:val="24"/>
        </w:rPr>
        <w:t>Pzp</w:t>
      </w:r>
      <w:proofErr w:type="spellEnd"/>
      <w:r w:rsidR="007C221E" w:rsidRPr="00141185">
        <w:rPr>
          <w:rFonts w:eastAsia="Courier New" w:cstheme="minorHAnsi"/>
          <w:bCs/>
          <w:i/>
          <w:iCs/>
          <w:kern w:val="3"/>
          <w:sz w:val="24"/>
          <w:szCs w:val="24"/>
        </w:rPr>
        <w:t xml:space="preserve">. Za wykonawcę należy uznać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Podkreślenia wymaga, że krąg podmiotów posiadających status wykonawcy ulega zawężeniu wraz z przebiegiem postępowania o udzielenie zamówienia publicznego. Na etapie poprzedzającym składanie ofert lub wniosków o dopuszczenie do udziału w postępowaniu będzie on faktycznie przysługiwał każdemu, kto z racji oferowania na rynku wykonania robót budowlanych lub obiektu budowlanego, dostawy produktów bądź świadczenia usług, będzie potencjalnie zainteresowany postępowaniem, natomiast już po upływie terminu składania ofert lub wniosków o dopuszczenie do udziału w postępowaniu będzie on przysługiwał wyłącznie tym, którzy owe oferty lub wnioski złożyli (zob. P. Wójcik [w:] Gawrońska-Baran </w:t>
      </w:r>
      <w:proofErr w:type="spellStart"/>
      <w:r w:rsidR="007C221E" w:rsidRPr="00141185">
        <w:rPr>
          <w:rFonts w:eastAsia="Courier New" w:cstheme="minorHAnsi"/>
          <w:bCs/>
          <w:i/>
          <w:iCs/>
          <w:kern w:val="3"/>
          <w:sz w:val="24"/>
          <w:szCs w:val="24"/>
        </w:rPr>
        <w:t>Andrzela</w:t>
      </w:r>
      <w:proofErr w:type="spellEnd"/>
      <w:r w:rsidR="007C221E" w:rsidRPr="00141185">
        <w:rPr>
          <w:rFonts w:eastAsia="Courier New" w:cstheme="minorHAnsi"/>
          <w:bCs/>
          <w:i/>
          <w:iCs/>
          <w:kern w:val="3"/>
          <w:sz w:val="24"/>
          <w:szCs w:val="24"/>
        </w:rPr>
        <w:t xml:space="preserve"> i in., Prawo zamówień publicznych. Komentarz aktualizowany, LEX 2022). Podobnie podmiot, który wycofał złożoną ofertę przed upływem terminu składania ofert (art. 219 ust. 2 ustawy </w:t>
      </w:r>
      <w:proofErr w:type="spellStart"/>
      <w:r w:rsidR="007C221E" w:rsidRPr="00141185">
        <w:rPr>
          <w:rFonts w:eastAsia="Courier New" w:cstheme="minorHAnsi"/>
          <w:bCs/>
          <w:i/>
          <w:iCs/>
          <w:kern w:val="3"/>
          <w:sz w:val="24"/>
          <w:szCs w:val="24"/>
        </w:rPr>
        <w:t>Pzp</w:t>
      </w:r>
      <w:proofErr w:type="spellEnd"/>
      <w:r w:rsidR="007C221E" w:rsidRPr="00141185">
        <w:rPr>
          <w:rFonts w:eastAsia="Courier New" w:cstheme="minorHAnsi"/>
          <w:bCs/>
          <w:i/>
          <w:iCs/>
          <w:kern w:val="3"/>
          <w:sz w:val="24"/>
          <w:szCs w:val="24"/>
        </w:rPr>
        <w:t xml:space="preserve">), również traci status wykonawcy. Ponadto w sytuacji gdy dany wykonawca brał udział w postępowaniu, ale został z udziału w tym postępowaniu nieodwracalnie wykluczony lub jego oferta została odrzucona (gdy minął już termin na wniesienie odwołania na czynność wykluczenia lub odrzucenia bądź gdy wykluczenie lub odrzucenie poparte zostało wyrokiem KIO, od którego nie została wniesiona skarga do sądu zamówień publicznych albo w sytuacji gdy sąd ten oddalił skargę na wyrok KIO uznając za prawidłowe rozstrzygnięcie Izby w przedmiocie wykluczenia lub odrzucenia oferty wykonawcy), również zostanie potraktowany jako nieuprawniony do wniesienia odwołania na dalsze czynności zamawiającego. Powyższe znajduje potwierdzenie w </w:t>
      </w:r>
      <w:r w:rsidR="007C221E" w:rsidRPr="00141185">
        <w:rPr>
          <w:rFonts w:eastAsia="Courier New" w:cstheme="minorHAnsi"/>
          <w:bCs/>
          <w:i/>
          <w:iCs/>
          <w:kern w:val="3"/>
          <w:sz w:val="24"/>
          <w:szCs w:val="24"/>
        </w:rPr>
        <w:lastRenderedPageBreak/>
        <w:t>brzmieniu art. 2a ust. 2 zdanie 2 Dyrektywy Rady z dnia 21 grudnia 1989 r. w sprawie koordynacji przepisów ustawowych, wykonawczych i administracyjnych odnoszących się do stosowania procedur odwoławczych w zakresie udzielania zamówień publicznych na dostawy i roboty budowlane (89/665/EWG) (</w:t>
      </w:r>
      <w:proofErr w:type="spellStart"/>
      <w:r w:rsidR="007C221E" w:rsidRPr="00141185">
        <w:rPr>
          <w:rFonts w:eastAsia="Courier New" w:cstheme="minorHAnsi"/>
          <w:bCs/>
          <w:i/>
          <w:iCs/>
          <w:kern w:val="3"/>
          <w:sz w:val="24"/>
          <w:szCs w:val="24"/>
        </w:rPr>
        <w:t>Dz.Urz.UE.L</w:t>
      </w:r>
      <w:proofErr w:type="spellEnd"/>
      <w:r w:rsidR="007C221E" w:rsidRPr="00141185">
        <w:rPr>
          <w:rFonts w:eastAsia="Courier New" w:cstheme="minorHAnsi"/>
          <w:bCs/>
          <w:i/>
          <w:iCs/>
          <w:kern w:val="3"/>
          <w:sz w:val="24"/>
          <w:szCs w:val="24"/>
        </w:rPr>
        <w:t xml:space="preserve"> 1989 Nr 395, str. 33 ze zm., dalej: „dyrektywa 89/665/EWG”), zgodnie z którym „Oferentów uważa się za zainteresowanych, jeśli nie zostali jeszcze ostatecznie wykluczeni. Wykluczenie ma charakter ostateczny, jeśli zainteresowani oferenci zostali o nim powiadomieni i jeżeli zostało ono uznane za zgodne z prawem przez niezależny organ odwoławczy lub nie może już podlegać procedurze odwołania”.</w:t>
      </w:r>
    </w:p>
    <w:p w14:paraId="7040E901" w14:textId="77777777" w:rsidR="005803FC" w:rsidRDefault="005803FC" w:rsidP="00423691">
      <w:pPr>
        <w:autoSpaceDE w:val="0"/>
        <w:autoSpaceDN w:val="0"/>
        <w:adjustRightInd w:val="0"/>
        <w:spacing w:after="0" w:line="240" w:lineRule="auto"/>
        <w:rPr>
          <w:rFonts w:ascii="Arial" w:eastAsia="Courier New" w:hAnsi="Arial" w:cs="Arial"/>
          <w:bCs/>
          <w:kern w:val="3"/>
          <w:sz w:val="24"/>
          <w:szCs w:val="24"/>
        </w:rPr>
      </w:pPr>
    </w:p>
    <w:p w14:paraId="1B0CA4C6" w14:textId="63C4D9FD" w:rsidR="002950E8" w:rsidRPr="00141185" w:rsidRDefault="001D5CCB" w:rsidP="00423691">
      <w:pPr>
        <w:autoSpaceDE w:val="0"/>
        <w:autoSpaceDN w:val="0"/>
        <w:adjustRightInd w:val="0"/>
        <w:spacing w:after="0" w:line="240" w:lineRule="auto"/>
        <w:rPr>
          <w:rFonts w:ascii="Arial" w:eastAsia="Courier New" w:hAnsi="Arial" w:cs="Arial"/>
          <w:bCs/>
          <w:kern w:val="3"/>
          <w:sz w:val="24"/>
          <w:szCs w:val="24"/>
        </w:rPr>
      </w:pPr>
      <w:r w:rsidRPr="00141185">
        <w:rPr>
          <w:rFonts w:eastAsia="Courier New" w:cstheme="minorHAnsi"/>
          <w:bCs/>
          <w:i/>
          <w:iCs/>
          <w:kern w:val="3"/>
          <w:sz w:val="24"/>
          <w:szCs w:val="24"/>
        </w:rPr>
        <w:t>Nie ulega zatem wątpliwości, że status wykonawcy wiąże się przede wszystkim z czynnym uczestnictwem podmiotu w kolejnych etapach postępowania o udzielenie zamówienia. Mając na uwadze brzmienie przywołanych powyżej przepisów zasadnym jest stwierdzenie, że do wniesienia odwołania uprawniony jest podmiot, który w objętym odwołaniem postępowaniu o udzielenie zamówienia publicznego, w chwili składania rzeczonego środka ochrony prawnej, jest wykonawcą – aktywnym uczestnikiem postępowania o udzielenie zamówienia publicznego. Ochrona prawna przysługuje tylko takiemu uczestnikowi postępowania o udzielenie zamówienia, który nie został z tego postępowania prawomocnie wyeliminowany. Czynne działanie Odwołującego w zakresie obrony własnej oferty ma kluczowe znaczenie dla oceny, czy może on skutecznie kwestionować pozostałe decyzje instytucji zamawiającej. Z kolei za podmiot nieuprawniony do wniesienia odwołania można uznać m.in. podmiot, który status wykonawcy utracił na wcześniejszym etapie postępowania o udzielenie zamówienia publicznego</w:t>
      </w:r>
      <w:r w:rsidR="001A4567" w:rsidRPr="00141185">
        <w:rPr>
          <w:rFonts w:eastAsia="Courier New" w:cstheme="minorHAnsi"/>
          <w:bCs/>
          <w:i/>
          <w:iCs/>
          <w:kern w:val="3"/>
          <w:sz w:val="24"/>
          <w:szCs w:val="24"/>
        </w:rPr>
        <w:t>.”</w:t>
      </w:r>
    </w:p>
    <w:p w14:paraId="67DBAB58" w14:textId="77777777" w:rsidR="008D3055" w:rsidRDefault="008D3055" w:rsidP="00423691">
      <w:pPr>
        <w:tabs>
          <w:tab w:val="left" w:pos="1077"/>
        </w:tabs>
        <w:spacing w:after="0" w:line="360" w:lineRule="auto"/>
        <w:outlineLvl w:val="0"/>
        <w:rPr>
          <w:rFonts w:cstheme="minorHAnsi"/>
          <w:b/>
          <w:bCs/>
          <w:sz w:val="24"/>
          <w:szCs w:val="24"/>
          <w:u w:val="single"/>
        </w:rPr>
      </w:pPr>
    </w:p>
    <w:p w14:paraId="5CCEA7E9" w14:textId="1172455D" w:rsidR="008D3055" w:rsidRPr="0079534A" w:rsidRDefault="008D3055" w:rsidP="00423691">
      <w:pPr>
        <w:pStyle w:val="Nagwek2"/>
      </w:pPr>
      <w:r w:rsidRPr="0079534A">
        <w:t xml:space="preserve">Wyrok KIO z dnia 4 marca 2024 r. sygn. akt KIO 440/24, KIO 501/24 – interes we wniesieniu odwołania (art. 505 </w:t>
      </w:r>
      <w:proofErr w:type="spellStart"/>
      <w:r w:rsidRPr="0079534A">
        <w:t>Pzp</w:t>
      </w:r>
      <w:proofErr w:type="spellEnd"/>
      <w:r w:rsidRPr="0079534A">
        <w:t>)</w:t>
      </w:r>
    </w:p>
    <w:p w14:paraId="7F0C764C" w14:textId="77777777" w:rsidR="008D3055" w:rsidRPr="007811E8" w:rsidRDefault="008D3055" w:rsidP="00423691">
      <w:pPr>
        <w:tabs>
          <w:tab w:val="left" w:pos="1077"/>
        </w:tabs>
        <w:spacing w:after="0" w:line="240" w:lineRule="auto"/>
        <w:outlineLvl w:val="0"/>
        <w:rPr>
          <w:rFonts w:cstheme="minorHAnsi"/>
          <w:b/>
          <w:bCs/>
          <w:i/>
          <w:iCs/>
          <w:sz w:val="24"/>
          <w:szCs w:val="24"/>
        </w:rPr>
      </w:pPr>
    </w:p>
    <w:p w14:paraId="1C234DF4" w14:textId="469DC176" w:rsidR="008D3055" w:rsidRDefault="008D3055" w:rsidP="00423691">
      <w:pPr>
        <w:pStyle w:val="Teksttreci1"/>
        <w:spacing w:after="0" w:line="240" w:lineRule="auto"/>
        <w:rPr>
          <w:rFonts w:asciiTheme="minorHAnsi" w:hAnsiTheme="minorHAnsi" w:cstheme="minorHAnsi"/>
          <w:i/>
          <w:iCs/>
          <w:sz w:val="24"/>
          <w:szCs w:val="24"/>
        </w:rPr>
      </w:pPr>
      <w:r w:rsidRPr="007811E8">
        <w:rPr>
          <w:rFonts w:asciiTheme="minorHAnsi" w:hAnsiTheme="minorHAnsi" w:cstheme="minorHAnsi"/>
          <w:i/>
          <w:iCs/>
          <w:sz w:val="24"/>
          <w:szCs w:val="24"/>
        </w:rPr>
        <w:t xml:space="preserve">„Wykazanie posiadania interesu w uzyskaniu zamówienia oraz poniesienia lub możliwości poniesienia szkody przez Odwołującego ten ostatni musi wykazać na moment wniesienia odwołania, a stanowisko w tym zakresie musi zostać zawarte w odwołaniu. Przesłanki te zatem badane są na moment wniesienia odwołania, a w żaden sposób nie są uzależnione od podejmowanych przez Odwołującego decyzji w odniesieniu do udziału w postępowaniach o udzielnie zamówienia publicznego we wcześniejszych latach. Podkreślenia wymaga również to, że przesłanki badane są w ramach danego prowadzonego postępowania i nie odnoszą się do innych, niezwiązanych z tym postępowaniem, okoliczności. Podnoszona przez Zamawiającego argumentacja skupiająca się na tym, że we wcześniej prowadzonych postępowaniach o udzielnie zamówienia publicznego wzór umowy (dokumenty zamówienia) był tożsamy z tym jaki został przedstawiony w bieżącym postępowaniu o udzielnie zamówienia publicznego, którego dotyczy to odwołanie nie uzasadnia w żaden sposób odmowy Odwołującemu prawa i możliwości wykazania spełnienia przesłanek z art. 505 ust. 1 ustawy na ten moment, czyli w tym postępowaniu odwoławczym. Historyczne odniesienia do podejmowanych przez Odwołującego w latach poprzednich czynności, decyzji czy zawieranych umów pozostaje bez wpływu na ocenę przesłanek posiadania interesu w uzyskaniu zamówienia oraz poniesienia lub możliwości poniesienia szkody przez Odwołującego na moment wnoszenia odwołania, które składane jest w odniesieniu do prowadzonego obecnie postępowania o zamówienie. Działania wykonawcy w latach poprzednich, jego decyzje podejmowane w odniesieniu do kwestionowania czy też nie, a w </w:t>
      </w:r>
      <w:r w:rsidRPr="007811E8">
        <w:rPr>
          <w:rFonts w:asciiTheme="minorHAnsi" w:hAnsiTheme="minorHAnsi" w:cstheme="minorHAnsi"/>
          <w:i/>
          <w:iCs/>
          <w:sz w:val="24"/>
          <w:szCs w:val="24"/>
        </w:rPr>
        <w:lastRenderedPageBreak/>
        <w:t xml:space="preserve">konsekwencji przyjmowania pewnych regulacji ukształtowanych przez Zamawiającego w ramach prowadzonych wcześniej procedur zamówieniowych nie przekładają się  na ocenę w ramach przesłanek z art. 505 ust. 1 w przyszłych prowadzonych procedurach. Tym samym nie ma żadnej podstawy, aby żądać od wykonawcy wykazania z jakich przyczyn obecnie, w kontekście do poprzednich postępowań o zamówienie, nie jest w stanie złożyć oferty. Izba za bezprzedmiotowe dla oceny przesłanek uznała dowody przedstawione przy pismach procesowych Zamawiającego. Izba podkreśla, że ocena tychże przesłanek następuje na moment wniesienia odwołania i w tym zakresie Izba uznała, że w sposób wystarczający Odwołujący uzasadnił spełnienie tych przesłanek. Wymaga wskazania, że wykonawca składający odwołanie jest podmiotem realizującym zamówienia określone w przedmiotach postępowań, w ramach których składa odwołania podlegające ocenie w tym postępowaniu odwoławczym. Potwierdza to stanowisko Odwołującego z rozprawy, jak również stanowisko Zamawiającego. Wykonawca ten zatem, co wynika jednoznacznie z jego oświadczenia zawartego w uzasadnieniu </w:t>
      </w:r>
      <w:proofErr w:type="spellStart"/>
      <w:r w:rsidRPr="007811E8">
        <w:rPr>
          <w:rFonts w:asciiTheme="minorHAnsi" w:hAnsiTheme="minorHAnsi" w:cstheme="minorHAnsi"/>
          <w:i/>
          <w:iCs/>
          <w:sz w:val="24"/>
          <w:szCs w:val="24"/>
        </w:rPr>
        <w:t>odwołań</w:t>
      </w:r>
      <w:proofErr w:type="spellEnd"/>
      <w:r w:rsidRPr="007811E8">
        <w:rPr>
          <w:rFonts w:asciiTheme="minorHAnsi" w:hAnsiTheme="minorHAnsi" w:cstheme="minorHAnsi"/>
          <w:i/>
          <w:iCs/>
          <w:sz w:val="24"/>
          <w:szCs w:val="24"/>
        </w:rPr>
        <w:t xml:space="preserve"> w ramach wykazania przesłanek z art. 505 ust. 1 ustawy, jest podmiotem zainteresowanym udziałem w postępowaniach o udzielnie zamówienia i uzyskaniem tych zamówienia, chce złożyć oferty w ogłoszonych przetargach. Podkreślenia wymaga, że na etapie po ogłoszeniu zamówienia i przedstawienia przez Zamawiającego opisu przedmiotu zamówienia, obowiązków umownych (postanowień umowy), to ukształtowanie treści tych dokumentów w taki sposób, który w ocenie wykonawcy narusza uczciwą konkurencję, uniemożliwia lub utrudnia wykonawcy złożenie oferty i uzyskanie zamówienia, godzi w interes wykonawcy w uzyskaniu danego zamówienia oraz może prowadzić do powstania szkody.”</w:t>
      </w:r>
    </w:p>
    <w:p w14:paraId="64ABB934" w14:textId="77777777" w:rsidR="002950E8" w:rsidRDefault="002950E8" w:rsidP="00423691">
      <w:pPr>
        <w:pStyle w:val="Teksttreci1"/>
        <w:spacing w:after="0" w:line="360" w:lineRule="auto"/>
        <w:rPr>
          <w:rFonts w:asciiTheme="minorHAnsi" w:eastAsia="Courier New" w:hAnsiTheme="minorHAnsi" w:cstheme="minorHAnsi"/>
          <w:bCs/>
          <w:kern w:val="3"/>
          <w:sz w:val="24"/>
          <w:szCs w:val="24"/>
        </w:rPr>
      </w:pPr>
    </w:p>
    <w:p w14:paraId="67D6EAC2" w14:textId="77777777" w:rsidR="005803FC" w:rsidRDefault="005803FC" w:rsidP="00423691">
      <w:pPr>
        <w:pStyle w:val="Teksttreci1"/>
        <w:spacing w:after="0" w:line="360" w:lineRule="auto"/>
        <w:rPr>
          <w:rFonts w:asciiTheme="minorHAnsi" w:eastAsia="Courier New" w:hAnsiTheme="minorHAnsi" w:cstheme="minorHAnsi"/>
          <w:bCs/>
          <w:kern w:val="3"/>
          <w:sz w:val="24"/>
          <w:szCs w:val="24"/>
        </w:rPr>
      </w:pPr>
    </w:p>
    <w:p w14:paraId="676F08B1" w14:textId="3E018FCB" w:rsidR="006A076A" w:rsidRPr="007811E8" w:rsidRDefault="00DF4065" w:rsidP="00423691">
      <w:pPr>
        <w:pStyle w:val="Nagwek2"/>
        <w:rPr>
          <w:rStyle w:val="Hipercze"/>
          <w:b/>
          <w:bCs/>
          <w:color w:val="auto"/>
          <w:sz w:val="24"/>
          <w:szCs w:val="24"/>
        </w:rPr>
      </w:pPr>
      <w:bookmarkStart w:id="2" w:name="_Hlk164921149"/>
      <w:r w:rsidRPr="0079534A">
        <w:t xml:space="preserve">Wyrok SO w Warszawie z dnia 27 września 2023 r. sygn. akt XXIII </w:t>
      </w:r>
      <w:proofErr w:type="spellStart"/>
      <w:r w:rsidRPr="0079534A">
        <w:t>Zs</w:t>
      </w:r>
      <w:proofErr w:type="spellEnd"/>
      <w:r w:rsidRPr="0079534A">
        <w:t xml:space="preserve"> 6/23 </w:t>
      </w:r>
      <w:r w:rsidR="000E46F0" w:rsidRPr="00CF30FB">
        <w:t xml:space="preserve"> - art. 223 ust. 1 </w:t>
      </w:r>
      <w:proofErr w:type="spellStart"/>
      <w:r w:rsidR="000E46F0" w:rsidRPr="00CF30FB">
        <w:t>Pzp</w:t>
      </w:r>
      <w:proofErr w:type="spellEnd"/>
      <w:r w:rsidR="000E46F0" w:rsidRPr="00CF30FB">
        <w:t xml:space="preserve"> </w:t>
      </w:r>
      <w:r w:rsidR="005803FC">
        <w:t xml:space="preserve">– </w:t>
      </w:r>
      <w:r w:rsidR="000E46F0" w:rsidRPr="00CF30FB">
        <w:t>wyjaśnienia oferty</w:t>
      </w:r>
    </w:p>
    <w:bookmarkEnd w:id="2"/>
    <w:p w14:paraId="0927C5AD" w14:textId="00713F58" w:rsidR="005B58A6" w:rsidRPr="008D3055" w:rsidRDefault="006A076A" w:rsidP="00423691">
      <w:pPr>
        <w:pStyle w:val="NormalnyWeb"/>
        <w:shd w:val="clear" w:color="auto" w:fill="FFFFFF"/>
        <w:rPr>
          <w:rFonts w:asciiTheme="minorHAnsi" w:hAnsiTheme="minorHAnsi" w:cstheme="minorHAnsi"/>
          <w:i/>
          <w:iCs/>
          <w:shd w:val="clear" w:color="auto" w:fill="FFFFFF"/>
        </w:rPr>
      </w:pPr>
      <w:r w:rsidRPr="00B930FF">
        <w:rPr>
          <w:rStyle w:val="Hipercze"/>
          <w:rFonts w:asciiTheme="minorHAnsi" w:hAnsiTheme="minorHAnsi" w:cstheme="minorHAnsi"/>
          <w:i/>
          <w:iCs/>
          <w:color w:val="auto"/>
          <w:u w:val="none"/>
        </w:rPr>
        <w:t>„</w:t>
      </w:r>
      <w:r w:rsidRPr="00B930FF">
        <w:rPr>
          <w:rFonts w:asciiTheme="minorHAnsi" w:hAnsiTheme="minorHAnsi" w:cstheme="minorHAnsi"/>
          <w:i/>
          <w:iCs/>
          <w:shd w:val="clear" w:color="auto" w:fill="FFFFFF"/>
        </w:rPr>
        <w:t>W pierwszej kolejności wskazania wymaga, że Sąd Okręgowy podziela stanowisko Krajowej Izby Odwoławczej w zakresie posiadania przez Odwołującego interesu prawnego w złożeniu odwołania na czynność Zamawiającego jaką było wezwanie Wykonawcy do złożenia wyjaśnień z dnia 10 listopada 2022 roku. Samo niezłożenie wyjaśnień przez Wykonawcę w odpowiedzi na wezwanie Zamawiającego nie jest obwarowane bezpośrednią sankcją w postaci odrzucenia oferty. Jednakże niewątpliwie niezłożenie przez Wykonawcę wyjaśnień mogło skutkować podjęciem niekorzystnej decyzji, w tym narażało go na ryzyko odrzucenia jego oferty ze względu na chociażby niezgodność z warunkami zamówienia. Nieudzielenie przez Wykonawcę wyjaśnień dotyczących treści złożonej oferty nie zwalnia bowiem Zamawiającego z obowiązku dokonania określonej czynności i powoduje, że Zamawiający podejmuje decyzję na podstawie wiedzy, jaką dysponuje bez wyjaśnień Wykonawcy. W rezultacie przekazanie odpowiedzi na wezwanie Zamawiającego pozwala zapobiec tego rodzaju niekorzystnym konsekwencjom. Udzielenie odpowiedzi w ramach wyjaśnień leży niewątpliwie w interesie Wykonawcy. Zatem w sytuacji kwestionowania przez Wykonawcę wezwania do wyjaśnień winien on zaskarżyć właśnie tę czynność, gdyż w momencie ewentualnego odrzucenia oferty Wykonawcy w wyniku niezłożenia wyjaśnień, jego argumenty odnoszące się do wezwania mogłyby zostać uznane za spóźnione.</w:t>
      </w:r>
      <w:r w:rsidR="001F0EF4" w:rsidRPr="00B930FF">
        <w:rPr>
          <w:rFonts w:asciiTheme="minorHAnsi" w:hAnsiTheme="minorHAnsi" w:cstheme="minorHAnsi"/>
          <w:i/>
          <w:iCs/>
          <w:shd w:val="clear" w:color="auto" w:fill="FFFFFF"/>
        </w:rPr>
        <w:t xml:space="preserve"> (…) </w:t>
      </w:r>
      <w:r w:rsidR="001F0EF4" w:rsidRPr="00B930FF">
        <w:rPr>
          <w:rFonts w:asciiTheme="minorHAnsi" w:hAnsiTheme="minorHAnsi" w:cstheme="minorHAnsi"/>
          <w:i/>
          <w:iCs/>
          <w:color w:val="222222"/>
        </w:rPr>
        <w:t xml:space="preserve">Przepis art. 223 ust. 1 ustawy PZP wskazuje, że zamawiający może żądać wyjaśnienia treści oferty – czyli </w:t>
      </w:r>
      <w:r w:rsidR="001F0EF4" w:rsidRPr="00B930FF">
        <w:rPr>
          <w:rFonts w:asciiTheme="minorHAnsi" w:hAnsiTheme="minorHAnsi" w:cstheme="minorHAnsi"/>
          <w:i/>
          <w:iCs/>
          <w:color w:val="222222"/>
        </w:rPr>
        <w:lastRenderedPageBreak/>
        <w:t>wyjaśniamy to co było w ofercie. Nie ma zatem podstawy do wyjaśniania czegoś czego w ofercie nie było. Formalnie i literalnie zamawiający nie ma podstaw do wzywania do</w:t>
      </w:r>
      <w:r w:rsidR="00B930FF">
        <w:rPr>
          <w:rFonts w:asciiTheme="minorHAnsi" w:hAnsiTheme="minorHAnsi" w:cstheme="minorHAnsi"/>
          <w:i/>
          <w:iCs/>
          <w:color w:val="222222"/>
        </w:rPr>
        <w:t xml:space="preserve"> W</w:t>
      </w:r>
      <w:r w:rsidR="001F0EF4" w:rsidRPr="00B930FF">
        <w:rPr>
          <w:rFonts w:asciiTheme="minorHAnsi" w:hAnsiTheme="minorHAnsi" w:cstheme="minorHAnsi"/>
          <w:i/>
          <w:iCs/>
          <w:color w:val="222222"/>
        </w:rPr>
        <w:t>yjaśnienia czegoś czego nie ma w treści oferty. Swoich błędnych decyzji co do oczekiwanej treści zakresu oferty zamawiający nie może konwalidować na późniejszym etapie, nie może zmieniać</w:t>
      </w:r>
      <w:r w:rsidR="00B930FF">
        <w:rPr>
          <w:rFonts w:asciiTheme="minorHAnsi" w:hAnsiTheme="minorHAnsi" w:cstheme="minorHAnsi"/>
          <w:i/>
          <w:iCs/>
          <w:color w:val="222222"/>
        </w:rPr>
        <w:t xml:space="preserve"> Z</w:t>
      </w:r>
      <w:r w:rsidR="001F0EF4" w:rsidRPr="00B930FF">
        <w:rPr>
          <w:rFonts w:asciiTheme="minorHAnsi" w:hAnsiTheme="minorHAnsi" w:cstheme="minorHAnsi"/>
          <w:i/>
          <w:iCs/>
          <w:color w:val="222222"/>
        </w:rPr>
        <w:t>asad postępowania. Zauważyć jednak należy, iż sporny przepis nie odnosi się wyłącznie do treści</w:t>
      </w:r>
      <w:r w:rsidR="00B930FF">
        <w:rPr>
          <w:rFonts w:asciiTheme="minorHAnsi" w:hAnsiTheme="minorHAnsi" w:cstheme="minorHAnsi"/>
          <w:i/>
          <w:iCs/>
          <w:color w:val="222222"/>
        </w:rPr>
        <w:t xml:space="preserve"> </w:t>
      </w:r>
      <w:r w:rsidR="001F0EF4" w:rsidRPr="00B930FF">
        <w:rPr>
          <w:rFonts w:asciiTheme="minorHAnsi" w:hAnsiTheme="minorHAnsi" w:cstheme="minorHAnsi"/>
          <w:i/>
          <w:iCs/>
          <w:color w:val="222222"/>
        </w:rPr>
        <w:t>oferty, ale wskazuje, że zamawiający może wezwać wykonawcę również do wyjaśnienia innych składanych dokumentów oraz oświadczeń. Ma to niewątpliwie związek z faktem, że pod rządem obecnie obowiązującej ustawy całe postępowanie jest prowadzone w formie elektronicznej i ustawodawca miał świadomość możliwości występowania ograniczeń chociażby co do wielkości plików, czy też sposobu ich uzupełniania, które mogą wystąpić z takim sposobem procedowania. Niewątpliwie jednak ustawodawca nie ograniczył możliwości żądania przez zamawiającego</w:t>
      </w:r>
      <w:r w:rsidR="00B930FF">
        <w:rPr>
          <w:rFonts w:asciiTheme="minorHAnsi" w:hAnsiTheme="minorHAnsi" w:cstheme="minorHAnsi"/>
          <w:i/>
          <w:iCs/>
          <w:color w:val="222222"/>
        </w:rPr>
        <w:t xml:space="preserve"> </w:t>
      </w:r>
      <w:r w:rsidR="001F0EF4" w:rsidRPr="00B930FF">
        <w:rPr>
          <w:rFonts w:asciiTheme="minorHAnsi" w:hAnsiTheme="minorHAnsi" w:cstheme="minorHAnsi"/>
          <w:i/>
          <w:iCs/>
          <w:color w:val="222222"/>
        </w:rPr>
        <w:t>wyjaśnień tylko w odniesieniu do treści oferty.</w:t>
      </w:r>
      <w:r w:rsidR="00B930FF">
        <w:rPr>
          <w:rFonts w:asciiTheme="minorHAnsi" w:hAnsiTheme="minorHAnsi" w:cstheme="minorHAnsi"/>
          <w:i/>
          <w:iCs/>
          <w:color w:val="222222"/>
        </w:rPr>
        <w:t xml:space="preserve"> </w:t>
      </w:r>
      <w:r w:rsidR="001F0EF4" w:rsidRPr="00B930FF">
        <w:rPr>
          <w:rFonts w:asciiTheme="minorHAnsi" w:hAnsiTheme="minorHAnsi" w:cstheme="minorHAnsi"/>
          <w:i/>
          <w:iCs/>
          <w:color w:val="222222"/>
        </w:rPr>
        <w:t>W</w:t>
      </w:r>
      <w:r w:rsidR="00B930FF">
        <w:rPr>
          <w:rFonts w:asciiTheme="minorHAnsi" w:hAnsiTheme="minorHAnsi" w:cstheme="minorHAnsi"/>
          <w:i/>
          <w:iCs/>
          <w:color w:val="222222"/>
        </w:rPr>
        <w:t xml:space="preserve"> </w:t>
      </w:r>
      <w:r w:rsidR="001F0EF4" w:rsidRPr="00B930FF">
        <w:rPr>
          <w:rFonts w:asciiTheme="minorHAnsi" w:hAnsiTheme="minorHAnsi" w:cstheme="minorHAnsi"/>
          <w:i/>
          <w:iCs/>
          <w:color w:val="222222"/>
        </w:rPr>
        <w:t>związku z tym zauważyć należy, że przedmiotowe środki dowodowe są dokumentami ściśle związanymi z przedmiotem świadczenia wykonawcy i ich ocena decyduje o zgodności oferty</w:t>
      </w:r>
      <w:r w:rsidR="00B930FF">
        <w:rPr>
          <w:rFonts w:asciiTheme="minorHAnsi" w:hAnsiTheme="minorHAnsi" w:cstheme="minorHAnsi"/>
          <w:i/>
          <w:iCs/>
          <w:color w:val="222222"/>
        </w:rPr>
        <w:t xml:space="preserve"> </w:t>
      </w:r>
      <w:r w:rsidR="001F0EF4" w:rsidRPr="00B930FF">
        <w:rPr>
          <w:rFonts w:asciiTheme="minorHAnsi" w:hAnsiTheme="minorHAnsi" w:cstheme="minorHAnsi"/>
          <w:i/>
          <w:iCs/>
          <w:color w:val="222222"/>
        </w:rPr>
        <w:t>z warunkami zamówienia. Stąd też podlegają wyjaśnieniom analogicznie w stosunku do treści oferty</w:t>
      </w:r>
      <w:r w:rsidR="00B930FF" w:rsidRPr="00B930FF">
        <w:rPr>
          <w:rFonts w:asciiTheme="minorHAnsi" w:hAnsiTheme="minorHAnsi" w:cstheme="minorHAnsi"/>
          <w:i/>
          <w:iCs/>
          <w:color w:val="222222"/>
        </w:rPr>
        <w:t>.</w:t>
      </w:r>
      <w:r w:rsidRPr="00B930FF">
        <w:rPr>
          <w:rFonts w:asciiTheme="minorHAnsi" w:hAnsiTheme="minorHAnsi" w:cstheme="minorHAnsi"/>
          <w:i/>
          <w:iCs/>
          <w:shd w:val="clear" w:color="auto" w:fill="FFFFFF"/>
        </w:rPr>
        <w:t>”</w:t>
      </w:r>
    </w:p>
    <w:sectPr w:rsidR="005B58A6" w:rsidRPr="008D30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CFA3C" w14:textId="77777777" w:rsidR="00D0183F" w:rsidRDefault="00D0183F" w:rsidP="005F2713">
      <w:pPr>
        <w:spacing w:after="0" w:line="240" w:lineRule="auto"/>
      </w:pPr>
      <w:r>
        <w:separator/>
      </w:r>
    </w:p>
  </w:endnote>
  <w:endnote w:type="continuationSeparator" w:id="0">
    <w:p w14:paraId="152D7D8D" w14:textId="77777777" w:rsidR="00D0183F" w:rsidRDefault="00D0183F" w:rsidP="005F2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CD076" w14:textId="77777777" w:rsidR="00D0183F" w:rsidRDefault="00D0183F" w:rsidP="005F2713">
      <w:pPr>
        <w:spacing w:after="0" w:line="240" w:lineRule="auto"/>
      </w:pPr>
      <w:r>
        <w:separator/>
      </w:r>
    </w:p>
  </w:footnote>
  <w:footnote w:type="continuationSeparator" w:id="0">
    <w:p w14:paraId="22093AB5" w14:textId="77777777" w:rsidR="00D0183F" w:rsidRDefault="00D0183F" w:rsidP="005F2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BA2"/>
    <w:multiLevelType w:val="multilevel"/>
    <w:tmpl w:val="78E8D7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FD3DE5"/>
    <w:multiLevelType w:val="hybridMultilevel"/>
    <w:tmpl w:val="805A597E"/>
    <w:lvl w:ilvl="0" w:tplc="A3E4DC9E">
      <w:start w:val="1"/>
      <w:numFmt w:val="bullet"/>
      <w:lvlText w:val=""/>
      <w:lvlJc w:val="left"/>
      <w:pPr>
        <w:tabs>
          <w:tab w:val="num" w:pos="54"/>
        </w:tabs>
        <w:ind w:left="283"/>
      </w:pPr>
      <w:rPr>
        <w:rFonts w:ascii="Wingdings" w:hAnsi="Wingdings" w:hint="default"/>
        <w:color w:val="auto"/>
        <w:sz w:val="24"/>
        <w:szCs w:val="24"/>
      </w:rPr>
    </w:lvl>
    <w:lvl w:ilvl="1" w:tplc="04150003" w:tentative="1">
      <w:start w:val="1"/>
      <w:numFmt w:val="bullet"/>
      <w:lvlText w:val="o"/>
      <w:lvlJc w:val="left"/>
      <w:pPr>
        <w:tabs>
          <w:tab w:val="num" w:pos="1060"/>
        </w:tabs>
        <w:ind w:left="1060" w:hanging="360"/>
      </w:pPr>
      <w:rPr>
        <w:rFonts w:ascii="Courier New" w:hAnsi="Courier New" w:cs="Courier New" w:hint="default"/>
      </w:rPr>
    </w:lvl>
    <w:lvl w:ilvl="2" w:tplc="04150005" w:tentative="1">
      <w:start w:val="1"/>
      <w:numFmt w:val="bullet"/>
      <w:lvlText w:val=""/>
      <w:lvlJc w:val="left"/>
      <w:pPr>
        <w:tabs>
          <w:tab w:val="num" w:pos="1780"/>
        </w:tabs>
        <w:ind w:left="1780" w:hanging="360"/>
      </w:pPr>
      <w:rPr>
        <w:rFonts w:ascii="Wingdings" w:hAnsi="Wingdings" w:hint="default"/>
      </w:rPr>
    </w:lvl>
    <w:lvl w:ilvl="3" w:tplc="04150001" w:tentative="1">
      <w:start w:val="1"/>
      <w:numFmt w:val="bullet"/>
      <w:lvlText w:val=""/>
      <w:lvlJc w:val="left"/>
      <w:pPr>
        <w:tabs>
          <w:tab w:val="num" w:pos="2500"/>
        </w:tabs>
        <w:ind w:left="2500" w:hanging="360"/>
      </w:pPr>
      <w:rPr>
        <w:rFonts w:ascii="Symbol" w:hAnsi="Symbol" w:hint="default"/>
      </w:rPr>
    </w:lvl>
    <w:lvl w:ilvl="4" w:tplc="04150003" w:tentative="1">
      <w:start w:val="1"/>
      <w:numFmt w:val="bullet"/>
      <w:lvlText w:val="o"/>
      <w:lvlJc w:val="left"/>
      <w:pPr>
        <w:tabs>
          <w:tab w:val="num" w:pos="3220"/>
        </w:tabs>
        <w:ind w:left="3220" w:hanging="360"/>
      </w:pPr>
      <w:rPr>
        <w:rFonts w:ascii="Courier New" w:hAnsi="Courier New" w:cs="Courier New" w:hint="default"/>
      </w:rPr>
    </w:lvl>
    <w:lvl w:ilvl="5" w:tplc="04150005" w:tentative="1">
      <w:start w:val="1"/>
      <w:numFmt w:val="bullet"/>
      <w:lvlText w:val=""/>
      <w:lvlJc w:val="left"/>
      <w:pPr>
        <w:tabs>
          <w:tab w:val="num" w:pos="3940"/>
        </w:tabs>
        <w:ind w:left="3940" w:hanging="360"/>
      </w:pPr>
      <w:rPr>
        <w:rFonts w:ascii="Wingdings" w:hAnsi="Wingdings" w:hint="default"/>
      </w:rPr>
    </w:lvl>
    <w:lvl w:ilvl="6" w:tplc="04150001" w:tentative="1">
      <w:start w:val="1"/>
      <w:numFmt w:val="bullet"/>
      <w:lvlText w:val=""/>
      <w:lvlJc w:val="left"/>
      <w:pPr>
        <w:tabs>
          <w:tab w:val="num" w:pos="4660"/>
        </w:tabs>
        <w:ind w:left="4660" w:hanging="360"/>
      </w:pPr>
      <w:rPr>
        <w:rFonts w:ascii="Symbol" w:hAnsi="Symbol" w:hint="default"/>
      </w:rPr>
    </w:lvl>
    <w:lvl w:ilvl="7" w:tplc="04150003" w:tentative="1">
      <w:start w:val="1"/>
      <w:numFmt w:val="bullet"/>
      <w:lvlText w:val="o"/>
      <w:lvlJc w:val="left"/>
      <w:pPr>
        <w:tabs>
          <w:tab w:val="num" w:pos="5380"/>
        </w:tabs>
        <w:ind w:left="5380" w:hanging="360"/>
      </w:pPr>
      <w:rPr>
        <w:rFonts w:ascii="Courier New" w:hAnsi="Courier New" w:cs="Courier New" w:hint="default"/>
      </w:rPr>
    </w:lvl>
    <w:lvl w:ilvl="8" w:tplc="04150005" w:tentative="1">
      <w:start w:val="1"/>
      <w:numFmt w:val="bullet"/>
      <w:lvlText w:val=""/>
      <w:lvlJc w:val="left"/>
      <w:pPr>
        <w:tabs>
          <w:tab w:val="num" w:pos="6100"/>
        </w:tabs>
        <w:ind w:left="6100" w:hanging="360"/>
      </w:pPr>
      <w:rPr>
        <w:rFonts w:ascii="Wingdings" w:hAnsi="Wingdings" w:hint="default"/>
      </w:rPr>
    </w:lvl>
  </w:abstractNum>
  <w:abstractNum w:abstractNumId="2" w15:restartNumberingAfterBreak="0">
    <w:nsid w:val="675A25DE"/>
    <w:multiLevelType w:val="hybridMultilevel"/>
    <w:tmpl w:val="D73C8F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31764341">
    <w:abstractNumId w:val="0"/>
  </w:num>
  <w:num w:numId="2" w16cid:durableId="116457488">
    <w:abstractNumId w:val="1"/>
  </w:num>
  <w:num w:numId="3" w16cid:durableId="1433093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005"/>
    <w:rsid w:val="00046609"/>
    <w:rsid w:val="000735C2"/>
    <w:rsid w:val="00090C93"/>
    <w:rsid w:val="000E46F0"/>
    <w:rsid w:val="001135E6"/>
    <w:rsid w:val="00124269"/>
    <w:rsid w:val="00133CB0"/>
    <w:rsid w:val="00141185"/>
    <w:rsid w:val="00180876"/>
    <w:rsid w:val="001A4567"/>
    <w:rsid w:val="001C2EBE"/>
    <w:rsid w:val="001C4F3E"/>
    <w:rsid w:val="001D5CCB"/>
    <w:rsid w:val="001E7C13"/>
    <w:rsid w:val="001F0EF4"/>
    <w:rsid w:val="00202CE4"/>
    <w:rsid w:val="00203EB2"/>
    <w:rsid w:val="00211024"/>
    <w:rsid w:val="00225A83"/>
    <w:rsid w:val="0026399C"/>
    <w:rsid w:val="002672C3"/>
    <w:rsid w:val="00273412"/>
    <w:rsid w:val="0027501D"/>
    <w:rsid w:val="002950E8"/>
    <w:rsid w:val="0029784C"/>
    <w:rsid w:val="00297878"/>
    <w:rsid w:val="002A416A"/>
    <w:rsid w:val="002C1BFB"/>
    <w:rsid w:val="002E173A"/>
    <w:rsid w:val="002F3F3D"/>
    <w:rsid w:val="002F4445"/>
    <w:rsid w:val="00322DF3"/>
    <w:rsid w:val="00346ADF"/>
    <w:rsid w:val="00353F7E"/>
    <w:rsid w:val="00355FB2"/>
    <w:rsid w:val="00363307"/>
    <w:rsid w:val="00394005"/>
    <w:rsid w:val="0039683D"/>
    <w:rsid w:val="003A5597"/>
    <w:rsid w:val="003B7E46"/>
    <w:rsid w:val="003C7EA1"/>
    <w:rsid w:val="003D5C59"/>
    <w:rsid w:val="00420B4F"/>
    <w:rsid w:val="00423691"/>
    <w:rsid w:val="004240D7"/>
    <w:rsid w:val="00425DB4"/>
    <w:rsid w:val="00433169"/>
    <w:rsid w:val="004429FA"/>
    <w:rsid w:val="00464C55"/>
    <w:rsid w:val="0046634D"/>
    <w:rsid w:val="00487E8E"/>
    <w:rsid w:val="004C4E94"/>
    <w:rsid w:val="004C55D3"/>
    <w:rsid w:val="004D4158"/>
    <w:rsid w:val="004D75F6"/>
    <w:rsid w:val="00501773"/>
    <w:rsid w:val="005174A3"/>
    <w:rsid w:val="00531548"/>
    <w:rsid w:val="00532B55"/>
    <w:rsid w:val="00535625"/>
    <w:rsid w:val="0055193C"/>
    <w:rsid w:val="00574EF3"/>
    <w:rsid w:val="005803FC"/>
    <w:rsid w:val="0058573B"/>
    <w:rsid w:val="005A15CE"/>
    <w:rsid w:val="005A2168"/>
    <w:rsid w:val="005A369C"/>
    <w:rsid w:val="005B58A6"/>
    <w:rsid w:val="005B7C03"/>
    <w:rsid w:val="005C1EBC"/>
    <w:rsid w:val="005F2713"/>
    <w:rsid w:val="00602098"/>
    <w:rsid w:val="00632B36"/>
    <w:rsid w:val="006361B2"/>
    <w:rsid w:val="006732A5"/>
    <w:rsid w:val="00684D98"/>
    <w:rsid w:val="006A076A"/>
    <w:rsid w:val="006B7BDF"/>
    <w:rsid w:val="006C78E4"/>
    <w:rsid w:val="006D36B2"/>
    <w:rsid w:val="006F38AA"/>
    <w:rsid w:val="007042B9"/>
    <w:rsid w:val="00714127"/>
    <w:rsid w:val="007465BE"/>
    <w:rsid w:val="00754BD8"/>
    <w:rsid w:val="00755191"/>
    <w:rsid w:val="007763DD"/>
    <w:rsid w:val="007811E8"/>
    <w:rsid w:val="007865FB"/>
    <w:rsid w:val="0079043B"/>
    <w:rsid w:val="00792683"/>
    <w:rsid w:val="0079534A"/>
    <w:rsid w:val="007C221E"/>
    <w:rsid w:val="007C5A01"/>
    <w:rsid w:val="007F615F"/>
    <w:rsid w:val="007F6C66"/>
    <w:rsid w:val="00803A05"/>
    <w:rsid w:val="00827C7A"/>
    <w:rsid w:val="00832413"/>
    <w:rsid w:val="00836C54"/>
    <w:rsid w:val="00836D0E"/>
    <w:rsid w:val="008411D6"/>
    <w:rsid w:val="008477B7"/>
    <w:rsid w:val="00847D1D"/>
    <w:rsid w:val="008878EE"/>
    <w:rsid w:val="008B072C"/>
    <w:rsid w:val="008B5A63"/>
    <w:rsid w:val="008D3055"/>
    <w:rsid w:val="008E487E"/>
    <w:rsid w:val="008F20AC"/>
    <w:rsid w:val="008F26F9"/>
    <w:rsid w:val="009046D1"/>
    <w:rsid w:val="00941E66"/>
    <w:rsid w:val="0095448B"/>
    <w:rsid w:val="00964548"/>
    <w:rsid w:val="00965FCF"/>
    <w:rsid w:val="00987309"/>
    <w:rsid w:val="009A1FA3"/>
    <w:rsid w:val="009A3D09"/>
    <w:rsid w:val="009A486A"/>
    <w:rsid w:val="009C150A"/>
    <w:rsid w:val="009E2B04"/>
    <w:rsid w:val="009F65E0"/>
    <w:rsid w:val="00A02081"/>
    <w:rsid w:val="00A057B7"/>
    <w:rsid w:val="00A37FBE"/>
    <w:rsid w:val="00A46909"/>
    <w:rsid w:val="00A650B1"/>
    <w:rsid w:val="00A6515B"/>
    <w:rsid w:val="00A86D14"/>
    <w:rsid w:val="00A963C8"/>
    <w:rsid w:val="00AF3FFA"/>
    <w:rsid w:val="00B33186"/>
    <w:rsid w:val="00B74AF7"/>
    <w:rsid w:val="00B930FF"/>
    <w:rsid w:val="00B97ECD"/>
    <w:rsid w:val="00BB4EF3"/>
    <w:rsid w:val="00BB53DE"/>
    <w:rsid w:val="00BD3243"/>
    <w:rsid w:val="00BD4AF9"/>
    <w:rsid w:val="00BE0178"/>
    <w:rsid w:val="00C165C5"/>
    <w:rsid w:val="00C216DC"/>
    <w:rsid w:val="00C30210"/>
    <w:rsid w:val="00C318CE"/>
    <w:rsid w:val="00C519F1"/>
    <w:rsid w:val="00C6060F"/>
    <w:rsid w:val="00C6519C"/>
    <w:rsid w:val="00C661A8"/>
    <w:rsid w:val="00C71DE8"/>
    <w:rsid w:val="00C81138"/>
    <w:rsid w:val="00C815D9"/>
    <w:rsid w:val="00C97062"/>
    <w:rsid w:val="00CC4AFE"/>
    <w:rsid w:val="00CF30FB"/>
    <w:rsid w:val="00D0183F"/>
    <w:rsid w:val="00D21DD0"/>
    <w:rsid w:val="00D33574"/>
    <w:rsid w:val="00D336A7"/>
    <w:rsid w:val="00D45083"/>
    <w:rsid w:val="00D61AAC"/>
    <w:rsid w:val="00D649AA"/>
    <w:rsid w:val="00D9036B"/>
    <w:rsid w:val="00DC7E6E"/>
    <w:rsid w:val="00DF1626"/>
    <w:rsid w:val="00DF4065"/>
    <w:rsid w:val="00DF5EFC"/>
    <w:rsid w:val="00E1018B"/>
    <w:rsid w:val="00E10464"/>
    <w:rsid w:val="00E3731A"/>
    <w:rsid w:val="00E4068D"/>
    <w:rsid w:val="00E63ABB"/>
    <w:rsid w:val="00E64090"/>
    <w:rsid w:val="00EE424F"/>
    <w:rsid w:val="00F01A1D"/>
    <w:rsid w:val="00F423D1"/>
    <w:rsid w:val="00F45A76"/>
    <w:rsid w:val="00F53A88"/>
    <w:rsid w:val="00F72FE5"/>
    <w:rsid w:val="00FA4865"/>
    <w:rsid w:val="00FB33E2"/>
    <w:rsid w:val="00FE2C61"/>
    <w:rsid w:val="00FE38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7C29F"/>
  <w15:chartTrackingRefBased/>
  <w15:docId w15:val="{262DB589-221A-4AE9-B598-CD5E7717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15D9"/>
  </w:style>
  <w:style w:type="paragraph" w:styleId="Nagwek2">
    <w:name w:val="heading 2"/>
    <w:basedOn w:val="Normalny"/>
    <w:next w:val="Normalny"/>
    <w:link w:val="Nagwek2Znak"/>
    <w:uiPriority w:val="9"/>
    <w:unhideWhenUsed/>
    <w:qFormat/>
    <w:rsid w:val="00423691"/>
    <w:pPr>
      <w:keepNext/>
      <w:keepLines/>
      <w:spacing w:before="40" w:after="0"/>
      <w:outlineLvl w:val="1"/>
    </w:pPr>
    <w:rPr>
      <w:rFonts w:ascii="Aptos" w:eastAsiaTheme="majorEastAsia" w:hAnsi="Aptos" w:cstheme="majorBidi"/>
      <w:color w:val="2F5496" w:themeColor="accent1" w:themeShade="BF"/>
      <w:sz w:val="32"/>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B5A63"/>
    <w:rPr>
      <w:color w:val="0000FF"/>
      <w:u w:val="single"/>
    </w:rPr>
  </w:style>
  <w:style w:type="character" w:customStyle="1" w:styleId="Teksttreci">
    <w:name w:val="Tekst treści_"/>
    <w:link w:val="Teksttreci1"/>
    <w:rsid w:val="007865FB"/>
    <w:rPr>
      <w:rFonts w:ascii="Arial" w:hAnsi="Arial" w:cs="Arial"/>
      <w:sz w:val="21"/>
      <w:szCs w:val="21"/>
      <w:shd w:val="clear" w:color="auto" w:fill="FFFFFF"/>
    </w:rPr>
  </w:style>
  <w:style w:type="paragraph" w:customStyle="1" w:styleId="Teksttreci1">
    <w:name w:val="Tekst treści1"/>
    <w:basedOn w:val="Normalny"/>
    <w:link w:val="Teksttreci"/>
    <w:rsid w:val="007865FB"/>
    <w:pPr>
      <w:widowControl w:val="0"/>
      <w:shd w:val="clear" w:color="auto" w:fill="FFFFFF"/>
      <w:spacing w:after="1140" w:line="223" w:lineRule="exact"/>
    </w:pPr>
    <w:rPr>
      <w:rFonts w:ascii="Arial" w:hAnsi="Arial" w:cs="Arial"/>
      <w:sz w:val="21"/>
      <w:szCs w:val="21"/>
    </w:rPr>
  </w:style>
  <w:style w:type="paragraph" w:styleId="Tekstprzypisukocowego">
    <w:name w:val="endnote text"/>
    <w:basedOn w:val="Normalny"/>
    <w:link w:val="TekstprzypisukocowegoZnak"/>
    <w:uiPriority w:val="99"/>
    <w:semiHidden/>
    <w:unhideWhenUsed/>
    <w:rsid w:val="005F271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F2713"/>
    <w:rPr>
      <w:sz w:val="20"/>
      <w:szCs w:val="20"/>
    </w:rPr>
  </w:style>
  <w:style w:type="character" w:styleId="Odwoanieprzypisukocowego">
    <w:name w:val="endnote reference"/>
    <w:basedOn w:val="Domylnaczcionkaakapitu"/>
    <w:uiPriority w:val="99"/>
    <w:semiHidden/>
    <w:unhideWhenUsed/>
    <w:rsid w:val="005F2713"/>
    <w:rPr>
      <w:vertAlign w:val="superscript"/>
    </w:rPr>
  </w:style>
  <w:style w:type="paragraph" w:styleId="Cytatintensywny">
    <w:name w:val="Intense Quote"/>
    <w:basedOn w:val="Normalny"/>
    <w:next w:val="Normalny"/>
    <w:link w:val="CytatintensywnyZnak"/>
    <w:uiPriority w:val="30"/>
    <w:qFormat/>
    <w:rsid w:val="005A36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5A369C"/>
    <w:rPr>
      <w:i/>
      <w:iCs/>
      <w:color w:val="4472C4" w:themeColor="accent1"/>
    </w:rPr>
  </w:style>
  <w:style w:type="paragraph" w:styleId="Bezodstpw">
    <w:name w:val="No Spacing"/>
    <w:uiPriority w:val="1"/>
    <w:qFormat/>
    <w:rsid w:val="00C6519C"/>
    <w:pPr>
      <w:spacing w:after="0" w:line="240" w:lineRule="auto"/>
    </w:pPr>
  </w:style>
  <w:style w:type="paragraph" w:styleId="NormalnyWeb">
    <w:name w:val="Normal (Web)"/>
    <w:basedOn w:val="Normalny"/>
    <w:uiPriority w:val="99"/>
    <w:unhideWhenUsed/>
    <w:rsid w:val="001F0EF4"/>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anon-block">
    <w:name w:val="anon-block"/>
    <w:basedOn w:val="Domylnaczcionkaakapitu"/>
    <w:rsid w:val="009A1FA3"/>
  </w:style>
  <w:style w:type="paragraph" w:styleId="Akapitzlist">
    <w:name w:val="List Paragraph"/>
    <w:basedOn w:val="Normalny"/>
    <w:uiPriority w:val="34"/>
    <w:qFormat/>
    <w:rsid w:val="00D21DD0"/>
    <w:pPr>
      <w:ind w:left="720"/>
      <w:contextualSpacing/>
    </w:pPr>
  </w:style>
  <w:style w:type="character" w:customStyle="1" w:styleId="Nagwek2Znak">
    <w:name w:val="Nagłówek 2 Znak"/>
    <w:basedOn w:val="Domylnaczcionkaakapitu"/>
    <w:link w:val="Nagwek2"/>
    <w:uiPriority w:val="9"/>
    <w:rsid w:val="00423691"/>
    <w:rPr>
      <w:rFonts w:ascii="Aptos" w:eastAsiaTheme="majorEastAsia" w:hAnsi="Aptos" w:cstheme="majorBidi"/>
      <w:color w:val="2F5496" w:themeColor="accent1" w:themeShade="BF"/>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95570">
      <w:bodyDiv w:val="1"/>
      <w:marLeft w:val="0"/>
      <w:marRight w:val="0"/>
      <w:marTop w:val="0"/>
      <w:marBottom w:val="0"/>
      <w:divBdr>
        <w:top w:val="none" w:sz="0" w:space="0" w:color="auto"/>
        <w:left w:val="none" w:sz="0" w:space="0" w:color="auto"/>
        <w:bottom w:val="none" w:sz="0" w:space="0" w:color="auto"/>
        <w:right w:val="none" w:sz="0" w:space="0" w:color="auto"/>
      </w:divBdr>
    </w:div>
    <w:div w:id="130030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3033</Words>
  <Characters>18201</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Krynicka Urszula</dc:creator>
  <cp:keywords/>
  <dc:description/>
  <cp:lastModifiedBy>Trybusz Michał</cp:lastModifiedBy>
  <cp:revision>2</cp:revision>
  <dcterms:created xsi:type="dcterms:W3CDTF">2024-04-29T04:06:00Z</dcterms:created>
  <dcterms:modified xsi:type="dcterms:W3CDTF">2024-04-29T04:06:00Z</dcterms:modified>
</cp:coreProperties>
</file>