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2.4.0 -->
  <w:body>
    <w:p w:rsidR="00A77B3E">
      <w:pPr>
        <w:spacing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/>
          <w:caps/>
          <w:sz w:val="24"/>
        </w:rPr>
        <w:t>Zarządzenie</w:t>
      </w:r>
      <w:r>
        <w:rPr>
          <w:rFonts w:ascii="Times New Roman" w:eastAsia="Times New Roman" w:hAnsi="Times New Roman" w:cs="Times New Roman"/>
          <w:b/>
          <w:caps/>
          <w:sz w:val="24"/>
        </w:rPr>
        <w:br/>
      </w:r>
      <w:r>
        <w:rPr>
          <w:rFonts w:ascii="Times New Roman" w:eastAsia="Times New Roman" w:hAnsi="Times New Roman" w:cs="Times New Roman"/>
          <w:b/>
          <w:caps/>
          <w:sz w:val="24"/>
        </w:rPr>
        <w:t>Regionalnego Dyrektora Ochrony Środowiska w Bydgoszczy</w:t>
      </w:r>
    </w:p>
    <w:p w:rsidR="00A77B3E">
      <w:pPr>
        <w:spacing w:before="280" w:after="280"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 w:val="0"/>
          <w:caps w:val="0"/>
          <w:sz w:val="24"/>
        </w:rPr>
        <w:t>z dnia 20 grudnia 2024 r.</w:t>
      </w:r>
    </w:p>
    <w:p w:rsidR="00A77B3E">
      <w:pPr>
        <w:spacing w:before="280" w:after="280" w:line="240" w:lineRule="auto"/>
        <w:ind w:left="0"/>
        <w:jc w:val="center"/>
        <w:rPr>
          <w:rFonts w:ascii="Times New Roman" w:eastAsia="Times New Roman" w:hAnsi="Times New Roman" w:cs="Times New Roman"/>
          <w:b w:val="0"/>
          <w:caps w:val="0"/>
          <w:sz w:val="22"/>
        </w:rPr>
      </w:pP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/>
          <w:caps w:val="0"/>
          <w:sz w:val="24"/>
        </w:rPr>
        <w:t>w sprawie uznania za rezerwat przyrody „Zbocza Świętopełka”</w:t>
      </w:r>
    </w:p>
    <w:p w:rsidR="00A77B3E">
      <w:pPr>
        <w:keepNext w:val="0"/>
        <w:keepLines/>
        <w:spacing w:before="120" w:after="120" w:line="240" w:lineRule="auto"/>
        <w:ind w:left="0" w:right="0" w:firstLine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Na podstawie 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ustawy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dnia 16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kwietnia 2004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roku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ochronie przyrody (t.j. Dz. U. z 2024 r. poz. 1478) zarządza się, co następuje: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1. 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Uznaje się za rezerwat przyrody pod nazwą „Zbocza Świętopełka”, zwany dalej „rezerwatem”, obszar o powierzchni 31,52 ha, położony na terenie gminy Świecie, w powiecie świeckim, w województwie kujawsko-pomorskim.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 obszarach graniczących z rezerwatem wyznacza się otulinę o powierzchni 136,73 ha, położoną na terenie gminy Świecie, w powiecie świeckim, w województwie kujawsko-pomorskim.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Położenie i przebieg granicy rezerwatu oraz jego otuliny w postaci mapy są określone w załączniku nr 1 do zarządzenia.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4. 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Położenie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przebieg granicy rezerwatu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postaci wykazu współrzędnych punktów załamania granicy są określone w załączniku nr 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 zarządzenia.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5. 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Położenie i przebieg granicy otuliny rezerwatu w postaci wykazu współrzędnych punktów załamania granicy są określone w załączniku nr 3 do zarządzenia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Celem ochrony rezerwatu jest zachowanie grądu zboczowego porastającego stoki Doliny Dolnej Wisły i zachodzących w nim procesów odnowy i starzenia się drzewostanu, a także gatunków z nimi związanych.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3. 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rezerwatu określa się rodzaj - Leśny (L).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rezerwatu określa się typ i podtyp: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ze względu na dominujący przedmiot ochrony: typ - Fitocenotyczny (PFi), podtyp - zbiorowisk leśnych (zl);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ze względu na główny typ ekosystemu: typ - Leśny i borowy (EL), podtyp - lasów nizinnych (lni).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4.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Nadzór nad rezerwatem sprawuje Regionalny Dyrektor Ochrony Środowiska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Bydgoszczy.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5.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Zarządzenie wchodzi w życie po upływie 14 dni od dnia ogłoszenia.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2639568" cy="1042416"/>
            <wp:docPr id="100001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9568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sectPr>
          <w:footerReference w:type="default" r:id="rId7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:rsidR="00A77B3E">
      <w:pPr>
        <w:keepNext/>
        <w:spacing w:before="120" w:after="120" w:line="360" w:lineRule="auto"/>
        <w:ind w:left="3634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 zarządzenia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Regionalnego Dyrektora Ochrony Środowiska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Bydgoszczy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 dnia 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grudnia 2024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Położenie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przebieg granicy rezerwatu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jego otuliny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postaci mapy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269320" cy="7719101"/>
            <wp:docPr id="100003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9320" cy="771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269320" cy="7719101"/>
            <wp:docPr id="100005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9320" cy="771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269320" cy="7719101"/>
            <wp:docPr id="100007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9320" cy="771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269320" cy="7719101"/>
            <wp:docPr id="100009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69320" cy="771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269320" cy="7719101"/>
            <wp:docPr id="100011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69320" cy="771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269320" cy="7719101"/>
            <wp:docPr id="100013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69320" cy="771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269320" cy="7719101"/>
            <wp:docPr id="100015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69320" cy="771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5041"/>
        <w:gridCol w:w="5041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val="105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</w:tr>
    </w:tbl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2639568" cy="1042416"/>
            <wp:docPr id="100017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39568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sectPr>
          <w:footerReference w:type="default" r:id="rId23"/>
          <w:endnotePr>
            <w:numFmt w:val="decimal"/>
          </w:endnotePr>
          <w:type w:val="nextPage"/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:rsidR="00A77B3E">
      <w:pPr>
        <w:keepNext/>
        <w:spacing w:before="120" w:after="120" w:line="360" w:lineRule="auto"/>
        <w:ind w:left="3634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 zarządzenia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Regionalnego Dyrektora Ochrony Środowiska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Bydgoszczy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 dnia 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grudnia 2024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Położenie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przebieg granicy rezerwatu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postaci wykazu współrzędnych punktów załamania granicy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układzie współrzędnych płaskich prostokątnych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PL-1992</w:t>
      </w:r>
      <w:r>
        <w:rPr>
          <w:rStyle w:val="FootnoteReference"/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0"/>
          <w:u w:val="none" w:color="000000"/>
          <w:vertAlign w:val="superscript"/>
        </w:rPr>
        <w:footnoteReference w:customMarkFollows="1" w:id="2"/>
        <w:t xml:space="preserve">1)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3286"/>
        <w:gridCol w:w="3398"/>
        <w:gridCol w:w="3398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Nr</w:t>
            </w:r>
          </w:p>
        </w:tc>
        <w:tc>
          <w:tcPr>
            <w:tcW w:w="183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X</w:t>
            </w:r>
          </w:p>
        </w:tc>
        <w:tc>
          <w:tcPr>
            <w:tcW w:w="183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Y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617858,47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469542,12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617847,29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469524,24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617835,14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469499,21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617833,63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469491,67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617831,01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469480,42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617835,57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469469,49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617852,80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469435,11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617860,36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469409,34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617872,70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469388,66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617876,09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469384,63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617876,23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469384,61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617934,34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469433,12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617937,78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469444,54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617937,87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469444,84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617938,10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469445,59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617950,87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469452,75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617952,39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469454,79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617961,59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469458,77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617967,82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469456,33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617983,51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469469,51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617986,19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469477,10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617982,62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469483,09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617992,67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469496,66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618006,20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469508,66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618009,77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469511,82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618009,80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469511,81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618009,91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469511,91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618021,71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469507,94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618025,85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469509,97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618021,54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469518,13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618021,72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469518,15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618021,68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469518,22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618038,14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469520,33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618046,73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469519,05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618052,27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469518,46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618070,59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469523,27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618072,56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469522,31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618089,08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469526,85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618105,23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469529,86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618115,04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469531,70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618128,20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469537,60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618147,84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469539,41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618150,05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469538,42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618151,37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469532,85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618156,55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469530,04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618166,37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469531,54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618179,61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469526,32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618181,95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469520,00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618182,20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469519,57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618182,44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469519,36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618182,67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469518,73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618183,20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469517,81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618196,46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469482,27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618193,01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469449,52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618191,52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469433,93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618198,51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469359,29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618183,36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469339,66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618182,72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469266,76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618213,51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469250,26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618207,48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469262,15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618200,34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469271,01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618200,23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469286,03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618207,46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469298,74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618207,76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469315,82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618207,90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469315,86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618207,90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469315,91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618223,91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469320,80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618219,74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469339,97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618212,88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469362,04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618212,02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469397,46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618207,89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469443,02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618211,07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469482,45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618214,07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469492,00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618229,49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469503,10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618239,09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469518,01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618239,16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469517,99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618239,23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469518,09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618249,59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469514,84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618254,43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469518,10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618262,16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469536,46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618285,74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469573,90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618285,84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469573,92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618285,88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469573,99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618305,40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469577,68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618323,68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469584,80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618341,46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469576,28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618384,83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469587,54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618359,93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469521,51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618355,09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469507,77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618342,33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469499,02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618335,18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469471,86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618334,89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469467,02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618353,76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469496,55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618385,08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469529,58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618411,57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469573,78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618412,51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469576,06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618412,62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469576,07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618412,65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469576,14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618427,19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469577,42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618430,79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469575,91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618432,70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469572,42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618436,25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469569,62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618440,36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469572,89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618443,68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469578,09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618447,62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469584,88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618447,73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469584,90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618447,76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469584,96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618455,67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469586,45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618457,83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469586,09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618462,94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469605,98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618458,46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469604,49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618426,83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469597,68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618413,46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469619,04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618431,88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469697,54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618404,72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469704,66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618393,27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469705,07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618382,75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469657,79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618368,36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469642,96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618368,32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469642,97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618368,22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469642,87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618301,09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469655,81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618290,23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469628,50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618290,13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469628,53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618290,08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469628,41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618256,48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469639,47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618239,70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469639,12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618211,68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469625,38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618197,78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469580,35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618197,64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469580,26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618187,76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469574,16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618181,31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469570,17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618181,17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469570,09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618141,92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469588,53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618122,08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469610,13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618088,41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469621,52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618067,48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469626,10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618050,09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469634,71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618027,95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469679,76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617982,20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469699,38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617986,15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469719,52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617995,53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469767,27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618022,86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469798,06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618051,92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469816,75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618071,48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469885,19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618106,84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469934,83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618130,26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470002,85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618148,26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470067,85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618192,19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470110,19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618227,63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470102,81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618258,14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470157,93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618259,33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470169,92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618258,83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470172,45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618256,45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470183,42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618236,23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470215,61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618236,26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470216,82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618235,82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470217,52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618237,59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470283,45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618268,86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470315,76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618278,38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470347,21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618282,56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470376,73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618283,43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470382,91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618315,42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470440,05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618334,39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470485,55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618334,52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470485,61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618334,53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470485,64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618405,96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470519,08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618421,92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470526,56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618424,92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470527,96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618438,57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470534,36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618449,65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470624,93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618449,89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470689,47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618488,57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470728,11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618522,59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470792,98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618530,29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470813,46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618542,28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470831,31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618572,86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470860,18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618572,94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470860,20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618573,00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470860,26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618612,16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470868,24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618620,93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470863,80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618626,75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470860,87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618641,89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470853,21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618650,71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470855,75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618662,25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470875,32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618671,12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470903,66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618646,72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470916,25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618620,64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470925,73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618640,82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470953,71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618655,82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470987,08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618655,96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470987,15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618655,96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470987,16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618695,02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471006,01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618708,54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471068,62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618708,65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471068,58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618708,67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471068,69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618736,10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471058,81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618763,25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471032,13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618826,05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471008,12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618861,05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470984,23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618909,21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470936,13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618909,73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470936,68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618910,46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470937,46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618920,78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470948,96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618922,32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470950,09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618922,37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470950,14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618909,06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470968,66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618902,61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470977,63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618888,05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471011,96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618885,23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471016,74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618881,67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471022,77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618876,84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471042,82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618876,19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471045,51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618872,54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471053,18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618851,51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471081,78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618829,07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471112,30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618803,90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471142,03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618790,18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471160,98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618780,40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471174,49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618761,79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471185,67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618781,25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471225,73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618784,91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471233,26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618784,98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471233,20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618785,05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471233,35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618827,29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471194,59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618844,92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471185,48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618842,71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471150,34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618848,30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471160,23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618869,73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471198,90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618874,57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471240,74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618857,00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471243,88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618856,47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471243,94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618818,06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471271,78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618807,87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471285,89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618771,40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471300,12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618758,09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471278,98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618739,15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471248,89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618690,16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471163,51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618669,58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471176,17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618606,15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471084,76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618602,21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471078,44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618584,78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471038,62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618541,59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470980,61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618541,28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470980,09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618531,14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470953,85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618512,42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470924,14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618511,41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470922,82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618493,96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470898,06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618479,13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470880,69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618478,53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470879,91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618473,54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470876,15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618473,50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470876,13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618473,40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470876,06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618472,06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470875,05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618469,19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470872,88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618451,92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470866,50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618367,32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470738,26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618371,11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470735,41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618290,08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470601,32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618280,79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470585,95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618270,20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470557,70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618251,10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470533,17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618235,69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470491,44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618137,09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470322,52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618122,33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470284,51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618043,56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470125,44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618013,71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470088,58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618004,66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470059,04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617952,07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469929,35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617957,28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469926,71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617914,57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469855,07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617866,83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469736,19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617853,70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469668,15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617853,69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469662,52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617853,55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469662,60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617853,55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469662,43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617853,80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469660,32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617854,06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469658,19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617859,05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469648,68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617872,75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469631,85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280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617880,94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469621,20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281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617884,94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469606,38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282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617871,10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469583,57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283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617864,95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469565,87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7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284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617858,47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469542,12</w:t>
            </w:r>
          </w:p>
        </w:tc>
      </w:tr>
    </w:tbl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2639568" cy="1042416"/>
            <wp:docPr id="100019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39568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sectPr>
          <w:footerReference w:type="default" r:id="rId25"/>
          <w:endnotePr>
            <w:numFmt w:val="decimal"/>
          </w:endnotePr>
          <w:type w:val="nextPage"/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:rsidR="00A77B3E">
      <w:pPr>
        <w:keepNext/>
        <w:spacing w:before="120" w:after="120" w:line="360" w:lineRule="auto"/>
        <w:ind w:left="3634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 zarządzenia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Regionalnego Dyrektora Ochrony Środowiska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Bydgoszczy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 dnia 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grudnia 2024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Położenie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przebieg granicy otuliny rezerwatu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postaci wykazu współrzędnych punktów załamania granicy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układzie współrzędnych płaskich prostokątnych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PL-1992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2651"/>
        <w:gridCol w:w="2319"/>
        <w:gridCol w:w="2414"/>
        <w:gridCol w:w="2698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Nr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X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Y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Komentarze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618879,25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471262,85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618854,74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471293,87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618831,51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471324,33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618813,80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471345,69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618812,22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471353,06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618802,91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471348,94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618794,99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471349,92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618747,22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471382,31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618742,21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471385,72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618695,85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471417,16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618636,39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471457,48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618610,76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471452,13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618590,16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471441,50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618523,65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471365,87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618494,51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471324,33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618488,16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471312,89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618515,64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471277,83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618456,60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471204,97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618246,75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470922,44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618205,35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470864,71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618198,99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470856,23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618170,49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470818,19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618101,88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470790,97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618090,24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470784,06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618080,03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470764,87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618053,93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470735,23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618036,13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470720,29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618018,08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470680,86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618016,04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470676,39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618005,02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470643,62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617968,52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470604,24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617889,48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470395,49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617942,55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470371,16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617869,39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470181,25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617772,12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470004,35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617777,58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469994,38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617791,35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469995,43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617799,37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470006,82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617817,36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470009,10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617814,10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469994,69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617821,07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469990,33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617825,17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469987,96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617721,69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469763,40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617718,05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469756,09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617685,51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469782,81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617666,73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469723,78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617654,39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469719,67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617650,70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469704,02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617644,95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469697,95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617651,03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469692,97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617640,63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469663,44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617713,42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469572,02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617688,14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469567,24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617684,97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469567,89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617657,81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469518,93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617638,39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469483,97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617615,46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469439,81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617596,77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469428,00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617591,68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469431,73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617585,84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469430,05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617548,27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469383,80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617545,49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469359,24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617497,93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469321,33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617492,43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469317,18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617456,05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469289,74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617422,19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469273,18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617404,16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469262,15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617373,65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469237,27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617325,76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469191,57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617454,33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469079,83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617461,17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469070,64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617482,47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469049,99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617533,19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469020,92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617549,27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469015,19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617556,63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469021,13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617555,36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469050,65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617574,58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469110,29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617588,11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469154,66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617603,63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469160,31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617666,32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469138,74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617692,43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469122,14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617709,51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469103,61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617722,53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469118,00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617717,42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469181,00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617700,42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469197,01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617692,47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469218,19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617692,64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469233,95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617692,05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469270,04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617720,53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469287,50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617755,23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469297,00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617789,11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469301,75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617910,27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469280,83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617916,28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469281,03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617919,25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469242,75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617943,13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469247,80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617971,97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469279,66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617988,93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469311,75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618000,91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469317,02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618042,10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469316,41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618044,20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469318,94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618068,54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469248,51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618069,44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469245,90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618002,85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469211,86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617978,12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469103,11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618062,60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469120,27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618096,93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469083,63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618124,21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469086,48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618185,73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469128,00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618246,70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469156,22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618238,06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469232,81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618231,57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469237,43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618268,68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469287,31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618309,16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469293,41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618358,50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469301,05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618507,62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469318,09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618496,46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469446,85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618496,14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469451,56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618544,55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469427,32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618623,69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469398,65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618714,88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469389,17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618827,52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469393,03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618880,58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469403,74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618974,50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469426,59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619000,21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469428,92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619013,47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469476,50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619034,65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469517,29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619057,02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469542,44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619073,72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469561,00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619104,25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469608,86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619075,54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469632,29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619009,87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469654,25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618964,08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469662,39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618928,66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469668,69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618898,12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469665,49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618878,70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469639,70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618778,97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469650,27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618593,43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469671,62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618464,55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469689,90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618467,03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469673,16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618462,53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469652,34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618441,24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469656,94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618450,65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469696,24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618438,18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469741,80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618454,92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469795,24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618462,63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469837,23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618449,94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469989,95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618438,34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470118,95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618438,10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470135,50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618441,18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470168,71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618438,99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470174,18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618480,11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470214,97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618492,81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470245,87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618497,16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470266,89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618503,30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470296,56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618505,23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470305,87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618441,75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470319,30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618463,42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470420,29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618491,51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470416,76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618495,75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470452,31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618501,19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470451,09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618518,46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470445,22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618561,18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470430,22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618579,33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470440,82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618624,85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470467,25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618630,05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470470,24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618691,25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470507,06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618692,13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470506,03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618720,03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470532,39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618726,12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470542,42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618730,30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470547,11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618736,58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470554,17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618841,11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470658,03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618848,34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470665,46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618904,14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470724,73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618917,77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470752,05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618929,65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470796,45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618930,92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470801,13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618936,34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470814,93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618940,11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470824,55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618962,25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470847,40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618990,64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470870,48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619013,65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470889,03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619014,94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470894,04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619016,19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470898,88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619017,09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470902,38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619006,86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470923,81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618946,52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470976,92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618934,46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470996,96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618942,44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471012,45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618903,22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471057,82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618887,09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471073,79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618879,34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471079,52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618858,24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471093,48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618851,77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471113,23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618886,47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471194,72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618892,52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471242,80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618880,79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471241,15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618879,25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471262,85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część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617858,47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469542,12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617847,29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469524,24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617835,14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469499,21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617833,63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469491,67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617831,01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469480,42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617835,57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469469,49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617852,80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469435,11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617860,36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469409,34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617872,70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469388,66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617876,09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469384,63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617876,23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469384,61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617934,34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469433,12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617937,78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469444,54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617937,87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469444,84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617938,10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469445,59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617950,87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469452,75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617952,39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469454,79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617961,59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469458,77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617967,82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469456,33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617983,51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469469,51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617986,19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469477,10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617982,62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469483,09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617992,67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469496,66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618006,20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469508,66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618009,77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469511,82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618009,80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469511,81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618009,91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469511,91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618021,71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469507,94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618025,85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469509,97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618021,54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469518,13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618021,72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469518,15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618021,68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469518,22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618038,14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469520,33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618046,73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469519,05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618052,27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469518,46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618070,59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469523,27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618072,56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469522,31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618089,08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469526,85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618105,23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469529,86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618115,04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469531,70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618128,20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469537,60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618147,84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469539,41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618150,05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469538,42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618151,37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469532,85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618156,55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469530,04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618166,37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469531,54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618179,61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469526,32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618181,95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469520,00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618182,20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469519,57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618182,44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469519,36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618182,67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469518,73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618183,20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469517,81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618196,46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469482,27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618193,01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469449,52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618191,52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469433,93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618198,51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469359,29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618183,36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469339,66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618182,72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469266,76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618213,51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469250,26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618207,48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469262,15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618200,34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469271,01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618200,23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469286,03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618207,46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469298,74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618207,76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469315,82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618207,90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469315,86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618207,90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469315,91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618223,91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469320,80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618219,74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469339,97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618212,88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469362,04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618212,02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469397,46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618207,89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469443,02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618211,07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469482,45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618214,07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469492,00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618229,49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469503,10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618239,09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469518,01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618239,16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469517,99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618239,23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469518,09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618249,59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469514,84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618254,43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469518,10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618262,16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469536,46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618285,74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469573,90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280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618285,84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469573,92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281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618285,88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469573,99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282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618305,40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469577,68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283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618323,68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469584,80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284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618341,46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469576,28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285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618384,83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469587,54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286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618359,93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469521,51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287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618355,09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469507,77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288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618342,33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469499,02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289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618335,18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469471,86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290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618334,89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469467,02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291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618353,76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469496,55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292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618385,08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469529,58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293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618411,57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469573,78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294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618412,51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469576,06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295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618412,62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469576,07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296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618412,65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469576,14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297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618427,19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469577,42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298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618430,79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469575,91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299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618432,70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469572,42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300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618436,25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469569,62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301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618440,36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469572,89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302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618443,68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469578,09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303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618447,62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469584,88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304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618447,73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469584,90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305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618447,76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469584,96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306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618455,67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469586,45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307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618457,83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469586,09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308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618462,94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469605,98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309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618458,46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469604,49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310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618426,83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469597,68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311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618413,46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469619,04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312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618431,88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469697,54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313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618404,72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469704,66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314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618393,27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469705,07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315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618382,75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469657,79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316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618368,36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469642,96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317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618368,32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469642,97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318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618368,22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469642,87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319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618301,09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469655,81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320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618290,23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469628,50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321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618290,13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469628,53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322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618290,08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469628,41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323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618256,48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469639,47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324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618239,70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469639,12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325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618211,68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469625,38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326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618197,78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469580,35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327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618197,64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469580,26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328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618187,76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469574,16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329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618181,31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469570,17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330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618181,17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469570,09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331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618141,92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469588,53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332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618122,08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469610,13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333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618088,41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469621,52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334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618067,48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469626,10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335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618050,09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469634,71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336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618027,95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469679,76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337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617982,20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469699,38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338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617986,15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469719,52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339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617995,53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469767,27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340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618022,86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469798,06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341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618051,92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469816,75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342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618071,48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469885,19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343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618106,84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469934,83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344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618130,26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470002,85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345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618148,26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470067,85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346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618192,19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470110,19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347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618227,63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470102,81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348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618258,14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470157,93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349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618259,33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470169,92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350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618258,83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470172,45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351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618256,45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470183,42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352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618236,23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470215,61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353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618236,26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470216,82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354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618235,82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470217,52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355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618237,59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470283,45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356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618268,86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470315,76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357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618278,38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470347,21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358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618282,56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470376,73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359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618283,43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470382,91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360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618315,42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470440,05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361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618334,39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470485,55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362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618334,52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470485,61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363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618334,53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470485,64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364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618405,96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470519,08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365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618421,92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470526,56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366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618424,92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470527,96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367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618438,57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470534,36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368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618449,65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470624,93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369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618449,89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470689,47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370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618488,57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470728,11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371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618522,59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470792,98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372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618530,29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470813,46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373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618542,28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470831,31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374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618572,86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470860,18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375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618572,94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470860,20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376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618573,00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470860,26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377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618612,16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470868,24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378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618620,93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470863,80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379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618626,75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470860,87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380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618641,89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470853,21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381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618650,71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470855,75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382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618662,25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470875,32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383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618671,12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470903,66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384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618646,72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470916,25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385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618620,64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470925,73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386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618640,82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470953,71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387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618655,82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470987,08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388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618655,96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470987,15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389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618655,96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470987,16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390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618695,02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471006,01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391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618708,54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471068,62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392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618708,65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471068,58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393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618708,67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471068,69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394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618736,10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471058,81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395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618763,25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471032,13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396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618826,05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471008,12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397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618861,05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470984,23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398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618909,21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470936,13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399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618909,73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470936,68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400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618910,46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470937,46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401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618920,78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470948,96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402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618922,32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470950,09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403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618922,37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470950,14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404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618909,06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470968,66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405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618902,61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470977,63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406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618888,05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471011,96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407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618885,23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471016,74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408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618881,67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471022,77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409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618876,84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471042,82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410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618876,19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471045,51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411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618872,54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471053,18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412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618851,51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471081,78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413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618829,07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471112,30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414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618803,90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471142,03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415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618790,18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471160,98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416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618780,40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471174,49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417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618761,79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471185,67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418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618781,25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471225,73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419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618784,91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471233,26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618784,98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471233,20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618785,05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471233,35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618827,29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471194,59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618844,92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471185,48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618842,71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471150,34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618848,30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471160,23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618869,73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471198,90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618874,57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471240,74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618857,00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471243,88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618856,47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471243,94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618818,06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471271,78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618807,87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471285,89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618771,40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471300,12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618758,09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471278,98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618739,15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471248,89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618690,16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471163,51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618669,58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471176,17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618606,15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471084,76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618602,21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471078,44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618584,78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471038,62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618541,59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470980,61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618541,28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470980,09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618531,14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470953,85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618512,42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470924,14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618511,41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470922,82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618493,96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470898,06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618479,13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470880,69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618478,53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470879,91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618473,54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470876,15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618473,50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470876,13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450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618473,40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470876,06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451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618472,06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470875,05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452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618469,19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470872,88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453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618451,92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470866,50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454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618367,32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470738,26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455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618371,11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470735,41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456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618290,08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470601,32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457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618280,79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470585,95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458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618270,20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470557,70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459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618251,10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470533,17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618235,69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470491,44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618137,09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470322,52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618122,33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470284,51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618043,56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470125,44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618013,71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470088,58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618004,66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470059,04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617952,07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469929,35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617957,28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469926,71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617914,57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469855,07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617866,83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469736,19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617853,70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469668,15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617853,69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469662,52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617853,55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469662,60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473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617853,55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469662,43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474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617853,80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469660,32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475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617854,06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469658,19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476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617859,05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469648,68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477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617872,75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469631,85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478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617880,94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469621,20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479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617884,94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469606,38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480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617871,10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469583,57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481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617864,95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469565,87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482</w:t>
            </w:r>
          </w:p>
        </w:tc>
        <w:tc>
          <w:tcPr>
            <w:tcW w:w="1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617858,47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469542,12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 1</w:t>
            </w:r>
          </w:p>
        </w:tc>
      </w:tr>
    </w:tbl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2639568" cy="1042416"/>
            <wp:docPr id="100021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r:link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39568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sectPr>
          <w:footerReference w:type="default" r:id="rId27"/>
          <w:endnotePr>
            <w:numFmt w:val="decimal"/>
          </w:endnotePr>
          <w:type w:val="nextPage"/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contextualSpacing w:val="0"/>
        <w:jc w:val="left"/>
        <w:rPr>
          <w:color w:val="000000"/>
          <w:sz w:val="22"/>
          <w:szCs w:val="20"/>
          <w:shd w:val="clear" w:color="auto" w:fill="FFFFFF"/>
          <w:lang w:val="x-none" w:eastAsia="en-US" w:bidi="ar-SA"/>
        </w:r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jc w:val="center"/>
        <w:rPr>
          <w:b/>
          <w:caps/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aps/>
          <w:color w:val="000000"/>
          <w:szCs w:val="20"/>
          <w:shd w:val="clear" w:color="auto" w:fill="FFFFFF"/>
          <w:lang w:val="x-none" w:eastAsia="en-US" w:bidi="ar-SA"/>
        </w:rPr>
        <w:t>u</w:t>
      </w:r>
      <w:r>
        <w:rPr>
          <w:b/>
          <w:caps/>
          <w:color w:val="000000"/>
          <w:szCs w:val="20"/>
          <w:shd w:val="clear" w:color="auto" w:fill="FFFFFF"/>
        </w:rPr>
        <w:t>ZASADNIENIE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76" w:lineRule="auto"/>
        <w:ind w:left="0" w:right="0" w:firstLine="0"/>
        <w:contextualSpacing w:val="0"/>
        <w:jc w:val="center"/>
        <w:rPr>
          <w:b/>
          <w:caps/>
          <w:color w:val="000000"/>
          <w:szCs w:val="20"/>
          <w:shd w:val="clear" w:color="auto" w:fill="FFFFFF"/>
          <w:lang w:val="x-none" w:eastAsia="en-US" w:bidi="ar-SA"/>
        </w:r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76" w:lineRule="auto"/>
        <w:ind w:left="0" w:right="0" w:firstLine="72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Na podstawie art. 13 </w:t>
      </w:r>
      <w:r>
        <w:rPr>
          <w:color w:val="000000"/>
          <w:szCs w:val="20"/>
          <w:shd w:val="clear" w:color="auto" w:fill="FFFFFF"/>
          <w:lang w:val="x-none" w:eastAsia="en-US" w:bidi="ar-SA"/>
        </w:rPr>
        <w:t>ust. </w:t>
      </w:r>
      <w:r>
        <w:rPr>
          <w:color w:val="000000"/>
          <w:szCs w:val="20"/>
          <w:shd w:val="clear" w:color="auto" w:fill="FFFFFF"/>
        </w:rPr>
        <w:t>3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 ustawy z dnia 16 kwietnia 2004 roku o ochronie przyrody </w:t>
      </w:r>
      <w:r>
        <w:rPr>
          <w:color w:val="000000"/>
          <w:szCs w:val="20"/>
          <w:shd w:val="clear" w:color="auto" w:fill="FFFFFF"/>
          <w:lang w:val="x-none" w:eastAsia="en-US" w:bidi="ar-SA"/>
        </w:rPr>
        <w:t>(</w:t>
      </w:r>
      <w:r>
        <w:rPr>
          <w:color w:val="000000"/>
          <w:szCs w:val="20"/>
          <w:shd w:val="clear" w:color="auto" w:fill="FFFFFF"/>
        </w:rPr>
        <w:t xml:space="preserve">t.j. </w:t>
      </w:r>
      <w:r>
        <w:rPr>
          <w:color w:val="000000"/>
          <w:szCs w:val="20"/>
          <w:shd w:val="clear" w:color="auto" w:fill="FFFFFF"/>
          <w:lang w:val="x-none" w:eastAsia="en-US" w:bidi="ar-SA"/>
        </w:rPr>
        <w:t>Dz. U. z 202</w:t>
      </w:r>
      <w:r>
        <w:rPr>
          <w:color w:val="000000"/>
          <w:szCs w:val="20"/>
          <w:shd w:val="clear" w:color="auto" w:fill="FFFFFF"/>
        </w:rPr>
        <w:t>4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r. poz. </w:t>
      </w:r>
      <w:r>
        <w:rPr>
          <w:color w:val="000000"/>
          <w:szCs w:val="20"/>
          <w:shd w:val="clear" w:color="auto" w:fill="FFFFFF"/>
        </w:rPr>
        <w:t>1478</w:t>
      </w:r>
      <w:r>
        <w:rPr>
          <w:color w:val="000000"/>
          <w:szCs w:val="20"/>
          <w:shd w:val="clear" w:color="auto" w:fill="FFFFFF"/>
          <w:lang w:val="x-none" w:eastAsia="en-US" w:bidi="ar-SA"/>
        </w:rPr>
        <w:t>)</w:t>
      </w:r>
      <w:r>
        <w:rPr>
          <w:color w:val="000000"/>
          <w:szCs w:val="20"/>
          <w:shd w:val="clear" w:color="auto" w:fill="FFFFFF"/>
        </w:rPr>
        <w:t xml:space="preserve"> 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znanie za rezerwat przyrody następuje w drodze aktu prawa miejscowego w formie zarządzenia regionalnego dyrektora ochrony środowiska, które określa jego nazwę, położenie lub przebieg granicy i otulinę, jeżeli została wyznaczona, cele ochrony oraz rodzaj, typ i podtyp rezerwatu przyrody, a także sprawującego nadzór nad rezerwatem.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76" w:lineRule="auto"/>
        <w:ind w:left="0" w:right="0" w:firstLine="72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Rezerwat przyrody „</w:t>
      </w:r>
      <w:r>
        <w:rPr>
          <w:color w:val="000000"/>
          <w:szCs w:val="20"/>
          <w:shd w:val="clear" w:color="auto" w:fill="FFFFFF"/>
          <w:lang w:val="x-none" w:eastAsia="en-US" w:bidi="ar-SA"/>
        </w:rPr>
        <w:t>Zbocza Świętopełka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” o powierzchni </w:t>
      </w:r>
      <w:r>
        <w:rPr>
          <w:color w:val="000000"/>
          <w:szCs w:val="20"/>
          <w:shd w:val="clear" w:color="auto" w:fill="FFFFFF"/>
        </w:rPr>
        <w:t>31,52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ha zlokalizowany jest </w:t>
      </w:r>
      <w:r>
        <w:rPr>
          <w:color w:val="000000"/>
          <w:szCs w:val="20"/>
          <w:shd w:val="clear" w:color="auto" w:fill="FFFFFF"/>
        </w:rPr>
        <w:t>na terenie gminy Świecie, w powiecie świeckim, w województwie kujawsko-pomorskim.</w:t>
      </w:r>
      <w:r>
        <w:rPr>
          <w:color w:val="000000"/>
          <w:szCs w:val="20"/>
          <w:shd w:val="clear" w:color="auto" w:fill="FFFFFF"/>
        </w:rPr>
        <w:t xml:space="preserve"> W dniu 31 stycznia 2024 r. do Regionalnej Dyrekcji Ochrony Środowiska w Bydgoszczy, wpłynął wniosek Zespołu Parków Krajobrazowych nad Dolną Wisłą z dnia 30 stycznia 2024 r., znak ZPKnDW 440.2.2024, o utworzenie powyższego rezerwatu przyrody. Do wniosku dołączono uzasadnienie oraz uproszczoną inwentaryzację ornitologiczną. Zgodnie z załączonym uzasadnieniem obszar rezerwatu przyrody 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„</w:t>
      </w:r>
      <w:r>
        <w:rPr>
          <w:color w:val="000000"/>
          <w:szCs w:val="20"/>
          <w:shd w:val="clear" w:color="auto" w:fill="FFFFFF"/>
          <w:lang w:val="x-none" w:eastAsia="en-US" w:bidi="ar-SA"/>
        </w:rPr>
        <w:t>Zbocza Świętopełka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”</w:t>
      </w:r>
      <w:r>
        <w:rPr>
          <w:color w:val="000000"/>
          <w:szCs w:val="20"/>
          <w:shd w:val="clear" w:color="auto" w:fill="FFFFFF"/>
        </w:rPr>
        <w:t xml:space="preserve"> stanowią stoki doliny Wisły i wcinający się w nie wąwóz Czerwonej Wody. Teren jest porośnięty drzewostanem z zróżnicowanym wieku i strukturze gatunkowej. W wyniku zaniechania prowadzenia w obrębie rezerwatu prac leśnych dochodzi tam od kilkudziesięciu lat do naturalnych procesów starzenia się i odnawiania drzewostanu. Tak wytworzony grąd zboczowy stanowi siedlisko licznych, cennych gatunków roślin, grzybów i zwierząt, które nie są w stanie funkcjonować w lasach gospodarczych. Uproszczona inwentaryzacja ornitologiczna wykazała łącznie 79 gatunków ptaków, w tym 52 gatunki lęgowe i prawdopodobnie lęgowe, 5 gatunków których lęgi są możliwe i 22 gatunki zalatujące, dla których teren planowanego rezerwatu jest żerowiskiem lub miejscem czasowego odpoczynku. Wśród gatunków, które gniazdują na terenie rezerwatu są m.in. dzięcioły czarny </w:t>
      </w:r>
      <w:r>
        <w:rPr>
          <w:i/>
          <w:color w:val="000000"/>
          <w:szCs w:val="20"/>
          <w:shd w:val="clear" w:color="auto" w:fill="FFFFFF"/>
          <w:lang w:val="x-none" w:eastAsia="en-US" w:bidi="ar-SA"/>
        </w:rPr>
        <w:t>Dryocopus martius</w:t>
      </w:r>
      <w:r>
        <w:rPr>
          <w:i/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</w:rPr>
        <w:t xml:space="preserve">i </w:t>
      </w:r>
      <w:r>
        <w:rPr>
          <w:color w:val="000000"/>
          <w:szCs w:val="20"/>
          <w:shd w:val="clear" w:color="auto" w:fill="FFFFFF"/>
        </w:rPr>
        <w:t xml:space="preserve">duży </w:t>
      </w:r>
      <w:r>
        <w:rPr>
          <w:i/>
          <w:color w:val="000000"/>
          <w:szCs w:val="20"/>
          <w:shd w:val="clear" w:color="auto" w:fill="FFFFFF"/>
          <w:lang w:val="x-none" w:eastAsia="en-US" w:bidi="ar-SA"/>
        </w:rPr>
        <w:t>Dendrocopos major</w:t>
      </w:r>
      <w:r>
        <w:rPr>
          <w:color w:val="000000"/>
          <w:szCs w:val="20"/>
          <w:shd w:val="clear" w:color="auto" w:fill="FFFFFF"/>
        </w:rPr>
        <w:t xml:space="preserve">, dzięciołek </w:t>
      </w:r>
      <w:r>
        <w:rPr>
          <w:i/>
          <w:color w:val="000000"/>
          <w:szCs w:val="20"/>
          <w:shd w:val="clear" w:color="auto" w:fill="FFFFFF"/>
        </w:rPr>
        <w:t>Dryobates minor</w:t>
      </w:r>
      <w:r>
        <w:rPr>
          <w:color w:val="000000"/>
          <w:szCs w:val="20"/>
          <w:shd w:val="clear" w:color="auto" w:fill="FFFFFF"/>
        </w:rPr>
        <w:t xml:space="preserve">, dziwonia </w:t>
      </w:r>
      <w:r>
        <w:rPr>
          <w:i/>
          <w:color w:val="000000"/>
          <w:szCs w:val="20"/>
          <w:shd w:val="clear" w:color="auto" w:fill="FFFFFF"/>
        </w:rPr>
        <w:t>Carpodacus erythrinus</w:t>
      </w:r>
      <w:r>
        <w:rPr>
          <w:color w:val="000000"/>
          <w:szCs w:val="20"/>
          <w:shd w:val="clear" w:color="auto" w:fill="FFFFFF"/>
        </w:rPr>
        <w:t xml:space="preserve">, gąsiorek </w:t>
      </w:r>
      <w:r>
        <w:rPr>
          <w:i/>
          <w:color w:val="000000"/>
          <w:szCs w:val="20"/>
          <w:shd w:val="clear" w:color="auto" w:fill="FFFFFF"/>
        </w:rPr>
        <w:t>Lanius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i/>
          <w:color w:val="000000"/>
          <w:szCs w:val="20"/>
          <w:shd w:val="clear" w:color="auto" w:fill="FFFFFF"/>
        </w:rPr>
        <w:t>collurio</w:t>
      </w:r>
      <w:r>
        <w:rPr>
          <w:color w:val="000000"/>
          <w:szCs w:val="20"/>
          <w:shd w:val="clear" w:color="auto" w:fill="FFFFFF"/>
        </w:rPr>
        <w:t xml:space="preserve">. </w:t>
      </w:r>
      <w:r>
        <w:rPr>
          <w:color w:val="000000"/>
          <w:szCs w:val="20"/>
          <w:shd w:val="clear" w:color="auto" w:fill="FFFFFF"/>
        </w:rPr>
        <w:t>Na obszarach graniczących z rezerwatem wyznacza się otulinę o powierzchni 136,73 ha.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76" w:lineRule="auto"/>
        <w:ind w:left="0" w:right="0" w:firstLine="720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</w:rPr>
        <w:t xml:space="preserve">W dniu 7 marca 2024 r. </w:t>
      </w:r>
      <w:r>
        <w:rPr>
          <w:color w:val="000000"/>
          <w:szCs w:val="20"/>
          <w:shd w:val="clear" w:color="auto" w:fill="FFFFFF"/>
        </w:rPr>
        <w:t xml:space="preserve">przedstawiciele </w:t>
      </w:r>
      <w:r>
        <w:rPr>
          <w:color w:val="000000"/>
          <w:szCs w:val="20"/>
          <w:shd w:val="clear" w:color="auto" w:fill="FFFFFF"/>
        </w:rPr>
        <w:t>Regionaln</w:t>
      </w:r>
      <w:r>
        <w:rPr>
          <w:color w:val="000000"/>
          <w:szCs w:val="20"/>
          <w:shd w:val="clear" w:color="auto" w:fill="FFFFFF"/>
        </w:rPr>
        <w:t>ej</w:t>
      </w:r>
      <w:r>
        <w:rPr>
          <w:color w:val="000000"/>
          <w:szCs w:val="20"/>
          <w:shd w:val="clear" w:color="auto" w:fill="FFFFFF"/>
        </w:rPr>
        <w:t xml:space="preserve"> Dyrekcj</w:t>
      </w:r>
      <w:r>
        <w:rPr>
          <w:color w:val="000000"/>
          <w:szCs w:val="20"/>
          <w:shd w:val="clear" w:color="auto" w:fill="FFFFFF"/>
        </w:rPr>
        <w:t>i</w:t>
      </w:r>
      <w:r>
        <w:rPr>
          <w:color w:val="000000"/>
          <w:szCs w:val="20"/>
          <w:shd w:val="clear" w:color="auto" w:fill="FFFFFF"/>
        </w:rPr>
        <w:t xml:space="preserve"> Ochrony Środowiska w Bydgoszczy </w:t>
      </w:r>
      <w:r>
        <w:rPr>
          <w:color w:val="000000"/>
          <w:szCs w:val="20"/>
          <w:shd w:val="clear" w:color="auto" w:fill="FFFFFF"/>
        </w:rPr>
        <w:t xml:space="preserve">podczas wspólnej wizji z wnioskodawcą tj. </w:t>
      </w:r>
      <w:r>
        <w:rPr>
          <w:color w:val="000000"/>
          <w:szCs w:val="20"/>
          <w:shd w:val="clear" w:color="auto" w:fill="FFFFFF"/>
        </w:rPr>
        <w:t>Zespoł</w:t>
      </w:r>
      <w:r>
        <w:rPr>
          <w:color w:val="000000"/>
          <w:szCs w:val="20"/>
          <w:shd w:val="clear" w:color="auto" w:fill="FFFFFF"/>
        </w:rPr>
        <w:t>em</w:t>
      </w:r>
      <w:r>
        <w:rPr>
          <w:color w:val="000000"/>
          <w:szCs w:val="20"/>
          <w:shd w:val="clear" w:color="auto" w:fill="FFFFFF"/>
        </w:rPr>
        <w:t xml:space="preserve"> Parków Krajobrazowych nad Dolną Wisłą</w:t>
      </w:r>
      <w:r>
        <w:rPr>
          <w:color w:val="000000"/>
          <w:szCs w:val="20"/>
          <w:shd w:val="clear" w:color="auto" w:fill="FFFFFF"/>
        </w:rPr>
        <w:t xml:space="preserve">, </w:t>
      </w:r>
      <w:r>
        <w:rPr>
          <w:color w:val="000000"/>
          <w:szCs w:val="20"/>
          <w:shd w:val="clear" w:color="auto" w:fill="FFFFFF"/>
        </w:rPr>
        <w:t>potwierdzi</w:t>
      </w:r>
      <w:r>
        <w:rPr>
          <w:color w:val="000000"/>
          <w:szCs w:val="20"/>
          <w:shd w:val="clear" w:color="auto" w:fill="FFFFFF"/>
        </w:rPr>
        <w:t>li</w:t>
      </w:r>
      <w:r>
        <w:rPr>
          <w:color w:val="000000"/>
          <w:szCs w:val="20"/>
          <w:shd w:val="clear" w:color="auto" w:fill="FFFFFF"/>
        </w:rPr>
        <w:t xml:space="preserve"> walory przyrod</w:t>
      </w:r>
      <w:r>
        <w:rPr>
          <w:color w:val="000000"/>
          <w:szCs w:val="20"/>
          <w:shd w:val="clear" w:color="auto" w:fill="FFFFFF"/>
        </w:rPr>
        <w:t xml:space="preserve">nicze </w:t>
      </w:r>
      <w:r>
        <w:rPr>
          <w:color w:val="000000"/>
          <w:szCs w:val="20"/>
          <w:shd w:val="clear" w:color="auto" w:fill="FFFFFF"/>
        </w:rPr>
        <w:t>r</w:t>
      </w:r>
      <w:r>
        <w:rPr>
          <w:color w:val="000000"/>
          <w:szCs w:val="20"/>
          <w:shd w:val="clear" w:color="auto" w:fill="FFFFFF"/>
          <w:lang w:val="x-none" w:eastAsia="en-US" w:bidi="ar-SA"/>
        </w:rPr>
        <w:t>ezerwat</w:t>
      </w:r>
      <w:r>
        <w:rPr>
          <w:color w:val="000000"/>
          <w:szCs w:val="20"/>
          <w:shd w:val="clear" w:color="auto" w:fill="FFFFFF"/>
        </w:rPr>
        <w:t>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przyrody „Zbocza Świętopełka”</w:t>
      </w:r>
      <w:r>
        <w:rPr>
          <w:color w:val="000000"/>
          <w:szCs w:val="20"/>
          <w:shd w:val="clear" w:color="auto" w:fill="FFFFFF"/>
        </w:rPr>
        <w:t>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76" w:lineRule="auto"/>
        <w:ind w:left="0" w:right="0" w:firstLine="720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</w:rPr>
        <w:t xml:space="preserve">Ze względu na powyższe walory przyrodnicze, celem ochrony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rezerwatu jest zachowanie </w:t>
      </w:r>
      <w:r>
        <w:rPr>
          <w:color w:val="000000"/>
          <w:szCs w:val="20"/>
          <w:shd w:val="clear" w:color="auto" w:fill="FFFFFF"/>
        </w:rPr>
        <w:t>grądu zboczowego porastającego stoki Doliny Dolnej Wisły i zachodzących w nim procesów odnowy i starzenia się drzewostanu, a także gatunków z nimi związanych</w:t>
      </w:r>
      <w:r>
        <w:rPr>
          <w:color w:val="000000"/>
          <w:szCs w:val="20"/>
          <w:shd w:val="clear" w:color="auto" w:fill="FFFFFF"/>
          <w:lang w:val="x-none" w:eastAsia="en-US" w:bidi="ar-SA"/>
        </w:rPr>
        <w:t>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76" w:lineRule="auto"/>
        <w:ind w:left="0" w:right="0" w:firstLine="0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Zgodnie z rozporządzeniem Ministra Środowiska z dnia 30 marca 20</w:t>
      </w:r>
      <w:r>
        <w:rPr>
          <w:color w:val="000000"/>
          <w:szCs w:val="20"/>
          <w:shd w:val="clear" w:color="auto" w:fill="FFFFFF"/>
        </w:rPr>
        <w:t>0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5 r. </w:t>
      </w:r>
      <w:r>
        <w:rPr>
          <w:color w:val="000000"/>
          <w:szCs w:val="20"/>
          <w:shd w:val="clear" w:color="auto" w:fill="FFFFFF"/>
        </w:rPr>
        <w:t xml:space="preserve">w sprawie rodzajów, typów i podtypów rezerwatów przyrody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(Dz. U. z 2005 r., Nr 60, poz. 533) </w:t>
      </w:r>
      <w:r>
        <w:rPr>
          <w:color w:val="000000"/>
          <w:szCs w:val="20"/>
          <w:shd w:val="clear" w:color="auto" w:fill="FFFFFF"/>
        </w:rPr>
        <w:t xml:space="preserve">dla </w:t>
      </w:r>
      <w:r>
        <w:rPr>
          <w:color w:val="000000"/>
          <w:szCs w:val="20"/>
          <w:shd w:val="clear" w:color="auto" w:fill="FFFFFF"/>
          <w:lang w:val="x-none" w:eastAsia="en-US" w:bidi="ar-SA"/>
        </w:rPr>
        <w:t>rezerwat</w:t>
      </w:r>
      <w:r>
        <w:rPr>
          <w:color w:val="000000"/>
          <w:szCs w:val="20"/>
          <w:shd w:val="clear" w:color="auto" w:fill="FFFFFF"/>
        </w:rPr>
        <w:t>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przyrody „</w:t>
      </w:r>
      <w:r>
        <w:rPr>
          <w:color w:val="000000"/>
          <w:szCs w:val="20"/>
          <w:shd w:val="clear" w:color="auto" w:fill="FFFFFF"/>
          <w:lang w:val="x-none" w:eastAsia="en-US" w:bidi="ar-SA"/>
        </w:rPr>
        <w:t>Zbocza Świętopełka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” </w:t>
      </w:r>
      <w:r>
        <w:rPr>
          <w:color w:val="000000"/>
          <w:szCs w:val="20"/>
          <w:shd w:val="clear" w:color="auto" w:fill="FFFFFF"/>
        </w:rPr>
        <w:t>określono rodzaj rezerwatu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Leśny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</w:t>
      </w:r>
      <w:r>
        <w:rPr>
          <w:color w:val="000000"/>
          <w:szCs w:val="20"/>
          <w:shd w:val="clear" w:color="auto" w:fill="FFFFFF"/>
        </w:rPr>
        <w:t>L</w:t>
      </w:r>
      <w:r>
        <w:rPr>
          <w:color w:val="000000"/>
          <w:szCs w:val="20"/>
          <w:shd w:val="clear" w:color="auto" w:fill="FFFFFF"/>
          <w:lang w:val="x-none" w:eastAsia="en-US" w:bidi="ar-SA"/>
        </w:rPr>
        <w:t>)</w:t>
      </w:r>
      <w:r>
        <w:rPr>
          <w:color w:val="000000"/>
          <w:szCs w:val="20"/>
          <w:shd w:val="clear" w:color="auto" w:fill="FFFFFF"/>
        </w:rPr>
        <w:t xml:space="preserve"> oraz </w:t>
      </w:r>
      <w:r>
        <w:rPr>
          <w:color w:val="000000"/>
          <w:szCs w:val="20"/>
          <w:shd w:val="clear" w:color="auto" w:fill="FFFFFF"/>
          <w:lang w:val="x-none" w:eastAsia="en-US" w:bidi="ar-SA"/>
        </w:rPr>
        <w:t>określ</w:t>
      </w:r>
      <w:r>
        <w:rPr>
          <w:color w:val="000000"/>
          <w:szCs w:val="20"/>
          <w:shd w:val="clear" w:color="auto" w:fill="FFFFFF"/>
        </w:rPr>
        <w:t>ono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typ i podtyp: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76" w:lineRule="auto"/>
        <w:ind w:left="0" w:right="0" w:firstLine="0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1) ze względu na dominujący przedmiot ochrony: typ - </w:t>
      </w:r>
      <w:r>
        <w:rPr>
          <w:color w:val="000000"/>
          <w:szCs w:val="20"/>
          <w:shd w:val="clear" w:color="auto" w:fill="FFFFFF"/>
        </w:rPr>
        <w:t>Fitocenotyczny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(PF</w:t>
      </w:r>
      <w:r>
        <w:rPr>
          <w:color w:val="000000"/>
          <w:szCs w:val="20"/>
          <w:shd w:val="clear" w:color="auto" w:fill="FFFFFF"/>
        </w:rPr>
        <w:t>i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), podtyp - </w:t>
      </w:r>
      <w:r>
        <w:rPr>
          <w:color w:val="000000"/>
          <w:szCs w:val="20"/>
          <w:shd w:val="clear" w:color="auto" w:fill="FFFFFF"/>
        </w:rPr>
        <w:t>zbiorowisk leśnych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</w:t>
      </w:r>
      <w:r>
        <w:rPr>
          <w:color w:val="000000"/>
          <w:szCs w:val="20"/>
          <w:shd w:val="clear" w:color="auto" w:fill="FFFFFF"/>
        </w:rPr>
        <w:t>zl</w:t>
      </w:r>
      <w:r>
        <w:rPr>
          <w:color w:val="000000"/>
          <w:szCs w:val="20"/>
          <w:shd w:val="clear" w:color="auto" w:fill="FFFFFF"/>
          <w:lang w:val="x-none" w:eastAsia="en-US" w:bidi="ar-SA"/>
        </w:rPr>
        <w:t>);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76" w:lineRule="auto"/>
        <w:ind w:left="0" w:right="0" w:firstLine="0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2) ze względu na główny typ ekosystemu: typ - </w:t>
      </w:r>
      <w:r>
        <w:rPr>
          <w:color w:val="000000"/>
          <w:szCs w:val="20"/>
          <w:shd w:val="clear" w:color="auto" w:fill="FFFFFF"/>
        </w:rPr>
        <w:t>Leśny i borowy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(E</w:t>
      </w:r>
      <w:r>
        <w:rPr>
          <w:color w:val="000000"/>
          <w:szCs w:val="20"/>
          <w:shd w:val="clear" w:color="auto" w:fill="FFFFFF"/>
        </w:rPr>
        <w:t>L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), podtyp - </w:t>
      </w:r>
      <w:r>
        <w:rPr>
          <w:color w:val="000000"/>
          <w:szCs w:val="20"/>
          <w:shd w:val="clear" w:color="auto" w:fill="FFFFFF"/>
        </w:rPr>
        <w:t>lasów nizinnych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</w:t>
      </w:r>
      <w:r>
        <w:rPr>
          <w:color w:val="000000"/>
          <w:szCs w:val="20"/>
          <w:shd w:val="clear" w:color="auto" w:fill="FFFFFF"/>
        </w:rPr>
        <w:t>lni</w:t>
      </w:r>
      <w:r>
        <w:rPr>
          <w:color w:val="000000"/>
          <w:szCs w:val="20"/>
          <w:shd w:val="clear" w:color="auto" w:fill="FFFFFF"/>
          <w:lang w:val="x-none" w:eastAsia="en-US" w:bidi="ar-SA"/>
        </w:rPr>
        <w:t>).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76" w:lineRule="auto"/>
        <w:ind w:left="0" w:right="0" w:firstLine="720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W niniejszym akcie prawnym, wykorzystując dane systemu informacji przestrzennej, wprowadzono załączniki w postaci mapy obszaru rezerwatu oraz wykaz współrzędnych punktów załamania granic</w:t>
      </w:r>
      <w:r>
        <w:rPr>
          <w:color w:val="000000"/>
          <w:szCs w:val="20"/>
          <w:shd w:val="clear" w:color="auto" w:fill="FFFFFF"/>
        </w:rPr>
        <w:t xml:space="preserve"> rezerwatu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sporządzonych w układzie współrzędnych płaskich prostokątnych PL-1992, o których mowa w rozporządzeniu Rady Ministrów z dnia 15 października 2012 r. w sprawie państwowego systemu odniesień przestrzennych </w:t>
      </w:r>
      <w:r>
        <w:rPr>
          <w:color w:val="000000"/>
          <w:szCs w:val="20"/>
          <w:shd w:val="clear" w:color="auto" w:fill="FFFFFF"/>
          <w:lang w:val="x-none" w:eastAsia="en-US" w:bidi="ar-SA"/>
        </w:rPr>
        <w:t>(</w:t>
      </w:r>
      <w:r>
        <w:rPr>
          <w:color w:val="000000"/>
          <w:szCs w:val="20"/>
          <w:shd w:val="clear" w:color="auto" w:fill="FFFFFF"/>
        </w:rPr>
        <w:t xml:space="preserve">t.j. </w:t>
      </w:r>
      <w:r>
        <w:rPr>
          <w:color w:val="000000"/>
          <w:szCs w:val="20"/>
          <w:shd w:val="clear" w:color="auto" w:fill="FFFFFF"/>
          <w:lang w:val="x-none" w:eastAsia="en-US" w:bidi="ar-SA"/>
        </w:rPr>
        <w:t>Dz.U z 20</w:t>
      </w:r>
      <w:r>
        <w:rPr>
          <w:color w:val="000000"/>
          <w:szCs w:val="20"/>
          <w:shd w:val="clear" w:color="auto" w:fill="FFFFFF"/>
        </w:rPr>
        <w:t>24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r., poz. </w:t>
      </w:r>
      <w:r>
        <w:rPr>
          <w:color w:val="000000"/>
          <w:szCs w:val="20"/>
          <w:shd w:val="clear" w:color="auto" w:fill="FFFFFF"/>
        </w:rPr>
        <w:t>342</w:t>
      </w:r>
      <w:r>
        <w:rPr>
          <w:color w:val="000000"/>
          <w:szCs w:val="20"/>
          <w:shd w:val="clear" w:color="auto" w:fill="FFFFFF"/>
          <w:lang w:val="x-none" w:eastAsia="en-US" w:bidi="ar-SA"/>
        </w:rPr>
        <w:t>).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76" w:lineRule="auto"/>
        <w:ind w:left="0" w:right="0" w:firstLine="720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</w:rPr>
        <w:t>R</w:t>
      </w:r>
      <w:r>
        <w:rPr>
          <w:color w:val="000000"/>
          <w:szCs w:val="20"/>
          <w:shd w:val="clear" w:color="auto" w:fill="FFFFFF"/>
          <w:lang w:val="x-none" w:eastAsia="en-US" w:bidi="ar-SA"/>
        </w:rPr>
        <w:t>ezerwat przyrody „</w:t>
      </w:r>
      <w:r>
        <w:rPr>
          <w:color w:val="000000"/>
          <w:szCs w:val="20"/>
          <w:shd w:val="clear" w:color="auto" w:fill="FFFFFF"/>
          <w:lang w:val="x-none" w:eastAsia="en-US" w:bidi="ar-SA"/>
        </w:rPr>
        <w:t>Zbocza Świętopełka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” 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położ</w:t>
      </w:r>
      <w:r>
        <w:rPr>
          <w:color w:val="000000"/>
          <w:szCs w:val="20"/>
          <w:u w:color="000000"/>
          <w:shd w:val="clear" w:color="auto" w:fill="FFFFFF"/>
        </w:rPr>
        <w:t>ony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u w:color="000000"/>
          <w:shd w:val="clear" w:color="auto" w:fill="FFFFFF"/>
        </w:rPr>
        <w:t>jest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 na gruntach należących do Skarbu Państwa, zarządzanych </w:t>
      </w:r>
      <w:r>
        <w:rPr>
          <w:color w:val="000000"/>
          <w:szCs w:val="20"/>
          <w:u w:color="000000"/>
          <w:shd w:val="clear" w:color="auto" w:fill="FFFFFF"/>
        </w:rPr>
        <w:t xml:space="preserve">przez 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Państwowe Gospodarstwo Leśne Lasy Państwowe Nadleśnictwo </w:t>
      </w:r>
      <w:r>
        <w:rPr>
          <w:color w:val="000000"/>
          <w:szCs w:val="20"/>
          <w:u w:color="000000"/>
          <w:shd w:val="clear" w:color="auto" w:fill="FFFFFF"/>
        </w:rPr>
        <w:t xml:space="preserve">Dąbrowa i 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Państwowe Gospodarstwo Wodne Wody Polskie Regionalny Zarząd Gospodarki Wodnej w Gdańsku</w:t>
      </w:r>
      <w:r>
        <w:rPr>
          <w:color w:val="000000"/>
          <w:szCs w:val="20"/>
          <w:u w:color="000000"/>
          <w:shd w:val="clear" w:color="auto" w:fill="FFFFFF"/>
        </w:rPr>
        <w:t>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76" w:lineRule="auto"/>
        <w:ind w:left="0" w:right="0" w:firstLine="720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Nadzór nad rezerwatem powierzony został </w:t>
      </w:r>
      <w:r>
        <w:rPr>
          <w:color w:val="000000"/>
          <w:szCs w:val="20"/>
          <w:shd w:val="clear" w:color="auto" w:fill="FFFFFF"/>
          <w:lang w:val="x-none" w:eastAsia="en-US" w:bidi="ar-SA"/>
        </w:rPr>
        <w:t>Regionaln</w:t>
      </w:r>
      <w:r>
        <w:rPr>
          <w:color w:val="000000"/>
          <w:szCs w:val="20"/>
          <w:shd w:val="clear" w:color="auto" w:fill="FFFFFF"/>
        </w:rPr>
        <w:t>emu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Dyrektor</w:t>
      </w:r>
      <w:r>
        <w:rPr>
          <w:color w:val="000000"/>
          <w:szCs w:val="20"/>
          <w:shd w:val="clear" w:color="auto" w:fill="FFFFFF"/>
        </w:rPr>
        <w:t>owi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Ochrony Środowiska w Bydgoszczy</w:t>
      </w:r>
      <w:r>
        <w:rPr>
          <w:color w:val="000000"/>
          <w:szCs w:val="20"/>
          <w:shd w:val="clear" w:color="auto" w:fill="FFFFFF"/>
          <w:lang w:val="x-none" w:eastAsia="en-US" w:bidi="ar-SA"/>
        </w:rPr>
        <w:t>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76" w:lineRule="auto"/>
        <w:ind w:left="0" w:right="0" w:firstLine="72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Państwowe Gospodarstwo Leśne Lasy Państwowe Nadleśnictwo </w:t>
      </w:r>
      <w:r>
        <w:rPr>
          <w:color w:val="000000"/>
          <w:szCs w:val="20"/>
          <w:u w:color="000000"/>
          <w:shd w:val="clear" w:color="auto" w:fill="FFFFFF"/>
        </w:rPr>
        <w:t xml:space="preserve">Dąbrowa, zarządca części obszaru rezerwatu, wyraziło zgodę na utworzenie rezerwatu przyrody 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„</w:t>
      </w:r>
      <w:r>
        <w:rPr>
          <w:color w:val="000000"/>
          <w:szCs w:val="20"/>
          <w:shd w:val="clear" w:color="auto" w:fill="FFFFFF"/>
          <w:lang w:val="x-none" w:eastAsia="en-US" w:bidi="ar-SA"/>
        </w:rPr>
        <w:t>Zbocza Świętopełka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”</w:t>
      </w:r>
      <w:r>
        <w:rPr>
          <w:color w:val="000000"/>
          <w:szCs w:val="20"/>
          <w:shd w:val="clear" w:color="auto" w:fill="FFFFFF"/>
        </w:rPr>
        <w:t xml:space="preserve"> i zaopiniowało projekt niniejszego zarządzenia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pozytywnie pismem z dnia 12 marca 2024 r., znak ZG.7212.5.2024</w:t>
      </w:r>
      <w:r>
        <w:rPr>
          <w:color w:val="000000"/>
          <w:szCs w:val="20"/>
          <w:shd w:val="clear" w:color="auto" w:fill="FFFFFF"/>
        </w:rPr>
        <w:t>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76" w:lineRule="auto"/>
        <w:ind w:left="0" w:right="0" w:firstLine="72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u w:color="000000"/>
          <w:shd w:val="clear" w:color="auto" w:fill="FFFFFF"/>
        </w:rPr>
        <w:t xml:space="preserve">Regionalna Dyrekcja Lasów Państwowych w Toruniu wyraziła zgodę na utworzenie rezerwatu przyrody 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„Zbocza Świętopełka”</w:t>
      </w:r>
      <w:r>
        <w:rPr>
          <w:color w:val="000000"/>
          <w:szCs w:val="20"/>
          <w:shd w:val="clear" w:color="auto" w:fill="FFFFFF"/>
        </w:rPr>
        <w:t xml:space="preserve"> i zaopiniowała projekt rezerwatu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pozytywnie pismem z dnia 19 marca 2024 r., znak ZO.7212.9.2024</w:t>
      </w:r>
      <w:r>
        <w:rPr>
          <w:color w:val="000000"/>
          <w:szCs w:val="20"/>
          <w:shd w:val="clear" w:color="auto" w:fill="FFFFFF"/>
        </w:rPr>
        <w:t>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76" w:lineRule="auto"/>
        <w:ind w:left="0" w:right="0" w:firstLine="72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Państwowe Gospodarstwo Wodne Wody Polskie Regionalny Zarząd Gospodarki Wodnej w Gdańsku</w:t>
      </w:r>
      <w:r>
        <w:rPr>
          <w:color w:val="000000"/>
          <w:szCs w:val="20"/>
          <w:u w:color="000000"/>
          <w:shd w:val="clear" w:color="auto" w:fill="FFFFFF"/>
        </w:rPr>
        <w:t xml:space="preserve">, zarządca części obszaru rezerwatu, wyraziło zgodę na utworzenie rezerwatu przyrody 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„</w:t>
      </w:r>
      <w:r>
        <w:rPr>
          <w:color w:val="000000"/>
          <w:szCs w:val="20"/>
          <w:shd w:val="clear" w:color="auto" w:fill="FFFFFF"/>
          <w:lang w:val="x-none" w:eastAsia="en-US" w:bidi="ar-SA"/>
        </w:rPr>
        <w:t>Zbocza Świętopełka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”</w:t>
      </w:r>
      <w:r>
        <w:rPr>
          <w:color w:val="000000"/>
          <w:szCs w:val="20"/>
          <w:shd w:val="clear" w:color="auto" w:fill="FFFFFF"/>
        </w:rPr>
        <w:t xml:space="preserve"> i zaopiniowało projekt rezerwatu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pozytywnie pismem z dnia 16 kwietnia 2024 r., znak G.RUM.2313.1.70.2024.RL.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76" w:lineRule="auto"/>
        <w:ind w:left="0" w:right="0" w:firstLine="72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Projekt zarządzenia został zaopiniowany pozytywnie przez Regionalną Radę Ochrony Przyrody w Bydgoszczy  uchwałą nr 30/2024, z dnia 9 grudnia 2024 r.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76" w:lineRule="auto"/>
        <w:ind w:left="0" w:right="0" w:firstLine="72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Na podstawie art. 59 ust. 2 ustawy z dnia 23 stycznia 2009 r. o wojewodzie i administracji rządowej w województwie </w:t>
      </w:r>
      <w:r>
        <w:rPr>
          <w:color w:val="000000"/>
          <w:szCs w:val="20"/>
          <w:shd w:val="clear" w:color="auto" w:fill="FFFFFF"/>
        </w:rPr>
        <w:t>(t.j. Dz. U. z 2023 r. poz. 190)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r>
        <w:rPr>
          <w:color w:val="000000"/>
          <w:szCs w:val="20"/>
          <w:shd w:val="clear" w:color="auto" w:fill="FFFFFF"/>
        </w:rPr>
        <w:t xml:space="preserve">projekt zarządzenia 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został uzgodniony przez Wojewodę Kujawsko-Pomorskiego </w:t>
      </w:r>
      <w:r>
        <w:rPr>
          <w:color w:val="000000"/>
          <w:szCs w:val="20"/>
          <w:shd w:val="clear" w:color="auto" w:fill="FFFFFF"/>
        </w:rPr>
        <w:t xml:space="preserve">pismem znak: WRS.II.710.4.2.2024, z dnia 12 grudnia 2024 r. 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jc w:val="right"/>
        <w:rPr>
          <w:color w:val="000000"/>
          <w:szCs w:val="20"/>
          <w:shd w:val="clear" w:color="auto" w:fill="FFFFFF"/>
          <w:lang w:val="x-none" w:eastAsia="en-US" w:bidi="ar-SA"/>
        </w:rPr>
      </w:pPr>
      <w:r>
        <w:drawing>
          <wp:inline>
            <wp:extent cx="2639060" cy="104203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04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footerReference w:type="default" r:id="rId29"/>
      <w:type w:val="nextPage"/>
      <w:pgSz w:w="11907" w:h="16839" w:code="9"/>
      <w:pgMar w:top="1440" w:right="862" w:bottom="1440" w:left="144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2891FF23-9D02-4CB1-9809-159E64188EBC. 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2891FF23-9D02-4CB1-9809-159E64188EBC. 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2891FF23-9D02-4CB1-9809-159E64188EBC. 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2891FF23-9D02-4CB1-9809-159E64188EBC. 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403"/>
      <w:gridCol w:w="3202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403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2891FF23-9D02-4CB1-9809-159E64188EBC. Uchwalony</w:t>
          </w:r>
        </w:p>
      </w:tc>
      <w:tc>
        <w:tcPr>
          <w:tcW w:w="3202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pPr>
        <w:spacing w:after="0" w:line="240" w:lineRule="auto"/>
      </w:pPr>
      <w:r>
        <w:separator/>
      </w:r>
    </w:p>
  </w:footnote>
  <w:footnote w:type="continuationSeparator" w:id="1">
    <w:p>
      <w:pPr>
        <w:spacing w:after="0" w:line="240" w:lineRule="auto"/>
      </w:pPr>
      <w:r>
        <w:continuationSeparator/>
      </w:r>
    </w:p>
  </w:footnote>
  <w:footnote w:id="2">
    <w:p>
      <w:pPr>
        <w:pStyle w:val="FootnoteText"/>
        <w:keepNext w:val="0"/>
        <w:keepLines/>
        <w:spacing w:before="0" w:after="0" w:line="240" w:lineRule="auto"/>
        <w:ind w:left="170" w:right="0" w:hanging="170"/>
        <w:jc w:val="both"/>
        <w:rPr>
          <w:rFonts w:ascii="Times New Roman" w:eastAsia="Times New Roman" w:hAnsi="Times New Roman" w:cs="Times New Roman"/>
          <w:sz w:val="20"/>
        </w:rPr>
      </w:pPr>
      <w:r>
        <w:rPr>
          <w:rStyle w:val="FootnoteReference"/>
          <w:b w:val="0"/>
          <w:caps w:val="0"/>
        </w:rPr>
        <w:t>1) </w:t>
      </w:r>
      <w:r>
        <w:rPr>
          <w:rFonts w:ascii="Times New Roman" w:eastAsia="Times New Roman" w:hAnsi="Times New Roman" w:cs="Times New Roman"/>
          <w:b w:val="0"/>
          <w:caps w:val="0"/>
          <w:sz w:val="20"/>
        </w:rPr>
        <w:t>Układ współrzędnych płaskich prostokątnych PL-1992 jest jednym z układów tworzących państwowy system odniesień przestrzennych, o którym mowa w przepisach wydanych na podstawie art. 3 ust. 5 ustawy z dnia 17 maja 1989 r. – Prawo geodezyjne i kartograficzne (Dz. U. z 2024 r. poz. 1151 ze zm.).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footnotePr>
    <w:footnote w:id="0"/>
    <w:footnote w:id="1"/>
  </w:footnotePr>
  <w:endnotePr>
    <w:numFmt w:val="decimal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Times New Roman" w:eastAsia="Times New Roman" w:hAnsi="Times New Roman" w:cs="Times New Roman"/>
      <w:sz w:val="24"/>
      <w:szCs w:val="24"/>
      <w:lang w:val="pl-PL" w:eastAsia="pl-PL" w:bidi="pl-PL"/>
    </w:rPr>
  </w:style>
  <w:style w:type="character" w:default="1" w:styleId="DefaultParagraphFont">
    <w:name w:val="Default Paragraph Font"/>
    <w:semiHidden/>
    <w:rPr>
      <w:lang w:val="pl-PL" w:eastAsia="pl-PL" w:bidi="pl-PL"/>
    </w:rPr>
  </w:style>
  <w:style w:type="table" w:default="1" w:styleId="TableNormal">
    <w:name w:val="Normal Table"/>
    <w:semiHidden/>
    <w:rPr>
      <w:lang w:val="pl-PL" w:eastAsia="pl-PL" w:bidi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FootnoteReference">
    <w:name w:val="footnote reference"/>
    <w:basedOn w:val="DefaultParagraphFont"/>
    <w:rsid w:val="00805BCE"/>
    <w:rPr>
      <w:vertAlign w:val="superscript"/>
    </w:rPr>
  </w:style>
  <w:style w:type="paragraph" w:styleId="FootnoteText">
    <w:name w:val="footnote text"/>
    <w:basedOn w:val="Normal"/>
    <w:rsid w:val="00805BCE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image" Target="media/image3.png" /><Relationship Id="rId11" Type="http://schemas.openxmlformats.org/officeDocument/2006/relationships/image" Target="ZalacznikD3079D62-0D23-4DB5-B261-0CB13A79E0CD.jpg" TargetMode="External" /><Relationship Id="rId12" Type="http://schemas.openxmlformats.org/officeDocument/2006/relationships/image" Target="media/image4.png" /><Relationship Id="rId13" Type="http://schemas.openxmlformats.org/officeDocument/2006/relationships/image" Target="Zalacznik5A903344-69A4-449F-8991-48D7FE6CD065.jpg" TargetMode="External" /><Relationship Id="rId14" Type="http://schemas.openxmlformats.org/officeDocument/2006/relationships/image" Target="media/image5.png" /><Relationship Id="rId15" Type="http://schemas.openxmlformats.org/officeDocument/2006/relationships/image" Target="ZalacznikB978F121-E9E6-4456-8CA8-93F65B4C5C0C.jpg" TargetMode="External" /><Relationship Id="rId16" Type="http://schemas.openxmlformats.org/officeDocument/2006/relationships/image" Target="media/image6.png" /><Relationship Id="rId17" Type="http://schemas.openxmlformats.org/officeDocument/2006/relationships/image" Target="ZalacznikD3F7163E-4721-46B6-8878-F47851540AF7.jpg" TargetMode="External" /><Relationship Id="rId18" Type="http://schemas.openxmlformats.org/officeDocument/2006/relationships/image" Target="media/image7.png" /><Relationship Id="rId19" Type="http://schemas.openxmlformats.org/officeDocument/2006/relationships/image" Target="ZalacznikADE805D0-6F69-418A-904C-FC5C7369D205.jpg" TargetMode="External" /><Relationship Id="rId2" Type="http://schemas.openxmlformats.org/officeDocument/2006/relationships/settings" Target="settings.xml" /><Relationship Id="rId20" Type="http://schemas.openxmlformats.org/officeDocument/2006/relationships/image" Target="media/image8.png" /><Relationship Id="rId21" Type="http://schemas.openxmlformats.org/officeDocument/2006/relationships/image" Target="ZalacznikE8F30838-92E5-4B73-9DA1-A0FE0EF15F70.jpg" TargetMode="External" /><Relationship Id="rId22" Type="http://schemas.openxmlformats.org/officeDocument/2006/relationships/image" Target="Zalacznik9D2CD3DD-6187-4DC7-9020-20181182D7AC.jpg" TargetMode="External" /><Relationship Id="rId23" Type="http://schemas.openxmlformats.org/officeDocument/2006/relationships/footer" Target="footer2.xml" /><Relationship Id="rId24" Type="http://schemas.openxmlformats.org/officeDocument/2006/relationships/image" Target="Zalacznik3BEBBA22-2D8B-40E1-8DD6-350C00BDEF5A.jpg" TargetMode="External" /><Relationship Id="rId25" Type="http://schemas.openxmlformats.org/officeDocument/2006/relationships/footer" Target="footer3.xml" /><Relationship Id="rId26" Type="http://schemas.openxmlformats.org/officeDocument/2006/relationships/image" Target="Zalacznik7DF881F3-B5CE-419F-A0A1-97183A97E65C.jpg" TargetMode="External" /><Relationship Id="rId27" Type="http://schemas.openxmlformats.org/officeDocument/2006/relationships/footer" Target="footer4.xml" /><Relationship Id="rId28" Type="http://schemas.openxmlformats.org/officeDocument/2006/relationships/image" Target="media/image9.jpeg" /><Relationship Id="rId29" Type="http://schemas.openxmlformats.org/officeDocument/2006/relationships/footer" Target="footer5.xml" /><Relationship Id="rId3" Type="http://schemas.openxmlformats.org/officeDocument/2006/relationships/webSettings" Target="webSettings.xml" /><Relationship Id="rId30" Type="http://schemas.openxmlformats.org/officeDocument/2006/relationships/theme" Target="theme/theme1.xml" /><Relationship Id="rId31" Type="http://schemas.openxmlformats.org/officeDocument/2006/relationships/styles" Target="styles.xml" /><Relationship Id="rId4" Type="http://schemas.openxmlformats.org/officeDocument/2006/relationships/fontTable" Target="fontTable.xml" /><Relationship Id="rId5" Type="http://schemas.openxmlformats.org/officeDocument/2006/relationships/image" Target="media/image1.jpeg" /><Relationship Id="rId6" Type="http://schemas.openxmlformats.org/officeDocument/2006/relationships/image" Target="Zalacznik4FC379CA-BF72-4CA0-BC7F-21DD7A1A7297.jpg" TargetMode="External" /><Relationship Id="rId7" Type="http://schemas.openxmlformats.org/officeDocument/2006/relationships/footer" Target="footer1.xml" /><Relationship Id="rId8" Type="http://schemas.openxmlformats.org/officeDocument/2006/relationships/image" Target="media/image2.png" /><Relationship Id="rId9" Type="http://schemas.openxmlformats.org/officeDocument/2006/relationships/image" Target="Zalacznik033B0ACA-A27A-4BBD-8CEE-5EDC61A47F23.jp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Regionalny Dyrektor Ochrony Środowiska w Bydgoszczy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z dnia 20 grudnia 2024 r.</dc:title>
  <dc:subject>w^sprawie uznania za rezerwat przyrody „Zbocza Świętopełka”</dc:subject>
  <dc:creator>kleszczynska</dc:creator>
  <cp:lastModifiedBy>kleszczynska</cp:lastModifiedBy>
  <cp:revision>1</cp:revision>
  <dcterms:created xsi:type="dcterms:W3CDTF">2024-12-23T13:03:48Z</dcterms:created>
  <dcterms:modified xsi:type="dcterms:W3CDTF">2024-12-23T13:03:48Z</dcterms:modified>
  <cp:category>Akt prawny</cp:category>
</cp:coreProperties>
</file>