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28F741E" w14:textId="7219A27A" w:rsidR="005B408C" w:rsidRDefault="00081EA2" w:rsidP="00B65E59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49024" behindDoc="1" locked="0" layoutInCell="1" allowOverlap="1" wp14:anchorId="6C63F14F" wp14:editId="501C8B52">
            <wp:simplePos x="0" y="0"/>
            <wp:positionH relativeFrom="page">
              <wp:posOffset>442595</wp:posOffset>
            </wp:positionH>
            <wp:positionV relativeFrom="page">
              <wp:posOffset>576580</wp:posOffset>
            </wp:positionV>
            <wp:extent cx="2391410" cy="888365"/>
            <wp:effectExtent l="0" t="0" r="0" b="0"/>
            <wp:wrapNone/>
            <wp:docPr id="1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88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666715" w14:textId="77777777" w:rsidR="005B408C" w:rsidRDefault="005B408C" w:rsidP="00B65E5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78D75B5" w14:textId="77777777" w:rsidR="006966C4" w:rsidRDefault="006966C4" w:rsidP="00B65E59">
      <w:pPr>
        <w:spacing w:line="0" w:lineRule="atLeast"/>
        <w:jc w:val="right"/>
        <w:rPr>
          <w:rFonts w:ascii="Verdana" w:eastAsia="Verdana" w:hAnsi="Verdana"/>
          <w:color w:val="EC7F12"/>
          <w:sz w:val="18"/>
        </w:rPr>
      </w:pPr>
    </w:p>
    <w:p w14:paraId="08E992E0" w14:textId="77777777" w:rsidR="006966C4" w:rsidRDefault="006966C4" w:rsidP="00B65E59">
      <w:pPr>
        <w:spacing w:line="0" w:lineRule="atLeast"/>
        <w:jc w:val="right"/>
        <w:rPr>
          <w:rFonts w:ascii="Verdana" w:eastAsia="Verdana" w:hAnsi="Verdana"/>
          <w:color w:val="EC7F12"/>
          <w:sz w:val="18"/>
        </w:rPr>
      </w:pPr>
    </w:p>
    <w:p w14:paraId="03B44111" w14:textId="77777777" w:rsidR="005B408C" w:rsidRDefault="00587E81" w:rsidP="00B65E59">
      <w:pPr>
        <w:spacing w:line="0" w:lineRule="atLeast"/>
        <w:jc w:val="right"/>
        <w:rPr>
          <w:rFonts w:ascii="Verdana" w:eastAsia="Verdana" w:hAnsi="Verdana"/>
          <w:color w:val="EC7F12"/>
          <w:sz w:val="18"/>
        </w:rPr>
      </w:pPr>
      <w:r>
        <w:rPr>
          <w:rFonts w:ascii="Verdana" w:eastAsia="Verdana" w:hAnsi="Verdana"/>
          <w:color w:val="EC7F12"/>
          <w:sz w:val="18"/>
        </w:rPr>
        <w:t>Czerwiec</w:t>
      </w:r>
      <w:r w:rsidR="005B408C">
        <w:rPr>
          <w:rFonts w:ascii="Verdana" w:eastAsia="Verdana" w:hAnsi="Verdana"/>
          <w:color w:val="EC7F12"/>
          <w:sz w:val="18"/>
        </w:rPr>
        <w:t xml:space="preserve"> 2017</w:t>
      </w:r>
      <w:r>
        <w:rPr>
          <w:rFonts w:ascii="Verdana" w:eastAsia="Verdana" w:hAnsi="Verdana"/>
          <w:color w:val="EC7F12"/>
          <w:sz w:val="18"/>
        </w:rPr>
        <w:t xml:space="preserve"> roku</w:t>
      </w:r>
    </w:p>
    <w:p w14:paraId="3530EAAA" w14:textId="77777777" w:rsidR="005B408C" w:rsidRDefault="00587E81" w:rsidP="00B65E59">
      <w:pPr>
        <w:spacing w:line="0" w:lineRule="atLeast"/>
        <w:jc w:val="right"/>
        <w:rPr>
          <w:rFonts w:ascii="Verdana" w:eastAsia="Verdana" w:hAnsi="Verdana"/>
          <w:color w:val="EC7F12"/>
          <w:sz w:val="18"/>
        </w:rPr>
      </w:pPr>
      <w:r>
        <w:rPr>
          <w:rFonts w:ascii="Verdana" w:eastAsia="Verdana" w:hAnsi="Verdana"/>
          <w:color w:val="EC7F12"/>
          <w:sz w:val="18"/>
        </w:rPr>
        <w:t>Niniejsze zestawienie nie jest wiążące dla Trybunału i nie ma charakteru wyczerpującego</w:t>
      </w:r>
    </w:p>
    <w:p w14:paraId="30A74C28" w14:textId="77777777" w:rsidR="005B408C" w:rsidRDefault="005B408C" w:rsidP="00B65E59">
      <w:pPr>
        <w:spacing w:line="229" w:lineRule="exact"/>
        <w:rPr>
          <w:rFonts w:ascii="Times New Roman" w:eastAsia="Times New Roman" w:hAnsi="Times New Roman"/>
          <w:sz w:val="24"/>
        </w:rPr>
      </w:pPr>
    </w:p>
    <w:p w14:paraId="1D21708D" w14:textId="77777777" w:rsidR="005B408C" w:rsidRDefault="006918B3" w:rsidP="00B65E59">
      <w:pPr>
        <w:spacing w:line="0" w:lineRule="atLeast"/>
        <w:rPr>
          <w:rFonts w:ascii="Verdana" w:eastAsia="Verdana" w:hAnsi="Verdana"/>
          <w:color w:val="0072BC"/>
          <w:sz w:val="48"/>
        </w:rPr>
      </w:pPr>
      <w:r>
        <w:rPr>
          <w:rFonts w:ascii="Verdana" w:eastAsia="Verdana" w:hAnsi="Verdana"/>
          <w:color w:val="0072BC"/>
          <w:sz w:val="48"/>
        </w:rPr>
        <w:t xml:space="preserve">Wolność wyznania </w:t>
      </w:r>
    </w:p>
    <w:p w14:paraId="26E798C8" w14:textId="34747E08" w:rsidR="005B408C" w:rsidRDefault="00081EA2" w:rsidP="00B65E59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Verdana" w:eastAsia="Verdana" w:hAnsi="Verdana"/>
          <w:noProof/>
          <w:color w:val="0072BC"/>
          <w:sz w:val="48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512D42A2" wp14:editId="6D2B62A6">
                <wp:simplePos x="0" y="0"/>
                <wp:positionH relativeFrom="column">
                  <wp:posOffset>57785</wp:posOffset>
                </wp:positionH>
                <wp:positionV relativeFrom="paragraph">
                  <wp:posOffset>45085</wp:posOffset>
                </wp:positionV>
                <wp:extent cx="5768340" cy="0"/>
                <wp:effectExtent l="24130" t="22225" r="27305" b="25400"/>
                <wp:wrapNone/>
                <wp:docPr id="1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EAEA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62DB7" id="Line 5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5pt,3.55pt" to="458.7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" strokecolor="#eaeaea" strokeweight="3pt"/>
            </w:pict>
          </mc:Fallback>
        </mc:AlternateContent>
      </w:r>
    </w:p>
    <w:p w14:paraId="1DDCF60B" w14:textId="77777777" w:rsidR="005B408C" w:rsidRDefault="005B408C" w:rsidP="00B65E59">
      <w:pPr>
        <w:spacing w:line="193" w:lineRule="exact"/>
        <w:rPr>
          <w:rFonts w:ascii="Times New Roman" w:eastAsia="Times New Roman" w:hAnsi="Times New Roman"/>
          <w:sz w:val="24"/>
        </w:rPr>
      </w:pPr>
    </w:p>
    <w:p w14:paraId="40D7BF1D" w14:textId="77777777" w:rsidR="005B408C" w:rsidRDefault="00D052A7" w:rsidP="00B65E59">
      <w:pPr>
        <w:spacing w:line="265" w:lineRule="auto"/>
        <w:jc w:val="both"/>
        <w:rPr>
          <w:rFonts w:ascii="Verdana" w:eastAsia="Verdana" w:hAnsi="Verdana"/>
          <w:color w:val="E36C0A"/>
        </w:rPr>
      </w:pPr>
      <w:r>
        <w:rPr>
          <w:rFonts w:ascii="Verdana" w:eastAsia="Verdana" w:hAnsi="Verdana"/>
          <w:color w:val="E36C0A"/>
        </w:rPr>
        <w:t>Zobacz również</w:t>
      </w:r>
      <w:r w:rsidR="00753DE5">
        <w:rPr>
          <w:rFonts w:ascii="Verdana" w:eastAsia="Verdana" w:hAnsi="Verdana"/>
          <w:color w:val="E36C0A"/>
        </w:rPr>
        <w:t xml:space="preserve"> broszury informacyjne</w:t>
      </w:r>
      <w:r w:rsidR="005B408C">
        <w:rPr>
          <w:rFonts w:ascii="Verdana" w:eastAsia="Verdana" w:hAnsi="Verdana"/>
          <w:color w:val="E36C0A"/>
        </w:rPr>
        <w:t xml:space="preserve"> </w:t>
      </w:r>
      <w:hyperlink r:id="rId8" w:history="1">
        <w:r w:rsidR="005B408C">
          <w:rPr>
            <w:rFonts w:ascii="Verdana" w:eastAsia="Verdana" w:hAnsi="Verdana"/>
            <w:color w:val="0072BC"/>
            <w:u w:val="single"/>
          </w:rPr>
          <w:t>“</w:t>
        </w:r>
        <w:r w:rsidR="00753DE5">
          <w:rPr>
            <w:rFonts w:ascii="Verdana" w:eastAsia="Verdana" w:hAnsi="Verdana"/>
            <w:color w:val="0072BC"/>
            <w:u w:val="single"/>
          </w:rPr>
          <w:t>Prawa dziecka</w:t>
        </w:r>
        <w:r w:rsidR="005B408C">
          <w:rPr>
            <w:rFonts w:ascii="Verdana" w:eastAsia="Verdana" w:hAnsi="Verdana"/>
            <w:color w:val="0072BC"/>
            <w:u w:val="single"/>
          </w:rPr>
          <w:t>”</w:t>
        </w:r>
      </w:hyperlink>
      <w:r w:rsidR="005B408C">
        <w:rPr>
          <w:rFonts w:ascii="Verdana" w:eastAsia="Verdana" w:hAnsi="Verdana"/>
          <w:color w:val="E36C0A"/>
        </w:rPr>
        <w:t xml:space="preserve">, </w:t>
      </w:r>
      <w:hyperlink r:id="rId9" w:history="1">
        <w:r w:rsidR="005B408C">
          <w:rPr>
            <w:rFonts w:ascii="Verdana" w:eastAsia="Verdana" w:hAnsi="Verdana"/>
            <w:color w:val="0072BC"/>
            <w:u w:val="single"/>
          </w:rPr>
          <w:t>“</w:t>
        </w:r>
        <w:r w:rsidR="00476405">
          <w:rPr>
            <w:rFonts w:ascii="Verdana" w:eastAsia="Verdana" w:hAnsi="Verdana"/>
            <w:color w:val="0072BC"/>
            <w:u w:val="single"/>
          </w:rPr>
          <w:t>klauzula sumienia</w:t>
        </w:r>
        <w:r w:rsidR="005B408C">
          <w:rPr>
            <w:rFonts w:ascii="Verdana" w:eastAsia="Verdana" w:hAnsi="Verdana"/>
            <w:color w:val="0072BC"/>
            <w:u w:val="single"/>
          </w:rPr>
          <w:t>”</w:t>
        </w:r>
      </w:hyperlink>
      <w:r w:rsidR="005B408C">
        <w:rPr>
          <w:rFonts w:ascii="Verdana" w:eastAsia="Verdana" w:hAnsi="Verdana"/>
          <w:color w:val="E36C0A"/>
        </w:rPr>
        <w:t xml:space="preserve">, </w:t>
      </w:r>
      <w:hyperlink r:id="rId10" w:history="1">
        <w:r w:rsidR="005B408C">
          <w:rPr>
            <w:rFonts w:ascii="Verdana" w:eastAsia="Verdana" w:hAnsi="Verdana"/>
            <w:color w:val="0072BC"/>
            <w:u w:val="single"/>
          </w:rPr>
          <w:t>“</w:t>
        </w:r>
        <w:r w:rsidR="00476405">
          <w:rPr>
            <w:rFonts w:ascii="Verdana" w:eastAsia="Verdana" w:hAnsi="Verdana"/>
            <w:color w:val="0072BC"/>
            <w:u w:val="single"/>
          </w:rPr>
          <w:t>Zdrowie</w:t>
        </w:r>
        <w:r w:rsidR="005B408C">
          <w:rPr>
            <w:rFonts w:ascii="Verdana" w:eastAsia="Verdana" w:hAnsi="Verdana"/>
            <w:color w:val="0072BC"/>
            <w:u w:val="single"/>
          </w:rPr>
          <w:t>”</w:t>
        </w:r>
      </w:hyperlink>
      <w:r w:rsidR="005B408C">
        <w:rPr>
          <w:rFonts w:ascii="Verdana" w:eastAsia="Verdana" w:hAnsi="Verdana"/>
          <w:color w:val="E36C0A"/>
        </w:rPr>
        <w:t xml:space="preserve">, </w:t>
      </w:r>
      <w:hyperlink r:id="rId11" w:history="1">
        <w:r w:rsidR="005B408C">
          <w:rPr>
            <w:rFonts w:ascii="Verdana" w:eastAsia="Verdana" w:hAnsi="Verdana"/>
            <w:color w:val="0072BC"/>
            <w:u w:val="single"/>
          </w:rPr>
          <w:t>“</w:t>
        </w:r>
        <w:r w:rsidR="00476405">
          <w:rPr>
            <w:rFonts w:ascii="Verdana" w:eastAsia="Verdana" w:hAnsi="Verdana"/>
            <w:color w:val="0072BC"/>
            <w:u w:val="single"/>
          </w:rPr>
          <w:t>Prawa rodzicielskie</w:t>
        </w:r>
        <w:r w:rsidR="005B408C">
          <w:rPr>
            <w:rFonts w:ascii="Verdana" w:eastAsia="Verdana" w:hAnsi="Verdana"/>
            <w:color w:val="0072BC"/>
            <w:u w:val="single"/>
          </w:rPr>
          <w:t>”</w:t>
        </w:r>
      </w:hyperlink>
      <w:r w:rsidR="005B408C">
        <w:rPr>
          <w:rFonts w:ascii="Verdana" w:eastAsia="Verdana" w:hAnsi="Verdana"/>
          <w:color w:val="E36C0A"/>
        </w:rPr>
        <w:t>,</w:t>
      </w:r>
      <w:r w:rsidR="005B408C">
        <w:rPr>
          <w:rFonts w:ascii="Verdana" w:eastAsia="Verdana" w:hAnsi="Verdana"/>
          <w:color w:val="0072BC"/>
        </w:rPr>
        <w:t xml:space="preserve"> </w:t>
      </w:r>
      <w:hyperlink r:id="rId12" w:history="1">
        <w:r w:rsidR="005B408C">
          <w:rPr>
            <w:rFonts w:ascii="Verdana" w:eastAsia="Verdana" w:hAnsi="Verdana"/>
            <w:color w:val="0072BC"/>
            <w:u w:val="single"/>
          </w:rPr>
          <w:t>“</w:t>
        </w:r>
        <w:r w:rsidR="00476405">
          <w:rPr>
            <w:rFonts w:ascii="Verdana" w:eastAsia="Verdana" w:hAnsi="Verdana"/>
            <w:color w:val="0072BC"/>
            <w:u w:val="single"/>
          </w:rPr>
          <w:t>Symbole religijne oraz ubiór</w:t>
        </w:r>
        <w:r w:rsidR="005B408C">
          <w:rPr>
            <w:rFonts w:ascii="Verdana" w:eastAsia="Verdana" w:hAnsi="Verdana"/>
            <w:color w:val="0072BC"/>
            <w:u w:val="single"/>
          </w:rPr>
          <w:t>”</w:t>
        </w:r>
      </w:hyperlink>
      <w:r w:rsidR="005B408C">
        <w:rPr>
          <w:rFonts w:ascii="Verdana" w:eastAsia="Verdana" w:hAnsi="Verdana"/>
          <w:color w:val="E36C0A"/>
        </w:rPr>
        <w:t>,</w:t>
      </w:r>
      <w:r w:rsidR="005B408C">
        <w:rPr>
          <w:rFonts w:ascii="Verdana" w:eastAsia="Verdana" w:hAnsi="Verdana"/>
          <w:color w:val="0072BC"/>
        </w:rPr>
        <w:t xml:space="preserve"> </w:t>
      </w:r>
      <w:hyperlink r:id="rId13" w:history="1">
        <w:r w:rsidR="005B408C">
          <w:rPr>
            <w:rFonts w:ascii="Verdana" w:eastAsia="Verdana" w:hAnsi="Verdana"/>
            <w:color w:val="0072BC"/>
            <w:u w:val="single"/>
          </w:rPr>
          <w:t>“</w:t>
        </w:r>
        <w:r w:rsidR="00476405">
          <w:rPr>
            <w:rFonts w:ascii="Verdana" w:eastAsia="Verdana" w:hAnsi="Verdana"/>
            <w:color w:val="0072BC"/>
            <w:u w:val="single"/>
          </w:rPr>
          <w:t>Opodatkowanie</w:t>
        </w:r>
        <w:r w:rsidR="005B408C">
          <w:rPr>
            <w:rFonts w:ascii="Verdana" w:eastAsia="Verdana" w:hAnsi="Verdana"/>
            <w:color w:val="0072BC"/>
            <w:u w:val="single"/>
          </w:rPr>
          <w:t>”</w:t>
        </w:r>
      </w:hyperlink>
      <w:r w:rsidR="005B408C">
        <w:rPr>
          <w:rFonts w:ascii="Verdana" w:eastAsia="Verdana" w:hAnsi="Verdana"/>
          <w:color w:val="E36C0A"/>
        </w:rPr>
        <w:t>,</w:t>
      </w:r>
      <w:r w:rsidR="005B408C">
        <w:rPr>
          <w:rFonts w:ascii="Verdana" w:eastAsia="Verdana" w:hAnsi="Verdana"/>
          <w:color w:val="0072BC"/>
        </w:rPr>
        <w:t xml:space="preserve"> </w:t>
      </w:r>
      <w:hyperlink r:id="rId14" w:history="1">
        <w:r w:rsidR="00A40283">
          <w:rPr>
            <w:rFonts w:ascii="Verdana" w:eastAsia="Verdana" w:hAnsi="Verdana"/>
            <w:color w:val="0072BC"/>
            <w:u w:val="single"/>
          </w:rPr>
          <w:t>“Prawa związane z pracą</w:t>
        </w:r>
        <w:r w:rsidR="005B408C">
          <w:rPr>
            <w:rFonts w:ascii="Verdana" w:eastAsia="Verdana" w:hAnsi="Verdana"/>
            <w:color w:val="0072BC"/>
            <w:u w:val="single"/>
          </w:rPr>
          <w:t>”</w:t>
        </w:r>
      </w:hyperlink>
      <w:r w:rsidR="005B408C">
        <w:rPr>
          <w:rFonts w:ascii="Verdana" w:eastAsia="Verdana" w:hAnsi="Verdana"/>
          <w:color w:val="E36C0A"/>
        </w:rPr>
        <w:t>.</w:t>
      </w:r>
    </w:p>
    <w:p w14:paraId="2FCBA170" w14:textId="00462C0D" w:rsidR="005B408C" w:rsidRDefault="00081EA2" w:rsidP="00B65E59">
      <w:pPr>
        <w:spacing w:line="20" w:lineRule="exact"/>
        <w:rPr>
          <w:rFonts w:ascii="Verdana" w:eastAsia="Verdana" w:hAnsi="Verdana"/>
          <w:color w:val="0072BC"/>
        </w:rPr>
      </w:pPr>
      <w:r>
        <w:rPr>
          <w:rFonts w:ascii="Verdana" w:eastAsia="Verdana" w:hAnsi="Verdana"/>
          <w:noProof/>
          <w:color w:val="E36C0A"/>
        </w:rPr>
        <w:drawing>
          <wp:anchor distT="0" distB="0" distL="114300" distR="114300" simplePos="0" relativeHeight="251651072" behindDoc="1" locked="0" layoutInCell="1" allowOverlap="1" wp14:anchorId="50622016" wp14:editId="37B39ACB">
            <wp:simplePos x="0" y="0"/>
            <wp:positionH relativeFrom="column">
              <wp:posOffset>1270</wp:posOffset>
            </wp:positionH>
            <wp:positionV relativeFrom="paragraph">
              <wp:posOffset>98425</wp:posOffset>
            </wp:positionV>
            <wp:extent cx="5881370" cy="166370"/>
            <wp:effectExtent l="0" t="0" r="0" b="0"/>
            <wp:wrapNone/>
            <wp:docPr id="17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370" cy="166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FD20BA" w14:textId="4028DC02" w:rsidR="005B408C" w:rsidRDefault="00081EA2" w:rsidP="00B65E59">
      <w:pPr>
        <w:spacing w:line="105" w:lineRule="exact"/>
        <w:rPr>
          <w:rFonts w:ascii="Verdana" w:eastAsia="Verdana" w:hAnsi="Verdana"/>
          <w:color w:val="0072BC"/>
        </w:rPr>
      </w:pPr>
      <w:r>
        <w:rPr>
          <w:rFonts w:ascii="Verdana" w:eastAsia="Verdana" w:hAnsi="Verdana"/>
          <w:noProof/>
          <w:color w:val="404040"/>
          <w:sz w:val="19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5F75C0A9" wp14:editId="5EA02142">
                <wp:simplePos x="0" y="0"/>
                <wp:positionH relativeFrom="column">
                  <wp:posOffset>-33655</wp:posOffset>
                </wp:positionH>
                <wp:positionV relativeFrom="paragraph">
                  <wp:posOffset>32385</wp:posOffset>
                </wp:positionV>
                <wp:extent cx="6052820" cy="1614170"/>
                <wp:effectExtent l="0" t="2540" r="0" b="2540"/>
                <wp:wrapNone/>
                <wp:docPr id="1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2820" cy="161417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FA39D" id="Rectangle 10" o:spid="_x0000_s1026" style="position:absolute;margin-left:-2.65pt;margin-top:2.55pt;width:476.6pt;height:127.1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" fillcolor="#f3f3f3" strokecolor="white"/>
            </w:pict>
          </mc:Fallback>
        </mc:AlternateContent>
      </w:r>
    </w:p>
    <w:p w14:paraId="56DD4DA5" w14:textId="77777777" w:rsidR="005B408C" w:rsidRDefault="00A820C3" w:rsidP="00B65E59">
      <w:pPr>
        <w:tabs>
          <w:tab w:val="num" w:pos="720"/>
        </w:tabs>
        <w:spacing w:line="0" w:lineRule="atLeast"/>
        <w:jc w:val="both"/>
        <w:rPr>
          <w:rFonts w:ascii="Verdana" w:eastAsia="Verdana" w:hAnsi="Verdana"/>
          <w:b/>
          <w:color w:val="0072BC"/>
          <w:sz w:val="19"/>
          <w:u w:val="single"/>
        </w:rPr>
      </w:pPr>
      <w:r>
        <w:rPr>
          <w:rFonts w:ascii="Verdana" w:eastAsia="Verdana" w:hAnsi="Verdana"/>
          <w:b/>
          <w:color w:val="404040"/>
          <w:sz w:val="19"/>
        </w:rPr>
        <w:t xml:space="preserve">Artykuł 9 </w:t>
      </w:r>
      <w:r w:rsidR="005B408C">
        <w:rPr>
          <w:rFonts w:ascii="Verdana" w:eastAsia="Verdana" w:hAnsi="Verdana"/>
          <w:b/>
          <w:color w:val="404040"/>
          <w:sz w:val="19"/>
        </w:rPr>
        <w:t xml:space="preserve"> (</w:t>
      </w:r>
      <w:r>
        <w:rPr>
          <w:rFonts w:ascii="Verdana" w:eastAsia="Verdana" w:hAnsi="Verdana"/>
          <w:b/>
          <w:color w:val="404040"/>
          <w:sz w:val="19"/>
        </w:rPr>
        <w:t>wolność myśli, sumienia i wyznania</w:t>
      </w:r>
      <w:r w:rsidR="005B408C">
        <w:rPr>
          <w:rFonts w:ascii="Verdana" w:eastAsia="Verdana" w:hAnsi="Verdana"/>
          <w:b/>
          <w:color w:val="404040"/>
          <w:sz w:val="19"/>
        </w:rPr>
        <w:t xml:space="preserve">) </w:t>
      </w:r>
      <w:hyperlink r:id="rId16" w:history="1">
        <w:r>
          <w:rPr>
            <w:rFonts w:ascii="Verdana" w:eastAsia="Verdana" w:hAnsi="Verdana"/>
            <w:b/>
            <w:color w:val="0072BC"/>
            <w:sz w:val="19"/>
            <w:u w:val="single"/>
          </w:rPr>
          <w:t>Europejskiej Konwencji</w:t>
        </w:r>
        <w:r w:rsidR="0029737D">
          <w:rPr>
            <w:rFonts w:ascii="Verdana" w:eastAsia="Verdana" w:hAnsi="Verdana"/>
            <w:b/>
            <w:color w:val="0072BC"/>
            <w:sz w:val="19"/>
            <w:u w:val="single"/>
          </w:rPr>
          <w:t xml:space="preserve"> </w:t>
        </w:r>
        <w:r>
          <w:rPr>
            <w:rFonts w:ascii="Verdana" w:eastAsia="Verdana" w:hAnsi="Verdana"/>
            <w:b/>
            <w:color w:val="0072BC"/>
            <w:sz w:val="19"/>
            <w:u w:val="single"/>
          </w:rPr>
          <w:t>Praw Człowieka</w:t>
        </w:r>
        <w:r w:rsidR="005B408C">
          <w:rPr>
            <w:rFonts w:ascii="Verdana" w:eastAsia="Verdana" w:hAnsi="Verdana"/>
            <w:b/>
            <w:color w:val="0072BC"/>
            <w:sz w:val="19"/>
            <w:u w:val="single"/>
          </w:rPr>
          <w:t xml:space="preserve"> </w:t>
        </w:r>
      </w:hyperlink>
    </w:p>
    <w:p w14:paraId="02F89720" w14:textId="1C0D9DF6" w:rsidR="005B408C" w:rsidRDefault="00081EA2" w:rsidP="00B65E59">
      <w:pPr>
        <w:spacing w:line="20" w:lineRule="exact"/>
        <w:jc w:val="both"/>
        <w:rPr>
          <w:rFonts w:ascii="Verdana" w:eastAsia="Verdana" w:hAnsi="Verdana"/>
          <w:color w:val="0072BC"/>
        </w:rPr>
      </w:pPr>
      <w:r>
        <w:rPr>
          <w:rFonts w:ascii="Verdana" w:eastAsia="Verdana" w:hAnsi="Verdana"/>
          <w:b/>
          <w:noProof/>
          <w:color w:val="404040"/>
          <w:sz w:val="19"/>
        </w:rPr>
        <w:drawing>
          <wp:anchor distT="0" distB="0" distL="114300" distR="114300" simplePos="0" relativeHeight="251652096" behindDoc="1" locked="0" layoutInCell="1" allowOverlap="1" wp14:anchorId="436CF6F9" wp14:editId="5BEC8741">
            <wp:simplePos x="0" y="0"/>
            <wp:positionH relativeFrom="column">
              <wp:posOffset>7620</wp:posOffset>
            </wp:positionH>
            <wp:positionV relativeFrom="paragraph">
              <wp:posOffset>-141605</wp:posOffset>
            </wp:positionV>
            <wp:extent cx="5875020" cy="332105"/>
            <wp:effectExtent l="0" t="0" r="0" b="0"/>
            <wp:wrapNone/>
            <wp:docPr id="15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020" cy="332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CA547C" w14:textId="77777777" w:rsidR="005B408C" w:rsidRDefault="000C210F" w:rsidP="00B65E59">
      <w:pPr>
        <w:tabs>
          <w:tab w:val="num" w:pos="720"/>
        </w:tabs>
        <w:spacing w:line="0" w:lineRule="atLeast"/>
        <w:jc w:val="both"/>
        <w:rPr>
          <w:rFonts w:ascii="Verdana" w:eastAsia="Verdana" w:hAnsi="Verdana"/>
          <w:color w:val="404040"/>
          <w:sz w:val="19"/>
        </w:rPr>
      </w:pPr>
      <w:r>
        <w:rPr>
          <w:rFonts w:ascii="Verdana" w:eastAsia="Verdana" w:hAnsi="Verdana"/>
          <w:color w:val="0072BC"/>
        </w:rPr>
        <w:tab/>
      </w:r>
      <w:r w:rsidR="00926AE2">
        <w:rPr>
          <w:rFonts w:ascii="Verdana" w:eastAsia="Verdana" w:hAnsi="Verdana"/>
          <w:color w:val="404040"/>
          <w:sz w:val="19"/>
        </w:rPr>
        <w:t>“1. Każdy ma prawo do wolności myśli, sumienia i wyznania; prawo to obejmuje wolność zmiany wyznania lub przekonań oraz wolność uzewnętrzniania indywidualnie lub wspólnie z innymi, publicznie lub prywatnie, swego wyznania lub przekonań przez uprawianie kultu, nauczanie, praktykowanie i czynności rytualne.</w:t>
      </w:r>
    </w:p>
    <w:p w14:paraId="0E17D2D3" w14:textId="77777777" w:rsidR="000C210F" w:rsidRDefault="000C210F" w:rsidP="00B65E59">
      <w:pPr>
        <w:tabs>
          <w:tab w:val="num" w:pos="720"/>
        </w:tabs>
        <w:spacing w:line="0" w:lineRule="atLeast"/>
        <w:jc w:val="both"/>
        <w:rPr>
          <w:rFonts w:ascii="Verdana" w:eastAsia="Verdana" w:hAnsi="Verdana"/>
          <w:color w:val="404040"/>
          <w:sz w:val="19"/>
        </w:rPr>
      </w:pPr>
      <w:r>
        <w:rPr>
          <w:rFonts w:ascii="Verdana" w:eastAsia="Verdana" w:hAnsi="Verdana"/>
          <w:color w:val="0072BC"/>
        </w:rPr>
        <w:tab/>
      </w:r>
      <w:r>
        <w:rPr>
          <w:rFonts w:ascii="Verdana" w:eastAsia="Verdana" w:hAnsi="Verdana"/>
          <w:color w:val="404040"/>
          <w:sz w:val="19"/>
        </w:rPr>
        <w:t>2. Wolność uzewnętrzniania wyznania lub przekonań może podlegać jedynie takim ograniczeniom, które są przewidziane przez ustawę i konieczne w społeczeństwie demokratycznym z uwagi na interesy bezpieczeństwa publicznego, zdrowia i moralności lub ochronę praw i wolności innych osób.</w:t>
      </w:r>
      <w:r w:rsidR="006966C4">
        <w:rPr>
          <w:rFonts w:ascii="Verdana" w:eastAsia="Verdana" w:hAnsi="Verdana"/>
          <w:color w:val="404040"/>
          <w:sz w:val="19"/>
        </w:rPr>
        <w:t>”</w:t>
      </w:r>
    </w:p>
    <w:p w14:paraId="42FF8E7E" w14:textId="77777777" w:rsidR="00926AE2" w:rsidRPr="000C210F" w:rsidRDefault="00926AE2" w:rsidP="00B65E59">
      <w:pPr>
        <w:spacing w:line="20" w:lineRule="exact"/>
        <w:jc w:val="both"/>
        <w:rPr>
          <w:rFonts w:ascii="Verdana" w:eastAsia="Verdana" w:hAnsi="Verdana"/>
          <w:color w:val="0072BC"/>
        </w:rPr>
      </w:pPr>
      <w:r w:rsidRPr="00926AE2">
        <w:rPr>
          <w:rFonts w:ascii="MyriadPro" w:hAnsi="MyriadPro"/>
          <w:sz w:val="19"/>
          <w:szCs w:val="19"/>
        </w:rPr>
        <w:t xml:space="preserve"> </w:t>
      </w:r>
    </w:p>
    <w:p w14:paraId="610A4732" w14:textId="77777777" w:rsidR="005B408C" w:rsidRDefault="005B408C" w:rsidP="00B65E59">
      <w:pPr>
        <w:spacing w:line="0" w:lineRule="atLeast"/>
        <w:rPr>
          <w:rFonts w:ascii="Verdana" w:eastAsia="Verdana" w:hAnsi="Verdana"/>
          <w:color w:val="404040"/>
          <w:sz w:val="19"/>
        </w:rPr>
      </w:pPr>
    </w:p>
    <w:p w14:paraId="625A37AE" w14:textId="77777777" w:rsidR="005B408C" w:rsidRDefault="005B408C" w:rsidP="00B65E59">
      <w:pPr>
        <w:spacing w:line="20" w:lineRule="exact"/>
        <w:rPr>
          <w:rFonts w:ascii="Verdana" w:eastAsia="Verdana" w:hAnsi="Verdana"/>
          <w:color w:val="0072BC"/>
        </w:rPr>
      </w:pPr>
    </w:p>
    <w:p w14:paraId="3A170B58" w14:textId="77777777" w:rsidR="005B408C" w:rsidRDefault="005B408C" w:rsidP="00B65E59">
      <w:pPr>
        <w:spacing w:line="209" w:lineRule="exact"/>
        <w:rPr>
          <w:rFonts w:ascii="Verdana" w:eastAsia="Verdana" w:hAnsi="Verdana"/>
          <w:color w:val="0072BC"/>
        </w:rPr>
      </w:pPr>
    </w:p>
    <w:p w14:paraId="211AEF7C" w14:textId="77777777" w:rsidR="005B408C" w:rsidRDefault="00A15B6A" w:rsidP="00B65E59">
      <w:pPr>
        <w:spacing w:line="0" w:lineRule="atLeast"/>
        <w:rPr>
          <w:rFonts w:ascii="Verdana" w:eastAsia="Verdana" w:hAnsi="Verdana"/>
          <w:color w:val="0072BC"/>
          <w:sz w:val="28"/>
        </w:rPr>
      </w:pPr>
      <w:r>
        <w:rPr>
          <w:rFonts w:ascii="Verdana" w:eastAsia="Verdana" w:hAnsi="Verdana"/>
          <w:color w:val="0072BC"/>
          <w:sz w:val="28"/>
        </w:rPr>
        <w:t>Edukacja dzieci i/a przekonania religijne rodziców</w:t>
      </w:r>
    </w:p>
    <w:p w14:paraId="21622A96" w14:textId="44711080" w:rsidR="005B408C" w:rsidRDefault="00081EA2" w:rsidP="00B65E59">
      <w:pPr>
        <w:spacing w:line="20" w:lineRule="exact"/>
        <w:rPr>
          <w:rFonts w:ascii="Verdana" w:eastAsia="Verdana" w:hAnsi="Verdana"/>
          <w:color w:val="0072BC"/>
        </w:rPr>
      </w:pPr>
      <w:r>
        <w:rPr>
          <w:rFonts w:ascii="Verdana" w:eastAsia="Verdana" w:hAnsi="Verdana"/>
          <w:noProof/>
          <w:color w:val="0072BC"/>
          <w:sz w:val="28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464B97A8" wp14:editId="037541FC">
                <wp:simplePos x="0" y="0"/>
                <wp:positionH relativeFrom="column">
                  <wp:posOffset>57785</wp:posOffset>
                </wp:positionH>
                <wp:positionV relativeFrom="paragraph">
                  <wp:posOffset>68580</wp:posOffset>
                </wp:positionV>
                <wp:extent cx="5768340" cy="0"/>
                <wp:effectExtent l="14605" t="9525" r="17780" b="9525"/>
                <wp:wrapNone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999999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0AFDE" id="Line 12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5pt,5.4pt" to="458.7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" strokecolor="#999" strokeweight="1.44pt">
                <v:stroke dashstyle="3 1"/>
              </v:line>
            </w:pict>
          </mc:Fallback>
        </mc:AlternateContent>
      </w:r>
    </w:p>
    <w:p w14:paraId="4E087B5B" w14:textId="77777777" w:rsidR="005B408C" w:rsidRDefault="005B408C" w:rsidP="00B65E59">
      <w:pPr>
        <w:spacing w:line="206" w:lineRule="exact"/>
        <w:rPr>
          <w:rFonts w:ascii="Verdana" w:eastAsia="Verdana" w:hAnsi="Verdana"/>
          <w:color w:val="0072BC"/>
        </w:rPr>
      </w:pPr>
    </w:p>
    <w:p w14:paraId="36713B1C" w14:textId="77777777" w:rsidR="005B408C" w:rsidRDefault="005B408C" w:rsidP="00B65E59">
      <w:pPr>
        <w:spacing w:line="0" w:lineRule="atLeast"/>
        <w:rPr>
          <w:rFonts w:ascii="Verdana" w:eastAsia="Verdana" w:hAnsi="Verdana"/>
          <w:b/>
          <w:color w:val="0072BC"/>
          <w:u w:val="single"/>
        </w:rPr>
      </w:pPr>
      <w:r>
        <w:rPr>
          <w:rFonts w:ascii="Verdana" w:eastAsia="Verdana" w:hAnsi="Verdana"/>
          <w:b/>
          <w:color w:val="0072BC"/>
          <w:u w:val="single"/>
        </w:rPr>
        <w:t>Osmano</w:t>
      </w:r>
      <w:r>
        <w:rPr>
          <w:rFonts w:ascii="Arial" w:eastAsia="Arial" w:hAnsi="Arial"/>
          <w:b/>
          <w:color w:val="0072BC"/>
          <w:u w:val="single"/>
        </w:rPr>
        <w:t>ǧ</w:t>
      </w:r>
      <w:r w:rsidR="00A15B6A">
        <w:rPr>
          <w:rFonts w:ascii="Verdana" w:eastAsia="Verdana" w:hAnsi="Verdana"/>
          <w:b/>
          <w:color w:val="0072BC"/>
          <w:u w:val="single"/>
        </w:rPr>
        <w:t>lu i</w:t>
      </w:r>
      <w:r>
        <w:rPr>
          <w:rFonts w:ascii="Verdana" w:eastAsia="Verdana" w:hAnsi="Verdana"/>
          <w:b/>
          <w:color w:val="0072BC"/>
          <w:u w:val="single"/>
        </w:rPr>
        <w:t xml:space="preserve"> Kocabaş</w:t>
      </w:r>
      <w:r w:rsidR="00A15B6A">
        <w:rPr>
          <w:rFonts w:ascii="Verdana" w:eastAsia="Verdana" w:hAnsi="Verdana"/>
          <w:b/>
          <w:color w:val="0072BC"/>
          <w:u w:val="single"/>
        </w:rPr>
        <w:t xml:space="preserve"> przeciwko Szwajcarii</w:t>
      </w:r>
    </w:p>
    <w:p w14:paraId="30F56DFA" w14:textId="77777777" w:rsidR="005B408C" w:rsidRDefault="005B408C" w:rsidP="00B65E59">
      <w:pPr>
        <w:spacing w:line="69" w:lineRule="exact"/>
        <w:rPr>
          <w:rFonts w:ascii="Verdana" w:eastAsia="Verdana" w:hAnsi="Verdana"/>
          <w:color w:val="0072BC"/>
        </w:rPr>
      </w:pPr>
    </w:p>
    <w:p w14:paraId="5288CA43" w14:textId="77777777" w:rsidR="005B408C" w:rsidRDefault="00A15B6A" w:rsidP="00B65E59">
      <w:pPr>
        <w:spacing w:line="0" w:lineRule="atLeast"/>
        <w:rPr>
          <w:rFonts w:ascii="Verdana" w:eastAsia="Verdana" w:hAnsi="Verdana"/>
          <w:color w:val="808080"/>
          <w:sz w:val="18"/>
        </w:rPr>
      </w:pPr>
      <w:r>
        <w:rPr>
          <w:rFonts w:ascii="Verdana" w:eastAsia="Verdana" w:hAnsi="Verdana"/>
          <w:color w:val="808080"/>
          <w:sz w:val="18"/>
        </w:rPr>
        <w:t>10 styczeń</w:t>
      </w:r>
      <w:r w:rsidR="005B408C">
        <w:rPr>
          <w:rFonts w:ascii="Verdana" w:eastAsia="Verdana" w:hAnsi="Verdana"/>
          <w:color w:val="808080"/>
          <w:sz w:val="18"/>
        </w:rPr>
        <w:t xml:space="preserve"> 2017</w:t>
      </w:r>
      <w:r w:rsidR="006966C4">
        <w:rPr>
          <w:rFonts w:ascii="Verdana" w:eastAsia="Verdana" w:hAnsi="Verdana"/>
          <w:color w:val="808080"/>
          <w:sz w:val="18"/>
        </w:rPr>
        <w:t xml:space="preserve"> roku</w:t>
      </w:r>
    </w:p>
    <w:p w14:paraId="64C46041" w14:textId="77777777" w:rsidR="005B408C" w:rsidRDefault="005B408C" w:rsidP="00B65E59">
      <w:pPr>
        <w:spacing w:line="1" w:lineRule="exact"/>
        <w:rPr>
          <w:rFonts w:ascii="Verdana" w:eastAsia="Verdana" w:hAnsi="Verdana"/>
          <w:color w:val="0072BC"/>
        </w:rPr>
      </w:pPr>
    </w:p>
    <w:p w14:paraId="5CAD7760" w14:textId="77777777" w:rsidR="005B408C" w:rsidRDefault="00A15B6A" w:rsidP="00B65E59">
      <w:pPr>
        <w:spacing w:line="239" w:lineRule="auto"/>
        <w:jc w:val="both"/>
        <w:rPr>
          <w:rFonts w:ascii="Verdana" w:eastAsia="Verdana" w:hAnsi="Verdana"/>
        </w:rPr>
      </w:pPr>
      <w:r>
        <w:rPr>
          <w:rFonts w:ascii="Verdana" w:eastAsia="Verdana" w:hAnsi="Verdana"/>
        </w:rPr>
        <w:t xml:space="preserve">Sprawa ta dotyczy odmowy rodziców wyznania muzułmańskiego posłania </w:t>
      </w:r>
      <w:r w:rsidR="00CF3997" w:rsidRPr="00DC3D5E">
        <w:rPr>
          <w:rFonts w:ascii="Verdana" w:eastAsia="Verdana" w:hAnsi="Verdana"/>
          <w:color w:val="000000"/>
        </w:rPr>
        <w:t>córek</w:t>
      </w:r>
      <w:r w:rsidR="00CF3997">
        <w:rPr>
          <w:rFonts w:ascii="Verdana" w:eastAsia="Verdana" w:hAnsi="Verdana"/>
        </w:rPr>
        <w:t>, które</w:t>
      </w:r>
      <w:r w:rsidR="008514DB">
        <w:rPr>
          <w:rFonts w:ascii="Verdana" w:eastAsia="Verdana" w:hAnsi="Verdana"/>
        </w:rPr>
        <w:t xml:space="preserve"> nie osiągnęły</w:t>
      </w:r>
      <w:r>
        <w:rPr>
          <w:rFonts w:ascii="Verdana" w:eastAsia="Verdana" w:hAnsi="Verdana"/>
        </w:rPr>
        <w:t xml:space="preserve"> wieku </w:t>
      </w:r>
      <w:r w:rsidR="001D3A80">
        <w:rPr>
          <w:rFonts w:ascii="Verdana" w:eastAsia="Verdana" w:hAnsi="Verdana"/>
        </w:rPr>
        <w:t>dojrzewania</w:t>
      </w:r>
      <w:r>
        <w:rPr>
          <w:rFonts w:ascii="Verdana" w:eastAsia="Verdana" w:hAnsi="Verdana"/>
        </w:rPr>
        <w:t xml:space="preserve">, na obowiązkowe koedukacyjne lekcje pływania będące częścią </w:t>
      </w:r>
      <w:r w:rsidR="000252C4">
        <w:rPr>
          <w:rFonts w:ascii="Verdana" w:eastAsia="Verdana" w:hAnsi="Verdana"/>
        </w:rPr>
        <w:t xml:space="preserve">programu nauczania oraz odmowy przez </w:t>
      </w:r>
      <w:r w:rsidR="00DF27B8">
        <w:rPr>
          <w:rFonts w:ascii="Verdana" w:eastAsia="Verdana" w:hAnsi="Verdana"/>
        </w:rPr>
        <w:t>władze</w:t>
      </w:r>
      <w:r w:rsidR="000252C4">
        <w:rPr>
          <w:rFonts w:ascii="Verdana" w:eastAsia="Verdana" w:hAnsi="Verdana"/>
        </w:rPr>
        <w:t xml:space="preserve"> </w:t>
      </w:r>
      <w:r w:rsidR="00DF27B8">
        <w:rPr>
          <w:rFonts w:ascii="Verdana" w:eastAsia="Verdana" w:hAnsi="Verdana"/>
        </w:rPr>
        <w:t>zwolnienia z tego obowiązku</w:t>
      </w:r>
      <w:r w:rsidR="000252C4">
        <w:rPr>
          <w:rFonts w:ascii="Verdana" w:eastAsia="Verdana" w:hAnsi="Verdana"/>
        </w:rPr>
        <w:t xml:space="preserve">. Skarżący zarzucili, iż wymóg posłania ich córki na koedukacyjne lekcje pływania </w:t>
      </w:r>
      <w:r w:rsidR="005F48B5">
        <w:rPr>
          <w:rFonts w:ascii="Verdana" w:eastAsia="Verdana" w:hAnsi="Verdana"/>
        </w:rPr>
        <w:t>był sprzeczny</w:t>
      </w:r>
      <w:r w:rsidR="000252C4">
        <w:rPr>
          <w:rFonts w:ascii="Verdana" w:eastAsia="Verdana" w:hAnsi="Verdana"/>
        </w:rPr>
        <w:t xml:space="preserve"> z ich przekonaniami religijnymi. </w:t>
      </w:r>
      <w:r>
        <w:rPr>
          <w:rFonts w:ascii="Verdana" w:eastAsia="Verdana" w:hAnsi="Verdana"/>
        </w:rPr>
        <w:t xml:space="preserve"> </w:t>
      </w:r>
    </w:p>
    <w:p w14:paraId="05C98EF2" w14:textId="77777777" w:rsidR="005B408C" w:rsidRDefault="000252C4" w:rsidP="00B65E59">
      <w:pPr>
        <w:spacing w:line="241" w:lineRule="auto"/>
        <w:jc w:val="both"/>
        <w:rPr>
          <w:rFonts w:ascii="Times New Roman" w:eastAsia="Times New Roman" w:hAnsi="Times New Roman"/>
        </w:rPr>
      </w:pPr>
      <w:r>
        <w:rPr>
          <w:rFonts w:ascii="Verdana" w:eastAsia="Verdana" w:hAnsi="Verdana"/>
          <w:color w:val="0072BC"/>
        </w:rPr>
        <w:t xml:space="preserve">Trybunał </w:t>
      </w:r>
      <w:r w:rsidR="00D90A5D">
        <w:rPr>
          <w:rFonts w:ascii="Verdana" w:eastAsia="Verdana" w:hAnsi="Verdana"/>
          <w:color w:val="0072BC"/>
        </w:rPr>
        <w:t>orzekł</w:t>
      </w:r>
      <w:r>
        <w:rPr>
          <w:rFonts w:ascii="Verdana" w:eastAsia="Verdana" w:hAnsi="Verdana"/>
          <w:color w:val="0072BC"/>
        </w:rPr>
        <w:t xml:space="preserve">, iż </w:t>
      </w:r>
      <w:r w:rsidRPr="008514DB">
        <w:rPr>
          <w:rFonts w:ascii="Verdana" w:eastAsia="Verdana" w:hAnsi="Verdana"/>
          <w:b/>
          <w:color w:val="0072BC"/>
        </w:rPr>
        <w:t xml:space="preserve">nie doszło do </w:t>
      </w:r>
      <w:r w:rsidR="008514DB">
        <w:rPr>
          <w:rFonts w:ascii="Verdana" w:eastAsia="Verdana" w:hAnsi="Verdana"/>
          <w:b/>
          <w:color w:val="0072BC"/>
        </w:rPr>
        <w:t>naruszenia Art</w:t>
      </w:r>
      <w:r w:rsidR="00D90A5D" w:rsidRPr="008514DB">
        <w:rPr>
          <w:rFonts w:ascii="Verdana" w:eastAsia="Verdana" w:hAnsi="Verdana"/>
          <w:b/>
          <w:color w:val="0072BC"/>
        </w:rPr>
        <w:t>ykułu 9</w:t>
      </w:r>
      <w:r w:rsidR="00D90A5D">
        <w:rPr>
          <w:rFonts w:ascii="Verdana" w:eastAsia="Verdana" w:hAnsi="Verdana"/>
          <w:color w:val="0072BC"/>
        </w:rPr>
        <w:t xml:space="preserve"> Konwencji stwierdzając, że poprzez </w:t>
      </w:r>
      <w:r w:rsidR="00861A53">
        <w:rPr>
          <w:rFonts w:ascii="Verdana" w:eastAsia="Verdana" w:hAnsi="Verdana"/>
          <w:color w:val="0072BC"/>
        </w:rPr>
        <w:t>przyznanie priorytetu</w:t>
      </w:r>
      <w:r w:rsidR="00A76A3F">
        <w:rPr>
          <w:rFonts w:ascii="Verdana" w:eastAsia="Verdana" w:hAnsi="Verdana"/>
          <w:color w:val="0072BC"/>
        </w:rPr>
        <w:t xml:space="preserve"> obowiązkowi dzieci do stosowania się do</w:t>
      </w:r>
      <w:r w:rsidR="00D90A5D">
        <w:rPr>
          <w:rFonts w:ascii="Verdana" w:eastAsia="Verdana" w:hAnsi="Verdana"/>
          <w:color w:val="0072BC"/>
        </w:rPr>
        <w:t xml:space="preserve"> </w:t>
      </w:r>
      <w:r w:rsidR="00A76A3F">
        <w:rPr>
          <w:rFonts w:ascii="Verdana" w:eastAsia="Verdana" w:hAnsi="Verdana"/>
          <w:color w:val="0072BC"/>
        </w:rPr>
        <w:t xml:space="preserve">pełnego programu nauczania oraz </w:t>
      </w:r>
      <w:r w:rsidR="00861A53">
        <w:rPr>
          <w:rFonts w:ascii="Verdana" w:eastAsia="Verdana" w:hAnsi="Verdana"/>
          <w:color w:val="0072BC"/>
        </w:rPr>
        <w:t xml:space="preserve">konieczności </w:t>
      </w:r>
      <w:r w:rsidR="00A76A3F">
        <w:rPr>
          <w:rFonts w:ascii="Verdana" w:eastAsia="Verdana" w:hAnsi="Verdana"/>
          <w:color w:val="0072BC"/>
        </w:rPr>
        <w:t xml:space="preserve">osiągnięcia przez nie </w:t>
      </w:r>
      <w:r w:rsidR="00276CAF">
        <w:rPr>
          <w:rFonts w:ascii="Verdana" w:eastAsia="Verdana" w:hAnsi="Verdana"/>
          <w:color w:val="0072BC"/>
        </w:rPr>
        <w:t>społecznej integracji</w:t>
      </w:r>
      <w:r w:rsidR="008514DB">
        <w:rPr>
          <w:rFonts w:ascii="Verdana" w:eastAsia="Verdana" w:hAnsi="Verdana"/>
          <w:color w:val="0072BC"/>
        </w:rPr>
        <w:t>,</w:t>
      </w:r>
      <w:r w:rsidR="00481BE2">
        <w:rPr>
          <w:rFonts w:ascii="Verdana" w:eastAsia="Verdana" w:hAnsi="Verdana"/>
          <w:color w:val="0072BC"/>
        </w:rPr>
        <w:t xml:space="preserve"> </w:t>
      </w:r>
      <w:r w:rsidR="00861A53">
        <w:rPr>
          <w:rFonts w:ascii="Verdana" w:eastAsia="Verdana" w:hAnsi="Verdana"/>
          <w:color w:val="0072BC"/>
        </w:rPr>
        <w:t xml:space="preserve">przed </w:t>
      </w:r>
      <w:r w:rsidR="00276CAF">
        <w:rPr>
          <w:rFonts w:ascii="Verdana" w:eastAsia="Verdana" w:hAnsi="Verdana"/>
          <w:color w:val="0072BC"/>
        </w:rPr>
        <w:t xml:space="preserve">interesem prywatnym skarżących </w:t>
      </w:r>
      <w:r w:rsidR="00DB1CAD">
        <w:rPr>
          <w:rFonts w:ascii="Verdana" w:eastAsia="Verdana" w:hAnsi="Verdana"/>
          <w:color w:val="0072BC"/>
        </w:rPr>
        <w:t xml:space="preserve">w zwolnieniu ich córek z koedukacyjnych lekcji pływania ze względów religijnych, władze szwajcarskie nie przekroczyły granic </w:t>
      </w:r>
      <w:r w:rsidR="00861A53">
        <w:rPr>
          <w:rFonts w:ascii="Verdana" w:eastAsia="Verdana" w:hAnsi="Verdana"/>
          <w:color w:val="0072BC"/>
        </w:rPr>
        <w:t xml:space="preserve"> </w:t>
      </w:r>
      <w:r w:rsidR="009D3C87">
        <w:rPr>
          <w:rFonts w:ascii="Verdana" w:eastAsia="Verdana" w:hAnsi="Verdana"/>
          <w:color w:val="0072BC"/>
        </w:rPr>
        <w:t>marginesu swobody przyznanego im w niniejszej sprawie, który dotyczył obowiązkowej edukacji. Trybunał w szczególności podkreślił, iż</w:t>
      </w:r>
      <w:r w:rsidR="0031180E">
        <w:rPr>
          <w:rFonts w:ascii="Verdana" w:eastAsia="Verdana" w:hAnsi="Verdana"/>
          <w:color w:val="0072BC"/>
        </w:rPr>
        <w:t xml:space="preserve"> w niniejszej sprawie chodziło o </w:t>
      </w:r>
      <w:r w:rsidR="009D3C87">
        <w:rPr>
          <w:rFonts w:ascii="Verdana" w:eastAsia="Verdana" w:hAnsi="Verdana"/>
          <w:color w:val="0072BC"/>
        </w:rPr>
        <w:t xml:space="preserve">prawo skarżących do </w:t>
      </w:r>
      <w:r w:rsidR="0031180E">
        <w:rPr>
          <w:rFonts w:ascii="Verdana" w:eastAsia="Verdana" w:hAnsi="Verdana"/>
          <w:color w:val="0072BC"/>
        </w:rPr>
        <w:t>uzewnętrzniania swojej religii oraz zauważył, iż odmowa przyznania zwolnienia z lekcji pływania stanowi ingerencję w wolno</w:t>
      </w:r>
      <w:r w:rsidR="006941AD">
        <w:rPr>
          <w:rFonts w:ascii="Verdana" w:eastAsia="Verdana" w:hAnsi="Verdana"/>
          <w:color w:val="0072BC"/>
        </w:rPr>
        <w:t>ść wyznania, ingerencja ta jest przewidziana przez prawo i podjęta</w:t>
      </w:r>
      <w:r w:rsidR="008514DB">
        <w:rPr>
          <w:rFonts w:ascii="Verdana" w:eastAsia="Verdana" w:hAnsi="Verdana"/>
          <w:color w:val="0072BC"/>
        </w:rPr>
        <w:t xml:space="preserve"> została</w:t>
      </w:r>
      <w:r w:rsidR="006941AD">
        <w:rPr>
          <w:rFonts w:ascii="Verdana" w:eastAsia="Verdana" w:hAnsi="Verdana"/>
          <w:color w:val="0072BC"/>
        </w:rPr>
        <w:t xml:space="preserve"> w słusznym celu (ochrony uczniów</w:t>
      </w:r>
      <w:r w:rsidR="008514DB">
        <w:rPr>
          <w:rFonts w:ascii="Verdana" w:eastAsia="Verdana" w:hAnsi="Verdana"/>
          <w:color w:val="0072BC"/>
        </w:rPr>
        <w:t xml:space="preserve"> obcego pochodzenia</w:t>
      </w:r>
      <w:r w:rsidR="006941AD">
        <w:rPr>
          <w:rFonts w:ascii="Verdana" w:eastAsia="Verdana" w:hAnsi="Verdana"/>
          <w:color w:val="0072BC"/>
        </w:rPr>
        <w:t xml:space="preserve"> przed jakąkolwiek formą wykluczenia społecznego).</w:t>
      </w:r>
      <w:r w:rsidR="0031180E">
        <w:rPr>
          <w:rFonts w:ascii="Verdana" w:eastAsia="Verdana" w:hAnsi="Verdana"/>
          <w:color w:val="0072BC"/>
        </w:rPr>
        <w:t xml:space="preserve"> </w:t>
      </w:r>
      <w:r w:rsidR="006941AD">
        <w:rPr>
          <w:rFonts w:ascii="Verdana" w:eastAsia="Verdana" w:hAnsi="Verdana"/>
          <w:color w:val="0072BC"/>
        </w:rPr>
        <w:t xml:space="preserve">Trybunał podkreślił, iż </w:t>
      </w:r>
      <w:r w:rsidR="0013542A">
        <w:rPr>
          <w:rFonts w:ascii="Verdana" w:eastAsia="Verdana" w:hAnsi="Verdana"/>
          <w:color w:val="0072BC"/>
        </w:rPr>
        <w:t>szkoła zajmuje szczególne miejsce w procesie integracji społecznej, w szczególności jeśli chodzi o</w:t>
      </w:r>
      <w:r w:rsidR="008514DB">
        <w:rPr>
          <w:rFonts w:ascii="Verdana" w:eastAsia="Verdana" w:hAnsi="Verdana"/>
          <w:color w:val="0072BC"/>
        </w:rPr>
        <w:t xml:space="preserve"> dzieci obcego pochodzenia</w:t>
      </w:r>
      <w:r w:rsidR="0013542A">
        <w:rPr>
          <w:rFonts w:ascii="Verdana" w:eastAsia="Verdana" w:hAnsi="Verdana"/>
          <w:color w:val="0072BC"/>
        </w:rPr>
        <w:t xml:space="preserve">. Stwierdził, iż </w:t>
      </w:r>
      <w:r w:rsidR="00122DB8">
        <w:rPr>
          <w:rFonts w:ascii="Verdana" w:eastAsia="Verdana" w:hAnsi="Verdana"/>
          <w:color w:val="0072BC"/>
        </w:rPr>
        <w:t xml:space="preserve">interes dzieci w pełnej edukacji umożliwiającej pomyślną integrację społeczną zgodnie z lokalnymi zwyczajami oraz obyczajami ma pierwszeństwo przed wolą rodziców co do zwolnienia córek z koedukacyjnych lekcji </w:t>
      </w:r>
      <w:r w:rsidR="008650A2">
        <w:rPr>
          <w:rFonts w:ascii="Verdana" w:eastAsia="Verdana" w:hAnsi="Verdana"/>
          <w:color w:val="0072BC"/>
        </w:rPr>
        <w:t xml:space="preserve">pływania </w:t>
      </w:r>
      <w:r w:rsidR="00AD34F5">
        <w:rPr>
          <w:rFonts w:ascii="Verdana" w:eastAsia="Verdana" w:hAnsi="Verdana"/>
          <w:color w:val="0072BC"/>
        </w:rPr>
        <w:t>oraz</w:t>
      </w:r>
      <w:r w:rsidR="00076EE0">
        <w:rPr>
          <w:rFonts w:ascii="Verdana" w:eastAsia="Verdana" w:hAnsi="Verdana"/>
          <w:color w:val="0072BC"/>
        </w:rPr>
        <w:t>,</w:t>
      </w:r>
      <w:r w:rsidR="00AD34F5">
        <w:rPr>
          <w:rFonts w:ascii="Verdana" w:eastAsia="Verdana" w:hAnsi="Verdana"/>
          <w:color w:val="0072BC"/>
        </w:rPr>
        <w:t xml:space="preserve"> że interes dzieci w uczęszczaniu </w:t>
      </w:r>
      <w:r w:rsidR="00A7619D">
        <w:rPr>
          <w:rFonts w:ascii="Verdana" w:eastAsia="Verdana" w:hAnsi="Verdana"/>
          <w:color w:val="0072BC"/>
        </w:rPr>
        <w:t xml:space="preserve">na lekcje pływania nie leżał jedynie w samej nauce pływania, ale przede wszystkim w udziale w aktywnościach z innymi uczniami bez względu na pochodzenie czy przekonania religijne </w:t>
      </w:r>
      <w:r w:rsidR="00861A53">
        <w:rPr>
          <w:rFonts w:ascii="Verdana" w:eastAsia="Verdana" w:hAnsi="Verdana"/>
          <w:color w:val="0072BC"/>
        </w:rPr>
        <w:t xml:space="preserve">bądź </w:t>
      </w:r>
      <w:r w:rsidR="00A7619D">
        <w:rPr>
          <w:rFonts w:ascii="Verdana" w:eastAsia="Verdana" w:hAnsi="Verdana"/>
          <w:color w:val="0072BC"/>
        </w:rPr>
        <w:t xml:space="preserve">filozoficzne ich rodziców. Trybunał zauważył również, iż władze zaoferowały skarżącym ułatwienia mające na celu zmniejszenia wpływu uczęszczania dzieci na zajęcia pływania na przekonania </w:t>
      </w:r>
      <w:r w:rsidR="00A7619D">
        <w:rPr>
          <w:rFonts w:ascii="Verdana" w:eastAsia="Verdana" w:hAnsi="Verdana"/>
          <w:color w:val="0072BC"/>
        </w:rPr>
        <w:lastRenderedPageBreak/>
        <w:t>religijne ich rodziców</w:t>
      </w:r>
      <w:r w:rsidR="00032F47">
        <w:rPr>
          <w:rFonts w:ascii="Verdana" w:eastAsia="Verdana" w:hAnsi="Verdana"/>
          <w:color w:val="0072BC"/>
        </w:rPr>
        <w:t xml:space="preserve">, pozwolono ich córkom na noszenie burkini. Trybunał zauważył również, iż </w:t>
      </w:r>
      <w:r w:rsidR="00076EE0">
        <w:rPr>
          <w:rFonts w:ascii="Verdana" w:eastAsia="Verdana" w:hAnsi="Verdana"/>
          <w:color w:val="0072BC"/>
        </w:rPr>
        <w:t xml:space="preserve">skarżący dysponowali procedurą umożliwiającą </w:t>
      </w:r>
      <w:r w:rsidR="00971FF3">
        <w:rPr>
          <w:rFonts w:ascii="Verdana" w:eastAsia="Verdana" w:hAnsi="Verdana"/>
          <w:color w:val="0072BC"/>
        </w:rPr>
        <w:t xml:space="preserve">kwestionowanie </w:t>
      </w:r>
      <w:r w:rsidR="003641E8">
        <w:rPr>
          <w:rFonts w:ascii="Verdana" w:eastAsia="Verdana" w:hAnsi="Verdana"/>
          <w:color w:val="0072BC"/>
        </w:rPr>
        <w:t>decyzji władz krajowych w sprawie nieuwzględnienia ich wniosku.</w:t>
      </w:r>
      <w:r w:rsidR="00A87C07">
        <w:rPr>
          <w:rFonts w:ascii="Verdana" w:eastAsia="Verdana" w:hAnsi="Verdana"/>
          <w:color w:val="0072BC"/>
        </w:rPr>
        <w:t xml:space="preserve"> </w:t>
      </w:r>
    </w:p>
    <w:p w14:paraId="207D9110" w14:textId="77777777" w:rsidR="005B408C" w:rsidRDefault="005B408C" w:rsidP="00B65E59">
      <w:pPr>
        <w:spacing w:line="249" w:lineRule="exact"/>
        <w:rPr>
          <w:rFonts w:ascii="Times New Roman" w:eastAsia="Times New Roman" w:hAnsi="Times New Roman"/>
        </w:rPr>
      </w:pPr>
    </w:p>
    <w:p w14:paraId="0C32E0AB" w14:textId="77777777" w:rsidR="005B408C" w:rsidRDefault="00BD0998" w:rsidP="00B65E59">
      <w:pPr>
        <w:spacing w:line="269" w:lineRule="auto"/>
        <w:jc w:val="both"/>
        <w:rPr>
          <w:rFonts w:ascii="Verdana" w:eastAsia="Verdana" w:hAnsi="Verdana"/>
          <w:color w:val="0072BC"/>
          <w:sz w:val="28"/>
        </w:rPr>
      </w:pPr>
      <w:r>
        <w:rPr>
          <w:rFonts w:ascii="Verdana" w:eastAsia="Verdana" w:hAnsi="Verdana"/>
          <w:color w:val="0072BC"/>
          <w:sz w:val="28"/>
        </w:rPr>
        <w:t xml:space="preserve">Zarzuty dotyczące przepisów konstytucyjnych zakazujących budowy minaretów  </w:t>
      </w:r>
    </w:p>
    <w:p w14:paraId="16E1A909" w14:textId="77777777" w:rsidR="005B408C" w:rsidRDefault="005B408C" w:rsidP="00B65E59">
      <w:pPr>
        <w:spacing w:line="20" w:lineRule="exact"/>
        <w:rPr>
          <w:rFonts w:ascii="Times New Roman" w:eastAsia="Times New Roman" w:hAnsi="Times New Roman"/>
        </w:rPr>
      </w:pPr>
    </w:p>
    <w:p w14:paraId="6A1E787D" w14:textId="05663DAB" w:rsidR="005B408C" w:rsidRDefault="00081EA2" w:rsidP="00B65E59">
      <w:pPr>
        <w:spacing w:line="132" w:lineRule="exact"/>
        <w:rPr>
          <w:rFonts w:ascii="Times New Roman" w:eastAsia="Times New Roman" w:hAnsi="Times New Roman"/>
        </w:rPr>
      </w:pPr>
      <w:r>
        <w:rPr>
          <w:rFonts w:ascii="Verdana" w:eastAsia="Verdana" w:hAnsi="Verdana"/>
          <w:noProof/>
          <w:color w:val="0072BC"/>
          <w:sz w:val="2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5D05E2C5" wp14:editId="278A72E3">
                <wp:simplePos x="0" y="0"/>
                <wp:positionH relativeFrom="column">
                  <wp:posOffset>6350</wp:posOffset>
                </wp:positionH>
                <wp:positionV relativeFrom="paragraph">
                  <wp:posOffset>5715</wp:posOffset>
                </wp:positionV>
                <wp:extent cx="5768340" cy="0"/>
                <wp:effectExtent l="10795" t="15875" r="12065" b="12700"/>
                <wp:wrapNone/>
                <wp:docPr id="1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BCE23" id="Line 16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.45pt" to="454.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" strokecolor="#999" strokeweight="1.44pt"/>
            </w:pict>
          </mc:Fallback>
        </mc:AlternateContent>
      </w:r>
    </w:p>
    <w:p w14:paraId="2E01326C" w14:textId="77777777" w:rsidR="005B408C" w:rsidRDefault="00717A6F" w:rsidP="00B65E59">
      <w:pPr>
        <w:spacing w:line="271" w:lineRule="auto"/>
        <w:jc w:val="both"/>
        <w:rPr>
          <w:rFonts w:ascii="Verdana" w:eastAsia="Verdana" w:hAnsi="Verdana"/>
          <w:b/>
          <w:color w:val="0072BC"/>
          <w:u w:val="single"/>
        </w:rPr>
      </w:pPr>
      <w:r>
        <w:rPr>
          <w:rFonts w:ascii="Verdana" w:eastAsia="Verdana" w:hAnsi="Verdana"/>
          <w:b/>
          <w:color w:val="0072BC"/>
          <w:u w:val="single"/>
        </w:rPr>
        <w:t>Ouardiri przeciwko Szwajcarii oraz</w:t>
      </w:r>
      <w:r w:rsidR="005B408C">
        <w:rPr>
          <w:rFonts w:ascii="Verdana" w:eastAsia="Verdana" w:hAnsi="Verdana"/>
          <w:b/>
          <w:color w:val="0072BC"/>
        </w:rPr>
        <w:t xml:space="preserve"> </w:t>
      </w:r>
      <w:r w:rsidR="00687BB4">
        <w:rPr>
          <w:rFonts w:ascii="Verdana" w:eastAsia="Verdana" w:hAnsi="Verdana"/>
          <w:b/>
          <w:color w:val="0072BC"/>
          <w:u w:val="single"/>
        </w:rPr>
        <w:t>Liga Muzułmanów</w:t>
      </w:r>
      <w:r w:rsidR="005B408C">
        <w:rPr>
          <w:rFonts w:ascii="Verdana" w:eastAsia="Verdana" w:hAnsi="Verdana"/>
          <w:b/>
          <w:color w:val="0072BC"/>
          <w:u w:val="single"/>
        </w:rPr>
        <w:t xml:space="preserve"> </w:t>
      </w:r>
      <w:r>
        <w:rPr>
          <w:rFonts w:ascii="Verdana" w:eastAsia="Verdana" w:hAnsi="Verdana"/>
          <w:b/>
          <w:color w:val="0072BC"/>
          <w:u w:val="single"/>
        </w:rPr>
        <w:t>i Inni przeciwko Szwajcarii</w:t>
      </w:r>
    </w:p>
    <w:p w14:paraId="7EF818FF" w14:textId="77777777" w:rsidR="005B408C" w:rsidRDefault="005B408C" w:rsidP="00B65E59">
      <w:pPr>
        <w:spacing w:line="2" w:lineRule="exact"/>
        <w:rPr>
          <w:rFonts w:ascii="Times New Roman" w:eastAsia="Times New Roman" w:hAnsi="Times New Roman"/>
        </w:rPr>
      </w:pPr>
    </w:p>
    <w:p w14:paraId="0EE3DE95" w14:textId="77777777" w:rsidR="005B408C" w:rsidRDefault="00BD0998" w:rsidP="00B65E59">
      <w:pPr>
        <w:spacing w:line="0" w:lineRule="atLeast"/>
        <w:rPr>
          <w:rFonts w:ascii="Verdana" w:eastAsia="Verdana" w:hAnsi="Verdana"/>
          <w:color w:val="808080"/>
          <w:sz w:val="18"/>
        </w:rPr>
      </w:pPr>
      <w:r>
        <w:rPr>
          <w:rFonts w:ascii="Verdana" w:eastAsia="Verdana" w:hAnsi="Verdana"/>
          <w:color w:val="808080"/>
          <w:sz w:val="18"/>
        </w:rPr>
        <w:t>28 c</w:t>
      </w:r>
      <w:r w:rsidR="00687BB4">
        <w:rPr>
          <w:rFonts w:ascii="Verdana" w:eastAsia="Verdana" w:hAnsi="Verdana"/>
          <w:color w:val="808080"/>
          <w:sz w:val="18"/>
        </w:rPr>
        <w:t>z</w:t>
      </w:r>
      <w:r>
        <w:rPr>
          <w:rFonts w:ascii="Verdana" w:eastAsia="Verdana" w:hAnsi="Verdana"/>
          <w:color w:val="808080"/>
          <w:sz w:val="18"/>
        </w:rPr>
        <w:t>erwca</w:t>
      </w:r>
      <w:r w:rsidR="005B408C">
        <w:rPr>
          <w:rFonts w:ascii="Verdana" w:eastAsia="Verdana" w:hAnsi="Verdana"/>
          <w:color w:val="808080"/>
          <w:sz w:val="18"/>
        </w:rPr>
        <w:t xml:space="preserve"> 2011 </w:t>
      </w:r>
      <w:r w:rsidR="00B65E59">
        <w:rPr>
          <w:rFonts w:ascii="Verdana" w:eastAsia="Verdana" w:hAnsi="Verdana"/>
          <w:color w:val="808080"/>
          <w:sz w:val="18"/>
        </w:rPr>
        <w:t xml:space="preserve">roku </w:t>
      </w:r>
      <w:r w:rsidR="005B408C">
        <w:rPr>
          <w:rFonts w:ascii="Verdana" w:eastAsia="Verdana" w:hAnsi="Verdana"/>
          <w:color w:val="808080"/>
          <w:sz w:val="18"/>
        </w:rPr>
        <w:t>(</w:t>
      </w:r>
      <w:r>
        <w:rPr>
          <w:rFonts w:ascii="Verdana" w:eastAsia="Verdana" w:hAnsi="Verdana"/>
          <w:color w:val="808080"/>
          <w:sz w:val="18"/>
        </w:rPr>
        <w:t>decyzja w sprawie dopuszczalności</w:t>
      </w:r>
      <w:r w:rsidR="005B408C">
        <w:rPr>
          <w:rFonts w:ascii="Verdana" w:eastAsia="Verdana" w:hAnsi="Verdana"/>
          <w:color w:val="808080"/>
          <w:sz w:val="18"/>
        </w:rPr>
        <w:t>)</w:t>
      </w:r>
    </w:p>
    <w:p w14:paraId="56DEBBFD" w14:textId="77777777" w:rsidR="005B408C" w:rsidRDefault="00687BB4" w:rsidP="00B65E59">
      <w:pPr>
        <w:spacing w:line="239" w:lineRule="auto"/>
        <w:jc w:val="both"/>
        <w:rPr>
          <w:rFonts w:ascii="Verdana" w:eastAsia="Verdana" w:hAnsi="Verdana"/>
        </w:rPr>
      </w:pPr>
      <w:r>
        <w:rPr>
          <w:rFonts w:ascii="Verdana" w:eastAsia="Verdana" w:hAnsi="Verdana"/>
        </w:rPr>
        <w:t xml:space="preserve">Skarżący </w:t>
      </w:r>
      <w:r w:rsidR="008514DB">
        <w:rPr>
          <w:rFonts w:ascii="Verdana" w:eastAsia="Verdana" w:hAnsi="Verdana"/>
        </w:rPr>
        <w:t xml:space="preserve">- </w:t>
      </w:r>
      <w:r>
        <w:rPr>
          <w:rFonts w:ascii="Verdana" w:eastAsia="Verdana" w:hAnsi="Verdana"/>
        </w:rPr>
        <w:t xml:space="preserve">w pierwszej sprawie, osoby fizyczne wyznania muzułmańskiego, które pracują dla fundacji zajmującej się budowaniem relacji pomiędzy Islamem a resztą świata oraz w drugiej sprawie, trzy stowarzyszenia oraz fundacja, których głównym punktem </w:t>
      </w:r>
      <w:r w:rsidR="006B1B5D">
        <w:rPr>
          <w:rFonts w:ascii="Verdana" w:eastAsia="Verdana" w:hAnsi="Verdana"/>
        </w:rPr>
        <w:t>działalności</w:t>
      </w:r>
      <w:r>
        <w:rPr>
          <w:rFonts w:ascii="Verdana" w:eastAsia="Verdana" w:hAnsi="Verdana"/>
        </w:rPr>
        <w:t xml:space="preserve"> jest wiara muzułmańska – podniosły, iż zakaz budowy minaretów stanowi naruszenie wolności wyznania oraz dyskryminację na płaszczyźnie religijnej.  </w:t>
      </w:r>
    </w:p>
    <w:p w14:paraId="39DECC27" w14:textId="77777777" w:rsidR="005B408C" w:rsidRDefault="003A0A4E" w:rsidP="00B65E59">
      <w:pPr>
        <w:spacing w:line="2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9</w:t>
      </w:r>
    </w:p>
    <w:p w14:paraId="334AB595" w14:textId="77777777" w:rsidR="005B408C" w:rsidRDefault="00F74A4E" w:rsidP="00B65E59">
      <w:pPr>
        <w:spacing w:line="242" w:lineRule="auto"/>
        <w:jc w:val="both"/>
        <w:rPr>
          <w:rFonts w:ascii="Verdana" w:eastAsia="Verdana" w:hAnsi="Verdana"/>
          <w:color w:val="0072BC"/>
        </w:rPr>
      </w:pPr>
      <w:r>
        <w:rPr>
          <w:rFonts w:ascii="Verdana" w:eastAsia="Verdana" w:hAnsi="Verdana"/>
          <w:color w:val="0072BC"/>
        </w:rPr>
        <w:t xml:space="preserve">Trybunał uznał skargi za </w:t>
      </w:r>
      <w:r w:rsidRPr="008514DB">
        <w:rPr>
          <w:rFonts w:ascii="Verdana" w:eastAsia="Verdana" w:hAnsi="Verdana"/>
          <w:b/>
          <w:color w:val="0072BC"/>
        </w:rPr>
        <w:t>niedopuszczalne</w:t>
      </w:r>
      <w:r w:rsidR="003A0A4E">
        <w:rPr>
          <w:rFonts w:ascii="Verdana" w:eastAsia="Verdana" w:hAnsi="Verdana"/>
          <w:color w:val="0072BC"/>
        </w:rPr>
        <w:t xml:space="preserve"> (</w:t>
      </w:r>
      <w:r w:rsidR="003A0A4E" w:rsidRPr="006B1B5D">
        <w:rPr>
          <w:rFonts w:ascii="Verdana" w:eastAsia="Verdana" w:hAnsi="Verdana"/>
          <w:i/>
          <w:color w:val="0072BC"/>
        </w:rPr>
        <w:t>incompatibles ratone personae</w:t>
      </w:r>
      <w:r w:rsidR="003A0A4E">
        <w:rPr>
          <w:rFonts w:ascii="Verdana" w:eastAsia="Verdana" w:hAnsi="Verdana"/>
          <w:color w:val="0072BC"/>
        </w:rPr>
        <w:t xml:space="preserve">), </w:t>
      </w:r>
      <w:r w:rsidR="00AB25BD">
        <w:rPr>
          <w:rFonts w:ascii="Verdana" w:eastAsia="Verdana" w:hAnsi="Verdana"/>
          <w:color w:val="0072BC"/>
        </w:rPr>
        <w:t>z uwagi na brak statusu ofiary</w:t>
      </w:r>
      <w:r w:rsidR="003A0A4E">
        <w:rPr>
          <w:rFonts w:ascii="Verdana" w:eastAsia="Verdana" w:hAnsi="Verdana"/>
          <w:color w:val="0072BC"/>
        </w:rPr>
        <w:t xml:space="preserve"> naruszenia </w:t>
      </w:r>
      <w:r w:rsidR="00AB25BD">
        <w:rPr>
          <w:rFonts w:ascii="Verdana" w:eastAsia="Verdana" w:hAnsi="Verdana"/>
          <w:color w:val="0072BC"/>
        </w:rPr>
        <w:t>Konwencji po stronie skarżących</w:t>
      </w:r>
      <w:r w:rsidR="003A0A4E">
        <w:rPr>
          <w:rFonts w:ascii="Verdana" w:eastAsia="Verdana" w:hAnsi="Verdana"/>
          <w:color w:val="0072BC"/>
        </w:rPr>
        <w:t xml:space="preserve">. </w:t>
      </w:r>
      <w:r w:rsidR="00031D12">
        <w:rPr>
          <w:rFonts w:ascii="Verdana" w:eastAsia="Verdana" w:hAnsi="Verdana"/>
          <w:color w:val="0072BC"/>
        </w:rPr>
        <w:t>Ponieważ skargi miały wyłącznie na celu zakwestionowanie przepisu konstytucyjnego mającego ogólne zastosowanie w Szwajcarii, Trybunał uznał w szczególności, iż skarżący nie wykazali jakoby były jakiekolwiek wyjątkowe okoliczności mogące nadać im statu</w:t>
      </w:r>
      <w:r w:rsidR="006B1B5D">
        <w:rPr>
          <w:rFonts w:ascii="Verdana" w:eastAsia="Verdana" w:hAnsi="Verdana"/>
          <w:color w:val="0072BC"/>
        </w:rPr>
        <w:t xml:space="preserve">s ofiary. Przeciwnie ich skargi miały charakter </w:t>
      </w:r>
      <w:r w:rsidR="006B1B5D" w:rsidRPr="006B1B5D">
        <w:rPr>
          <w:rFonts w:ascii="Verdana" w:eastAsia="Verdana" w:hAnsi="Verdana"/>
          <w:i/>
          <w:color w:val="0072BC"/>
        </w:rPr>
        <w:t>actio popularis</w:t>
      </w:r>
      <w:r w:rsidR="006B1B5D">
        <w:rPr>
          <w:rFonts w:ascii="Verdana" w:eastAsia="Verdana" w:hAnsi="Verdana"/>
          <w:i/>
          <w:color w:val="0072BC"/>
        </w:rPr>
        <w:t xml:space="preserve"> </w:t>
      </w:r>
      <w:r w:rsidR="006B1B5D">
        <w:rPr>
          <w:rFonts w:ascii="Verdana" w:eastAsia="Verdana" w:hAnsi="Verdana"/>
          <w:color w:val="0072BC"/>
        </w:rPr>
        <w:t xml:space="preserve">które miały na celu zbadanie </w:t>
      </w:r>
      <w:r w:rsidR="00AB25BD">
        <w:rPr>
          <w:rFonts w:ascii="Verdana" w:eastAsia="Verdana" w:hAnsi="Verdana"/>
          <w:color w:val="0072BC"/>
        </w:rPr>
        <w:t xml:space="preserve">zgodności </w:t>
      </w:r>
      <w:r w:rsidR="006B1B5D">
        <w:rPr>
          <w:rFonts w:ascii="Verdana" w:eastAsia="Verdana" w:hAnsi="Verdana"/>
          <w:color w:val="0072BC"/>
        </w:rPr>
        <w:t xml:space="preserve">przepisów konstytucyjnych z Konwencją </w:t>
      </w:r>
      <w:r w:rsidR="006B1B5D" w:rsidRPr="006B1B5D">
        <w:rPr>
          <w:rFonts w:ascii="Verdana" w:eastAsia="Verdana" w:hAnsi="Verdana"/>
          <w:i/>
          <w:color w:val="0072BC"/>
        </w:rPr>
        <w:t>in abstracto</w:t>
      </w:r>
      <w:r w:rsidR="006B1B5D">
        <w:rPr>
          <w:rFonts w:ascii="Verdana" w:eastAsia="Verdana" w:hAnsi="Verdana"/>
          <w:color w:val="0072BC"/>
        </w:rPr>
        <w:t xml:space="preserve">. Ponadto z orzeczenia Sądu Federalnego z dnia 21 stycznia 2010r. dotyczącego zgodności przepisu konstytucyjnego </w:t>
      </w:r>
      <w:r w:rsidR="005E0E5D">
        <w:rPr>
          <w:rFonts w:ascii="Verdana" w:eastAsia="Verdana" w:hAnsi="Verdana"/>
          <w:color w:val="0072BC"/>
        </w:rPr>
        <w:t>z Konwencją</w:t>
      </w:r>
      <w:r w:rsidR="006B1B5D">
        <w:rPr>
          <w:rFonts w:ascii="Verdana" w:eastAsia="Verdana" w:hAnsi="Verdana"/>
          <w:color w:val="0072BC"/>
        </w:rPr>
        <w:t xml:space="preserve"> jasno </w:t>
      </w:r>
      <w:r w:rsidR="005E0E5D">
        <w:rPr>
          <w:rFonts w:ascii="Verdana" w:eastAsia="Verdana" w:hAnsi="Verdana"/>
          <w:color w:val="0072BC"/>
        </w:rPr>
        <w:t xml:space="preserve">wynika, iż sądy szwajcarskie byłyby w stanie zweryfikować zgodność z Konwencją wszelkich przyszłych odmów budowy minaretów.  </w:t>
      </w:r>
      <w:r w:rsidR="00031D12">
        <w:rPr>
          <w:rFonts w:ascii="Verdana" w:eastAsia="Verdana" w:hAnsi="Verdana"/>
          <w:color w:val="0072BC"/>
        </w:rPr>
        <w:t xml:space="preserve"> </w:t>
      </w:r>
      <w:r w:rsidR="003A0A4E">
        <w:rPr>
          <w:rFonts w:ascii="Verdana" w:eastAsia="Verdana" w:hAnsi="Verdana"/>
          <w:color w:val="0072BC"/>
        </w:rPr>
        <w:t xml:space="preserve"> </w:t>
      </w:r>
      <w:r>
        <w:rPr>
          <w:rFonts w:ascii="Verdana" w:eastAsia="Verdana" w:hAnsi="Verdana"/>
          <w:color w:val="0072BC"/>
        </w:rPr>
        <w:t xml:space="preserve"> </w:t>
      </w:r>
    </w:p>
    <w:p w14:paraId="5424DE8F" w14:textId="77777777" w:rsidR="005B408C" w:rsidRDefault="005B408C" w:rsidP="00B65E59">
      <w:pPr>
        <w:spacing w:line="212" w:lineRule="exact"/>
        <w:rPr>
          <w:rFonts w:ascii="Times New Roman" w:eastAsia="Times New Roman" w:hAnsi="Times New Roman"/>
        </w:rPr>
      </w:pPr>
    </w:p>
    <w:p w14:paraId="257AEE17" w14:textId="77777777" w:rsidR="005B408C" w:rsidRDefault="00183841" w:rsidP="00B65E59">
      <w:pPr>
        <w:spacing w:line="0" w:lineRule="atLeast"/>
        <w:rPr>
          <w:rFonts w:ascii="Verdana" w:eastAsia="Verdana" w:hAnsi="Verdana"/>
          <w:color w:val="0072BC"/>
          <w:sz w:val="28"/>
        </w:rPr>
      </w:pPr>
      <w:r>
        <w:rPr>
          <w:rFonts w:ascii="Verdana" w:eastAsia="Verdana" w:hAnsi="Verdana"/>
          <w:color w:val="0072BC"/>
          <w:sz w:val="28"/>
        </w:rPr>
        <w:t>Obowiązek ujawniania przekonań religijnych</w:t>
      </w:r>
    </w:p>
    <w:p w14:paraId="780CAF89" w14:textId="77777777" w:rsidR="005B408C" w:rsidRDefault="005B408C" w:rsidP="00B65E59">
      <w:pPr>
        <w:spacing w:line="20" w:lineRule="exact"/>
        <w:rPr>
          <w:rFonts w:ascii="Times New Roman" w:eastAsia="Times New Roman" w:hAnsi="Times New Roman"/>
        </w:rPr>
      </w:pPr>
    </w:p>
    <w:p w14:paraId="19B70A0A" w14:textId="58F5E481" w:rsidR="005B408C" w:rsidRDefault="00081EA2" w:rsidP="00B65E59">
      <w:pPr>
        <w:spacing w:line="266" w:lineRule="exact"/>
        <w:rPr>
          <w:rFonts w:ascii="Times New Roman" w:eastAsia="Times New Roman" w:hAnsi="Times New Roman"/>
        </w:rPr>
      </w:pPr>
      <w:r>
        <w:rPr>
          <w:rFonts w:ascii="Verdana" w:eastAsia="Verdana" w:hAnsi="Verdana"/>
          <w:noProof/>
          <w:color w:val="0072BC"/>
          <w:sz w:val="2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5D97822" wp14:editId="30416CC1">
                <wp:simplePos x="0" y="0"/>
                <wp:positionH relativeFrom="column">
                  <wp:posOffset>6350</wp:posOffset>
                </wp:positionH>
                <wp:positionV relativeFrom="paragraph">
                  <wp:posOffset>55880</wp:posOffset>
                </wp:positionV>
                <wp:extent cx="5857240" cy="0"/>
                <wp:effectExtent l="10795" t="10795" r="18415" b="17780"/>
                <wp:wrapNone/>
                <wp:docPr id="1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24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6524D" id="Line 17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4.4pt" to="461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" strokecolor="#999" strokeweight="1.44pt"/>
            </w:pict>
          </mc:Fallback>
        </mc:AlternateContent>
      </w:r>
    </w:p>
    <w:p w14:paraId="1E08F16F" w14:textId="77777777" w:rsidR="005B408C" w:rsidRDefault="00183841" w:rsidP="00B65E59">
      <w:pPr>
        <w:spacing w:line="0" w:lineRule="atLeast"/>
        <w:rPr>
          <w:rFonts w:ascii="Verdana" w:eastAsia="Verdana" w:hAnsi="Verdana"/>
          <w:color w:val="808080"/>
          <w:sz w:val="28"/>
        </w:rPr>
      </w:pPr>
      <w:r>
        <w:rPr>
          <w:rFonts w:ascii="Verdana" w:eastAsia="Verdana" w:hAnsi="Verdana"/>
          <w:color w:val="808080"/>
          <w:sz w:val="28"/>
        </w:rPr>
        <w:t xml:space="preserve">W dokumentach tożsamości </w:t>
      </w:r>
    </w:p>
    <w:p w14:paraId="5822F3F5" w14:textId="77777777" w:rsidR="005B408C" w:rsidRDefault="005B408C" w:rsidP="00B65E59">
      <w:pPr>
        <w:spacing w:line="125" w:lineRule="exact"/>
        <w:rPr>
          <w:rFonts w:ascii="Times New Roman" w:eastAsia="Times New Roman" w:hAnsi="Times New Roman"/>
        </w:rPr>
      </w:pPr>
    </w:p>
    <w:p w14:paraId="4FF5E687" w14:textId="77777777" w:rsidR="005B408C" w:rsidRDefault="005B408C" w:rsidP="00B65E59">
      <w:pPr>
        <w:spacing w:line="0" w:lineRule="atLeast"/>
        <w:rPr>
          <w:rFonts w:ascii="Verdana" w:eastAsia="Verdana" w:hAnsi="Verdana"/>
          <w:b/>
          <w:color w:val="0072BC"/>
          <w:u w:val="single"/>
        </w:rPr>
      </w:pPr>
      <w:hyperlink r:id="rId18" w:history="1">
        <w:r>
          <w:rPr>
            <w:rFonts w:ascii="Verdana" w:eastAsia="Verdana" w:hAnsi="Verdana"/>
            <w:b/>
            <w:color w:val="0072BC"/>
            <w:u w:val="single"/>
          </w:rPr>
          <w:t>Sinan Işık v. Turkey</w:t>
        </w:r>
      </w:hyperlink>
    </w:p>
    <w:p w14:paraId="2799B1CB" w14:textId="77777777" w:rsidR="005B408C" w:rsidRDefault="005B408C" w:rsidP="00B65E59">
      <w:pPr>
        <w:spacing w:line="48" w:lineRule="exact"/>
        <w:rPr>
          <w:rFonts w:ascii="Times New Roman" w:eastAsia="Times New Roman" w:hAnsi="Times New Roman"/>
        </w:rPr>
      </w:pPr>
    </w:p>
    <w:p w14:paraId="4E469009" w14:textId="77777777" w:rsidR="005B408C" w:rsidRDefault="005B408C" w:rsidP="00B65E59">
      <w:pPr>
        <w:spacing w:line="0" w:lineRule="atLeast"/>
        <w:rPr>
          <w:rFonts w:ascii="Verdana" w:eastAsia="Verdana" w:hAnsi="Verdana"/>
          <w:color w:val="808080"/>
          <w:sz w:val="18"/>
        </w:rPr>
      </w:pPr>
      <w:r>
        <w:rPr>
          <w:rFonts w:ascii="Verdana" w:eastAsia="Verdana" w:hAnsi="Verdana"/>
          <w:color w:val="808080"/>
          <w:sz w:val="18"/>
        </w:rPr>
        <w:t xml:space="preserve">2 </w:t>
      </w:r>
      <w:r w:rsidR="004A0A58">
        <w:rPr>
          <w:rFonts w:ascii="Verdana" w:eastAsia="Verdana" w:hAnsi="Verdana"/>
          <w:color w:val="808080"/>
          <w:sz w:val="18"/>
        </w:rPr>
        <w:t>lutego</w:t>
      </w:r>
      <w:r>
        <w:rPr>
          <w:rFonts w:ascii="Verdana" w:eastAsia="Verdana" w:hAnsi="Verdana"/>
          <w:color w:val="808080"/>
          <w:sz w:val="18"/>
        </w:rPr>
        <w:t xml:space="preserve"> 2010</w:t>
      </w:r>
      <w:r w:rsidR="004A0A58">
        <w:rPr>
          <w:rFonts w:ascii="Verdana" w:eastAsia="Verdana" w:hAnsi="Verdana"/>
          <w:color w:val="808080"/>
          <w:sz w:val="18"/>
        </w:rPr>
        <w:t xml:space="preserve"> roku</w:t>
      </w:r>
    </w:p>
    <w:p w14:paraId="04109A91" w14:textId="77777777" w:rsidR="006966C4" w:rsidRDefault="00C06892" w:rsidP="00B65E59">
      <w:pPr>
        <w:spacing w:line="235" w:lineRule="auto"/>
        <w:jc w:val="both"/>
        <w:rPr>
          <w:rFonts w:ascii="Verdana" w:eastAsia="Verdana" w:hAnsi="Verdana"/>
        </w:rPr>
      </w:pPr>
      <w:r>
        <w:rPr>
          <w:rFonts w:ascii="Verdana" w:eastAsia="Verdana" w:hAnsi="Verdana"/>
        </w:rPr>
        <w:t>Skarżący jest członkiem wspólnoty religijnej Alawitów</w:t>
      </w:r>
      <w:r w:rsidR="006966C4">
        <w:rPr>
          <w:rStyle w:val="Odwoanieprzypisudolnego"/>
          <w:rFonts w:ascii="Verdana" w:eastAsia="Verdana" w:hAnsi="Verdana"/>
        </w:rPr>
        <w:footnoteReference w:id="1"/>
      </w:r>
      <w:r w:rsidR="005B408C">
        <w:rPr>
          <w:rFonts w:ascii="Verdana" w:eastAsia="Verdana" w:hAnsi="Verdana"/>
        </w:rPr>
        <w:t>.</w:t>
      </w:r>
      <w:r>
        <w:rPr>
          <w:rFonts w:ascii="Verdana" w:eastAsia="Verdana" w:hAnsi="Verdana"/>
        </w:rPr>
        <w:t xml:space="preserve"> W 2004 roku bezskutecznie ubiegał się o umieszczenie w treści dowodu zwrotu „Alawici” zamiast słowa „Islam”. Do roku 2006 obowiązkowym było umieszc</w:t>
      </w:r>
      <w:r w:rsidR="00E830BB">
        <w:rPr>
          <w:rFonts w:ascii="Verdana" w:eastAsia="Verdana" w:hAnsi="Verdana"/>
        </w:rPr>
        <w:t xml:space="preserve">zanie wyznania w </w:t>
      </w:r>
      <w:r w:rsidR="008D2091">
        <w:rPr>
          <w:rFonts w:ascii="Verdana" w:eastAsia="Verdana" w:hAnsi="Verdana"/>
        </w:rPr>
        <w:t>dowodzie</w:t>
      </w:r>
      <w:r w:rsidR="00E830BB">
        <w:rPr>
          <w:rFonts w:ascii="Verdana" w:eastAsia="Verdana" w:hAnsi="Verdana"/>
        </w:rPr>
        <w:t xml:space="preserve"> (od 2006 roku możliwe jest wnioskowanie o pozostawienie tej rubryki niewypełnionej). Skarżący podnosił przed Trybunałem, iż</w:t>
      </w:r>
      <w:r w:rsidR="001E35F4">
        <w:rPr>
          <w:rFonts w:ascii="Verdana" w:eastAsia="Verdana" w:hAnsi="Verdana"/>
        </w:rPr>
        <w:t xml:space="preserve"> był zmuszony do ujawnienia swojego wyznania na dowodzie osobistym, którego często używał w życiu codziennym. </w:t>
      </w:r>
      <w:r w:rsidR="008D2091">
        <w:rPr>
          <w:rFonts w:ascii="Verdana" w:eastAsia="Verdana" w:hAnsi="Verdana"/>
        </w:rPr>
        <w:t xml:space="preserve">Kwestionował </w:t>
      </w:r>
      <w:r w:rsidR="001E35F4">
        <w:rPr>
          <w:rFonts w:ascii="Verdana" w:eastAsia="Verdana" w:hAnsi="Verdana"/>
        </w:rPr>
        <w:t>również odmowę zastąpienia słowa „Islam” widniejącego na jego dow</w:t>
      </w:r>
      <w:r w:rsidR="008514DB">
        <w:rPr>
          <w:rFonts w:ascii="Verdana" w:eastAsia="Verdana" w:hAnsi="Verdana"/>
        </w:rPr>
        <w:t>odzie nazwą jego wyznania „Alev</w:t>
      </w:r>
      <w:r w:rsidR="001E35F4">
        <w:rPr>
          <w:rFonts w:ascii="Verdana" w:eastAsia="Verdana" w:hAnsi="Verdana"/>
        </w:rPr>
        <w:t xml:space="preserve">i”. Twierdził on, iż istniejące </w:t>
      </w:r>
      <w:r w:rsidR="008D2091">
        <w:rPr>
          <w:rFonts w:ascii="Verdana" w:eastAsia="Verdana" w:hAnsi="Verdana"/>
        </w:rPr>
        <w:t xml:space="preserve">oznaczenie </w:t>
      </w:r>
      <w:r w:rsidR="001E35F4">
        <w:rPr>
          <w:rFonts w:ascii="Verdana" w:eastAsia="Verdana" w:hAnsi="Verdana"/>
        </w:rPr>
        <w:t>nie odzwierciedla rzeczywistości</w:t>
      </w:r>
      <w:r w:rsidR="00F46F60">
        <w:rPr>
          <w:rFonts w:ascii="Verdana" w:eastAsia="Verdana" w:hAnsi="Verdana"/>
        </w:rPr>
        <w:t>, a postępowanie</w:t>
      </w:r>
      <w:r w:rsidR="001E35F4">
        <w:rPr>
          <w:rFonts w:ascii="Verdana" w:eastAsia="Verdana" w:hAnsi="Verdana"/>
        </w:rPr>
        <w:t xml:space="preserve"> prowadzące do odmowy </w:t>
      </w:r>
      <w:r w:rsidR="005C182F">
        <w:rPr>
          <w:rFonts w:ascii="Verdana" w:eastAsia="Verdana" w:hAnsi="Verdana"/>
        </w:rPr>
        <w:t xml:space="preserve">jego prośbie </w:t>
      </w:r>
      <w:r w:rsidR="000D2F03">
        <w:rPr>
          <w:rFonts w:ascii="Verdana" w:eastAsia="Verdana" w:hAnsi="Verdana"/>
        </w:rPr>
        <w:t xml:space="preserve">budziło zastrzeżenia ponieważ </w:t>
      </w:r>
      <w:r w:rsidR="005C182F">
        <w:rPr>
          <w:rFonts w:ascii="Verdana" w:eastAsia="Verdana" w:hAnsi="Verdana"/>
        </w:rPr>
        <w:t xml:space="preserve">wiązało się z oceną </w:t>
      </w:r>
      <w:r w:rsidR="000D2F03">
        <w:rPr>
          <w:rFonts w:ascii="Verdana" w:eastAsia="Verdana" w:hAnsi="Verdana"/>
        </w:rPr>
        <w:t xml:space="preserve">jego </w:t>
      </w:r>
      <w:r w:rsidR="005C182F">
        <w:rPr>
          <w:rFonts w:ascii="Verdana" w:eastAsia="Verdana" w:hAnsi="Verdana"/>
        </w:rPr>
        <w:t xml:space="preserve">wyznania </w:t>
      </w:r>
      <w:r w:rsidR="000D2F03">
        <w:rPr>
          <w:rFonts w:ascii="Verdana" w:eastAsia="Verdana" w:hAnsi="Verdana"/>
        </w:rPr>
        <w:t>przez Państwo</w:t>
      </w:r>
      <w:r w:rsidR="005B408C">
        <w:rPr>
          <w:rFonts w:ascii="Verdana" w:eastAsia="Verdana" w:hAnsi="Verdana"/>
        </w:rPr>
        <w:t>.</w:t>
      </w:r>
      <w:r w:rsidR="006966C4">
        <w:rPr>
          <w:rFonts w:ascii="Verdana" w:eastAsia="Verdana" w:hAnsi="Verdana"/>
        </w:rPr>
        <w:t xml:space="preserve"> </w:t>
      </w:r>
    </w:p>
    <w:p w14:paraId="0C06525E" w14:textId="77777777" w:rsidR="007F0630" w:rsidRDefault="000D2F03" w:rsidP="00B65E59">
      <w:pPr>
        <w:spacing w:line="235" w:lineRule="auto"/>
        <w:jc w:val="both"/>
        <w:rPr>
          <w:rFonts w:ascii="Verdana" w:eastAsia="Verdana" w:hAnsi="Verdana"/>
          <w:color w:val="0072BC"/>
        </w:rPr>
      </w:pPr>
      <w:r>
        <w:rPr>
          <w:rFonts w:ascii="Verdana" w:eastAsia="Verdana" w:hAnsi="Verdana"/>
          <w:color w:val="0072BC"/>
        </w:rPr>
        <w:t xml:space="preserve">Trybunał stwierdził, iż </w:t>
      </w:r>
      <w:r w:rsidRPr="008514DB">
        <w:rPr>
          <w:rFonts w:ascii="Verdana" w:eastAsia="Verdana" w:hAnsi="Verdana"/>
          <w:b/>
          <w:color w:val="0072BC"/>
        </w:rPr>
        <w:t>doszło do naruszenia Artykułu 9</w:t>
      </w:r>
      <w:r>
        <w:rPr>
          <w:rFonts w:ascii="Verdana" w:eastAsia="Verdana" w:hAnsi="Verdana"/>
          <w:color w:val="0072BC"/>
        </w:rPr>
        <w:t xml:space="preserve"> Konwencji, które wynikało nie z od</w:t>
      </w:r>
      <w:r w:rsidR="008514DB">
        <w:rPr>
          <w:rFonts w:ascii="Verdana" w:eastAsia="Verdana" w:hAnsi="Verdana"/>
          <w:color w:val="0072BC"/>
        </w:rPr>
        <w:t>mowy wskazania wyznania (Alevi</w:t>
      </w:r>
      <w:r>
        <w:rPr>
          <w:rFonts w:ascii="Verdana" w:eastAsia="Verdana" w:hAnsi="Verdana"/>
          <w:color w:val="0072BC"/>
        </w:rPr>
        <w:t xml:space="preserve">) w dowodzie osobistym, ale z faktu, iż jego dowód osobisty zawierał informacje odnoszące się do religii, niezależnie od tego czy było to obowiązkowe, czy dobrowolne. Trybunał podkreślił, iż wolność manifestowania religii </w:t>
      </w:r>
      <w:r w:rsidR="00E92D86">
        <w:rPr>
          <w:rFonts w:ascii="Verdana" w:eastAsia="Verdana" w:hAnsi="Verdana"/>
          <w:color w:val="0072BC"/>
        </w:rPr>
        <w:t xml:space="preserve">zawiera aspekt </w:t>
      </w:r>
      <w:r>
        <w:rPr>
          <w:rFonts w:ascii="Verdana" w:eastAsia="Verdana" w:hAnsi="Verdana"/>
          <w:color w:val="0072BC"/>
        </w:rPr>
        <w:t xml:space="preserve">negatywny, </w:t>
      </w:r>
      <w:r w:rsidR="00E92D86">
        <w:rPr>
          <w:rFonts w:ascii="Verdana" w:eastAsia="Verdana" w:hAnsi="Verdana"/>
          <w:color w:val="0072BC"/>
        </w:rPr>
        <w:t xml:space="preserve">odnoszący </w:t>
      </w:r>
      <w:r>
        <w:rPr>
          <w:rFonts w:ascii="Verdana" w:eastAsia="Verdana" w:hAnsi="Verdana"/>
          <w:color w:val="0072BC"/>
        </w:rPr>
        <w:t xml:space="preserve">się do </w:t>
      </w:r>
      <w:r w:rsidR="007F0630">
        <w:rPr>
          <w:rFonts w:ascii="Verdana" w:eastAsia="Verdana" w:hAnsi="Verdana"/>
          <w:color w:val="0072BC"/>
        </w:rPr>
        <w:t>brak</w:t>
      </w:r>
      <w:r w:rsidR="005C182F">
        <w:rPr>
          <w:rFonts w:ascii="Verdana" w:eastAsia="Verdana" w:hAnsi="Verdana"/>
          <w:color w:val="0072BC"/>
        </w:rPr>
        <w:t>u</w:t>
      </w:r>
      <w:r w:rsidR="007F0630">
        <w:rPr>
          <w:rFonts w:ascii="Verdana" w:eastAsia="Verdana" w:hAnsi="Verdana"/>
          <w:color w:val="0072BC"/>
        </w:rPr>
        <w:t xml:space="preserve"> obowiązku ujawniania swojego wyznania. </w:t>
      </w:r>
    </w:p>
    <w:p w14:paraId="6992A1A2" w14:textId="77777777" w:rsidR="005B408C" w:rsidRDefault="000D2F03" w:rsidP="00B65E59">
      <w:pPr>
        <w:spacing w:line="246" w:lineRule="auto"/>
        <w:jc w:val="both"/>
        <w:rPr>
          <w:rFonts w:ascii="Times New Roman" w:eastAsia="Times New Roman" w:hAnsi="Times New Roman"/>
        </w:rPr>
      </w:pPr>
      <w:r>
        <w:rPr>
          <w:rFonts w:ascii="Verdana" w:eastAsia="Verdana" w:hAnsi="Verdana"/>
          <w:color w:val="0072BC"/>
        </w:rPr>
        <w:t xml:space="preserve"> </w:t>
      </w:r>
    </w:p>
    <w:p w14:paraId="394FBA9D" w14:textId="77777777" w:rsidR="005B408C" w:rsidRDefault="00077C70" w:rsidP="00B65E59">
      <w:pPr>
        <w:spacing w:line="255" w:lineRule="auto"/>
        <w:jc w:val="both"/>
        <w:rPr>
          <w:rFonts w:ascii="Verdana" w:eastAsia="Verdana" w:hAnsi="Verdana"/>
          <w:color w:val="0072BC"/>
        </w:rPr>
      </w:pPr>
      <w:r>
        <w:rPr>
          <w:rFonts w:ascii="Verdana" w:eastAsia="Verdana" w:hAnsi="Verdana"/>
          <w:color w:val="0072BC"/>
        </w:rPr>
        <w:lastRenderedPageBreak/>
        <w:t xml:space="preserve">Zgodnie z Artykułem 46 (moc obowiązująca oraz wykonanie wyroków) Konwencji, Trybunał dalej wskazał, iż usunięcie rubryki „wyznanie” w dowodach osobistych mogło być odpowiednią formą </w:t>
      </w:r>
      <w:r w:rsidR="00E92D86">
        <w:rPr>
          <w:rFonts w:ascii="Verdana" w:eastAsia="Verdana" w:hAnsi="Verdana"/>
          <w:color w:val="0072BC"/>
        </w:rPr>
        <w:t xml:space="preserve">zadośćuczynienia </w:t>
      </w:r>
      <w:r>
        <w:rPr>
          <w:rFonts w:ascii="Verdana" w:eastAsia="Verdana" w:hAnsi="Verdana"/>
          <w:color w:val="0072BC"/>
        </w:rPr>
        <w:t xml:space="preserve">w celu położenia kresu </w:t>
      </w:r>
      <w:r w:rsidR="00E92D86">
        <w:rPr>
          <w:rFonts w:ascii="Verdana" w:eastAsia="Verdana" w:hAnsi="Verdana"/>
          <w:color w:val="0072BC"/>
        </w:rPr>
        <w:t xml:space="preserve">przedmiotowym </w:t>
      </w:r>
      <w:r>
        <w:rPr>
          <w:rFonts w:ascii="Verdana" w:eastAsia="Verdana" w:hAnsi="Verdana"/>
          <w:color w:val="0072BC"/>
        </w:rPr>
        <w:t>naruszeniom</w:t>
      </w:r>
      <w:r w:rsidR="00E92D86">
        <w:rPr>
          <w:rFonts w:ascii="Verdana" w:eastAsia="Verdana" w:hAnsi="Verdana"/>
          <w:color w:val="0072BC"/>
        </w:rPr>
        <w:t>.</w:t>
      </w:r>
    </w:p>
    <w:p w14:paraId="42B6EF0E" w14:textId="77777777" w:rsidR="005B408C" w:rsidRDefault="005B408C" w:rsidP="00B65E59">
      <w:pPr>
        <w:spacing w:line="130" w:lineRule="exact"/>
        <w:rPr>
          <w:rFonts w:ascii="Times New Roman" w:eastAsia="Times New Roman" w:hAnsi="Times New Roman"/>
        </w:rPr>
      </w:pPr>
    </w:p>
    <w:p w14:paraId="7EFDB3A4" w14:textId="77777777" w:rsidR="005B408C" w:rsidRDefault="00C2570C" w:rsidP="00B65E59">
      <w:pPr>
        <w:spacing w:line="0" w:lineRule="atLeast"/>
        <w:rPr>
          <w:rFonts w:ascii="Verdana" w:eastAsia="Verdana" w:hAnsi="Verdana"/>
          <w:color w:val="808080"/>
          <w:sz w:val="28"/>
        </w:rPr>
      </w:pPr>
      <w:r>
        <w:rPr>
          <w:rFonts w:ascii="Verdana" w:eastAsia="Verdana" w:hAnsi="Verdana"/>
          <w:color w:val="808080"/>
          <w:sz w:val="28"/>
        </w:rPr>
        <w:t>Na kartach podatkowych</w:t>
      </w:r>
    </w:p>
    <w:p w14:paraId="65E18653" w14:textId="77777777" w:rsidR="005B408C" w:rsidRDefault="005B408C" w:rsidP="00B65E59">
      <w:pPr>
        <w:spacing w:line="125" w:lineRule="exact"/>
        <w:rPr>
          <w:rFonts w:ascii="Times New Roman" w:eastAsia="Times New Roman" w:hAnsi="Times New Roman"/>
        </w:rPr>
      </w:pPr>
    </w:p>
    <w:p w14:paraId="17EAFFC9" w14:textId="77777777" w:rsidR="005B408C" w:rsidRDefault="005B408C" w:rsidP="00B65E59">
      <w:pPr>
        <w:spacing w:line="0" w:lineRule="atLeast"/>
        <w:rPr>
          <w:rFonts w:ascii="Verdana" w:eastAsia="Verdana" w:hAnsi="Verdana"/>
          <w:b/>
          <w:color w:val="0072BC"/>
          <w:u w:val="single"/>
        </w:rPr>
      </w:pPr>
      <w:r>
        <w:rPr>
          <w:rFonts w:ascii="Verdana" w:eastAsia="Verdana" w:hAnsi="Verdana"/>
          <w:b/>
          <w:color w:val="0072BC"/>
          <w:u w:val="single"/>
        </w:rPr>
        <w:t xml:space="preserve">Wasmuth </w:t>
      </w:r>
      <w:r w:rsidR="00F228D2">
        <w:rPr>
          <w:rFonts w:ascii="Verdana" w:eastAsia="Verdana" w:hAnsi="Verdana"/>
          <w:b/>
          <w:color w:val="0072BC"/>
          <w:u w:val="single"/>
        </w:rPr>
        <w:t xml:space="preserve">przeciwko Niemcom </w:t>
      </w:r>
    </w:p>
    <w:p w14:paraId="2D638F7F" w14:textId="77777777" w:rsidR="005B408C" w:rsidRDefault="005B408C" w:rsidP="00B65E59">
      <w:pPr>
        <w:spacing w:line="64" w:lineRule="exact"/>
        <w:rPr>
          <w:rFonts w:ascii="Times New Roman" w:eastAsia="Times New Roman" w:hAnsi="Times New Roman"/>
        </w:rPr>
      </w:pPr>
    </w:p>
    <w:p w14:paraId="5F84CDEE" w14:textId="77777777" w:rsidR="005B408C" w:rsidRDefault="00C2570C" w:rsidP="00B65E59">
      <w:pPr>
        <w:spacing w:line="0" w:lineRule="atLeast"/>
        <w:rPr>
          <w:rFonts w:ascii="Verdana" w:eastAsia="Verdana" w:hAnsi="Verdana"/>
          <w:color w:val="808080"/>
          <w:sz w:val="18"/>
        </w:rPr>
      </w:pPr>
      <w:r>
        <w:rPr>
          <w:rFonts w:ascii="Verdana" w:eastAsia="Verdana" w:hAnsi="Verdana"/>
          <w:color w:val="808080"/>
          <w:sz w:val="18"/>
        </w:rPr>
        <w:t>17 lutego</w:t>
      </w:r>
      <w:r w:rsidR="005B408C">
        <w:rPr>
          <w:rFonts w:ascii="Verdana" w:eastAsia="Verdana" w:hAnsi="Verdana"/>
          <w:color w:val="808080"/>
          <w:sz w:val="18"/>
        </w:rPr>
        <w:t xml:space="preserve"> 2011</w:t>
      </w:r>
      <w:r>
        <w:rPr>
          <w:rFonts w:ascii="Verdana" w:eastAsia="Verdana" w:hAnsi="Verdana"/>
          <w:color w:val="808080"/>
          <w:sz w:val="18"/>
        </w:rPr>
        <w:t xml:space="preserve"> roku</w:t>
      </w:r>
    </w:p>
    <w:p w14:paraId="04DD18A7" w14:textId="77777777" w:rsidR="005B408C" w:rsidRDefault="005B408C" w:rsidP="00B65E59">
      <w:pPr>
        <w:spacing w:line="1" w:lineRule="exact"/>
        <w:rPr>
          <w:rFonts w:ascii="Times New Roman" w:eastAsia="Times New Roman" w:hAnsi="Times New Roman"/>
        </w:rPr>
      </w:pPr>
    </w:p>
    <w:p w14:paraId="31077571" w14:textId="77777777" w:rsidR="005B408C" w:rsidRDefault="00C2570C" w:rsidP="00B65E59">
      <w:pPr>
        <w:spacing w:line="239" w:lineRule="auto"/>
        <w:jc w:val="both"/>
        <w:rPr>
          <w:rFonts w:ascii="Verdana" w:eastAsia="Verdana" w:hAnsi="Verdana"/>
        </w:rPr>
      </w:pPr>
      <w:r>
        <w:rPr>
          <w:rFonts w:ascii="Verdana" w:eastAsia="Verdana" w:hAnsi="Verdana"/>
        </w:rPr>
        <w:t>Sprawa dotyczy niemieckiego systemu nakładania podatków religijnych. Skarżący był prawnikie</w:t>
      </w:r>
      <w:r w:rsidR="00443251">
        <w:rPr>
          <w:rFonts w:ascii="Verdana" w:eastAsia="Verdana" w:hAnsi="Verdana"/>
        </w:rPr>
        <w:t xml:space="preserve">m odbywającym prywatną praktykę, jak również </w:t>
      </w:r>
      <w:r>
        <w:rPr>
          <w:rFonts w:ascii="Verdana" w:eastAsia="Verdana" w:hAnsi="Verdana"/>
        </w:rPr>
        <w:t>był zatrudniony jako lektor w wydawnictwie. Na jego kartach podatkowych z kilku ostatnich lat widniał wpis ‘</w:t>
      </w:r>
      <w:r w:rsidR="00A12993">
        <w:rPr>
          <w:rFonts w:ascii="Verdana" w:eastAsia="Verdana" w:hAnsi="Verdana"/>
        </w:rPr>
        <w:t>- -</w:t>
      </w:r>
      <w:r>
        <w:rPr>
          <w:rFonts w:ascii="Verdana" w:eastAsia="Verdana" w:hAnsi="Verdana"/>
        </w:rPr>
        <w:t>‘</w:t>
      </w:r>
      <w:r w:rsidR="00A12993">
        <w:rPr>
          <w:rFonts w:ascii="Verdana" w:eastAsia="Verdana" w:hAnsi="Verdana"/>
        </w:rPr>
        <w:t xml:space="preserve"> w rubryce </w:t>
      </w:r>
      <w:r w:rsidR="00443251">
        <w:rPr>
          <w:rFonts w:ascii="Verdana" w:eastAsia="Verdana" w:hAnsi="Verdana"/>
        </w:rPr>
        <w:t>‘odliczany podatek koś</w:t>
      </w:r>
      <w:r w:rsidR="00E66694">
        <w:rPr>
          <w:rFonts w:ascii="Verdana" w:eastAsia="Verdana" w:hAnsi="Verdana"/>
        </w:rPr>
        <w:t xml:space="preserve">cielny’ informujący pracodawcę, iż nie musi odliczać żadnego podatku kościelnego na rzecz skarżącego. </w:t>
      </w:r>
      <w:r w:rsidR="00A326C2">
        <w:rPr>
          <w:rFonts w:ascii="Verdana" w:eastAsia="Verdana" w:hAnsi="Verdana"/>
        </w:rPr>
        <w:t>Skarżący kwestionował</w:t>
      </w:r>
      <w:r w:rsidR="00D22BCB">
        <w:rPr>
          <w:rFonts w:ascii="Verdana" w:eastAsia="Verdana" w:hAnsi="Verdana"/>
        </w:rPr>
        <w:t xml:space="preserve"> </w:t>
      </w:r>
      <w:r w:rsidR="00206ECF">
        <w:rPr>
          <w:rFonts w:ascii="Verdana" w:eastAsia="Verdana" w:hAnsi="Verdana"/>
        </w:rPr>
        <w:t xml:space="preserve">konieczność </w:t>
      </w:r>
      <w:r w:rsidR="00AA0167">
        <w:rPr>
          <w:rFonts w:ascii="Verdana" w:eastAsia="Verdana" w:hAnsi="Verdana"/>
        </w:rPr>
        <w:t xml:space="preserve">zamieszczenie </w:t>
      </w:r>
      <w:r w:rsidR="00206ECF" w:rsidRPr="00206ECF">
        <w:rPr>
          <w:rFonts w:ascii="Verdana" w:eastAsia="Verdana" w:hAnsi="Verdana"/>
        </w:rPr>
        <w:t>na karcie podatkowej</w:t>
      </w:r>
      <w:r w:rsidR="00206ECF" w:rsidRPr="00206ECF" w:rsidDel="00A326C2">
        <w:rPr>
          <w:rFonts w:ascii="Verdana" w:eastAsia="Verdana" w:hAnsi="Verdana"/>
        </w:rPr>
        <w:t xml:space="preserve"> </w:t>
      </w:r>
      <w:r w:rsidR="00206ECF" w:rsidRPr="00206ECF">
        <w:rPr>
          <w:rFonts w:ascii="Verdana" w:eastAsia="Verdana" w:hAnsi="Verdana"/>
        </w:rPr>
        <w:t xml:space="preserve">informacji </w:t>
      </w:r>
      <w:r w:rsidR="00D22BCB">
        <w:rPr>
          <w:rFonts w:ascii="Verdana" w:eastAsia="Verdana" w:hAnsi="Verdana"/>
        </w:rPr>
        <w:t xml:space="preserve">o braku związku z społeczeństwem religijnym uprawnionym do pobierania podatku religijnego. </w:t>
      </w:r>
      <w:r w:rsidR="00D22BCB">
        <w:rPr>
          <w:rFonts w:ascii="Verdana" w:eastAsia="Verdana" w:hAnsi="Verdana"/>
        </w:rPr>
        <w:tab/>
      </w:r>
    </w:p>
    <w:p w14:paraId="0631416D" w14:textId="77777777" w:rsidR="005B408C" w:rsidRDefault="005B408C" w:rsidP="00B65E59">
      <w:pPr>
        <w:spacing w:line="1" w:lineRule="exact"/>
        <w:rPr>
          <w:rFonts w:ascii="Times New Roman" w:eastAsia="Times New Roman" w:hAnsi="Times New Roman"/>
        </w:rPr>
      </w:pPr>
    </w:p>
    <w:p w14:paraId="2AA7B01E" w14:textId="77777777" w:rsidR="005B408C" w:rsidRDefault="00D22BCB" w:rsidP="00B65E59">
      <w:pPr>
        <w:spacing w:line="244" w:lineRule="auto"/>
        <w:jc w:val="both"/>
        <w:rPr>
          <w:rFonts w:ascii="Verdana" w:eastAsia="Verdana" w:hAnsi="Verdana"/>
          <w:color w:val="0072BC"/>
        </w:rPr>
      </w:pPr>
      <w:r>
        <w:rPr>
          <w:rFonts w:ascii="Verdana" w:eastAsia="Verdana" w:hAnsi="Verdana"/>
          <w:color w:val="0072BC"/>
        </w:rPr>
        <w:t xml:space="preserve">Trybunał </w:t>
      </w:r>
      <w:r w:rsidR="00732E8B">
        <w:rPr>
          <w:rFonts w:ascii="Verdana" w:eastAsia="Verdana" w:hAnsi="Verdana"/>
          <w:color w:val="0072BC"/>
        </w:rPr>
        <w:t>stwierdził</w:t>
      </w:r>
      <w:r>
        <w:rPr>
          <w:rFonts w:ascii="Verdana" w:eastAsia="Verdana" w:hAnsi="Verdana"/>
          <w:color w:val="0072BC"/>
        </w:rPr>
        <w:t xml:space="preserve">, iż </w:t>
      </w:r>
      <w:r w:rsidRPr="00443251">
        <w:rPr>
          <w:rFonts w:ascii="Verdana" w:eastAsia="Verdana" w:hAnsi="Verdana"/>
          <w:b/>
          <w:color w:val="0072BC"/>
        </w:rPr>
        <w:t>nie doszło do naruszenia Artykułu 9</w:t>
      </w:r>
      <w:r>
        <w:rPr>
          <w:rFonts w:ascii="Verdana" w:eastAsia="Verdana" w:hAnsi="Verdana"/>
          <w:color w:val="0072BC"/>
        </w:rPr>
        <w:t xml:space="preserve"> ani </w:t>
      </w:r>
      <w:r w:rsidRPr="00443251">
        <w:rPr>
          <w:rFonts w:ascii="Verdana" w:eastAsia="Verdana" w:hAnsi="Verdana"/>
          <w:b/>
          <w:color w:val="0072BC"/>
        </w:rPr>
        <w:t>Artykułu 8</w:t>
      </w:r>
      <w:r>
        <w:rPr>
          <w:rFonts w:ascii="Verdana" w:eastAsia="Verdana" w:hAnsi="Verdana"/>
          <w:color w:val="0072BC"/>
        </w:rPr>
        <w:t xml:space="preserve"> (prawo do poszanowania życia prywatnego i rodzinnego) Konwencji. </w:t>
      </w:r>
      <w:r w:rsidR="008D2B3F">
        <w:rPr>
          <w:rFonts w:ascii="Verdana" w:eastAsia="Verdana" w:hAnsi="Verdana"/>
          <w:color w:val="0072BC"/>
        </w:rPr>
        <w:t>I</w:t>
      </w:r>
      <w:r w:rsidR="00206ECF">
        <w:rPr>
          <w:rFonts w:ascii="Verdana" w:eastAsia="Verdana" w:hAnsi="Verdana"/>
          <w:color w:val="0072BC"/>
        </w:rPr>
        <w:t xml:space="preserve">ngerencja </w:t>
      </w:r>
      <w:r w:rsidR="008D2B3F">
        <w:rPr>
          <w:rFonts w:ascii="Verdana" w:eastAsia="Verdana" w:hAnsi="Verdana"/>
          <w:color w:val="0072BC"/>
        </w:rPr>
        <w:t xml:space="preserve">bowiem </w:t>
      </w:r>
      <w:r>
        <w:rPr>
          <w:rFonts w:ascii="Verdana" w:eastAsia="Verdana" w:hAnsi="Verdana"/>
          <w:color w:val="0072BC"/>
        </w:rPr>
        <w:t xml:space="preserve">w prawa skarżącego </w:t>
      </w:r>
      <w:r w:rsidR="00206ECF">
        <w:rPr>
          <w:rFonts w:ascii="Verdana" w:eastAsia="Verdana" w:hAnsi="Verdana"/>
          <w:color w:val="0072BC"/>
        </w:rPr>
        <w:t>gwarantowane na podstawie wymienionych przepisów Konwencji</w:t>
      </w:r>
      <w:r>
        <w:rPr>
          <w:rFonts w:ascii="Verdana" w:eastAsia="Verdana" w:hAnsi="Verdana"/>
          <w:color w:val="0072BC"/>
        </w:rPr>
        <w:t xml:space="preserve"> służyła prawnie uzasadnionemu celowi, jakim jest zapewnienie kościołom oraz wspólnotom wyznaniowym pobierania podatku religijnego. Była także pr</w:t>
      </w:r>
      <w:r w:rsidR="00446EA3">
        <w:rPr>
          <w:rFonts w:ascii="Verdana" w:eastAsia="Verdana" w:hAnsi="Verdana"/>
          <w:color w:val="0072BC"/>
        </w:rPr>
        <w:t>oporcjonalna do celu</w:t>
      </w:r>
      <w:r w:rsidR="00443251">
        <w:rPr>
          <w:rFonts w:ascii="Verdana" w:eastAsia="Verdana" w:hAnsi="Verdana"/>
          <w:color w:val="0072BC"/>
        </w:rPr>
        <w:t>,</w:t>
      </w:r>
      <w:r w:rsidR="00446EA3">
        <w:rPr>
          <w:rFonts w:ascii="Verdana" w:eastAsia="Verdana" w:hAnsi="Verdana"/>
          <w:color w:val="0072BC"/>
        </w:rPr>
        <w:t xml:space="preserve"> jako że odniesienie </w:t>
      </w:r>
      <w:r w:rsidR="00653FC3">
        <w:rPr>
          <w:rFonts w:ascii="Verdana" w:eastAsia="Verdana" w:hAnsi="Verdana"/>
          <w:color w:val="0072BC"/>
        </w:rPr>
        <w:t>w tej kwestii miało jedynie ograniczoną wartość informacyjną dotyczącą przekonań religijnych czy filozoficznych skarżącego: dane te zwyczajnie wskazywały organom f</w:t>
      </w:r>
      <w:r w:rsidR="006428AA">
        <w:rPr>
          <w:rFonts w:ascii="Verdana" w:eastAsia="Verdana" w:hAnsi="Verdana"/>
          <w:color w:val="0072BC"/>
        </w:rPr>
        <w:t xml:space="preserve">iskalnym, iż nie należał on do żadnego z </w:t>
      </w:r>
      <w:r w:rsidR="0054091B">
        <w:rPr>
          <w:rFonts w:ascii="Verdana" w:eastAsia="Verdana" w:hAnsi="Verdana"/>
          <w:color w:val="0072BC"/>
        </w:rPr>
        <w:t xml:space="preserve">kościołów lub wspólnot uprawnionych do pobierania podatku religijnego i faktycznego wykonywania tego prawa w praktyce. </w:t>
      </w:r>
    </w:p>
    <w:p w14:paraId="7E1C273E" w14:textId="77777777" w:rsidR="005B408C" w:rsidRDefault="005B408C" w:rsidP="00B65E59">
      <w:pPr>
        <w:spacing w:line="140" w:lineRule="exact"/>
        <w:rPr>
          <w:rFonts w:ascii="Times New Roman" w:eastAsia="Times New Roman" w:hAnsi="Times New Roman"/>
        </w:rPr>
      </w:pPr>
    </w:p>
    <w:p w14:paraId="191A6625" w14:textId="77777777" w:rsidR="005B408C" w:rsidRDefault="0054091B" w:rsidP="00B65E59">
      <w:pPr>
        <w:spacing w:line="0" w:lineRule="atLeast"/>
        <w:rPr>
          <w:rFonts w:ascii="Verdana" w:eastAsia="Verdana" w:hAnsi="Verdana"/>
          <w:color w:val="808080"/>
          <w:sz w:val="28"/>
        </w:rPr>
      </w:pPr>
      <w:r>
        <w:rPr>
          <w:rFonts w:ascii="Verdana" w:eastAsia="Verdana" w:hAnsi="Verdana"/>
          <w:color w:val="808080"/>
          <w:sz w:val="28"/>
        </w:rPr>
        <w:t>Składając przysięgę w postępowaniu karnym</w:t>
      </w:r>
    </w:p>
    <w:p w14:paraId="24CD4D38" w14:textId="77777777" w:rsidR="005B408C" w:rsidRDefault="005B408C" w:rsidP="00B65E59">
      <w:pPr>
        <w:spacing w:line="125" w:lineRule="exact"/>
        <w:rPr>
          <w:rFonts w:ascii="Times New Roman" w:eastAsia="Times New Roman" w:hAnsi="Times New Roman"/>
        </w:rPr>
      </w:pPr>
    </w:p>
    <w:p w14:paraId="73182486" w14:textId="77777777" w:rsidR="005B408C" w:rsidRDefault="005B408C" w:rsidP="00B65E59">
      <w:pPr>
        <w:spacing w:line="0" w:lineRule="atLeast"/>
        <w:rPr>
          <w:rFonts w:ascii="Verdana" w:eastAsia="Verdana" w:hAnsi="Verdana"/>
          <w:b/>
          <w:color w:val="0072BC"/>
          <w:u w:val="single"/>
        </w:rPr>
      </w:pPr>
      <w:hyperlink r:id="rId19" w:history="1">
        <w:r w:rsidR="00E34686">
          <w:rPr>
            <w:rFonts w:ascii="Verdana" w:eastAsia="Verdana" w:hAnsi="Verdana"/>
            <w:b/>
            <w:color w:val="0072BC"/>
            <w:u w:val="single"/>
          </w:rPr>
          <w:t xml:space="preserve">Dimitras i Inni przeciwko Grecji </w:t>
        </w:r>
      </w:hyperlink>
    </w:p>
    <w:p w14:paraId="003E17F4" w14:textId="77777777" w:rsidR="005B408C" w:rsidRDefault="005B408C" w:rsidP="00B65E59">
      <w:pPr>
        <w:spacing w:line="63" w:lineRule="exact"/>
        <w:rPr>
          <w:rFonts w:ascii="Times New Roman" w:eastAsia="Times New Roman" w:hAnsi="Times New Roman"/>
        </w:rPr>
      </w:pPr>
    </w:p>
    <w:p w14:paraId="69299513" w14:textId="77777777" w:rsidR="005B408C" w:rsidRDefault="00E34686" w:rsidP="00B65E59">
      <w:pPr>
        <w:spacing w:line="0" w:lineRule="atLeast"/>
        <w:rPr>
          <w:rFonts w:ascii="Verdana" w:eastAsia="Verdana" w:hAnsi="Verdana"/>
          <w:color w:val="808080"/>
          <w:sz w:val="18"/>
        </w:rPr>
      </w:pPr>
      <w:r>
        <w:rPr>
          <w:rFonts w:ascii="Verdana" w:eastAsia="Verdana" w:hAnsi="Verdana"/>
          <w:color w:val="808080"/>
          <w:sz w:val="18"/>
        </w:rPr>
        <w:t>3 czerwca</w:t>
      </w:r>
      <w:r w:rsidR="005B408C">
        <w:rPr>
          <w:rFonts w:ascii="Verdana" w:eastAsia="Verdana" w:hAnsi="Verdana"/>
          <w:color w:val="808080"/>
          <w:sz w:val="18"/>
        </w:rPr>
        <w:t xml:space="preserve"> 2013</w:t>
      </w:r>
      <w:r w:rsidR="00B65E59">
        <w:rPr>
          <w:rFonts w:ascii="Verdana" w:eastAsia="Verdana" w:hAnsi="Verdana"/>
          <w:color w:val="808080"/>
          <w:sz w:val="18"/>
        </w:rPr>
        <w:t xml:space="preserve"> roku</w:t>
      </w:r>
    </w:p>
    <w:p w14:paraId="7B48E4E6" w14:textId="77777777" w:rsidR="005B408C" w:rsidRDefault="001F24FE" w:rsidP="00B65E59">
      <w:pPr>
        <w:spacing w:line="0" w:lineRule="atLeast"/>
        <w:jc w:val="both"/>
        <w:rPr>
          <w:rFonts w:ascii="Verdana" w:eastAsia="Verdana" w:hAnsi="Verdana"/>
        </w:rPr>
      </w:pPr>
      <w:r>
        <w:rPr>
          <w:rFonts w:ascii="Verdana" w:eastAsia="Verdana" w:hAnsi="Verdana"/>
        </w:rPr>
        <w:t>Skarżący zostali wezwani do stawiennict</w:t>
      </w:r>
      <w:r w:rsidR="00443251">
        <w:rPr>
          <w:rFonts w:ascii="Verdana" w:eastAsia="Verdana" w:hAnsi="Verdana"/>
        </w:rPr>
        <w:t>wa w sądzie w różnych terminach</w:t>
      </w:r>
      <w:r>
        <w:rPr>
          <w:rFonts w:ascii="Verdana" w:eastAsia="Verdana" w:hAnsi="Verdana"/>
        </w:rPr>
        <w:t xml:space="preserve"> jako świadkowie, s</w:t>
      </w:r>
      <w:r w:rsidR="00443251">
        <w:rPr>
          <w:rFonts w:ascii="Verdana" w:eastAsia="Verdana" w:hAnsi="Verdana"/>
        </w:rPr>
        <w:t>karżący</w:t>
      </w:r>
      <w:r>
        <w:rPr>
          <w:rFonts w:ascii="Verdana" w:eastAsia="Verdana" w:hAnsi="Verdana"/>
        </w:rPr>
        <w:t xml:space="preserve"> lub podejrzani w postępowaniu karnym. Zgodnie z kodeksem karnym zostali oni poproszeni o złożenie przysięgi kładąc prawą rękę na </w:t>
      </w:r>
      <w:r w:rsidR="00CE40D1">
        <w:rPr>
          <w:rFonts w:ascii="Verdana" w:eastAsia="Verdana" w:hAnsi="Verdana"/>
        </w:rPr>
        <w:t>Biblii</w:t>
      </w:r>
      <w:r>
        <w:rPr>
          <w:rFonts w:ascii="Verdana" w:eastAsia="Verdana" w:hAnsi="Verdana"/>
        </w:rPr>
        <w:t xml:space="preserve">. Za każdym razem informowali </w:t>
      </w:r>
      <w:r w:rsidR="00CE40D1">
        <w:rPr>
          <w:rFonts w:ascii="Verdana" w:eastAsia="Verdana" w:hAnsi="Verdana"/>
        </w:rPr>
        <w:t>władze</w:t>
      </w:r>
      <w:r>
        <w:rPr>
          <w:rFonts w:ascii="Verdana" w:eastAsia="Verdana" w:hAnsi="Verdana"/>
        </w:rPr>
        <w:t xml:space="preserve">, iż nie są ortodoksyjnymi chrześcijanami i woleliby </w:t>
      </w:r>
      <w:r w:rsidR="00E37948">
        <w:rPr>
          <w:rFonts w:ascii="Verdana" w:eastAsia="Verdana" w:hAnsi="Verdana"/>
        </w:rPr>
        <w:t xml:space="preserve">zamiast tego </w:t>
      </w:r>
      <w:r>
        <w:rPr>
          <w:rFonts w:ascii="Verdana" w:eastAsia="Verdana" w:hAnsi="Verdana"/>
        </w:rPr>
        <w:t xml:space="preserve">złożyć </w:t>
      </w:r>
      <w:r w:rsidR="00CE40D1">
        <w:rPr>
          <w:rFonts w:ascii="Verdana" w:eastAsia="Verdana" w:hAnsi="Verdana"/>
        </w:rPr>
        <w:t>oficjalne oświadczenie</w:t>
      </w:r>
      <w:r>
        <w:rPr>
          <w:rFonts w:ascii="Verdana" w:eastAsia="Verdana" w:hAnsi="Verdana"/>
        </w:rPr>
        <w:t xml:space="preserve">, do </w:t>
      </w:r>
      <w:r w:rsidR="00CE40D1">
        <w:rPr>
          <w:rFonts w:ascii="Verdana" w:eastAsia="Verdana" w:hAnsi="Verdana"/>
        </w:rPr>
        <w:t xml:space="preserve">którego </w:t>
      </w:r>
      <w:r>
        <w:rPr>
          <w:rFonts w:ascii="Verdana" w:eastAsia="Verdana" w:hAnsi="Verdana"/>
        </w:rPr>
        <w:t xml:space="preserve">byli zobowiązani. Skarżący podnieśli w szczególności, iż składając przysięgę w sądzie zostali zmuszeni do wyrażenia swoich nieortodoksyjnych przekonań.    </w:t>
      </w:r>
      <w:r w:rsidR="00A834DD">
        <w:rPr>
          <w:rFonts w:ascii="Verdana" w:eastAsia="Verdana" w:hAnsi="Verdana"/>
        </w:rPr>
        <w:t xml:space="preserve"> </w:t>
      </w:r>
    </w:p>
    <w:p w14:paraId="36824277" w14:textId="77777777" w:rsidR="005B408C" w:rsidRDefault="001F24FE" w:rsidP="00B65E59">
      <w:pPr>
        <w:spacing w:line="242" w:lineRule="auto"/>
        <w:jc w:val="both"/>
        <w:rPr>
          <w:rFonts w:ascii="Verdana" w:eastAsia="Verdana" w:hAnsi="Verdana"/>
          <w:color w:val="0072BC"/>
        </w:rPr>
      </w:pPr>
      <w:r>
        <w:rPr>
          <w:rFonts w:ascii="Verdana" w:eastAsia="Verdana" w:hAnsi="Verdana"/>
          <w:color w:val="0072BC"/>
        </w:rPr>
        <w:t>Trybunał powtórzył, iż wolność m</w:t>
      </w:r>
      <w:r w:rsidR="00443251">
        <w:rPr>
          <w:rFonts w:ascii="Verdana" w:eastAsia="Verdana" w:hAnsi="Verdana"/>
          <w:color w:val="0072BC"/>
        </w:rPr>
        <w:t>yśli, sumienia i wyznania, które</w:t>
      </w:r>
      <w:r>
        <w:rPr>
          <w:rFonts w:ascii="Verdana" w:eastAsia="Verdana" w:hAnsi="Verdana"/>
          <w:color w:val="0072BC"/>
        </w:rPr>
        <w:t xml:space="preserve"> idzie w parze z pluralizmem, jest jednym z fundamentów „demokratycznego społeczeństwa” oraz że w swym religijnym wymiarze wolność ta jest istotną częścią tożsamości każdego wierzącego</w:t>
      </w:r>
      <w:r w:rsidR="00C946AB">
        <w:rPr>
          <w:rFonts w:ascii="Verdana" w:eastAsia="Verdana" w:hAnsi="Verdana"/>
          <w:color w:val="0072BC"/>
        </w:rPr>
        <w:t xml:space="preserve">, jak również cennym atutem dla ateistów, agnostyków, sceptyków oraz </w:t>
      </w:r>
      <w:r w:rsidR="00A3644D">
        <w:rPr>
          <w:rFonts w:ascii="Verdana" w:eastAsia="Verdana" w:hAnsi="Verdana"/>
          <w:color w:val="0072BC"/>
        </w:rPr>
        <w:t>obojętnych</w:t>
      </w:r>
      <w:r w:rsidR="00C946AB">
        <w:rPr>
          <w:rFonts w:ascii="Verdana" w:eastAsia="Verdana" w:hAnsi="Verdana"/>
          <w:color w:val="0072BC"/>
        </w:rPr>
        <w:t xml:space="preserve">. Trybunał </w:t>
      </w:r>
      <w:r w:rsidR="00DD1464">
        <w:rPr>
          <w:rFonts w:ascii="Verdana" w:eastAsia="Verdana" w:hAnsi="Verdana"/>
          <w:color w:val="0072BC"/>
        </w:rPr>
        <w:t xml:space="preserve">stwierdził </w:t>
      </w:r>
      <w:r w:rsidR="00C946AB">
        <w:rPr>
          <w:rFonts w:ascii="Verdana" w:eastAsia="Verdana" w:hAnsi="Verdana"/>
          <w:color w:val="0072BC"/>
        </w:rPr>
        <w:t xml:space="preserve">już, iż wolność wyrażania swoich przekonań religijnych obejmuje prawo jednostki do nieujawniania wiary czy przekonań religijnych i </w:t>
      </w:r>
      <w:r w:rsidR="00001421">
        <w:rPr>
          <w:rFonts w:ascii="Verdana" w:eastAsia="Verdana" w:hAnsi="Verdana"/>
          <w:color w:val="0072BC"/>
        </w:rPr>
        <w:t xml:space="preserve">działania bądź </w:t>
      </w:r>
      <w:r w:rsidR="00C946AB">
        <w:rPr>
          <w:rFonts w:ascii="Verdana" w:eastAsia="Verdana" w:hAnsi="Verdana"/>
          <w:color w:val="0072BC"/>
        </w:rPr>
        <w:t>powstrzymywania się od działania</w:t>
      </w:r>
      <w:r w:rsidR="00153BFF">
        <w:rPr>
          <w:rFonts w:ascii="Verdana" w:eastAsia="Verdana" w:hAnsi="Verdana"/>
          <w:color w:val="0072BC"/>
        </w:rPr>
        <w:t xml:space="preserve"> </w:t>
      </w:r>
      <w:r w:rsidR="00587E81">
        <w:rPr>
          <w:rFonts w:ascii="Verdana" w:eastAsia="Verdana" w:hAnsi="Verdana"/>
          <w:color w:val="0072BC"/>
        </w:rPr>
        <w:t>w taki sposób</w:t>
      </w:r>
      <w:r w:rsidR="00443251">
        <w:rPr>
          <w:rFonts w:ascii="Verdana" w:eastAsia="Verdana" w:hAnsi="Verdana"/>
          <w:color w:val="0072BC"/>
        </w:rPr>
        <w:t>,</w:t>
      </w:r>
      <w:r w:rsidR="00587E81">
        <w:rPr>
          <w:rFonts w:ascii="Verdana" w:eastAsia="Verdana" w:hAnsi="Verdana"/>
          <w:color w:val="0072BC"/>
        </w:rPr>
        <w:t xml:space="preserve"> </w:t>
      </w:r>
      <w:r w:rsidR="00C946AB">
        <w:rPr>
          <w:rFonts w:ascii="Verdana" w:eastAsia="Verdana" w:hAnsi="Verdana"/>
          <w:color w:val="0072BC"/>
        </w:rPr>
        <w:t>aby można było st</w:t>
      </w:r>
      <w:r w:rsidR="00587E81">
        <w:rPr>
          <w:rFonts w:ascii="Verdana" w:eastAsia="Verdana" w:hAnsi="Verdana"/>
          <w:color w:val="0072BC"/>
        </w:rPr>
        <w:t>wierdzić, iż ma lub nie ma</w:t>
      </w:r>
      <w:r w:rsidR="00443251">
        <w:rPr>
          <w:rFonts w:ascii="Verdana" w:eastAsia="Verdana" w:hAnsi="Verdana"/>
          <w:color w:val="0072BC"/>
        </w:rPr>
        <w:t xml:space="preserve"> się</w:t>
      </w:r>
      <w:r w:rsidR="00587E81">
        <w:rPr>
          <w:rFonts w:ascii="Verdana" w:eastAsia="Verdana" w:hAnsi="Verdana"/>
          <w:color w:val="0072BC"/>
        </w:rPr>
        <w:t xml:space="preserve"> konkretnych przekonań . W niniejszej sprawie Trybunał orzekł, iż </w:t>
      </w:r>
      <w:r w:rsidR="00587E81" w:rsidRPr="00443251">
        <w:rPr>
          <w:rFonts w:ascii="Verdana" w:eastAsia="Verdana" w:hAnsi="Verdana"/>
          <w:b/>
          <w:color w:val="0072BC"/>
        </w:rPr>
        <w:t>doszło do naruszenia Artykułu 9</w:t>
      </w:r>
      <w:r w:rsidR="00587E81">
        <w:rPr>
          <w:rFonts w:ascii="Verdana" w:eastAsia="Verdana" w:hAnsi="Verdana"/>
          <w:color w:val="0072BC"/>
        </w:rPr>
        <w:t xml:space="preserve"> Konwencji, stwierdzając</w:t>
      </w:r>
      <w:r w:rsidR="00443251">
        <w:rPr>
          <w:rFonts w:ascii="Verdana" w:eastAsia="Verdana" w:hAnsi="Verdana"/>
          <w:color w:val="0072BC"/>
        </w:rPr>
        <w:t>,</w:t>
      </w:r>
      <w:r w:rsidR="00587E81">
        <w:rPr>
          <w:rFonts w:ascii="Verdana" w:eastAsia="Verdana" w:hAnsi="Verdana"/>
          <w:color w:val="0072BC"/>
        </w:rPr>
        <w:t xml:space="preserve"> iż wymaganie od skarżących ujawnienia ich przekonań religijnych w celu umożliwienia złożenia przysięgi stanowi ingerencję w ich wolność wyznania, która nie była uzasadniona ani proporcjonalna do zamierzonego celu. Trybunał orzekł również, iż </w:t>
      </w:r>
      <w:r w:rsidR="00587E81" w:rsidRPr="00443251">
        <w:rPr>
          <w:rFonts w:ascii="Verdana" w:eastAsia="Verdana" w:hAnsi="Verdana"/>
          <w:b/>
          <w:color w:val="0072BC"/>
        </w:rPr>
        <w:t>doszło do naruszenia Artykułu 13</w:t>
      </w:r>
      <w:r w:rsidR="00587E81">
        <w:rPr>
          <w:rFonts w:ascii="Verdana" w:eastAsia="Verdana" w:hAnsi="Verdana"/>
          <w:color w:val="0072BC"/>
        </w:rPr>
        <w:t xml:space="preserve"> (prawo do skutecznego środka odwoławczego) Konwencji.  </w:t>
      </w:r>
      <w:r>
        <w:rPr>
          <w:rFonts w:ascii="Verdana" w:eastAsia="Verdana" w:hAnsi="Verdana"/>
          <w:color w:val="0072BC"/>
        </w:rPr>
        <w:t xml:space="preserve">   </w:t>
      </w:r>
    </w:p>
    <w:p w14:paraId="3E3CB343" w14:textId="77777777" w:rsidR="005B408C" w:rsidRDefault="005B408C" w:rsidP="00B65E59">
      <w:pPr>
        <w:spacing w:line="28" w:lineRule="exact"/>
        <w:rPr>
          <w:rFonts w:ascii="Times New Roman" w:eastAsia="Times New Roman" w:hAnsi="Times New Roman"/>
        </w:rPr>
      </w:pPr>
    </w:p>
    <w:p w14:paraId="39B5D7A0" w14:textId="77777777" w:rsidR="005B408C" w:rsidRDefault="00587E81" w:rsidP="00B65E59">
      <w:pPr>
        <w:spacing w:line="0" w:lineRule="atLeast"/>
        <w:rPr>
          <w:rFonts w:ascii="Verdana" w:eastAsia="Verdana" w:hAnsi="Verdana"/>
          <w:color w:val="404040"/>
          <w:sz w:val="19"/>
        </w:rPr>
      </w:pPr>
      <w:r>
        <w:rPr>
          <w:rFonts w:ascii="Verdana" w:eastAsia="Verdana" w:hAnsi="Verdana"/>
          <w:i/>
          <w:color w:val="404040"/>
          <w:sz w:val="19"/>
        </w:rPr>
        <w:t>Zobacz również</w:t>
      </w:r>
      <w:r w:rsidR="005B408C">
        <w:rPr>
          <w:rFonts w:ascii="Verdana" w:eastAsia="Verdana" w:hAnsi="Verdana"/>
          <w:color w:val="404040"/>
          <w:sz w:val="19"/>
        </w:rPr>
        <w:t>:</w:t>
      </w:r>
      <w:r w:rsidR="00B65E59">
        <w:rPr>
          <w:rFonts w:ascii="Verdana" w:eastAsia="Verdana" w:hAnsi="Verdana"/>
          <w:color w:val="404040"/>
          <w:sz w:val="19"/>
        </w:rPr>
        <w:t xml:space="preserve"> </w:t>
      </w:r>
      <w:r w:rsidR="005B408C">
        <w:rPr>
          <w:rFonts w:ascii="Verdana" w:eastAsia="Verdana" w:hAnsi="Verdana"/>
          <w:b/>
          <w:i/>
          <w:color w:val="0072BC"/>
          <w:sz w:val="19"/>
          <w:u w:val="single"/>
        </w:rPr>
        <w:t xml:space="preserve">Dimitras </w:t>
      </w:r>
      <w:r>
        <w:rPr>
          <w:rFonts w:ascii="Verdana" w:eastAsia="Verdana" w:hAnsi="Verdana"/>
          <w:b/>
          <w:i/>
          <w:color w:val="0072BC"/>
          <w:sz w:val="19"/>
          <w:u w:val="single"/>
        </w:rPr>
        <w:t>i Inni (nr</w:t>
      </w:r>
      <w:r w:rsidR="005B408C">
        <w:rPr>
          <w:rFonts w:ascii="Verdana" w:eastAsia="Verdana" w:hAnsi="Verdana"/>
          <w:b/>
          <w:i/>
          <w:color w:val="0072BC"/>
          <w:sz w:val="19"/>
          <w:u w:val="single"/>
        </w:rPr>
        <w:t xml:space="preserve"> 3) </w:t>
      </w:r>
      <w:r>
        <w:rPr>
          <w:rFonts w:ascii="Verdana" w:eastAsia="Verdana" w:hAnsi="Verdana"/>
          <w:b/>
          <w:i/>
          <w:color w:val="0072BC"/>
          <w:sz w:val="19"/>
          <w:u w:val="single"/>
        </w:rPr>
        <w:t>przeciwko Grecji</w:t>
      </w:r>
      <w:r w:rsidR="005B408C">
        <w:rPr>
          <w:rFonts w:ascii="Verdana" w:eastAsia="Verdana" w:hAnsi="Verdana"/>
          <w:color w:val="404040"/>
          <w:sz w:val="19"/>
        </w:rPr>
        <w:t>,</w:t>
      </w:r>
      <w:r w:rsidR="005B408C">
        <w:rPr>
          <w:rFonts w:ascii="Verdana" w:eastAsia="Verdana" w:hAnsi="Verdana"/>
          <w:i/>
          <w:color w:val="404040"/>
          <w:sz w:val="19"/>
        </w:rPr>
        <w:t xml:space="preserve"> </w:t>
      </w:r>
      <w:r>
        <w:rPr>
          <w:rFonts w:ascii="Verdana" w:eastAsia="Verdana" w:hAnsi="Verdana"/>
          <w:color w:val="404040"/>
          <w:sz w:val="19"/>
        </w:rPr>
        <w:t xml:space="preserve">wyrok z </w:t>
      </w:r>
      <w:r w:rsidR="00FE200D">
        <w:rPr>
          <w:rFonts w:ascii="Verdana" w:eastAsia="Verdana" w:hAnsi="Verdana"/>
          <w:color w:val="404040"/>
          <w:sz w:val="19"/>
        </w:rPr>
        <w:t xml:space="preserve"> 8 stycznia</w:t>
      </w:r>
      <w:r w:rsidR="005B408C">
        <w:rPr>
          <w:rFonts w:ascii="Verdana" w:eastAsia="Verdana" w:hAnsi="Verdana"/>
          <w:color w:val="404040"/>
          <w:sz w:val="19"/>
        </w:rPr>
        <w:t xml:space="preserve"> 2013</w:t>
      </w:r>
      <w:r w:rsidR="00FE200D">
        <w:rPr>
          <w:rFonts w:ascii="Verdana" w:eastAsia="Verdana" w:hAnsi="Verdana"/>
          <w:color w:val="404040"/>
          <w:sz w:val="19"/>
        </w:rPr>
        <w:t xml:space="preserve"> roku</w:t>
      </w:r>
      <w:r w:rsidR="005B408C">
        <w:rPr>
          <w:rFonts w:ascii="Verdana" w:eastAsia="Verdana" w:hAnsi="Verdana"/>
          <w:color w:val="404040"/>
          <w:sz w:val="19"/>
        </w:rPr>
        <w:t>.</w:t>
      </w:r>
    </w:p>
    <w:p w14:paraId="101DD724" w14:textId="77777777" w:rsidR="00B65E59" w:rsidRDefault="00B65E59" w:rsidP="00B65E59">
      <w:pPr>
        <w:spacing w:line="0" w:lineRule="atLeast"/>
        <w:rPr>
          <w:rFonts w:ascii="Verdana" w:eastAsia="Verdana" w:hAnsi="Verdana"/>
          <w:color w:val="808080"/>
          <w:sz w:val="28"/>
        </w:rPr>
      </w:pPr>
    </w:p>
    <w:p w14:paraId="63D33487" w14:textId="77777777" w:rsidR="00B65E59" w:rsidRDefault="00B65E59" w:rsidP="00B65E59">
      <w:pPr>
        <w:spacing w:line="0" w:lineRule="atLeast"/>
        <w:rPr>
          <w:rFonts w:ascii="Verdana" w:eastAsia="Verdana" w:hAnsi="Verdana"/>
          <w:color w:val="808080"/>
          <w:sz w:val="28"/>
        </w:rPr>
      </w:pPr>
    </w:p>
    <w:p w14:paraId="3892FE94" w14:textId="77777777" w:rsidR="00B65E59" w:rsidRDefault="00B65E59" w:rsidP="00B65E59">
      <w:pPr>
        <w:spacing w:line="0" w:lineRule="atLeast"/>
        <w:rPr>
          <w:rFonts w:ascii="Verdana" w:eastAsia="Verdana" w:hAnsi="Verdana"/>
          <w:color w:val="808080"/>
          <w:sz w:val="28"/>
        </w:rPr>
      </w:pPr>
    </w:p>
    <w:p w14:paraId="7A3D3DF1" w14:textId="77777777" w:rsidR="005B408C" w:rsidRDefault="00C946AB" w:rsidP="00B65E59">
      <w:pPr>
        <w:spacing w:line="0" w:lineRule="atLeast"/>
        <w:rPr>
          <w:rFonts w:ascii="Verdana" w:eastAsia="Verdana" w:hAnsi="Verdana"/>
          <w:color w:val="808080"/>
          <w:sz w:val="28"/>
        </w:rPr>
      </w:pPr>
      <w:r>
        <w:rPr>
          <w:rFonts w:ascii="Verdana" w:eastAsia="Verdana" w:hAnsi="Verdana"/>
          <w:color w:val="808080"/>
          <w:sz w:val="28"/>
        </w:rPr>
        <w:lastRenderedPageBreak/>
        <w:t xml:space="preserve">Składając przyrzeczenie prawnicze </w:t>
      </w:r>
    </w:p>
    <w:p w14:paraId="1A7E4003" w14:textId="77777777" w:rsidR="005B408C" w:rsidRDefault="005B408C" w:rsidP="00B65E59">
      <w:pPr>
        <w:spacing w:line="125" w:lineRule="exact"/>
        <w:rPr>
          <w:rFonts w:ascii="Times New Roman" w:eastAsia="Times New Roman" w:hAnsi="Times New Roman"/>
        </w:rPr>
      </w:pPr>
    </w:p>
    <w:p w14:paraId="786A777F" w14:textId="77777777" w:rsidR="005B408C" w:rsidRDefault="005B408C" w:rsidP="00B65E59">
      <w:pPr>
        <w:spacing w:line="0" w:lineRule="atLeast"/>
        <w:rPr>
          <w:rFonts w:ascii="Verdana" w:eastAsia="Verdana" w:hAnsi="Verdana"/>
          <w:b/>
          <w:color w:val="0072BC"/>
          <w:u w:val="single"/>
        </w:rPr>
      </w:pPr>
      <w:hyperlink r:id="rId20" w:history="1">
        <w:r>
          <w:rPr>
            <w:rFonts w:ascii="Verdana" w:eastAsia="Verdana" w:hAnsi="Verdana"/>
            <w:b/>
            <w:color w:val="0072BC"/>
            <w:u w:val="single"/>
          </w:rPr>
          <w:t xml:space="preserve">Alexandridis </w:t>
        </w:r>
        <w:r w:rsidR="00C946AB">
          <w:rPr>
            <w:rFonts w:ascii="Verdana" w:eastAsia="Verdana" w:hAnsi="Verdana"/>
            <w:b/>
            <w:color w:val="0072BC"/>
            <w:u w:val="single"/>
          </w:rPr>
          <w:t>przeciwko Grecji</w:t>
        </w:r>
      </w:hyperlink>
    </w:p>
    <w:p w14:paraId="27773D1F" w14:textId="77777777" w:rsidR="005B408C" w:rsidRDefault="005B408C" w:rsidP="00B65E59">
      <w:pPr>
        <w:spacing w:line="66" w:lineRule="exact"/>
        <w:rPr>
          <w:rFonts w:ascii="Times New Roman" w:eastAsia="Times New Roman" w:hAnsi="Times New Roman"/>
        </w:rPr>
      </w:pPr>
    </w:p>
    <w:p w14:paraId="24709D03" w14:textId="77777777" w:rsidR="005B408C" w:rsidRDefault="00C946AB" w:rsidP="00B65E59">
      <w:pPr>
        <w:spacing w:line="0" w:lineRule="atLeast"/>
        <w:rPr>
          <w:rFonts w:ascii="Verdana" w:eastAsia="Verdana" w:hAnsi="Verdana"/>
          <w:color w:val="808080"/>
          <w:sz w:val="18"/>
        </w:rPr>
      </w:pPr>
      <w:r>
        <w:rPr>
          <w:rFonts w:ascii="Verdana" w:eastAsia="Verdana" w:hAnsi="Verdana"/>
          <w:color w:val="808080"/>
          <w:sz w:val="18"/>
        </w:rPr>
        <w:t>21 lutego</w:t>
      </w:r>
      <w:r w:rsidR="005B408C">
        <w:rPr>
          <w:rFonts w:ascii="Verdana" w:eastAsia="Verdana" w:hAnsi="Verdana"/>
          <w:color w:val="808080"/>
          <w:sz w:val="18"/>
        </w:rPr>
        <w:t xml:space="preserve"> 2008</w:t>
      </w:r>
      <w:r>
        <w:rPr>
          <w:rFonts w:ascii="Verdana" w:eastAsia="Verdana" w:hAnsi="Verdana"/>
          <w:color w:val="808080"/>
          <w:sz w:val="18"/>
        </w:rPr>
        <w:t xml:space="preserve"> roku</w:t>
      </w:r>
    </w:p>
    <w:p w14:paraId="0F445243" w14:textId="77777777" w:rsidR="005B408C" w:rsidRDefault="00542794" w:rsidP="00B65E59">
      <w:pPr>
        <w:spacing w:line="239" w:lineRule="auto"/>
        <w:jc w:val="both"/>
        <w:rPr>
          <w:rFonts w:ascii="Verdana" w:eastAsia="Verdana" w:hAnsi="Verdana"/>
        </w:rPr>
      </w:pPr>
      <w:r>
        <w:rPr>
          <w:rFonts w:ascii="Verdana" w:eastAsia="Verdana" w:hAnsi="Verdana"/>
        </w:rPr>
        <w:t xml:space="preserve">Skarżący nabył uprawnienia do występowania w charakterze prawnika przed Sądem Pierwszej Instancji w Atenach i w listopadzie 2005 roku złożył przysięgę, która stanowiła warunek </w:t>
      </w:r>
      <w:r w:rsidR="0042439B">
        <w:rPr>
          <w:rFonts w:ascii="Verdana" w:eastAsia="Verdana" w:hAnsi="Verdana"/>
        </w:rPr>
        <w:t xml:space="preserve">konieczny </w:t>
      </w:r>
      <w:r>
        <w:rPr>
          <w:rFonts w:ascii="Verdana" w:eastAsia="Verdana" w:hAnsi="Verdana"/>
        </w:rPr>
        <w:t xml:space="preserve">wykonywania zawodu prawnika. Zarzucił on, iż podczas składania przysięgi został zobowiązany do ujawnienia, iż nie jest wyznania prawosławnego, jako że obowiązywała jedynie standardowa formuła złożenia przysięgi religijnej.    </w:t>
      </w:r>
    </w:p>
    <w:p w14:paraId="4B148378" w14:textId="77777777" w:rsidR="005B408C" w:rsidRDefault="00542794" w:rsidP="00B65E59">
      <w:pPr>
        <w:spacing w:line="255" w:lineRule="auto"/>
        <w:jc w:val="both"/>
        <w:rPr>
          <w:rFonts w:ascii="Verdana" w:eastAsia="Verdana" w:hAnsi="Verdana"/>
          <w:color w:val="0072BC"/>
        </w:rPr>
      </w:pPr>
      <w:r>
        <w:rPr>
          <w:rFonts w:ascii="Verdana" w:eastAsia="Verdana" w:hAnsi="Verdana"/>
          <w:color w:val="0072BC"/>
        </w:rPr>
        <w:t xml:space="preserve">Trybunał uznał, iż </w:t>
      </w:r>
      <w:r w:rsidRPr="00443251">
        <w:rPr>
          <w:rFonts w:ascii="Verdana" w:eastAsia="Verdana" w:hAnsi="Verdana"/>
          <w:b/>
          <w:color w:val="0072BC"/>
        </w:rPr>
        <w:t>doszło do naruszenia Artykułu 9</w:t>
      </w:r>
      <w:r>
        <w:rPr>
          <w:rFonts w:ascii="Verdana" w:eastAsia="Verdana" w:hAnsi="Verdana"/>
          <w:color w:val="0072BC"/>
        </w:rPr>
        <w:t xml:space="preserve"> Konwencji z uwagi na fakt, iż kwestionowane zobowiązanie naruszało wolność skarżącego do nieujawniania swojego wyznania. </w:t>
      </w:r>
    </w:p>
    <w:p w14:paraId="6D047619" w14:textId="77777777" w:rsidR="005B408C" w:rsidRDefault="005B408C" w:rsidP="00B65E59">
      <w:pPr>
        <w:spacing w:line="192" w:lineRule="exact"/>
        <w:rPr>
          <w:rFonts w:ascii="Times New Roman" w:eastAsia="Times New Roman" w:hAnsi="Times New Roman"/>
        </w:rPr>
      </w:pPr>
    </w:p>
    <w:p w14:paraId="5F337F50" w14:textId="77777777" w:rsidR="005B408C" w:rsidRDefault="00542794" w:rsidP="00B65E59">
      <w:pPr>
        <w:spacing w:line="0" w:lineRule="atLeast"/>
        <w:rPr>
          <w:rFonts w:ascii="Verdana" w:eastAsia="Verdana" w:hAnsi="Verdana"/>
          <w:color w:val="0072BC"/>
          <w:sz w:val="28"/>
        </w:rPr>
      </w:pPr>
      <w:r>
        <w:rPr>
          <w:rFonts w:ascii="Verdana" w:eastAsia="Verdana" w:hAnsi="Verdana"/>
          <w:color w:val="0072BC"/>
          <w:sz w:val="28"/>
        </w:rPr>
        <w:t xml:space="preserve">Obowiązek złożenia przysięgi religijnej </w:t>
      </w:r>
    </w:p>
    <w:p w14:paraId="55A7FEFF" w14:textId="77777777" w:rsidR="005B408C" w:rsidRDefault="005B408C" w:rsidP="00B65E59">
      <w:pPr>
        <w:spacing w:line="20" w:lineRule="exact"/>
        <w:rPr>
          <w:rFonts w:ascii="Times New Roman" w:eastAsia="Times New Roman" w:hAnsi="Times New Roman"/>
        </w:rPr>
      </w:pPr>
    </w:p>
    <w:p w14:paraId="28EE5BCC" w14:textId="52A5D5B2" w:rsidR="005B408C" w:rsidRDefault="00081EA2" w:rsidP="00B65E59">
      <w:pPr>
        <w:spacing w:line="213" w:lineRule="exact"/>
        <w:rPr>
          <w:rFonts w:ascii="Times New Roman" w:eastAsia="Times New Roman" w:hAnsi="Times New Roman"/>
        </w:rPr>
      </w:pPr>
      <w:r>
        <w:rPr>
          <w:rFonts w:ascii="Verdana" w:eastAsia="Verdana" w:hAnsi="Verdana"/>
          <w:noProof/>
          <w:color w:val="0072BC"/>
          <w:sz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2E27EA7" wp14:editId="3B2D4466">
                <wp:simplePos x="0" y="0"/>
                <wp:positionH relativeFrom="column">
                  <wp:posOffset>-34290</wp:posOffset>
                </wp:positionH>
                <wp:positionV relativeFrom="paragraph">
                  <wp:posOffset>57150</wp:posOffset>
                </wp:positionV>
                <wp:extent cx="5923915" cy="0"/>
                <wp:effectExtent l="17780" t="17145" r="11430" b="11430"/>
                <wp:wrapNone/>
                <wp:docPr id="1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391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AF9D9" id="Line 2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4.5pt" to="463.7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" strokecolor="#999" strokeweight="1.44pt"/>
            </w:pict>
          </mc:Fallback>
        </mc:AlternateContent>
      </w:r>
    </w:p>
    <w:p w14:paraId="5B446ECF" w14:textId="77777777" w:rsidR="005B408C" w:rsidRDefault="005B408C" w:rsidP="00B65E59">
      <w:pPr>
        <w:spacing w:line="0" w:lineRule="atLeast"/>
        <w:rPr>
          <w:rFonts w:ascii="Verdana" w:eastAsia="Verdana" w:hAnsi="Verdana"/>
          <w:b/>
          <w:color w:val="0072BC"/>
          <w:u w:val="single"/>
        </w:rPr>
      </w:pPr>
      <w:hyperlink r:id="rId21" w:history="1">
        <w:r>
          <w:rPr>
            <w:rFonts w:ascii="Verdana" w:eastAsia="Verdana" w:hAnsi="Verdana"/>
            <w:b/>
            <w:color w:val="0072BC"/>
            <w:u w:val="single"/>
          </w:rPr>
          <w:t xml:space="preserve">Buscarini </w:t>
        </w:r>
        <w:r w:rsidR="00542794">
          <w:rPr>
            <w:rFonts w:ascii="Verdana" w:eastAsia="Verdana" w:hAnsi="Verdana"/>
            <w:b/>
            <w:color w:val="0072BC"/>
            <w:u w:val="single"/>
          </w:rPr>
          <w:t>i Inni przeciwko San Marino</w:t>
        </w:r>
      </w:hyperlink>
    </w:p>
    <w:p w14:paraId="6B5BE2E6" w14:textId="77777777" w:rsidR="005B408C" w:rsidRDefault="005B408C" w:rsidP="00B65E59">
      <w:pPr>
        <w:spacing w:line="63" w:lineRule="exact"/>
        <w:rPr>
          <w:rFonts w:ascii="Times New Roman" w:eastAsia="Times New Roman" w:hAnsi="Times New Roman"/>
        </w:rPr>
      </w:pPr>
    </w:p>
    <w:p w14:paraId="3F1C7A61" w14:textId="77777777" w:rsidR="005B408C" w:rsidRDefault="00542794" w:rsidP="00B65E59">
      <w:pPr>
        <w:spacing w:line="0" w:lineRule="atLeast"/>
        <w:rPr>
          <w:rFonts w:ascii="Verdana" w:eastAsia="Verdana" w:hAnsi="Verdana"/>
          <w:color w:val="808080"/>
          <w:sz w:val="18"/>
        </w:rPr>
      </w:pPr>
      <w:r>
        <w:rPr>
          <w:rFonts w:ascii="Verdana" w:eastAsia="Verdana" w:hAnsi="Verdana"/>
          <w:color w:val="808080"/>
          <w:sz w:val="18"/>
        </w:rPr>
        <w:t>18 lutego</w:t>
      </w:r>
      <w:r w:rsidR="005B408C">
        <w:rPr>
          <w:rFonts w:ascii="Verdana" w:eastAsia="Verdana" w:hAnsi="Verdana"/>
          <w:color w:val="808080"/>
          <w:sz w:val="18"/>
        </w:rPr>
        <w:t xml:space="preserve"> 1999</w:t>
      </w:r>
      <w:r w:rsidR="00443251">
        <w:rPr>
          <w:rFonts w:ascii="Verdana" w:eastAsia="Verdana" w:hAnsi="Verdana"/>
          <w:color w:val="808080"/>
          <w:sz w:val="18"/>
        </w:rPr>
        <w:t xml:space="preserve"> roku</w:t>
      </w:r>
      <w:r w:rsidR="005B408C">
        <w:rPr>
          <w:rFonts w:ascii="Verdana" w:eastAsia="Verdana" w:hAnsi="Verdana"/>
          <w:color w:val="808080"/>
          <w:sz w:val="18"/>
        </w:rPr>
        <w:t xml:space="preserve"> (</w:t>
      </w:r>
      <w:r>
        <w:rPr>
          <w:rFonts w:ascii="Verdana" w:eastAsia="Verdana" w:hAnsi="Verdana"/>
          <w:color w:val="808080"/>
          <w:sz w:val="18"/>
        </w:rPr>
        <w:t>Wielka Izba</w:t>
      </w:r>
      <w:r w:rsidR="005B408C">
        <w:rPr>
          <w:rFonts w:ascii="Verdana" w:eastAsia="Verdana" w:hAnsi="Verdana"/>
          <w:color w:val="808080"/>
          <w:sz w:val="18"/>
        </w:rPr>
        <w:t>)</w:t>
      </w:r>
    </w:p>
    <w:p w14:paraId="428FB993" w14:textId="77777777" w:rsidR="00B64178" w:rsidRDefault="00542794" w:rsidP="00B65E59">
      <w:pPr>
        <w:spacing w:line="238" w:lineRule="auto"/>
        <w:jc w:val="both"/>
        <w:rPr>
          <w:rFonts w:ascii="Verdana" w:eastAsia="Verdana" w:hAnsi="Verdana"/>
        </w:rPr>
      </w:pPr>
      <w:r>
        <w:rPr>
          <w:rFonts w:ascii="Verdana" w:eastAsia="Verdana" w:hAnsi="Verdana"/>
        </w:rPr>
        <w:t>Skarżący – wybrani do Pa</w:t>
      </w:r>
      <w:r w:rsidR="00443251">
        <w:rPr>
          <w:rFonts w:ascii="Verdana" w:eastAsia="Verdana" w:hAnsi="Verdana"/>
        </w:rPr>
        <w:t>rlamentu San Marino w roku 1993</w:t>
      </w:r>
      <w:r>
        <w:rPr>
          <w:rFonts w:ascii="Verdana" w:eastAsia="Verdana" w:hAnsi="Verdana"/>
        </w:rPr>
        <w:t xml:space="preserve"> podnieśli</w:t>
      </w:r>
      <w:r w:rsidR="00443251">
        <w:rPr>
          <w:rFonts w:ascii="Verdana" w:eastAsia="Verdana" w:hAnsi="Verdana"/>
        </w:rPr>
        <w:t>,</w:t>
      </w:r>
      <w:r>
        <w:rPr>
          <w:rFonts w:ascii="Verdana" w:eastAsia="Verdana" w:hAnsi="Verdana"/>
        </w:rPr>
        <w:t xml:space="preserve"> iż wymagano od nich przed objęciem stanowiska</w:t>
      </w:r>
      <w:r w:rsidR="001E1DF9">
        <w:rPr>
          <w:rFonts w:ascii="Verdana" w:eastAsia="Verdana" w:hAnsi="Verdana"/>
        </w:rPr>
        <w:t xml:space="preserve"> złożenia </w:t>
      </w:r>
      <w:r w:rsidR="008E0975">
        <w:rPr>
          <w:rFonts w:ascii="Verdana" w:eastAsia="Verdana" w:hAnsi="Verdana"/>
        </w:rPr>
        <w:t xml:space="preserve">przysięgi na Pismo Święte, co stanowiło w ich ocenie </w:t>
      </w:r>
      <w:r w:rsidR="005E6BDC">
        <w:rPr>
          <w:rFonts w:ascii="Verdana" w:eastAsia="Verdana" w:hAnsi="Verdana"/>
        </w:rPr>
        <w:t xml:space="preserve">uzależnienie </w:t>
      </w:r>
      <w:r w:rsidR="005E537F">
        <w:rPr>
          <w:rFonts w:ascii="Verdana" w:eastAsia="Verdana" w:hAnsi="Verdana"/>
        </w:rPr>
        <w:t xml:space="preserve">wykonywania fundamentalnego prawa politycznego </w:t>
      </w:r>
      <w:r w:rsidR="00B64178">
        <w:rPr>
          <w:rFonts w:ascii="Verdana" w:eastAsia="Verdana" w:hAnsi="Verdana"/>
        </w:rPr>
        <w:t>od publicznej deklaracji konkretnego w</w:t>
      </w:r>
      <w:r w:rsidR="00443251">
        <w:rPr>
          <w:rFonts w:ascii="Verdana" w:eastAsia="Verdana" w:hAnsi="Verdana"/>
        </w:rPr>
        <w:t>yznania</w:t>
      </w:r>
      <w:r w:rsidR="00B64178">
        <w:rPr>
          <w:rFonts w:ascii="Verdana" w:eastAsia="Verdana" w:hAnsi="Verdana"/>
        </w:rPr>
        <w:t xml:space="preserve">. </w:t>
      </w:r>
    </w:p>
    <w:p w14:paraId="1ECF0A2E" w14:textId="77777777" w:rsidR="005B408C" w:rsidRDefault="005B408C" w:rsidP="00B65E59">
      <w:pPr>
        <w:spacing w:line="4" w:lineRule="exact"/>
        <w:rPr>
          <w:rFonts w:ascii="Times New Roman" w:eastAsia="Times New Roman" w:hAnsi="Times New Roman"/>
        </w:rPr>
      </w:pPr>
    </w:p>
    <w:p w14:paraId="07C64F05" w14:textId="77777777" w:rsidR="005B408C" w:rsidRDefault="00B64178" w:rsidP="00B65E59">
      <w:pPr>
        <w:spacing w:line="247" w:lineRule="auto"/>
        <w:jc w:val="both"/>
        <w:rPr>
          <w:rFonts w:ascii="Verdana" w:eastAsia="Verdana" w:hAnsi="Verdana"/>
          <w:color w:val="0072BC"/>
        </w:rPr>
      </w:pPr>
      <w:r>
        <w:rPr>
          <w:rFonts w:ascii="Verdana" w:eastAsia="Verdana" w:hAnsi="Verdana"/>
          <w:color w:val="0072BC"/>
        </w:rPr>
        <w:t>Trybunał</w:t>
      </w:r>
      <w:r w:rsidR="00BE329F">
        <w:rPr>
          <w:rFonts w:ascii="Verdana" w:eastAsia="Verdana" w:hAnsi="Verdana"/>
          <w:color w:val="0072BC"/>
        </w:rPr>
        <w:t xml:space="preserve"> orzekł, iż </w:t>
      </w:r>
      <w:r w:rsidR="00BE329F" w:rsidRPr="00443251">
        <w:rPr>
          <w:rFonts w:ascii="Verdana" w:eastAsia="Verdana" w:hAnsi="Verdana"/>
          <w:b/>
          <w:color w:val="0072BC"/>
        </w:rPr>
        <w:t>doszło do naruszenia Artykułu 9</w:t>
      </w:r>
      <w:r w:rsidR="00BE329F">
        <w:rPr>
          <w:rFonts w:ascii="Verdana" w:eastAsia="Verdana" w:hAnsi="Verdana"/>
          <w:color w:val="0072BC"/>
        </w:rPr>
        <w:t xml:space="preserve"> Konwencji</w:t>
      </w:r>
      <w:r w:rsidR="006E6768">
        <w:rPr>
          <w:rFonts w:ascii="Verdana" w:eastAsia="Verdana" w:hAnsi="Verdana"/>
          <w:color w:val="0072BC"/>
        </w:rPr>
        <w:t xml:space="preserve">. Stwierdził w szczególności, </w:t>
      </w:r>
      <w:r w:rsidR="000C2310">
        <w:rPr>
          <w:rFonts w:ascii="Verdana" w:eastAsia="Verdana" w:hAnsi="Verdana"/>
          <w:color w:val="0072BC"/>
        </w:rPr>
        <w:t xml:space="preserve">iż zobowiązanie do złożenia przysięgi nie było konieczne w demokratycznym społeczeństwie w rozumieniu </w:t>
      </w:r>
      <w:r w:rsidR="0042439B">
        <w:rPr>
          <w:rFonts w:ascii="Verdana" w:eastAsia="Verdana" w:hAnsi="Verdana"/>
          <w:color w:val="0072BC"/>
        </w:rPr>
        <w:t xml:space="preserve">ust. </w:t>
      </w:r>
      <w:r w:rsidR="000C2310">
        <w:rPr>
          <w:rFonts w:ascii="Verdana" w:eastAsia="Verdana" w:hAnsi="Verdana"/>
          <w:color w:val="0072BC"/>
        </w:rPr>
        <w:t xml:space="preserve">2 Artykułu 9 Konwencji, jako że wykonywanie mandatu, którego celem z założenia powinno </w:t>
      </w:r>
      <w:r w:rsidR="00C9244E">
        <w:rPr>
          <w:rFonts w:ascii="Verdana" w:eastAsia="Verdana" w:hAnsi="Verdana"/>
          <w:color w:val="0072BC"/>
        </w:rPr>
        <w:t>być reprezentowanie różnych punktów widzenia</w:t>
      </w:r>
      <w:r w:rsidR="00005B03">
        <w:rPr>
          <w:rFonts w:ascii="Verdana" w:eastAsia="Verdana" w:hAnsi="Verdana"/>
          <w:color w:val="0072BC"/>
        </w:rPr>
        <w:t xml:space="preserve"> i światopoglądów w Parlamencie, pozostawało w sprzeczności z uprzednią deklaracją przynależności do konkretnego wyznania</w:t>
      </w:r>
      <w:r w:rsidR="005B408C">
        <w:rPr>
          <w:rFonts w:ascii="Verdana" w:eastAsia="Verdana" w:hAnsi="Verdana"/>
          <w:color w:val="0072BC"/>
        </w:rPr>
        <w:t>.</w:t>
      </w:r>
    </w:p>
    <w:p w14:paraId="5DD23128" w14:textId="77777777" w:rsidR="005B408C" w:rsidRDefault="005B408C" w:rsidP="00B65E59">
      <w:pPr>
        <w:spacing w:line="201" w:lineRule="exact"/>
        <w:rPr>
          <w:rFonts w:ascii="Times New Roman" w:eastAsia="Times New Roman" w:hAnsi="Times New Roman"/>
        </w:rPr>
      </w:pPr>
    </w:p>
    <w:p w14:paraId="63B4AA2A" w14:textId="77777777" w:rsidR="005B408C" w:rsidRDefault="00005B03" w:rsidP="00B65E59">
      <w:pPr>
        <w:spacing w:line="0" w:lineRule="atLeast"/>
        <w:rPr>
          <w:rFonts w:ascii="Verdana" w:eastAsia="Verdana" w:hAnsi="Verdana"/>
          <w:color w:val="0072BC"/>
          <w:sz w:val="28"/>
        </w:rPr>
      </w:pPr>
      <w:r>
        <w:rPr>
          <w:rFonts w:ascii="Verdana" w:eastAsia="Verdana" w:hAnsi="Verdana"/>
          <w:color w:val="0072BC"/>
          <w:sz w:val="28"/>
        </w:rPr>
        <w:t>Miejsca kultu</w:t>
      </w:r>
    </w:p>
    <w:p w14:paraId="24F0F6E9" w14:textId="77777777" w:rsidR="005B408C" w:rsidRDefault="005B408C" w:rsidP="00B65E59">
      <w:pPr>
        <w:spacing w:line="20" w:lineRule="exact"/>
        <w:rPr>
          <w:rFonts w:ascii="Times New Roman" w:eastAsia="Times New Roman" w:hAnsi="Times New Roman"/>
        </w:rPr>
      </w:pPr>
    </w:p>
    <w:p w14:paraId="4B3D0077" w14:textId="65CFB519" w:rsidR="005B408C" w:rsidRDefault="00081EA2" w:rsidP="00B65E59">
      <w:pPr>
        <w:spacing w:line="213" w:lineRule="exact"/>
        <w:rPr>
          <w:rFonts w:ascii="Times New Roman" w:eastAsia="Times New Roman" w:hAnsi="Times New Roman"/>
        </w:rPr>
      </w:pPr>
      <w:r>
        <w:rPr>
          <w:rFonts w:ascii="Verdana" w:eastAsia="Verdana" w:hAnsi="Verdana"/>
          <w:noProof/>
          <w:color w:val="0072BC"/>
          <w:sz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6219F65" wp14:editId="2378A146">
                <wp:simplePos x="0" y="0"/>
                <wp:positionH relativeFrom="column">
                  <wp:posOffset>14605</wp:posOffset>
                </wp:positionH>
                <wp:positionV relativeFrom="paragraph">
                  <wp:posOffset>57150</wp:posOffset>
                </wp:positionV>
                <wp:extent cx="5875020" cy="0"/>
                <wp:effectExtent l="9525" t="10160" r="11430" b="18415"/>
                <wp:wrapNone/>
                <wp:docPr id="1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02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ADF4D" id="Line 2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4.5pt" to="463.7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" strokecolor="#999" strokeweight="1.44pt"/>
            </w:pict>
          </mc:Fallback>
        </mc:AlternateContent>
      </w:r>
    </w:p>
    <w:p w14:paraId="7E47BB6E" w14:textId="77777777" w:rsidR="005B408C" w:rsidRDefault="00501046" w:rsidP="00B65E59">
      <w:pPr>
        <w:spacing w:line="0" w:lineRule="atLeast"/>
        <w:rPr>
          <w:rFonts w:ascii="Verdana" w:eastAsia="Verdana" w:hAnsi="Verdana"/>
          <w:b/>
          <w:color w:val="0072BC"/>
          <w:u w:val="single"/>
        </w:rPr>
      </w:pPr>
      <w:r>
        <w:rPr>
          <w:rFonts w:ascii="Verdana" w:eastAsia="Verdana" w:hAnsi="Verdana"/>
          <w:b/>
          <w:color w:val="0072BC"/>
          <w:u w:val="single"/>
        </w:rPr>
        <w:t>Stowarzyszenie Solidarność ze Świadka</w:t>
      </w:r>
      <w:r w:rsidR="00443251">
        <w:rPr>
          <w:rFonts w:ascii="Verdana" w:eastAsia="Verdana" w:hAnsi="Verdana"/>
          <w:b/>
          <w:color w:val="0072BC"/>
          <w:u w:val="single"/>
        </w:rPr>
        <w:t>m</w:t>
      </w:r>
      <w:r>
        <w:rPr>
          <w:rFonts w:ascii="Verdana" w:eastAsia="Verdana" w:hAnsi="Verdana"/>
          <w:b/>
          <w:color w:val="0072BC"/>
          <w:u w:val="single"/>
        </w:rPr>
        <w:t>i Jehowy i Inni przeciwko Turcji</w:t>
      </w:r>
    </w:p>
    <w:p w14:paraId="20EE61E0" w14:textId="77777777" w:rsidR="005B408C" w:rsidRDefault="005B408C" w:rsidP="00B65E59">
      <w:pPr>
        <w:spacing w:line="63" w:lineRule="exact"/>
        <w:rPr>
          <w:rFonts w:ascii="Times New Roman" w:eastAsia="Times New Roman" w:hAnsi="Times New Roman"/>
        </w:rPr>
      </w:pPr>
    </w:p>
    <w:p w14:paraId="742D8C0A" w14:textId="77777777" w:rsidR="005B408C" w:rsidRDefault="00501046" w:rsidP="00B65E59">
      <w:pPr>
        <w:spacing w:line="0" w:lineRule="atLeast"/>
        <w:rPr>
          <w:rFonts w:ascii="Verdana" w:eastAsia="Verdana" w:hAnsi="Verdana"/>
          <w:color w:val="808080"/>
          <w:sz w:val="18"/>
        </w:rPr>
      </w:pPr>
      <w:r>
        <w:rPr>
          <w:rFonts w:ascii="Verdana" w:eastAsia="Verdana" w:hAnsi="Verdana"/>
          <w:color w:val="808080"/>
          <w:sz w:val="18"/>
        </w:rPr>
        <w:t>24 maja</w:t>
      </w:r>
      <w:r w:rsidR="005B408C">
        <w:rPr>
          <w:rFonts w:ascii="Verdana" w:eastAsia="Verdana" w:hAnsi="Verdana"/>
          <w:color w:val="808080"/>
          <w:sz w:val="18"/>
        </w:rPr>
        <w:t xml:space="preserve"> 2016</w:t>
      </w:r>
      <w:r>
        <w:rPr>
          <w:rFonts w:ascii="Verdana" w:eastAsia="Verdana" w:hAnsi="Verdana"/>
          <w:color w:val="808080"/>
          <w:sz w:val="18"/>
        </w:rPr>
        <w:t xml:space="preserve"> roku</w:t>
      </w:r>
    </w:p>
    <w:p w14:paraId="12624848" w14:textId="77777777" w:rsidR="005B408C" w:rsidRDefault="00501046" w:rsidP="00B65E59">
      <w:pPr>
        <w:spacing w:line="239" w:lineRule="auto"/>
        <w:jc w:val="both"/>
        <w:rPr>
          <w:rFonts w:ascii="Verdana" w:eastAsia="Verdana" w:hAnsi="Verdana"/>
        </w:rPr>
      </w:pPr>
      <w:r>
        <w:rPr>
          <w:rFonts w:ascii="Verdana" w:eastAsia="Verdana" w:hAnsi="Verdana"/>
        </w:rPr>
        <w:t>Niniejsza sprawa dotyczyła problemu Świadków Jehowy Mersin i Izmir ze znalezieniem odpowiedniego miejsca kultu. Na podstawie ustawy zakazującej otwierania miejsc kultu w lokalizacjach do t</w:t>
      </w:r>
      <w:r w:rsidR="00443251">
        <w:rPr>
          <w:rFonts w:ascii="Verdana" w:eastAsia="Verdana" w:hAnsi="Verdana"/>
        </w:rPr>
        <w:t>e</w:t>
      </w:r>
      <w:r>
        <w:rPr>
          <w:rFonts w:ascii="Verdana" w:eastAsia="Verdana" w:hAnsi="Verdana"/>
        </w:rPr>
        <w:t>go nie przeznaczonych i nakładającej na budowę miejsc kultu pewne warunki, pomieszczenia prywatne, które były używane przez zbory Świadków Jeh</w:t>
      </w:r>
      <w:r w:rsidR="00443251">
        <w:rPr>
          <w:rFonts w:ascii="Verdana" w:eastAsia="Verdana" w:hAnsi="Verdana"/>
        </w:rPr>
        <w:t>o</w:t>
      </w:r>
      <w:r>
        <w:rPr>
          <w:rFonts w:ascii="Verdana" w:eastAsia="Verdana" w:hAnsi="Verdana"/>
        </w:rPr>
        <w:t>wy zostały zamknięte pr</w:t>
      </w:r>
      <w:r w:rsidR="00443251">
        <w:rPr>
          <w:rFonts w:ascii="Verdana" w:eastAsia="Verdana" w:hAnsi="Verdana"/>
        </w:rPr>
        <w:t>z</w:t>
      </w:r>
      <w:r w:rsidR="006A3B08">
        <w:rPr>
          <w:rFonts w:ascii="Verdana" w:eastAsia="Verdana" w:hAnsi="Verdana"/>
        </w:rPr>
        <w:t>ez władze krajowe,</w:t>
      </w:r>
      <w:r>
        <w:rPr>
          <w:rFonts w:ascii="Verdana" w:eastAsia="Verdana" w:hAnsi="Verdana"/>
        </w:rPr>
        <w:t xml:space="preserve"> </w:t>
      </w:r>
      <w:r w:rsidR="00D13105">
        <w:rPr>
          <w:rFonts w:ascii="Verdana" w:eastAsia="Verdana" w:hAnsi="Verdana"/>
        </w:rPr>
        <w:t xml:space="preserve">zaś </w:t>
      </w:r>
      <w:r>
        <w:rPr>
          <w:rFonts w:ascii="Verdana" w:eastAsia="Verdana" w:hAnsi="Verdana"/>
        </w:rPr>
        <w:t>wnioski o wykorzystanie rzeczonych miejsc jako ośrodków kultu religijnego zostały odrzucone. Zbory zostały również poinformowane, iż lokalne plany zagospodarowania przestrzennego nie pr</w:t>
      </w:r>
      <w:r w:rsidR="006A3B08">
        <w:rPr>
          <w:rFonts w:ascii="Verdana" w:eastAsia="Verdana" w:hAnsi="Verdana"/>
        </w:rPr>
        <w:t>z</w:t>
      </w:r>
      <w:r>
        <w:rPr>
          <w:rFonts w:ascii="Verdana" w:eastAsia="Verdana" w:hAnsi="Verdana"/>
        </w:rPr>
        <w:t xml:space="preserve">ewidują miejsc, które mogłyby zostać wykorzystane jako miejsca kultu. </w:t>
      </w:r>
    </w:p>
    <w:p w14:paraId="5F7BB451" w14:textId="77777777" w:rsidR="005B408C" w:rsidRDefault="005B408C" w:rsidP="00B65E59">
      <w:pPr>
        <w:spacing w:line="6" w:lineRule="exact"/>
        <w:rPr>
          <w:rFonts w:ascii="Times New Roman" w:eastAsia="Times New Roman" w:hAnsi="Times New Roman"/>
        </w:rPr>
      </w:pPr>
    </w:p>
    <w:p w14:paraId="27C1702D" w14:textId="77777777" w:rsidR="005B408C" w:rsidRDefault="00501046" w:rsidP="00B65E59">
      <w:pPr>
        <w:spacing w:line="242" w:lineRule="auto"/>
        <w:jc w:val="both"/>
        <w:rPr>
          <w:rFonts w:ascii="Times New Roman" w:eastAsia="Times New Roman" w:hAnsi="Times New Roman"/>
        </w:rPr>
      </w:pPr>
      <w:r>
        <w:rPr>
          <w:rFonts w:ascii="Verdana" w:eastAsia="Verdana" w:hAnsi="Verdana"/>
          <w:color w:val="0072BC"/>
        </w:rPr>
        <w:t xml:space="preserve">Trybunał orzekł, iż </w:t>
      </w:r>
      <w:r w:rsidRPr="006A3B08">
        <w:rPr>
          <w:rFonts w:ascii="Verdana" w:eastAsia="Verdana" w:hAnsi="Verdana"/>
          <w:b/>
          <w:color w:val="0072BC"/>
        </w:rPr>
        <w:t>doszło do naruszenia Artykułu 9</w:t>
      </w:r>
      <w:r>
        <w:rPr>
          <w:rFonts w:ascii="Verdana" w:eastAsia="Verdana" w:hAnsi="Verdana"/>
          <w:color w:val="0072BC"/>
        </w:rPr>
        <w:t xml:space="preserve"> Konwencji. Stwierdził w szczególności, iż zgromadzenia nie były w stanie znaleźć odpowiedniego miejsca, w którym mogłyby regularnie odprawiać kult, co stanowiło bezpośrednią ingerencję w </w:t>
      </w:r>
      <w:r w:rsidR="00AB451F">
        <w:rPr>
          <w:rFonts w:ascii="Verdana" w:eastAsia="Verdana" w:hAnsi="Verdana"/>
          <w:color w:val="0072BC"/>
        </w:rPr>
        <w:t>ich wolność wyznania, co nie był</w:t>
      </w:r>
      <w:r w:rsidR="006A3B08">
        <w:rPr>
          <w:rFonts w:ascii="Verdana" w:eastAsia="Verdana" w:hAnsi="Verdana"/>
          <w:color w:val="0072BC"/>
        </w:rPr>
        <w:t xml:space="preserve">o ani proporcjonalne </w:t>
      </w:r>
      <w:r w:rsidR="004F3802">
        <w:rPr>
          <w:rFonts w:ascii="Verdana" w:eastAsia="Verdana" w:hAnsi="Verdana"/>
          <w:color w:val="0072BC"/>
        </w:rPr>
        <w:t xml:space="preserve">w stosunku do </w:t>
      </w:r>
      <w:r w:rsidR="006A3B08">
        <w:rPr>
          <w:rFonts w:ascii="Verdana" w:eastAsia="Verdana" w:hAnsi="Verdana"/>
          <w:color w:val="0072BC"/>
        </w:rPr>
        <w:t>zamierzonego</w:t>
      </w:r>
      <w:r w:rsidR="00AB451F">
        <w:rPr>
          <w:rFonts w:ascii="Verdana" w:eastAsia="Verdana" w:hAnsi="Verdana"/>
          <w:color w:val="0072BC"/>
        </w:rPr>
        <w:t xml:space="preserve"> celu, ani konieczne w demokratycznym społeczeństwie. Trybunał uznał, iż sąd krajowy nie uwzględnił potrzeb niewielkiej społeczności wyznawców </w:t>
      </w:r>
      <w:r w:rsidR="004F3802">
        <w:rPr>
          <w:rFonts w:ascii="Verdana" w:eastAsia="Verdana" w:hAnsi="Verdana"/>
          <w:color w:val="0072BC"/>
        </w:rPr>
        <w:t>. Podkreślił</w:t>
      </w:r>
      <w:r w:rsidR="00AB451F">
        <w:rPr>
          <w:rFonts w:ascii="Verdana" w:eastAsia="Verdana" w:hAnsi="Verdana"/>
          <w:color w:val="0072BC"/>
        </w:rPr>
        <w:t xml:space="preserve">, iż </w:t>
      </w:r>
      <w:r w:rsidR="006A3B08">
        <w:rPr>
          <w:rFonts w:ascii="Verdana" w:eastAsia="Verdana" w:hAnsi="Verdana"/>
          <w:color w:val="0072BC"/>
        </w:rPr>
        <w:t>kwestionowane</w:t>
      </w:r>
      <w:r w:rsidR="00674AA1">
        <w:rPr>
          <w:rFonts w:ascii="Verdana" w:eastAsia="Verdana" w:hAnsi="Verdana"/>
          <w:color w:val="0072BC"/>
        </w:rPr>
        <w:t xml:space="preserve"> prawo nie wspomina o tego rodzaju potrzebach</w:t>
      </w:r>
      <w:r w:rsidR="00D70F40">
        <w:rPr>
          <w:rFonts w:ascii="Verdana" w:eastAsia="Verdana" w:hAnsi="Verdana"/>
          <w:color w:val="0072BC"/>
        </w:rPr>
        <w:t>, podczas gdy ze względu na niewielką ilość członków</w:t>
      </w:r>
      <w:r w:rsidR="006A3B08">
        <w:rPr>
          <w:rFonts w:ascii="Verdana" w:eastAsia="Verdana" w:hAnsi="Verdana"/>
          <w:color w:val="0072BC"/>
        </w:rPr>
        <w:t>,</w:t>
      </w:r>
      <w:r w:rsidR="00D70F40">
        <w:rPr>
          <w:rFonts w:ascii="Verdana" w:eastAsia="Verdana" w:hAnsi="Verdana"/>
          <w:color w:val="0072BC"/>
        </w:rPr>
        <w:t xml:space="preserve"> zbory o których mowa potrzebowały nie konkretnego projektu architektonicznego, a prostego pomieszczenia, w którym mogły się spotykać, c</w:t>
      </w:r>
      <w:r w:rsidR="006A3B08">
        <w:rPr>
          <w:rFonts w:ascii="Verdana" w:eastAsia="Verdana" w:hAnsi="Verdana"/>
          <w:color w:val="0072BC"/>
        </w:rPr>
        <w:t>z</w:t>
      </w:r>
      <w:r w:rsidR="00D70F40">
        <w:rPr>
          <w:rFonts w:ascii="Verdana" w:eastAsia="Verdana" w:hAnsi="Verdana"/>
          <w:color w:val="0072BC"/>
        </w:rPr>
        <w:t xml:space="preserve">cić i nauczać wedle własnych przekonań. </w:t>
      </w:r>
    </w:p>
    <w:p w14:paraId="42F945A4" w14:textId="77777777" w:rsidR="005B408C" w:rsidRDefault="005B408C" w:rsidP="00B65E59">
      <w:pPr>
        <w:spacing w:line="200" w:lineRule="exact"/>
        <w:rPr>
          <w:rFonts w:ascii="Times New Roman" w:eastAsia="Times New Roman" w:hAnsi="Times New Roman"/>
        </w:rPr>
      </w:pPr>
    </w:p>
    <w:p w14:paraId="6FF16F81" w14:textId="77777777" w:rsidR="005B408C" w:rsidRDefault="005B408C" w:rsidP="00B65E59">
      <w:pPr>
        <w:spacing w:line="200" w:lineRule="exact"/>
        <w:rPr>
          <w:rFonts w:ascii="Times New Roman" w:eastAsia="Times New Roman" w:hAnsi="Times New Roman"/>
        </w:rPr>
      </w:pPr>
    </w:p>
    <w:p w14:paraId="1C4F9A48" w14:textId="77777777" w:rsidR="005B408C" w:rsidRDefault="007F7063" w:rsidP="00B65E59">
      <w:pPr>
        <w:spacing w:line="0" w:lineRule="atLeast"/>
        <w:rPr>
          <w:rFonts w:ascii="Verdana" w:eastAsia="Verdana" w:hAnsi="Verdana"/>
          <w:color w:val="0072BC"/>
          <w:sz w:val="28"/>
        </w:rPr>
      </w:pPr>
      <w:r>
        <w:rPr>
          <w:rFonts w:ascii="Verdana" w:eastAsia="Verdana" w:hAnsi="Verdana"/>
          <w:color w:val="0072BC"/>
          <w:sz w:val="28"/>
        </w:rPr>
        <w:t>Prozelityz</w:t>
      </w:r>
      <w:r w:rsidR="005B408C">
        <w:rPr>
          <w:rFonts w:ascii="Verdana" w:eastAsia="Verdana" w:hAnsi="Verdana"/>
          <w:color w:val="0072BC"/>
          <w:sz w:val="28"/>
        </w:rPr>
        <w:t>m</w:t>
      </w:r>
    </w:p>
    <w:p w14:paraId="34DE7DB8" w14:textId="77777777" w:rsidR="005B408C" w:rsidRDefault="005B408C" w:rsidP="00B65E59">
      <w:pPr>
        <w:spacing w:line="20" w:lineRule="exact"/>
        <w:rPr>
          <w:rFonts w:ascii="Times New Roman" w:eastAsia="Times New Roman" w:hAnsi="Times New Roman"/>
        </w:rPr>
      </w:pPr>
    </w:p>
    <w:p w14:paraId="5689D336" w14:textId="4973C13A" w:rsidR="005B408C" w:rsidRDefault="00081EA2" w:rsidP="00B65E59">
      <w:pPr>
        <w:spacing w:line="213" w:lineRule="exact"/>
        <w:rPr>
          <w:rFonts w:ascii="Times New Roman" w:eastAsia="Times New Roman" w:hAnsi="Times New Roman"/>
        </w:rPr>
      </w:pPr>
      <w:r>
        <w:rPr>
          <w:rFonts w:ascii="Verdana" w:eastAsia="Verdana" w:hAnsi="Verdana"/>
          <w:noProof/>
          <w:color w:val="0072BC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EC872F" wp14:editId="3C4BF7F2">
                <wp:simplePos x="0" y="0"/>
                <wp:positionH relativeFrom="column">
                  <wp:posOffset>13970</wp:posOffset>
                </wp:positionH>
                <wp:positionV relativeFrom="paragraph">
                  <wp:posOffset>57150</wp:posOffset>
                </wp:positionV>
                <wp:extent cx="5972810" cy="0"/>
                <wp:effectExtent l="18415" t="13970" r="9525" b="14605"/>
                <wp:wrapNone/>
                <wp:docPr id="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81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1B1E0" id="Line 2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4.5pt" to="471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" strokecolor="#999" strokeweight="1.44pt"/>
            </w:pict>
          </mc:Fallback>
        </mc:AlternateContent>
      </w:r>
    </w:p>
    <w:p w14:paraId="00789085" w14:textId="77777777" w:rsidR="005B408C" w:rsidRDefault="005B408C" w:rsidP="00B65E59">
      <w:pPr>
        <w:spacing w:line="0" w:lineRule="atLeast"/>
        <w:rPr>
          <w:rFonts w:ascii="Verdana" w:eastAsia="Verdana" w:hAnsi="Verdana"/>
          <w:b/>
          <w:color w:val="0072BC"/>
          <w:u w:val="single"/>
        </w:rPr>
      </w:pPr>
      <w:hyperlink r:id="rId22" w:history="1">
        <w:r>
          <w:rPr>
            <w:rFonts w:ascii="Verdana" w:eastAsia="Verdana" w:hAnsi="Verdana"/>
            <w:b/>
            <w:color w:val="0072BC"/>
            <w:u w:val="single"/>
          </w:rPr>
          <w:t xml:space="preserve">Kokkinakis </w:t>
        </w:r>
        <w:r w:rsidR="00F55089">
          <w:rPr>
            <w:rFonts w:ascii="Verdana" w:eastAsia="Verdana" w:hAnsi="Verdana"/>
            <w:b/>
            <w:color w:val="0072BC"/>
            <w:u w:val="single"/>
          </w:rPr>
          <w:t xml:space="preserve">przeciwko Grecji </w:t>
        </w:r>
      </w:hyperlink>
    </w:p>
    <w:p w14:paraId="2C4CDFE3" w14:textId="77777777" w:rsidR="005B408C" w:rsidRDefault="005B408C" w:rsidP="00B65E59">
      <w:pPr>
        <w:spacing w:line="64" w:lineRule="exact"/>
        <w:rPr>
          <w:rFonts w:ascii="Times New Roman" w:eastAsia="Times New Roman" w:hAnsi="Times New Roman"/>
        </w:rPr>
      </w:pPr>
    </w:p>
    <w:p w14:paraId="1C35C955" w14:textId="77777777" w:rsidR="005B408C" w:rsidRDefault="00F55089" w:rsidP="00B65E59">
      <w:pPr>
        <w:spacing w:line="0" w:lineRule="atLeast"/>
        <w:rPr>
          <w:rFonts w:ascii="Verdana" w:eastAsia="Verdana" w:hAnsi="Verdana"/>
          <w:color w:val="808080"/>
          <w:sz w:val="18"/>
        </w:rPr>
      </w:pPr>
      <w:r>
        <w:rPr>
          <w:rFonts w:ascii="Verdana" w:eastAsia="Verdana" w:hAnsi="Verdana"/>
          <w:color w:val="808080"/>
          <w:sz w:val="18"/>
        </w:rPr>
        <w:t>25 maja</w:t>
      </w:r>
      <w:r w:rsidR="005B408C">
        <w:rPr>
          <w:rFonts w:ascii="Verdana" w:eastAsia="Verdana" w:hAnsi="Verdana"/>
          <w:color w:val="808080"/>
          <w:sz w:val="18"/>
        </w:rPr>
        <w:t xml:space="preserve"> 1993</w:t>
      </w:r>
      <w:r>
        <w:rPr>
          <w:rFonts w:ascii="Verdana" w:eastAsia="Verdana" w:hAnsi="Verdana"/>
          <w:color w:val="808080"/>
          <w:sz w:val="18"/>
        </w:rPr>
        <w:t xml:space="preserve"> roku</w:t>
      </w:r>
    </w:p>
    <w:p w14:paraId="567973E4" w14:textId="77777777" w:rsidR="005B408C" w:rsidRDefault="005B408C" w:rsidP="00B65E59">
      <w:pPr>
        <w:spacing w:line="1" w:lineRule="exact"/>
        <w:rPr>
          <w:rFonts w:ascii="Times New Roman" w:eastAsia="Times New Roman" w:hAnsi="Times New Roman"/>
        </w:rPr>
      </w:pPr>
    </w:p>
    <w:p w14:paraId="0C5FE841" w14:textId="77777777" w:rsidR="005B408C" w:rsidRDefault="00F55089" w:rsidP="00B65E59">
      <w:pPr>
        <w:spacing w:line="237" w:lineRule="auto"/>
        <w:jc w:val="both"/>
        <w:rPr>
          <w:rFonts w:ascii="Verdana" w:eastAsia="Verdana" w:hAnsi="Verdana"/>
        </w:rPr>
      </w:pPr>
      <w:r>
        <w:rPr>
          <w:rFonts w:ascii="Verdana" w:eastAsia="Verdana" w:hAnsi="Verdana"/>
        </w:rPr>
        <w:t>Skarżący Świadek Jehowy</w:t>
      </w:r>
      <w:r w:rsidR="00DF55AD">
        <w:rPr>
          <w:rFonts w:ascii="Verdana" w:eastAsia="Verdana" w:hAnsi="Verdana"/>
        </w:rPr>
        <w:t xml:space="preserve"> kwestionował wydanie wobec niego wyroku skazującego w związku z prozelityzmem</w:t>
      </w:r>
      <w:r w:rsidR="00BA0255">
        <w:rPr>
          <w:rFonts w:ascii="Verdana" w:eastAsia="Verdana" w:hAnsi="Verdana"/>
        </w:rPr>
        <w:t xml:space="preserve"> przez sąd grecki w 1988r po tym jak </w:t>
      </w:r>
      <w:r w:rsidR="009B1CFD">
        <w:rPr>
          <w:rFonts w:ascii="Verdana" w:eastAsia="Verdana" w:hAnsi="Verdana"/>
        </w:rPr>
        <w:t xml:space="preserve">rozmawiał na tematy religijne z sąsiadką, żoną śpiewaka chóru lokalnego kościoła prawosławnego. </w:t>
      </w:r>
      <w:r w:rsidR="00714DC8">
        <w:rPr>
          <w:rFonts w:ascii="Verdana" w:eastAsia="Verdana" w:hAnsi="Verdana"/>
        </w:rPr>
        <w:t xml:space="preserve">  </w:t>
      </w:r>
      <w:r>
        <w:rPr>
          <w:rFonts w:ascii="Verdana" w:eastAsia="Verdana" w:hAnsi="Verdana"/>
        </w:rPr>
        <w:t xml:space="preserve"> </w:t>
      </w:r>
    </w:p>
    <w:p w14:paraId="565DCF7E" w14:textId="77777777" w:rsidR="005B408C" w:rsidRDefault="005B408C" w:rsidP="00B65E59">
      <w:pPr>
        <w:spacing w:line="3" w:lineRule="exact"/>
        <w:rPr>
          <w:rFonts w:ascii="Times New Roman" w:eastAsia="Times New Roman" w:hAnsi="Times New Roman"/>
        </w:rPr>
      </w:pPr>
    </w:p>
    <w:p w14:paraId="67EDF25B" w14:textId="77777777" w:rsidR="005B408C" w:rsidRDefault="009B1CFD" w:rsidP="00B65E59">
      <w:pPr>
        <w:spacing w:line="246" w:lineRule="auto"/>
        <w:jc w:val="both"/>
        <w:rPr>
          <w:rFonts w:ascii="Verdana" w:eastAsia="Verdana" w:hAnsi="Verdana"/>
          <w:color w:val="0072BC"/>
        </w:rPr>
      </w:pPr>
      <w:r>
        <w:rPr>
          <w:rFonts w:ascii="Verdana" w:eastAsia="Verdana" w:hAnsi="Verdana"/>
          <w:color w:val="0072BC"/>
        </w:rPr>
        <w:t xml:space="preserve">Trybunał </w:t>
      </w:r>
      <w:r w:rsidR="00671956">
        <w:rPr>
          <w:rFonts w:ascii="Verdana" w:eastAsia="Verdana" w:hAnsi="Verdana"/>
          <w:color w:val="0072BC"/>
        </w:rPr>
        <w:t>stwierdził</w:t>
      </w:r>
      <w:r w:rsidR="007F7063">
        <w:rPr>
          <w:rFonts w:ascii="Verdana" w:eastAsia="Verdana" w:hAnsi="Verdana"/>
          <w:color w:val="0072BC"/>
        </w:rPr>
        <w:t xml:space="preserve">, iż </w:t>
      </w:r>
      <w:r w:rsidR="007F7063" w:rsidRPr="006A3B08">
        <w:rPr>
          <w:rFonts w:ascii="Verdana" w:eastAsia="Verdana" w:hAnsi="Verdana"/>
          <w:b/>
          <w:color w:val="0072BC"/>
        </w:rPr>
        <w:t>doszło do naruszenia Artykułu 9</w:t>
      </w:r>
      <w:r w:rsidR="007F7063">
        <w:rPr>
          <w:rFonts w:ascii="Verdana" w:eastAsia="Verdana" w:hAnsi="Verdana"/>
          <w:color w:val="0072BC"/>
        </w:rPr>
        <w:t xml:space="preserve"> Konwencji, </w:t>
      </w:r>
      <w:r w:rsidR="00671956">
        <w:rPr>
          <w:rFonts w:ascii="Verdana" w:eastAsia="Verdana" w:hAnsi="Verdana"/>
          <w:color w:val="0072BC"/>
        </w:rPr>
        <w:t>wskazując</w:t>
      </w:r>
      <w:r w:rsidR="007F7063">
        <w:rPr>
          <w:rFonts w:ascii="Verdana" w:eastAsia="Verdana" w:hAnsi="Verdana"/>
          <w:color w:val="0072BC"/>
        </w:rPr>
        <w:t xml:space="preserve">, że skazanie w przedmiotowej sprawie nie było uzasadnione pilną potrzebę społeczną. Trybunał zauważył w szczególności, iż sądy </w:t>
      </w:r>
      <w:r w:rsidR="00671956">
        <w:rPr>
          <w:rFonts w:ascii="Verdana" w:eastAsia="Verdana" w:hAnsi="Verdana"/>
          <w:color w:val="0072BC"/>
        </w:rPr>
        <w:t xml:space="preserve">greckie </w:t>
      </w:r>
      <w:r w:rsidR="007F7063">
        <w:rPr>
          <w:rFonts w:ascii="Verdana" w:eastAsia="Verdana" w:hAnsi="Verdana"/>
          <w:color w:val="0072BC"/>
        </w:rPr>
        <w:t xml:space="preserve">ograniczały się jedynie do powtórzenia przepisów ustawy, która czyni prozelityzm nielegalnym, bez szczegółowego wskazania, w jaki sposób skarżący próbował przekonać swoją sąsiadkę w niewłaściwy sposób. </w:t>
      </w:r>
    </w:p>
    <w:p w14:paraId="2E77883E" w14:textId="77777777" w:rsidR="00B65E59" w:rsidRPr="00B65E59" w:rsidRDefault="00B65E59" w:rsidP="00B65E59">
      <w:pPr>
        <w:spacing w:line="246" w:lineRule="auto"/>
        <w:jc w:val="both"/>
        <w:rPr>
          <w:rFonts w:ascii="Verdana" w:eastAsia="Verdana" w:hAnsi="Verdana"/>
          <w:color w:val="0072BC"/>
        </w:rPr>
      </w:pPr>
    </w:p>
    <w:p w14:paraId="3AB27DAD" w14:textId="77777777" w:rsidR="005B408C" w:rsidRDefault="005B408C" w:rsidP="00B65E59">
      <w:pPr>
        <w:spacing w:line="0" w:lineRule="atLeast"/>
        <w:rPr>
          <w:rFonts w:ascii="Verdana" w:eastAsia="Verdana" w:hAnsi="Verdana"/>
          <w:b/>
          <w:color w:val="0072BC"/>
          <w:u w:val="single"/>
        </w:rPr>
      </w:pPr>
      <w:hyperlink r:id="rId23" w:history="1">
        <w:r>
          <w:rPr>
            <w:rFonts w:ascii="Verdana" w:eastAsia="Verdana" w:hAnsi="Verdana"/>
            <w:b/>
            <w:color w:val="0072BC"/>
            <w:u w:val="single"/>
          </w:rPr>
          <w:t xml:space="preserve">Larissis </w:t>
        </w:r>
        <w:r w:rsidR="007F7063">
          <w:rPr>
            <w:rFonts w:ascii="Verdana" w:eastAsia="Verdana" w:hAnsi="Verdana"/>
            <w:b/>
            <w:color w:val="0072BC"/>
            <w:u w:val="single"/>
          </w:rPr>
          <w:t xml:space="preserve">i Inni przeciwko Grecji </w:t>
        </w:r>
      </w:hyperlink>
    </w:p>
    <w:p w14:paraId="6C8C36CD" w14:textId="77777777" w:rsidR="005B408C" w:rsidRDefault="005B408C" w:rsidP="00B65E59">
      <w:pPr>
        <w:spacing w:line="63" w:lineRule="exact"/>
        <w:rPr>
          <w:rFonts w:ascii="Times New Roman" w:eastAsia="Times New Roman" w:hAnsi="Times New Roman"/>
        </w:rPr>
      </w:pPr>
    </w:p>
    <w:p w14:paraId="5A1F5852" w14:textId="77777777" w:rsidR="005B408C" w:rsidRDefault="007F7063" w:rsidP="00B65E59">
      <w:pPr>
        <w:spacing w:line="0" w:lineRule="atLeast"/>
        <w:rPr>
          <w:rFonts w:ascii="Verdana" w:eastAsia="Verdana" w:hAnsi="Verdana"/>
          <w:color w:val="808080"/>
          <w:sz w:val="18"/>
        </w:rPr>
      </w:pPr>
      <w:r>
        <w:rPr>
          <w:rFonts w:ascii="Verdana" w:eastAsia="Verdana" w:hAnsi="Verdana"/>
          <w:color w:val="808080"/>
          <w:sz w:val="18"/>
        </w:rPr>
        <w:t>24 lutego</w:t>
      </w:r>
      <w:r w:rsidR="005B408C">
        <w:rPr>
          <w:rFonts w:ascii="Verdana" w:eastAsia="Verdana" w:hAnsi="Verdana"/>
          <w:color w:val="808080"/>
          <w:sz w:val="18"/>
        </w:rPr>
        <w:t xml:space="preserve"> 1998</w:t>
      </w:r>
      <w:r>
        <w:rPr>
          <w:rFonts w:ascii="Verdana" w:eastAsia="Verdana" w:hAnsi="Verdana"/>
          <w:color w:val="808080"/>
          <w:sz w:val="18"/>
        </w:rPr>
        <w:t xml:space="preserve"> roku</w:t>
      </w:r>
    </w:p>
    <w:p w14:paraId="7F8C39BF" w14:textId="77777777" w:rsidR="005B408C" w:rsidRDefault="00D40D4B" w:rsidP="00B65E59">
      <w:pPr>
        <w:spacing w:line="239" w:lineRule="auto"/>
        <w:jc w:val="both"/>
        <w:rPr>
          <w:rFonts w:ascii="Verdana" w:eastAsia="Verdana" w:hAnsi="Verdana"/>
        </w:rPr>
      </w:pPr>
      <w:r>
        <w:rPr>
          <w:rFonts w:ascii="Verdana" w:eastAsia="Verdana" w:hAnsi="Verdana"/>
        </w:rPr>
        <w:t xml:space="preserve">Trzej skarżący, oficerowie sił powietrznych, wyznawcy Kościoła Zielonoświątkowego zostali skazani przez </w:t>
      </w:r>
      <w:r w:rsidR="00671956">
        <w:rPr>
          <w:rFonts w:ascii="Verdana" w:eastAsia="Verdana" w:hAnsi="Verdana"/>
        </w:rPr>
        <w:t xml:space="preserve">greckie </w:t>
      </w:r>
      <w:r>
        <w:rPr>
          <w:rFonts w:ascii="Verdana" w:eastAsia="Verdana" w:hAnsi="Verdana"/>
        </w:rPr>
        <w:t xml:space="preserve">sądy, w wyrokach które stały się prawomocne w 1992 roku, w związku z prozelityzmem po próbie nawrócenia na swoją wiarę licznych osób, włącznie z trzema podległymi im lotnikami.  </w:t>
      </w:r>
    </w:p>
    <w:p w14:paraId="41904D2C" w14:textId="77777777" w:rsidR="005B408C" w:rsidRDefault="005B408C" w:rsidP="00B65E59">
      <w:pPr>
        <w:spacing w:line="2" w:lineRule="exact"/>
        <w:rPr>
          <w:rFonts w:ascii="Times New Roman" w:eastAsia="Times New Roman" w:hAnsi="Times New Roman"/>
        </w:rPr>
      </w:pPr>
    </w:p>
    <w:p w14:paraId="57ED6354" w14:textId="77777777" w:rsidR="005B408C" w:rsidRDefault="00D40D4B" w:rsidP="00B65E59">
      <w:pPr>
        <w:spacing w:line="244" w:lineRule="auto"/>
        <w:jc w:val="both"/>
        <w:rPr>
          <w:rFonts w:ascii="Verdana" w:eastAsia="Verdana" w:hAnsi="Verdana"/>
          <w:color w:val="0072BC"/>
        </w:rPr>
      </w:pPr>
      <w:r>
        <w:rPr>
          <w:rFonts w:ascii="Verdana" w:eastAsia="Verdana" w:hAnsi="Verdana"/>
          <w:color w:val="0072BC"/>
        </w:rPr>
        <w:t xml:space="preserve">Trybunał uznał, iż </w:t>
      </w:r>
      <w:r w:rsidRPr="006A3B08">
        <w:rPr>
          <w:rFonts w:ascii="Verdana" w:eastAsia="Verdana" w:hAnsi="Verdana"/>
          <w:b/>
          <w:color w:val="0072BC"/>
        </w:rPr>
        <w:t>nie doszło do naruszenia Artykułu 9</w:t>
      </w:r>
      <w:r>
        <w:rPr>
          <w:rFonts w:ascii="Verdana" w:eastAsia="Verdana" w:hAnsi="Verdana"/>
          <w:color w:val="0072BC"/>
        </w:rPr>
        <w:t xml:space="preserve"> Konwencji w odniesieniu do środków podjętych względem skarżących w związku z próbami nawracania na swoją wiarę personelu sił zbrojnych, jako że obowiązkiem Państwa jest ochrona młodszych oficerów przed presją starszego personelu. Trybunał stwierdził jednak </w:t>
      </w:r>
      <w:r w:rsidRPr="006A3B08">
        <w:rPr>
          <w:rFonts w:ascii="Verdana" w:eastAsia="Verdana" w:hAnsi="Verdana"/>
          <w:b/>
          <w:color w:val="0072BC"/>
        </w:rPr>
        <w:t>naruszenie Artykułu 9</w:t>
      </w:r>
      <w:r>
        <w:rPr>
          <w:rFonts w:ascii="Verdana" w:eastAsia="Verdana" w:hAnsi="Verdana"/>
          <w:color w:val="0072BC"/>
        </w:rPr>
        <w:t xml:space="preserve"> Konwencji w odniesieniu do środków podjętych względem dwóch skarżących w sprawie nawracania ludności cywilnej, która nie podlegała presji ani ograniczeniom takim jak lotnicy.  </w:t>
      </w:r>
    </w:p>
    <w:p w14:paraId="49087F42" w14:textId="77777777" w:rsidR="005B408C" w:rsidRDefault="005B408C" w:rsidP="00B65E59">
      <w:pPr>
        <w:spacing w:line="204" w:lineRule="exact"/>
        <w:rPr>
          <w:rFonts w:ascii="Times New Roman" w:eastAsia="Times New Roman" w:hAnsi="Times New Roman"/>
        </w:rPr>
      </w:pPr>
    </w:p>
    <w:p w14:paraId="6606D679" w14:textId="77777777" w:rsidR="005B408C" w:rsidRDefault="00D40D4B" w:rsidP="00B65E59">
      <w:pPr>
        <w:spacing w:line="269" w:lineRule="auto"/>
        <w:jc w:val="both"/>
        <w:rPr>
          <w:rFonts w:ascii="Verdana" w:eastAsia="Verdana" w:hAnsi="Verdana"/>
          <w:color w:val="0072BC"/>
          <w:sz w:val="28"/>
        </w:rPr>
      </w:pPr>
      <w:r>
        <w:rPr>
          <w:rFonts w:ascii="Verdana" w:eastAsia="Verdana" w:hAnsi="Verdana"/>
          <w:color w:val="0072BC"/>
          <w:sz w:val="28"/>
        </w:rPr>
        <w:t>Uznanie, organizacja i przewodnictwo kościołów i wspólnot religij</w:t>
      </w:r>
      <w:r w:rsidR="006A3B08">
        <w:rPr>
          <w:rFonts w:ascii="Verdana" w:eastAsia="Verdana" w:hAnsi="Verdana"/>
          <w:color w:val="0072BC"/>
          <w:sz w:val="28"/>
        </w:rPr>
        <w:t>n</w:t>
      </w:r>
      <w:r>
        <w:rPr>
          <w:rFonts w:ascii="Verdana" w:eastAsia="Verdana" w:hAnsi="Verdana"/>
          <w:color w:val="0072BC"/>
          <w:sz w:val="28"/>
        </w:rPr>
        <w:t>ych</w:t>
      </w:r>
    </w:p>
    <w:p w14:paraId="2F5ED572" w14:textId="77777777" w:rsidR="005B408C" w:rsidRDefault="005B408C" w:rsidP="00B65E59">
      <w:pPr>
        <w:spacing w:line="20" w:lineRule="exact"/>
        <w:rPr>
          <w:rFonts w:ascii="Times New Roman" w:eastAsia="Times New Roman" w:hAnsi="Times New Roman"/>
        </w:rPr>
      </w:pPr>
    </w:p>
    <w:p w14:paraId="642F490F" w14:textId="00A95784" w:rsidR="005B408C" w:rsidRDefault="00081EA2" w:rsidP="00B65E59">
      <w:pPr>
        <w:spacing w:line="134" w:lineRule="exact"/>
        <w:rPr>
          <w:rFonts w:ascii="Times New Roman" w:eastAsia="Times New Roman" w:hAnsi="Times New Roman"/>
        </w:rPr>
      </w:pPr>
      <w:r>
        <w:rPr>
          <w:rFonts w:ascii="Verdana" w:eastAsia="Verdana" w:hAnsi="Verdana"/>
          <w:noProof/>
          <w:color w:val="0072BC"/>
          <w:sz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70AF754" wp14:editId="5F55FBCA">
                <wp:simplePos x="0" y="0"/>
                <wp:positionH relativeFrom="column">
                  <wp:posOffset>13970</wp:posOffset>
                </wp:positionH>
                <wp:positionV relativeFrom="paragraph">
                  <wp:posOffset>6985</wp:posOffset>
                </wp:positionV>
                <wp:extent cx="5899785" cy="0"/>
                <wp:effectExtent l="18415" t="15875" r="15875" b="12700"/>
                <wp:wrapNone/>
                <wp:docPr id="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97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F31C0" id="Line 2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.55pt" to="465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" strokecolor="#999" strokeweight="1.44pt"/>
            </w:pict>
          </mc:Fallback>
        </mc:AlternateContent>
      </w:r>
    </w:p>
    <w:p w14:paraId="0512ABB4" w14:textId="77777777" w:rsidR="005B408C" w:rsidRDefault="005B408C" w:rsidP="00B65E59">
      <w:pPr>
        <w:spacing w:line="0" w:lineRule="atLeast"/>
        <w:rPr>
          <w:rFonts w:ascii="Verdana" w:eastAsia="Verdana" w:hAnsi="Verdana"/>
          <w:b/>
          <w:color w:val="0072BC"/>
          <w:u w:val="single"/>
        </w:rPr>
      </w:pPr>
      <w:r>
        <w:rPr>
          <w:rFonts w:ascii="Verdana" w:eastAsia="Verdana" w:hAnsi="Verdana"/>
          <w:b/>
          <w:color w:val="0072BC"/>
          <w:u w:val="single"/>
        </w:rPr>
        <w:t xml:space="preserve">Hasan </w:t>
      </w:r>
      <w:r w:rsidR="00D40D4B">
        <w:rPr>
          <w:rFonts w:ascii="Verdana" w:eastAsia="Verdana" w:hAnsi="Verdana"/>
          <w:b/>
          <w:color w:val="0072BC"/>
          <w:u w:val="single"/>
        </w:rPr>
        <w:t>i Chaush przeciwko Bułgarii</w:t>
      </w:r>
    </w:p>
    <w:p w14:paraId="3851D768" w14:textId="77777777" w:rsidR="005B408C" w:rsidRDefault="005B408C" w:rsidP="00B65E59">
      <w:pPr>
        <w:spacing w:line="63" w:lineRule="exact"/>
        <w:rPr>
          <w:rFonts w:ascii="Times New Roman" w:eastAsia="Times New Roman" w:hAnsi="Times New Roman"/>
        </w:rPr>
      </w:pPr>
    </w:p>
    <w:p w14:paraId="36C18168" w14:textId="77777777" w:rsidR="005B408C" w:rsidRDefault="005B408C" w:rsidP="00B65E59">
      <w:pPr>
        <w:spacing w:line="0" w:lineRule="atLeast"/>
        <w:rPr>
          <w:rFonts w:ascii="Verdana" w:eastAsia="Verdana" w:hAnsi="Verdana"/>
          <w:color w:val="808080"/>
          <w:sz w:val="18"/>
        </w:rPr>
      </w:pPr>
      <w:r>
        <w:rPr>
          <w:rFonts w:ascii="Verdana" w:eastAsia="Verdana" w:hAnsi="Verdana"/>
          <w:color w:val="808080"/>
          <w:sz w:val="18"/>
        </w:rPr>
        <w:t xml:space="preserve">26 </w:t>
      </w:r>
      <w:r w:rsidR="00847644">
        <w:rPr>
          <w:rFonts w:ascii="Verdana" w:eastAsia="Verdana" w:hAnsi="Verdana"/>
          <w:color w:val="808080"/>
          <w:sz w:val="18"/>
        </w:rPr>
        <w:t>października</w:t>
      </w:r>
      <w:r>
        <w:rPr>
          <w:rFonts w:ascii="Verdana" w:eastAsia="Verdana" w:hAnsi="Verdana"/>
          <w:color w:val="808080"/>
          <w:sz w:val="18"/>
        </w:rPr>
        <w:t xml:space="preserve"> 2000 </w:t>
      </w:r>
      <w:r w:rsidR="00B65E59">
        <w:rPr>
          <w:rFonts w:ascii="Verdana" w:eastAsia="Verdana" w:hAnsi="Verdana"/>
          <w:color w:val="808080"/>
          <w:sz w:val="18"/>
        </w:rPr>
        <w:t xml:space="preserve">roku </w:t>
      </w:r>
      <w:r>
        <w:rPr>
          <w:rFonts w:ascii="Verdana" w:eastAsia="Verdana" w:hAnsi="Verdana"/>
          <w:color w:val="808080"/>
          <w:sz w:val="18"/>
        </w:rPr>
        <w:t>(</w:t>
      </w:r>
      <w:r w:rsidR="00847644">
        <w:rPr>
          <w:rFonts w:ascii="Verdana" w:eastAsia="Verdana" w:hAnsi="Verdana"/>
          <w:color w:val="808080"/>
          <w:sz w:val="18"/>
        </w:rPr>
        <w:t>Wielka Izba</w:t>
      </w:r>
      <w:r>
        <w:rPr>
          <w:rFonts w:ascii="Verdana" w:eastAsia="Verdana" w:hAnsi="Verdana"/>
          <w:color w:val="808080"/>
          <w:sz w:val="18"/>
        </w:rPr>
        <w:t>)</w:t>
      </w:r>
    </w:p>
    <w:p w14:paraId="388E3757" w14:textId="77777777" w:rsidR="005B408C" w:rsidRDefault="00847644" w:rsidP="00B65E59">
      <w:pPr>
        <w:spacing w:line="0" w:lineRule="atLeast"/>
        <w:jc w:val="both"/>
        <w:rPr>
          <w:rFonts w:ascii="Verdana" w:eastAsia="Verdana" w:hAnsi="Verdana"/>
        </w:rPr>
      </w:pPr>
      <w:r>
        <w:rPr>
          <w:rFonts w:ascii="Verdana" w:eastAsia="Verdana" w:hAnsi="Verdana"/>
        </w:rPr>
        <w:t>Pierwszy skarżący</w:t>
      </w:r>
      <w:r w:rsidR="00B66B18">
        <w:rPr>
          <w:rFonts w:ascii="Verdana" w:eastAsia="Verdana" w:hAnsi="Verdana"/>
        </w:rPr>
        <w:t xml:space="preserve"> był</w:t>
      </w:r>
      <w:r>
        <w:rPr>
          <w:rFonts w:ascii="Verdana" w:eastAsia="Verdana" w:hAnsi="Verdana"/>
        </w:rPr>
        <w:t xml:space="preserve"> naczelny</w:t>
      </w:r>
      <w:r w:rsidR="00B66B18">
        <w:rPr>
          <w:rFonts w:ascii="Verdana" w:eastAsia="Verdana" w:hAnsi="Verdana"/>
        </w:rPr>
        <w:t>m</w:t>
      </w:r>
      <w:r>
        <w:rPr>
          <w:rFonts w:ascii="Verdana" w:eastAsia="Verdana" w:hAnsi="Verdana"/>
        </w:rPr>
        <w:t xml:space="preserve"> Mufti</w:t>
      </w:r>
      <w:r w:rsidR="00B66B18">
        <w:rPr>
          <w:rFonts w:ascii="Verdana" w:eastAsia="Verdana" w:hAnsi="Verdana"/>
        </w:rPr>
        <w:t>m</w:t>
      </w:r>
      <w:r>
        <w:rPr>
          <w:rFonts w:ascii="Verdana" w:eastAsia="Verdana" w:hAnsi="Verdana"/>
        </w:rPr>
        <w:t xml:space="preserve"> Bułgarskiej Wspólnoty Muzułmańskiej od 1992 roku. Drugi skarżący to członek wspólnoty. W następstwie sporu we wspólnocie w latach 1994-95 dotyczącego jego przywódcy, pierwszy skarżący został zastąpiony przez Rząd Bułgarski innym kandydatem, który wcześniej sprawował tę funkcję. Skarżący podnieśli w szczególności, iż doszło do niezgodnej z prawem i arbitralnej ingerencji w ich wolności religijne oraz</w:t>
      </w:r>
      <w:r w:rsidR="006A3B08">
        <w:rPr>
          <w:rFonts w:ascii="Verdana" w:eastAsia="Verdana" w:hAnsi="Verdana"/>
        </w:rPr>
        <w:t xml:space="preserve"> naruszenia prawa</w:t>
      </w:r>
      <w:r>
        <w:rPr>
          <w:rFonts w:ascii="Verdana" w:eastAsia="Verdana" w:hAnsi="Verdana"/>
        </w:rPr>
        <w:t xml:space="preserve"> wyznawców oraz wspólnot religijnych do kierowania własnymi sprawami i wyboru przywództwa.   </w:t>
      </w:r>
    </w:p>
    <w:p w14:paraId="42EDE62A" w14:textId="77777777" w:rsidR="005B408C" w:rsidRDefault="00696A01" w:rsidP="00B65E59">
      <w:pPr>
        <w:spacing w:line="241" w:lineRule="auto"/>
        <w:jc w:val="both"/>
        <w:rPr>
          <w:rFonts w:ascii="Verdana" w:eastAsia="Verdana" w:hAnsi="Verdana"/>
          <w:color w:val="0072BC"/>
        </w:rPr>
      </w:pPr>
      <w:r>
        <w:rPr>
          <w:rFonts w:ascii="Verdana" w:eastAsia="Verdana" w:hAnsi="Verdana"/>
          <w:color w:val="0072BC"/>
        </w:rPr>
        <w:t>Trybunał stwier</w:t>
      </w:r>
      <w:r w:rsidR="006A3B08">
        <w:rPr>
          <w:rFonts w:ascii="Verdana" w:eastAsia="Verdana" w:hAnsi="Verdana"/>
          <w:color w:val="0072BC"/>
        </w:rPr>
        <w:t xml:space="preserve">dził, </w:t>
      </w:r>
      <w:r>
        <w:rPr>
          <w:rFonts w:ascii="Verdana" w:eastAsia="Verdana" w:hAnsi="Verdana"/>
          <w:color w:val="0072BC"/>
        </w:rPr>
        <w:t xml:space="preserve">że władze </w:t>
      </w:r>
      <w:r w:rsidR="006A3B08">
        <w:rPr>
          <w:rFonts w:ascii="Verdana" w:eastAsia="Verdana" w:hAnsi="Verdana"/>
          <w:color w:val="0072BC"/>
        </w:rPr>
        <w:t>państwowe</w:t>
      </w:r>
      <w:r>
        <w:rPr>
          <w:rFonts w:ascii="Verdana" w:eastAsia="Verdana" w:hAnsi="Verdana"/>
          <w:color w:val="0072BC"/>
        </w:rPr>
        <w:t xml:space="preserve"> nie zachowały neutralności podczas wykonywania swoich uprawnień w zakresie </w:t>
      </w:r>
      <w:r w:rsidR="00460797">
        <w:rPr>
          <w:rFonts w:ascii="Verdana" w:eastAsia="Verdana" w:hAnsi="Verdana"/>
          <w:color w:val="0072BC"/>
        </w:rPr>
        <w:t>reje</w:t>
      </w:r>
      <w:r w:rsidR="00FC26DC">
        <w:rPr>
          <w:rFonts w:ascii="Verdana" w:eastAsia="Verdana" w:hAnsi="Verdana"/>
          <w:color w:val="0072BC"/>
        </w:rPr>
        <w:t>s</w:t>
      </w:r>
      <w:r w:rsidR="00460797">
        <w:rPr>
          <w:rFonts w:ascii="Verdana" w:eastAsia="Verdana" w:hAnsi="Verdana"/>
          <w:color w:val="0072BC"/>
        </w:rPr>
        <w:t>tracji administracyjnej</w:t>
      </w:r>
      <w:r w:rsidR="003F3B5D">
        <w:rPr>
          <w:rFonts w:ascii="Verdana" w:eastAsia="Verdana" w:hAnsi="Verdana"/>
          <w:color w:val="0072BC"/>
        </w:rPr>
        <w:t xml:space="preserve"> wspólnot</w:t>
      </w:r>
      <w:r w:rsidR="00CE3A58">
        <w:rPr>
          <w:rFonts w:ascii="Verdana" w:eastAsia="Verdana" w:hAnsi="Verdana"/>
          <w:color w:val="0072BC"/>
        </w:rPr>
        <w:t xml:space="preserve"> </w:t>
      </w:r>
      <w:r w:rsidR="003F3B5D">
        <w:rPr>
          <w:rFonts w:ascii="Verdana" w:eastAsia="Verdana" w:hAnsi="Verdana"/>
          <w:color w:val="0072BC"/>
        </w:rPr>
        <w:t xml:space="preserve">religijnych co prowadzi do wniosku, iż </w:t>
      </w:r>
      <w:r w:rsidR="00CE3A58">
        <w:rPr>
          <w:rFonts w:ascii="Verdana" w:eastAsia="Verdana" w:hAnsi="Verdana"/>
          <w:color w:val="0072BC"/>
        </w:rPr>
        <w:t xml:space="preserve">Państwo </w:t>
      </w:r>
      <w:r w:rsidR="00B66B18">
        <w:rPr>
          <w:rFonts w:ascii="Verdana" w:eastAsia="Verdana" w:hAnsi="Verdana"/>
          <w:color w:val="0072BC"/>
        </w:rPr>
        <w:t xml:space="preserve">dopuściło się ingerencji </w:t>
      </w:r>
      <w:r w:rsidR="00CE3A58">
        <w:rPr>
          <w:rFonts w:ascii="Verdana" w:eastAsia="Verdana" w:hAnsi="Verdana"/>
          <w:color w:val="0072BC"/>
        </w:rPr>
        <w:t>w wolność wyznawców do manifestowania wyznania w myśl artykułu 9 Konwencji</w:t>
      </w:r>
      <w:r w:rsidR="00C07372">
        <w:rPr>
          <w:rFonts w:ascii="Verdana" w:eastAsia="Verdana" w:hAnsi="Verdana"/>
          <w:color w:val="0072BC"/>
        </w:rPr>
        <w:t xml:space="preserve">. Stwierdził, iż </w:t>
      </w:r>
      <w:r w:rsidR="00877975">
        <w:rPr>
          <w:rFonts w:ascii="Verdana" w:eastAsia="Verdana" w:hAnsi="Verdana"/>
          <w:color w:val="0072BC"/>
        </w:rPr>
        <w:t xml:space="preserve">działanie faworyzujące </w:t>
      </w:r>
      <w:r w:rsidR="00D87860">
        <w:rPr>
          <w:rFonts w:ascii="Verdana" w:eastAsia="Verdana" w:hAnsi="Verdana"/>
          <w:color w:val="0072BC"/>
        </w:rPr>
        <w:t xml:space="preserve">jednego przywódcę podzielonej wspólnoty religijnej lub </w:t>
      </w:r>
      <w:r w:rsidR="00380641">
        <w:rPr>
          <w:rFonts w:ascii="Verdana" w:eastAsia="Verdana" w:hAnsi="Verdana"/>
          <w:color w:val="0072BC"/>
        </w:rPr>
        <w:t xml:space="preserve">podejmowane w celu zmuszania społeczności </w:t>
      </w:r>
      <w:r w:rsidR="00EF0081">
        <w:rPr>
          <w:rFonts w:ascii="Verdana" w:eastAsia="Verdana" w:hAnsi="Verdana"/>
          <w:color w:val="0072BC"/>
        </w:rPr>
        <w:t xml:space="preserve">do wspólnego zjednoczenia się </w:t>
      </w:r>
      <w:r w:rsidR="00C57FA6">
        <w:rPr>
          <w:rFonts w:ascii="Verdana" w:eastAsia="Verdana" w:hAnsi="Verdana"/>
          <w:color w:val="0072BC"/>
        </w:rPr>
        <w:t>p</w:t>
      </w:r>
      <w:r w:rsidR="00EF0081">
        <w:rPr>
          <w:rFonts w:ascii="Verdana" w:eastAsia="Verdana" w:hAnsi="Verdana"/>
          <w:color w:val="0072BC"/>
        </w:rPr>
        <w:t>o</w:t>
      </w:r>
      <w:r w:rsidR="00C57FA6">
        <w:rPr>
          <w:rFonts w:ascii="Verdana" w:eastAsia="Verdana" w:hAnsi="Verdana"/>
          <w:color w:val="0072BC"/>
        </w:rPr>
        <w:t>d własnym</w:t>
      </w:r>
      <w:r w:rsidR="00EF0081">
        <w:rPr>
          <w:rFonts w:ascii="Verdana" w:eastAsia="Verdana" w:hAnsi="Verdana"/>
          <w:color w:val="0072BC"/>
        </w:rPr>
        <w:t xml:space="preserve"> przywództwem</w:t>
      </w:r>
      <w:r w:rsidR="006A3B08">
        <w:rPr>
          <w:rFonts w:ascii="Verdana" w:eastAsia="Verdana" w:hAnsi="Verdana"/>
          <w:color w:val="0072BC"/>
        </w:rPr>
        <w:t xml:space="preserve"> działania</w:t>
      </w:r>
      <w:r w:rsidR="00C57FA6">
        <w:rPr>
          <w:rFonts w:ascii="Verdana" w:eastAsia="Verdana" w:hAnsi="Verdana"/>
          <w:color w:val="0072BC"/>
        </w:rPr>
        <w:t xml:space="preserve"> wbrew woli stanowi</w:t>
      </w:r>
      <w:r w:rsidR="006A3B08">
        <w:rPr>
          <w:rFonts w:ascii="Verdana" w:eastAsia="Verdana" w:hAnsi="Verdana"/>
          <w:color w:val="0072BC"/>
        </w:rPr>
        <w:t>ą</w:t>
      </w:r>
      <w:r w:rsidR="00C57FA6">
        <w:rPr>
          <w:rFonts w:ascii="Verdana" w:eastAsia="Verdana" w:hAnsi="Verdana"/>
          <w:color w:val="0072BC"/>
        </w:rPr>
        <w:t xml:space="preserve"> ingerencję w wolność wyznania</w:t>
      </w:r>
      <w:r w:rsidR="00F90E75">
        <w:rPr>
          <w:rFonts w:ascii="Verdana" w:eastAsia="Verdana" w:hAnsi="Verdana"/>
          <w:color w:val="0072BC"/>
        </w:rPr>
        <w:t xml:space="preserve">. W społeczeństwach demokratycznych </w:t>
      </w:r>
      <w:r w:rsidR="006A3B08">
        <w:rPr>
          <w:rFonts w:ascii="Verdana" w:eastAsia="Verdana" w:hAnsi="Verdana"/>
          <w:color w:val="0072BC"/>
        </w:rPr>
        <w:t>Pań</w:t>
      </w:r>
      <w:r w:rsidR="00D21584">
        <w:rPr>
          <w:rFonts w:ascii="Verdana" w:eastAsia="Verdana" w:hAnsi="Verdana"/>
          <w:color w:val="0072BC"/>
        </w:rPr>
        <w:t xml:space="preserve">stwo nie musi podejmować żadnych działań mających na celu zjednoczenie wspólnot religijnych. W niniejszej sprawie </w:t>
      </w:r>
      <w:r w:rsidR="00981DE6">
        <w:rPr>
          <w:rFonts w:ascii="Verdana" w:eastAsia="Verdana" w:hAnsi="Verdana"/>
          <w:color w:val="0072BC"/>
        </w:rPr>
        <w:t xml:space="preserve">działania władz bułgarskich </w:t>
      </w:r>
      <w:r w:rsidR="002B0EF2">
        <w:rPr>
          <w:rFonts w:ascii="Verdana" w:eastAsia="Verdana" w:hAnsi="Verdana"/>
          <w:color w:val="0072BC"/>
        </w:rPr>
        <w:t xml:space="preserve">w praktyce pozbawiły </w:t>
      </w:r>
      <w:r w:rsidR="004729D9">
        <w:rPr>
          <w:rFonts w:ascii="Verdana" w:eastAsia="Verdana" w:hAnsi="Verdana"/>
          <w:color w:val="0072BC"/>
        </w:rPr>
        <w:t xml:space="preserve">wykluczone kierownictwo jakiejkolwiek możliwości dalszego reprezentowania przynajmniej części społeczności muzułmańskiej i zarządzania jej sprawami zgodnie z </w:t>
      </w:r>
      <w:r w:rsidR="00AD765E">
        <w:rPr>
          <w:rFonts w:ascii="Verdana" w:eastAsia="Verdana" w:hAnsi="Verdana"/>
          <w:color w:val="0072BC"/>
        </w:rPr>
        <w:t xml:space="preserve">jej </w:t>
      </w:r>
      <w:r w:rsidR="004729D9">
        <w:rPr>
          <w:rFonts w:ascii="Verdana" w:eastAsia="Verdana" w:hAnsi="Verdana"/>
          <w:color w:val="0072BC"/>
        </w:rPr>
        <w:t>wolą</w:t>
      </w:r>
      <w:r w:rsidR="00AD765E">
        <w:rPr>
          <w:rFonts w:ascii="Verdana" w:eastAsia="Verdana" w:hAnsi="Verdana"/>
          <w:color w:val="0072BC"/>
        </w:rPr>
        <w:t xml:space="preserve">. </w:t>
      </w:r>
      <w:r w:rsidR="004729D9">
        <w:rPr>
          <w:rFonts w:ascii="Verdana" w:eastAsia="Verdana" w:hAnsi="Verdana"/>
          <w:color w:val="0072BC"/>
        </w:rPr>
        <w:t xml:space="preserve">Trybunał stwierdził iż doszło do ingerencji w wewnętrzną strukturę organizacyjną wspólnoty muzułmańskiej i wolność wyznania skarżących. </w:t>
      </w:r>
      <w:r w:rsidR="009643C6">
        <w:rPr>
          <w:rFonts w:ascii="Verdana" w:eastAsia="Verdana" w:hAnsi="Verdana"/>
          <w:color w:val="0072BC"/>
        </w:rPr>
        <w:t>I</w:t>
      </w:r>
      <w:r w:rsidR="004729D9">
        <w:rPr>
          <w:rFonts w:ascii="Verdana" w:eastAsia="Verdana" w:hAnsi="Verdana"/>
          <w:color w:val="0072BC"/>
        </w:rPr>
        <w:t xml:space="preserve">ngerencja ta </w:t>
      </w:r>
      <w:r w:rsidR="0026417E">
        <w:rPr>
          <w:rFonts w:ascii="Verdana" w:eastAsia="Verdana" w:hAnsi="Verdana"/>
          <w:color w:val="0072BC"/>
        </w:rPr>
        <w:t>była bezprawna</w:t>
      </w:r>
      <w:r w:rsidR="004729D9">
        <w:rPr>
          <w:rFonts w:ascii="Verdana" w:eastAsia="Verdana" w:hAnsi="Verdana"/>
          <w:color w:val="0072BC"/>
        </w:rPr>
        <w:t xml:space="preserve"> ponieważ była arbitralna</w:t>
      </w:r>
      <w:r w:rsidR="0026417E">
        <w:rPr>
          <w:rFonts w:ascii="Verdana" w:eastAsia="Verdana" w:hAnsi="Verdana"/>
          <w:color w:val="0072BC"/>
        </w:rPr>
        <w:t>, a także</w:t>
      </w:r>
      <w:r w:rsidR="004729D9">
        <w:rPr>
          <w:rFonts w:ascii="Verdana" w:eastAsia="Verdana" w:hAnsi="Verdana"/>
          <w:color w:val="0072BC"/>
        </w:rPr>
        <w:t xml:space="preserve"> </w:t>
      </w:r>
      <w:r w:rsidR="00A541F3">
        <w:rPr>
          <w:rFonts w:ascii="Verdana" w:eastAsia="Verdana" w:hAnsi="Verdana"/>
          <w:color w:val="0072BC"/>
        </w:rPr>
        <w:t>opierała się na przepisach prawnych, które zezwalały</w:t>
      </w:r>
      <w:r w:rsidR="00355F39">
        <w:rPr>
          <w:rFonts w:ascii="Verdana" w:eastAsia="Verdana" w:hAnsi="Verdana"/>
          <w:color w:val="0072BC"/>
        </w:rPr>
        <w:t xml:space="preserve"> władzy</w:t>
      </w:r>
      <w:r w:rsidR="00A541F3">
        <w:rPr>
          <w:rFonts w:ascii="Verdana" w:eastAsia="Verdana" w:hAnsi="Verdana"/>
          <w:color w:val="0072BC"/>
        </w:rPr>
        <w:t xml:space="preserve"> </w:t>
      </w:r>
      <w:r w:rsidR="0026417E">
        <w:rPr>
          <w:rFonts w:ascii="Verdana" w:eastAsia="Verdana" w:hAnsi="Verdana"/>
          <w:color w:val="0072BC"/>
        </w:rPr>
        <w:t xml:space="preserve">wykonawczej </w:t>
      </w:r>
      <w:r w:rsidR="00355F39">
        <w:rPr>
          <w:rFonts w:ascii="Verdana" w:eastAsia="Verdana" w:hAnsi="Verdana"/>
          <w:color w:val="0072BC"/>
        </w:rPr>
        <w:t xml:space="preserve">na </w:t>
      </w:r>
      <w:r w:rsidR="0026417E">
        <w:rPr>
          <w:rFonts w:ascii="Verdana" w:eastAsia="Verdana" w:hAnsi="Verdana"/>
          <w:color w:val="0072BC"/>
        </w:rPr>
        <w:t>nieograniczone</w:t>
      </w:r>
      <w:r w:rsidR="009643C6">
        <w:rPr>
          <w:rFonts w:ascii="Verdana" w:eastAsia="Verdana" w:hAnsi="Verdana"/>
          <w:color w:val="0072BC"/>
        </w:rPr>
        <w:t xml:space="preserve"> </w:t>
      </w:r>
      <w:r w:rsidR="00355F39">
        <w:rPr>
          <w:rFonts w:ascii="Verdana" w:eastAsia="Verdana" w:hAnsi="Verdana"/>
          <w:color w:val="0072BC"/>
        </w:rPr>
        <w:t xml:space="preserve">uznanie i nie spełniały wymagalnych standardów jasności i </w:t>
      </w:r>
      <w:r w:rsidR="00355F39">
        <w:rPr>
          <w:rFonts w:ascii="Verdana" w:eastAsia="Verdana" w:hAnsi="Verdana"/>
          <w:color w:val="0072BC"/>
        </w:rPr>
        <w:lastRenderedPageBreak/>
        <w:t>przewidywalności</w:t>
      </w:r>
      <w:r w:rsidR="0026417E">
        <w:rPr>
          <w:rFonts w:ascii="Verdana" w:eastAsia="Verdana" w:hAnsi="Verdana"/>
          <w:color w:val="0072BC"/>
        </w:rPr>
        <w:t>.</w:t>
      </w:r>
      <w:r w:rsidR="00355F39">
        <w:rPr>
          <w:rFonts w:ascii="Verdana" w:eastAsia="Verdana" w:hAnsi="Verdana"/>
          <w:color w:val="0072BC"/>
        </w:rPr>
        <w:t xml:space="preserve"> Trybunał orzekł, iż </w:t>
      </w:r>
      <w:r w:rsidR="00355F39" w:rsidRPr="00E03FA9">
        <w:rPr>
          <w:rFonts w:ascii="Verdana" w:eastAsia="Verdana" w:hAnsi="Verdana"/>
          <w:b/>
          <w:color w:val="0072BC"/>
        </w:rPr>
        <w:t>doszło do naruszenia Artykułu 9</w:t>
      </w:r>
      <w:r w:rsidR="00355F39">
        <w:rPr>
          <w:rFonts w:ascii="Verdana" w:eastAsia="Verdana" w:hAnsi="Verdana"/>
          <w:color w:val="0072BC"/>
        </w:rPr>
        <w:t xml:space="preserve"> Konwencji. Następnie uznając, iż kierownictwo frakcji sprawowane przez skarżącego nie było w stanie skutecznie stawić czoła bezprawnej ingerencji państwa w sprawy wewnętrzne wspólnoty religijnej i dochodzić swoich praw do autonomii organizacyjnej   Trybunał orzekł, iż </w:t>
      </w:r>
      <w:r w:rsidR="00355F39" w:rsidRPr="00E03FA9">
        <w:rPr>
          <w:rFonts w:ascii="Verdana" w:eastAsia="Verdana" w:hAnsi="Verdana"/>
          <w:b/>
          <w:color w:val="0072BC"/>
        </w:rPr>
        <w:t>doszło do naruszenia Artykułu 13</w:t>
      </w:r>
      <w:r w:rsidR="00355F39">
        <w:rPr>
          <w:rFonts w:ascii="Verdana" w:eastAsia="Verdana" w:hAnsi="Verdana"/>
          <w:color w:val="0072BC"/>
        </w:rPr>
        <w:t xml:space="preserve"> (prawo do skutecznego środka odwoławczego) Konwencji. </w:t>
      </w:r>
    </w:p>
    <w:p w14:paraId="3BA39FC4" w14:textId="77777777" w:rsidR="00B65E59" w:rsidRPr="00B65E59" w:rsidRDefault="00B65E59" w:rsidP="00B65E59">
      <w:pPr>
        <w:spacing w:line="241" w:lineRule="auto"/>
        <w:jc w:val="both"/>
        <w:rPr>
          <w:rFonts w:ascii="Verdana" w:eastAsia="Verdana" w:hAnsi="Verdana"/>
          <w:color w:val="0072BC"/>
        </w:rPr>
      </w:pPr>
    </w:p>
    <w:p w14:paraId="0F34F920" w14:textId="77777777" w:rsidR="005B408C" w:rsidRDefault="005B408C" w:rsidP="00B65E59">
      <w:pPr>
        <w:spacing w:line="93" w:lineRule="exact"/>
        <w:rPr>
          <w:rFonts w:ascii="Times New Roman" w:eastAsia="Times New Roman" w:hAnsi="Times New Roman"/>
        </w:rPr>
      </w:pPr>
    </w:p>
    <w:p w14:paraId="7E45E8B5" w14:textId="77777777" w:rsidR="005B408C" w:rsidRDefault="005B408C" w:rsidP="00B65E59">
      <w:pPr>
        <w:spacing w:line="0" w:lineRule="atLeast"/>
        <w:rPr>
          <w:rFonts w:ascii="Verdana" w:eastAsia="Verdana" w:hAnsi="Verdana"/>
          <w:b/>
          <w:color w:val="0072BC"/>
          <w:u w:val="single"/>
        </w:rPr>
      </w:pPr>
      <w:hyperlink r:id="rId24" w:history="1">
        <w:r w:rsidR="002429C0">
          <w:rPr>
            <w:rFonts w:ascii="Verdana" w:eastAsia="Verdana" w:hAnsi="Verdana"/>
            <w:b/>
            <w:color w:val="0072BC"/>
            <w:u w:val="single"/>
          </w:rPr>
          <w:t>Metropolitalny Kościół Besarabii i Inni przeciwko Mołdawii</w:t>
        </w:r>
      </w:hyperlink>
    </w:p>
    <w:p w14:paraId="5AFD6EC6" w14:textId="77777777" w:rsidR="005B408C" w:rsidRDefault="005B408C" w:rsidP="00B65E59">
      <w:pPr>
        <w:spacing w:line="63" w:lineRule="exact"/>
        <w:rPr>
          <w:rFonts w:ascii="Times New Roman" w:eastAsia="Times New Roman" w:hAnsi="Times New Roman"/>
        </w:rPr>
      </w:pPr>
    </w:p>
    <w:p w14:paraId="478F880F" w14:textId="77777777" w:rsidR="005B408C" w:rsidRDefault="005B408C" w:rsidP="00B65E59">
      <w:pPr>
        <w:spacing w:line="0" w:lineRule="atLeast"/>
        <w:rPr>
          <w:rFonts w:ascii="Verdana" w:eastAsia="Verdana" w:hAnsi="Verdana"/>
          <w:color w:val="808080"/>
          <w:sz w:val="18"/>
        </w:rPr>
      </w:pPr>
      <w:r>
        <w:rPr>
          <w:rFonts w:ascii="Verdana" w:eastAsia="Verdana" w:hAnsi="Verdana"/>
          <w:color w:val="808080"/>
          <w:sz w:val="18"/>
        </w:rPr>
        <w:t xml:space="preserve">13 </w:t>
      </w:r>
      <w:r w:rsidR="002429C0">
        <w:rPr>
          <w:rFonts w:ascii="Verdana" w:eastAsia="Verdana" w:hAnsi="Verdana"/>
          <w:color w:val="808080"/>
          <w:sz w:val="18"/>
        </w:rPr>
        <w:t>grudnia</w:t>
      </w:r>
      <w:r>
        <w:rPr>
          <w:rFonts w:ascii="Verdana" w:eastAsia="Verdana" w:hAnsi="Verdana"/>
          <w:color w:val="808080"/>
          <w:sz w:val="18"/>
        </w:rPr>
        <w:t xml:space="preserve"> 2001</w:t>
      </w:r>
      <w:r w:rsidR="002429C0">
        <w:rPr>
          <w:rFonts w:ascii="Verdana" w:eastAsia="Verdana" w:hAnsi="Verdana"/>
          <w:color w:val="808080"/>
          <w:sz w:val="18"/>
        </w:rPr>
        <w:t xml:space="preserve"> roku</w:t>
      </w:r>
    </w:p>
    <w:p w14:paraId="68637107" w14:textId="77777777" w:rsidR="005B408C" w:rsidRDefault="00013AE6" w:rsidP="00B65E59">
      <w:pPr>
        <w:spacing w:line="0" w:lineRule="atLeast"/>
        <w:jc w:val="both"/>
        <w:rPr>
          <w:rFonts w:ascii="Verdana" w:eastAsia="Verdana" w:hAnsi="Verdana"/>
        </w:rPr>
      </w:pPr>
      <w:r>
        <w:rPr>
          <w:rFonts w:ascii="Verdana" w:eastAsia="Verdana" w:hAnsi="Verdana"/>
        </w:rPr>
        <w:t xml:space="preserve">Niniejsza sprawa dotyczyła odmowy władz Mołdawskich uznania Metropolitalnego Kościoła Besarabii za prawosławny kościół chrześcijański </w:t>
      </w:r>
      <w:r w:rsidR="0028184F">
        <w:rPr>
          <w:rFonts w:ascii="Verdana" w:eastAsia="Verdana" w:hAnsi="Verdana"/>
        </w:rPr>
        <w:t>z uwagi na to, iż powstał on w wyniku rozłamu Metropolitalnego Kościoła Mołdawii</w:t>
      </w:r>
      <w:r w:rsidR="004E3C28">
        <w:rPr>
          <w:rFonts w:ascii="Verdana" w:eastAsia="Verdana" w:hAnsi="Verdana"/>
        </w:rPr>
        <w:t xml:space="preserve">. Skarżący – Metropolitalny Kościół Besarabii oraz kilka innych osób </w:t>
      </w:r>
      <w:r w:rsidR="00CF2F67">
        <w:rPr>
          <w:rFonts w:ascii="Verdana" w:eastAsia="Verdana" w:hAnsi="Verdana"/>
        </w:rPr>
        <w:t xml:space="preserve">pełniących w nim funkcje, </w:t>
      </w:r>
      <w:r w:rsidR="0026417E">
        <w:rPr>
          <w:rFonts w:ascii="Verdana" w:eastAsia="Verdana" w:hAnsi="Verdana"/>
        </w:rPr>
        <w:t xml:space="preserve">zaskarżyło </w:t>
      </w:r>
      <w:r w:rsidR="00773951">
        <w:rPr>
          <w:rFonts w:ascii="Verdana" w:eastAsia="Verdana" w:hAnsi="Verdana"/>
        </w:rPr>
        <w:t xml:space="preserve">odmowę </w:t>
      </w:r>
      <w:r w:rsidR="00E87AC0">
        <w:rPr>
          <w:rFonts w:ascii="Verdana" w:eastAsia="Verdana" w:hAnsi="Verdana"/>
        </w:rPr>
        <w:t xml:space="preserve">oraz podnosiło, iż zgodnie z przepisami krajowymi wyznanie </w:t>
      </w:r>
      <w:r w:rsidR="00901810">
        <w:rPr>
          <w:rFonts w:ascii="Verdana" w:eastAsia="Verdana" w:hAnsi="Verdana"/>
        </w:rPr>
        <w:t xml:space="preserve">religijne </w:t>
      </w:r>
      <w:r w:rsidR="00E87AC0">
        <w:rPr>
          <w:rFonts w:ascii="Verdana" w:eastAsia="Verdana" w:hAnsi="Verdana"/>
        </w:rPr>
        <w:t>nie może aktywnie działać na terytorium Mołdaw</w:t>
      </w:r>
      <w:r w:rsidR="00E03FA9">
        <w:rPr>
          <w:rFonts w:ascii="Verdana" w:eastAsia="Verdana" w:hAnsi="Verdana"/>
        </w:rPr>
        <w:t>i</w:t>
      </w:r>
      <w:r w:rsidR="00E87AC0">
        <w:rPr>
          <w:rFonts w:ascii="Verdana" w:eastAsia="Verdana" w:hAnsi="Verdana"/>
        </w:rPr>
        <w:t xml:space="preserve">i, zanim zostanie uznane przez władze. </w:t>
      </w:r>
      <w:r w:rsidR="00CF2F67">
        <w:rPr>
          <w:rFonts w:ascii="Verdana" w:eastAsia="Verdana" w:hAnsi="Verdana"/>
        </w:rPr>
        <w:t xml:space="preserve"> </w:t>
      </w:r>
      <w:r w:rsidR="0028184F">
        <w:rPr>
          <w:rFonts w:ascii="Verdana" w:eastAsia="Verdana" w:hAnsi="Verdana"/>
        </w:rPr>
        <w:t xml:space="preserve"> </w:t>
      </w:r>
    </w:p>
    <w:p w14:paraId="49F4019E" w14:textId="77777777" w:rsidR="005B408C" w:rsidRDefault="00CA5F2F" w:rsidP="00B65E59">
      <w:pPr>
        <w:spacing w:line="241" w:lineRule="auto"/>
        <w:jc w:val="both"/>
        <w:rPr>
          <w:rFonts w:ascii="Verdana" w:eastAsia="Verdana" w:hAnsi="Verdana"/>
          <w:color w:val="0072BC"/>
        </w:rPr>
      </w:pPr>
      <w:r>
        <w:rPr>
          <w:rFonts w:ascii="Verdana" w:eastAsia="Verdana" w:hAnsi="Verdana"/>
          <w:color w:val="0072BC"/>
        </w:rPr>
        <w:t>Trybunał stwierdził, iż brak oficja</w:t>
      </w:r>
      <w:r w:rsidR="000C0B20">
        <w:rPr>
          <w:rFonts w:ascii="Verdana" w:eastAsia="Verdana" w:hAnsi="Verdana"/>
          <w:color w:val="0072BC"/>
        </w:rPr>
        <w:t>l</w:t>
      </w:r>
      <w:r>
        <w:rPr>
          <w:rFonts w:ascii="Verdana" w:eastAsia="Verdana" w:hAnsi="Verdana"/>
          <w:color w:val="0072BC"/>
        </w:rPr>
        <w:t xml:space="preserve">nego uznania przez władze krajowe uniemożliwiał jego funkcjonowanie. W szczególności jego kapłani nie mogli świadczyć posługi, członkowie praktykować religii, zaś kościół pozbawiony był </w:t>
      </w:r>
      <w:r w:rsidR="000C0B20">
        <w:rPr>
          <w:rFonts w:ascii="Verdana" w:eastAsia="Verdana" w:hAnsi="Verdana"/>
          <w:color w:val="0072BC"/>
        </w:rPr>
        <w:t xml:space="preserve">osobowości prawnej </w:t>
      </w:r>
      <w:r w:rsidR="004C4B1B">
        <w:rPr>
          <w:rFonts w:ascii="Verdana" w:eastAsia="Verdana" w:hAnsi="Verdana"/>
          <w:color w:val="0072BC"/>
        </w:rPr>
        <w:t xml:space="preserve">i został pozbawiony ochrony prawnej posiadanego majątku. </w:t>
      </w:r>
      <w:r w:rsidR="00591278">
        <w:rPr>
          <w:rFonts w:ascii="Verdana" w:eastAsia="Verdana" w:hAnsi="Verdana"/>
          <w:color w:val="0072BC"/>
        </w:rPr>
        <w:t>Jednocześnie Trybunał stwierdził, iż odmowa Rządu Mołdawskiego</w:t>
      </w:r>
      <w:r w:rsidR="003D03FB">
        <w:rPr>
          <w:rFonts w:ascii="Verdana" w:eastAsia="Verdana" w:hAnsi="Verdana"/>
          <w:color w:val="0072BC"/>
        </w:rPr>
        <w:t xml:space="preserve"> uznania kościoła</w:t>
      </w:r>
      <w:r w:rsidR="00591278">
        <w:rPr>
          <w:rFonts w:ascii="Verdana" w:eastAsia="Verdana" w:hAnsi="Verdana"/>
          <w:color w:val="0072BC"/>
        </w:rPr>
        <w:t xml:space="preserve"> stanowiła ingerencję w prawo tego kościoła i innych skarżących do wolności wyznania zagwarantowane</w:t>
      </w:r>
      <w:r w:rsidR="003D03FB">
        <w:rPr>
          <w:rFonts w:ascii="Verdana" w:eastAsia="Verdana" w:hAnsi="Verdana"/>
          <w:color w:val="0072BC"/>
        </w:rPr>
        <w:t>j</w:t>
      </w:r>
      <w:r w:rsidR="00591278">
        <w:rPr>
          <w:rFonts w:ascii="Verdana" w:eastAsia="Verdana" w:hAnsi="Verdana"/>
          <w:color w:val="0072BC"/>
        </w:rPr>
        <w:t xml:space="preserve"> Artykułem 9 §1 Konwencji</w:t>
      </w:r>
      <w:r w:rsidR="005B408C">
        <w:rPr>
          <w:rFonts w:ascii="Verdana" w:eastAsia="Verdana" w:hAnsi="Verdana"/>
          <w:color w:val="0072BC"/>
        </w:rPr>
        <w:t>.</w:t>
      </w:r>
      <w:r w:rsidR="00591278">
        <w:rPr>
          <w:rFonts w:ascii="Verdana" w:eastAsia="Verdana" w:hAnsi="Verdana"/>
          <w:color w:val="0072BC"/>
        </w:rPr>
        <w:t xml:space="preserve"> </w:t>
      </w:r>
      <w:r w:rsidR="003D03FB">
        <w:rPr>
          <w:rFonts w:ascii="Verdana" w:eastAsia="Verdana" w:hAnsi="Verdana"/>
          <w:color w:val="0072BC"/>
        </w:rPr>
        <w:t xml:space="preserve">Trybunał stwierdził </w:t>
      </w:r>
      <w:r w:rsidR="00591278">
        <w:rPr>
          <w:rFonts w:ascii="Verdana" w:eastAsia="Verdana" w:hAnsi="Verdana"/>
          <w:color w:val="0072BC"/>
        </w:rPr>
        <w:t xml:space="preserve">w szczególności, </w:t>
      </w:r>
      <w:r w:rsidR="00E87AC0">
        <w:rPr>
          <w:rFonts w:ascii="Verdana" w:eastAsia="Verdana" w:hAnsi="Verdana"/>
          <w:color w:val="0072BC"/>
        </w:rPr>
        <w:t>że kościół skarżących nie był nowym wyz</w:t>
      </w:r>
      <w:r w:rsidR="00E03FA9">
        <w:rPr>
          <w:rFonts w:ascii="Verdana" w:eastAsia="Verdana" w:hAnsi="Verdana"/>
          <w:color w:val="0072BC"/>
        </w:rPr>
        <w:t>nani</w:t>
      </w:r>
      <w:r w:rsidR="00E87AC0">
        <w:rPr>
          <w:rFonts w:ascii="Verdana" w:eastAsia="Verdana" w:hAnsi="Verdana"/>
          <w:color w:val="0072BC"/>
        </w:rPr>
        <w:t xml:space="preserve">em </w:t>
      </w:r>
      <w:r w:rsidR="003D03FB">
        <w:rPr>
          <w:rFonts w:ascii="Verdana" w:eastAsia="Verdana" w:hAnsi="Verdana"/>
          <w:color w:val="0072BC"/>
        </w:rPr>
        <w:t xml:space="preserve">zaś uzależniając uznanie </w:t>
      </w:r>
      <w:r w:rsidR="003D03FB" w:rsidRPr="003D03FB">
        <w:rPr>
          <w:rFonts w:ascii="Verdana" w:eastAsia="Verdana" w:hAnsi="Verdana"/>
          <w:color w:val="0072BC"/>
        </w:rPr>
        <w:t xml:space="preserve">go od woli </w:t>
      </w:r>
      <w:r w:rsidR="00E87AC0">
        <w:rPr>
          <w:rFonts w:ascii="Verdana" w:eastAsia="Verdana" w:hAnsi="Verdana"/>
          <w:color w:val="0072BC"/>
        </w:rPr>
        <w:t>władz metropolitalnego kościoła Mołdawii Rząd nie wypełnił swojego obowiązku pozostania bezstronnym i neutralnym</w:t>
      </w:r>
      <w:r w:rsidR="003D03FB">
        <w:rPr>
          <w:rFonts w:ascii="Verdana" w:eastAsia="Verdana" w:hAnsi="Verdana"/>
          <w:color w:val="0072BC"/>
        </w:rPr>
        <w:t>.</w:t>
      </w:r>
      <w:r w:rsidR="00E87AC0">
        <w:rPr>
          <w:rFonts w:ascii="Verdana" w:eastAsia="Verdana" w:hAnsi="Verdana"/>
          <w:color w:val="0072BC"/>
        </w:rPr>
        <w:t xml:space="preserve"> Trybunał doszedł do wniosku, iż odmowa uznania kościoła skarżącego miała takie kon</w:t>
      </w:r>
      <w:r w:rsidR="00892273">
        <w:rPr>
          <w:rFonts w:ascii="Verdana" w:eastAsia="Verdana" w:hAnsi="Verdana"/>
          <w:color w:val="0072BC"/>
        </w:rPr>
        <w:t>s</w:t>
      </w:r>
      <w:r w:rsidR="00E87AC0">
        <w:rPr>
          <w:rFonts w:ascii="Verdana" w:eastAsia="Verdana" w:hAnsi="Verdana"/>
          <w:color w:val="0072BC"/>
        </w:rPr>
        <w:t>ekwencje dla wolności wyznania skarżących, że nie można jej uznać za proporcjonalną względem słusznego celu</w:t>
      </w:r>
      <w:r w:rsidR="00837306">
        <w:rPr>
          <w:rFonts w:ascii="Verdana" w:eastAsia="Verdana" w:hAnsi="Verdana"/>
          <w:color w:val="0072BC"/>
        </w:rPr>
        <w:t xml:space="preserve">. Nie było to konieczne w demokratycznym społeczeństwie i </w:t>
      </w:r>
      <w:r w:rsidR="00837306" w:rsidRPr="00892273">
        <w:rPr>
          <w:rFonts w:ascii="Verdana" w:eastAsia="Verdana" w:hAnsi="Verdana"/>
          <w:b/>
          <w:color w:val="0072BC"/>
        </w:rPr>
        <w:t>doszło do naruszenia Artykułu 9 Konwencji</w:t>
      </w:r>
      <w:r w:rsidR="00837306">
        <w:rPr>
          <w:rFonts w:ascii="Verdana" w:eastAsia="Verdana" w:hAnsi="Verdana"/>
          <w:color w:val="0072BC"/>
        </w:rPr>
        <w:t xml:space="preserve">. Trybunał następnie stwierdził, iż skarżący nie mieli możliwości uzyskania zadośćuczynienia od władz krajowych w zakresie ich skargi dotyczącej wolności wyznania dlatego orzeczono, iż </w:t>
      </w:r>
      <w:r w:rsidR="00837306" w:rsidRPr="00892273">
        <w:rPr>
          <w:rFonts w:ascii="Verdana" w:eastAsia="Verdana" w:hAnsi="Verdana"/>
          <w:b/>
          <w:color w:val="0072BC"/>
        </w:rPr>
        <w:t>doszło także do naruszenia Artykułu 13</w:t>
      </w:r>
      <w:r w:rsidR="00837306">
        <w:rPr>
          <w:rFonts w:ascii="Verdana" w:eastAsia="Verdana" w:hAnsi="Verdana"/>
          <w:color w:val="0072BC"/>
        </w:rPr>
        <w:t xml:space="preserve"> (prawo do</w:t>
      </w:r>
      <w:r w:rsidR="00E87AC0">
        <w:rPr>
          <w:rFonts w:ascii="Verdana" w:eastAsia="Verdana" w:hAnsi="Verdana"/>
          <w:color w:val="0072BC"/>
        </w:rPr>
        <w:t xml:space="preserve"> </w:t>
      </w:r>
      <w:r w:rsidR="00837306">
        <w:rPr>
          <w:rFonts w:ascii="Verdana" w:eastAsia="Verdana" w:hAnsi="Verdana"/>
          <w:color w:val="0072BC"/>
        </w:rPr>
        <w:t xml:space="preserve">skutecznego środka odwoławczego) Konwencji. </w:t>
      </w:r>
      <w:r w:rsidR="00E87AC0">
        <w:rPr>
          <w:rFonts w:ascii="Verdana" w:eastAsia="Verdana" w:hAnsi="Verdana"/>
          <w:color w:val="0072BC"/>
        </w:rPr>
        <w:t xml:space="preserve">  </w:t>
      </w:r>
      <w:r w:rsidR="00591278">
        <w:rPr>
          <w:rFonts w:ascii="Verdana" w:eastAsia="Verdana" w:hAnsi="Verdana"/>
          <w:color w:val="0072BC"/>
        </w:rPr>
        <w:t xml:space="preserve"> </w:t>
      </w:r>
      <w:r w:rsidR="005B408C">
        <w:rPr>
          <w:rFonts w:ascii="Verdana" w:eastAsia="Verdana" w:hAnsi="Verdana"/>
          <w:color w:val="0072BC"/>
        </w:rPr>
        <w:t xml:space="preserve"> </w:t>
      </w:r>
    </w:p>
    <w:p w14:paraId="30EEEFB4" w14:textId="77777777" w:rsidR="005B408C" w:rsidRDefault="005B408C" w:rsidP="00B65E59">
      <w:pPr>
        <w:spacing w:line="98" w:lineRule="exact"/>
        <w:rPr>
          <w:rFonts w:ascii="Times New Roman" w:eastAsia="Times New Roman" w:hAnsi="Times New Roman"/>
        </w:rPr>
      </w:pPr>
    </w:p>
    <w:p w14:paraId="596E960B" w14:textId="77777777" w:rsidR="00B65E59" w:rsidRDefault="00B65E59" w:rsidP="00B65E59">
      <w:pPr>
        <w:spacing w:line="0" w:lineRule="atLeast"/>
      </w:pPr>
    </w:p>
    <w:p w14:paraId="027F130B" w14:textId="77777777" w:rsidR="003D03FB" w:rsidRDefault="003D03FB" w:rsidP="00B65E59">
      <w:pPr>
        <w:spacing w:line="0" w:lineRule="atLeast"/>
      </w:pPr>
    </w:p>
    <w:p w14:paraId="600A47D0" w14:textId="77777777" w:rsidR="003D03FB" w:rsidRDefault="003D03FB" w:rsidP="00B65E59">
      <w:pPr>
        <w:spacing w:line="0" w:lineRule="atLeast"/>
      </w:pPr>
    </w:p>
    <w:p w14:paraId="0571E6F6" w14:textId="77777777" w:rsidR="003D03FB" w:rsidRDefault="003D03FB" w:rsidP="00B65E59">
      <w:pPr>
        <w:spacing w:line="0" w:lineRule="atLeast"/>
      </w:pPr>
    </w:p>
    <w:p w14:paraId="7DB6212A" w14:textId="77777777" w:rsidR="005B408C" w:rsidRDefault="005B408C" w:rsidP="00B65E59">
      <w:pPr>
        <w:spacing w:line="0" w:lineRule="atLeast"/>
        <w:rPr>
          <w:rFonts w:ascii="Verdana" w:eastAsia="Verdana" w:hAnsi="Verdana"/>
          <w:b/>
          <w:color w:val="0072BC"/>
          <w:u w:val="single"/>
        </w:rPr>
      </w:pPr>
      <w:hyperlink r:id="rId25" w:history="1">
        <w:r w:rsidR="00837306">
          <w:rPr>
            <w:rFonts w:ascii="Verdana" w:eastAsia="Verdana" w:hAnsi="Verdana"/>
            <w:b/>
            <w:color w:val="0072BC"/>
            <w:u w:val="single"/>
          </w:rPr>
          <w:t>Świadkowie Jehowy przeciwko Rosji</w:t>
        </w:r>
      </w:hyperlink>
    </w:p>
    <w:p w14:paraId="4F233222" w14:textId="77777777" w:rsidR="005B408C" w:rsidRDefault="005B408C" w:rsidP="00B65E59">
      <w:pPr>
        <w:spacing w:line="63" w:lineRule="exact"/>
        <w:rPr>
          <w:rFonts w:ascii="Times New Roman" w:eastAsia="Times New Roman" w:hAnsi="Times New Roman"/>
        </w:rPr>
      </w:pPr>
    </w:p>
    <w:p w14:paraId="14470F28" w14:textId="77777777" w:rsidR="005B408C" w:rsidRDefault="005B408C" w:rsidP="00B65E59">
      <w:pPr>
        <w:spacing w:line="0" w:lineRule="atLeast"/>
        <w:rPr>
          <w:rFonts w:ascii="Verdana" w:eastAsia="Verdana" w:hAnsi="Verdana"/>
          <w:color w:val="808080"/>
          <w:sz w:val="18"/>
        </w:rPr>
      </w:pPr>
      <w:r>
        <w:rPr>
          <w:rFonts w:ascii="Verdana" w:eastAsia="Verdana" w:hAnsi="Verdana"/>
          <w:color w:val="808080"/>
          <w:sz w:val="18"/>
        </w:rPr>
        <w:t xml:space="preserve">10 </w:t>
      </w:r>
      <w:r w:rsidR="00FA6131">
        <w:rPr>
          <w:rFonts w:ascii="Verdana" w:eastAsia="Verdana" w:hAnsi="Verdana"/>
          <w:color w:val="808080"/>
          <w:sz w:val="18"/>
        </w:rPr>
        <w:t>czerwca</w:t>
      </w:r>
      <w:r>
        <w:rPr>
          <w:rFonts w:ascii="Verdana" w:eastAsia="Verdana" w:hAnsi="Verdana"/>
          <w:color w:val="808080"/>
          <w:sz w:val="18"/>
        </w:rPr>
        <w:t xml:space="preserve"> 2010</w:t>
      </w:r>
      <w:r w:rsidR="00FA6131">
        <w:rPr>
          <w:rFonts w:ascii="Verdana" w:eastAsia="Verdana" w:hAnsi="Verdana"/>
          <w:color w:val="808080"/>
          <w:sz w:val="18"/>
        </w:rPr>
        <w:t xml:space="preserve"> roku</w:t>
      </w:r>
    </w:p>
    <w:p w14:paraId="051D2BFB" w14:textId="77777777" w:rsidR="005B408C" w:rsidRDefault="00FA6131" w:rsidP="00B65E59">
      <w:pPr>
        <w:spacing w:line="0" w:lineRule="atLeast"/>
        <w:jc w:val="both"/>
        <w:rPr>
          <w:rFonts w:ascii="Verdana" w:eastAsia="Verdana" w:hAnsi="Verdana"/>
        </w:rPr>
      </w:pPr>
      <w:r>
        <w:rPr>
          <w:rFonts w:ascii="Verdana" w:eastAsia="Verdana" w:hAnsi="Verdana"/>
        </w:rPr>
        <w:t>Skarżący to wspólnota religijna Świ</w:t>
      </w:r>
      <w:r w:rsidR="00892273">
        <w:rPr>
          <w:rFonts w:ascii="Verdana" w:eastAsia="Verdana" w:hAnsi="Verdana"/>
        </w:rPr>
        <w:t>a</w:t>
      </w:r>
      <w:r>
        <w:rPr>
          <w:rFonts w:ascii="Verdana" w:eastAsia="Verdana" w:hAnsi="Verdana"/>
        </w:rPr>
        <w:t xml:space="preserve">dków Jehowy w Moskwie oraz czterech jej członków. </w:t>
      </w:r>
      <w:r w:rsidR="00D063A0">
        <w:rPr>
          <w:rFonts w:ascii="Verdana" w:eastAsia="Verdana" w:hAnsi="Verdana"/>
        </w:rPr>
        <w:t xml:space="preserve"> </w:t>
      </w:r>
      <w:r w:rsidR="007B3D02">
        <w:rPr>
          <w:rFonts w:ascii="Verdana" w:eastAsia="Verdana" w:hAnsi="Verdana"/>
        </w:rPr>
        <w:t xml:space="preserve">Kwestionowali </w:t>
      </w:r>
      <w:r w:rsidR="00D063A0">
        <w:rPr>
          <w:rFonts w:ascii="Verdana" w:eastAsia="Verdana" w:hAnsi="Verdana"/>
        </w:rPr>
        <w:t xml:space="preserve"> </w:t>
      </w:r>
      <w:r>
        <w:rPr>
          <w:rFonts w:ascii="Verdana" w:eastAsia="Verdana" w:hAnsi="Verdana"/>
        </w:rPr>
        <w:t xml:space="preserve">w szczególności rozwiązanie wspólnoty oraz zakaz nałożony na jej działalność, a także odmowę władz rosyjskich ponownego zarejestrowania wspólnoty. Podniesiono również nadmiernie długi okres trwania postępowania w zakresie rozwiązania.    </w:t>
      </w:r>
    </w:p>
    <w:p w14:paraId="4B2CE35F" w14:textId="77777777" w:rsidR="005B408C" w:rsidRDefault="005B408C" w:rsidP="00B65E59">
      <w:pPr>
        <w:spacing w:line="2" w:lineRule="exact"/>
        <w:rPr>
          <w:rFonts w:ascii="Times New Roman" w:eastAsia="Times New Roman" w:hAnsi="Times New Roman"/>
        </w:rPr>
      </w:pPr>
    </w:p>
    <w:p w14:paraId="141B8D47" w14:textId="77777777" w:rsidR="005B408C" w:rsidRDefault="00FA6131" w:rsidP="00B65E59">
      <w:pPr>
        <w:spacing w:line="242" w:lineRule="auto"/>
        <w:jc w:val="both"/>
        <w:rPr>
          <w:rFonts w:ascii="Verdana" w:eastAsia="Verdana" w:hAnsi="Verdana"/>
          <w:color w:val="0072BC"/>
        </w:rPr>
      </w:pPr>
      <w:r>
        <w:rPr>
          <w:rFonts w:ascii="Verdana" w:eastAsia="Verdana" w:hAnsi="Verdana"/>
          <w:color w:val="0072BC"/>
        </w:rPr>
        <w:t xml:space="preserve">Trybunał stwierdził w szczególności, iż decyzja sądów </w:t>
      </w:r>
      <w:r w:rsidR="007B3D02">
        <w:rPr>
          <w:rFonts w:ascii="Verdana" w:eastAsia="Verdana" w:hAnsi="Verdana"/>
          <w:color w:val="0072BC"/>
        </w:rPr>
        <w:t xml:space="preserve">rosyjskich </w:t>
      </w:r>
      <w:r>
        <w:rPr>
          <w:rFonts w:ascii="Verdana" w:eastAsia="Verdana" w:hAnsi="Verdana"/>
          <w:color w:val="0072BC"/>
        </w:rPr>
        <w:t>dotycząca rozwiązania skarżącej wspólnoty i nałożony na nią zakaz prowadzenia jakiejkolwiek działalności spowodowały</w:t>
      </w:r>
      <w:r w:rsidR="00892273">
        <w:rPr>
          <w:rFonts w:ascii="Verdana" w:eastAsia="Verdana" w:hAnsi="Verdana"/>
          <w:color w:val="0072BC"/>
        </w:rPr>
        <w:t>,</w:t>
      </w:r>
      <w:r>
        <w:rPr>
          <w:rFonts w:ascii="Verdana" w:eastAsia="Verdana" w:hAnsi="Verdana"/>
          <w:color w:val="0072BC"/>
        </w:rPr>
        <w:t xml:space="preserve"> iż nie mogła ona korzystać z prawa do posiadania lub najmowania nieruchomości, prowadzenia rachunków bankowych, zatrudniania pracowników i zapewniania ochrony wspólnocie, jej członkom i majątkowi. Decyzja została oparta na Ustawie o Religii i </w:t>
      </w:r>
      <w:r w:rsidR="007B3D02">
        <w:rPr>
          <w:rFonts w:ascii="Verdana" w:eastAsia="Verdana" w:hAnsi="Verdana"/>
          <w:color w:val="0072BC"/>
        </w:rPr>
        <w:t>dosiała na celu</w:t>
      </w:r>
      <w:r>
        <w:rPr>
          <w:rFonts w:ascii="Verdana" w:eastAsia="Verdana" w:hAnsi="Verdana"/>
          <w:color w:val="0072BC"/>
        </w:rPr>
        <w:t xml:space="preserve"> </w:t>
      </w:r>
      <w:r w:rsidR="007B3D02">
        <w:rPr>
          <w:rFonts w:ascii="Verdana" w:eastAsia="Verdana" w:hAnsi="Verdana"/>
          <w:color w:val="0072BC"/>
        </w:rPr>
        <w:t xml:space="preserve">ochronę </w:t>
      </w:r>
      <w:r>
        <w:rPr>
          <w:rFonts w:ascii="Verdana" w:eastAsia="Verdana" w:hAnsi="Verdana"/>
          <w:color w:val="0072BC"/>
        </w:rPr>
        <w:t xml:space="preserve">zdrowia i praw innych. Jednakże po szczegółowym przeanalizowaniu argumentacji władz Rosyjskich, w tym sądów krajowych, </w:t>
      </w:r>
      <w:r w:rsidR="00F15921">
        <w:rPr>
          <w:rFonts w:ascii="Verdana" w:eastAsia="Verdana" w:hAnsi="Verdana"/>
          <w:color w:val="0072BC"/>
        </w:rPr>
        <w:t xml:space="preserve">Trybunał uznał, iż decyzja w sprawie rozwiązania skarżącej wspólnoty nie opierała się na właściwych podstawach faktycznych. Trybunał w konsekwencji orzekł, iż </w:t>
      </w:r>
      <w:r w:rsidR="00F15921" w:rsidRPr="00892273">
        <w:rPr>
          <w:rFonts w:ascii="Verdana" w:eastAsia="Verdana" w:hAnsi="Verdana"/>
          <w:b/>
          <w:color w:val="0072BC"/>
        </w:rPr>
        <w:t>doszło do naruszenia Artykułu 9</w:t>
      </w:r>
      <w:r w:rsidR="00892273">
        <w:rPr>
          <w:rFonts w:ascii="Verdana" w:eastAsia="Verdana" w:hAnsi="Verdana"/>
          <w:color w:val="0072BC"/>
        </w:rPr>
        <w:t xml:space="preserve"> Konwencji w związku z </w:t>
      </w:r>
      <w:r w:rsidR="00F15921">
        <w:rPr>
          <w:rFonts w:ascii="Verdana" w:eastAsia="Verdana" w:hAnsi="Verdana"/>
          <w:color w:val="0072BC"/>
        </w:rPr>
        <w:t xml:space="preserve"> </w:t>
      </w:r>
      <w:r w:rsidR="00892273">
        <w:rPr>
          <w:rFonts w:ascii="Verdana" w:eastAsia="Verdana" w:hAnsi="Verdana"/>
          <w:b/>
          <w:color w:val="0072BC"/>
        </w:rPr>
        <w:t>Artykułem</w:t>
      </w:r>
      <w:r w:rsidR="00F15921" w:rsidRPr="00892273">
        <w:rPr>
          <w:rFonts w:ascii="Verdana" w:eastAsia="Verdana" w:hAnsi="Verdana"/>
          <w:b/>
          <w:color w:val="0072BC"/>
        </w:rPr>
        <w:t xml:space="preserve"> 11</w:t>
      </w:r>
      <w:r w:rsidR="00F15921">
        <w:rPr>
          <w:rFonts w:ascii="Verdana" w:eastAsia="Verdana" w:hAnsi="Verdana"/>
          <w:color w:val="0072BC"/>
        </w:rPr>
        <w:t xml:space="preserve"> (wolność zgromadzeń i stowarzyszania się), stwierdzając, że rozwiązanie wspólnoty było nadmiernie surową i nieproporcjonalną sankcją względem słusznego celu zamierzonego przez władze. Trybunał orzekł również, iż </w:t>
      </w:r>
      <w:r w:rsidR="00F15921" w:rsidRPr="00892273">
        <w:rPr>
          <w:rFonts w:ascii="Verdana" w:eastAsia="Verdana" w:hAnsi="Verdana"/>
          <w:b/>
          <w:color w:val="0072BC"/>
        </w:rPr>
        <w:t xml:space="preserve">doszło </w:t>
      </w:r>
      <w:r w:rsidR="00F15921" w:rsidRPr="00892273">
        <w:rPr>
          <w:rFonts w:ascii="Verdana" w:eastAsia="Verdana" w:hAnsi="Verdana"/>
          <w:b/>
          <w:color w:val="0072BC"/>
        </w:rPr>
        <w:lastRenderedPageBreak/>
        <w:t>naruszenia Artykułu 11</w:t>
      </w:r>
      <w:r w:rsidR="00F15921">
        <w:rPr>
          <w:rFonts w:ascii="Verdana" w:eastAsia="Verdana" w:hAnsi="Verdana"/>
          <w:color w:val="0072BC"/>
        </w:rPr>
        <w:t xml:space="preserve"> Konwencji w </w:t>
      </w:r>
      <w:r w:rsidR="00F15921" w:rsidRPr="00892273">
        <w:rPr>
          <w:rFonts w:ascii="Verdana" w:eastAsia="Verdana" w:hAnsi="Verdana"/>
          <w:b/>
          <w:color w:val="0072BC"/>
        </w:rPr>
        <w:t>związku z Artykułem 9</w:t>
      </w:r>
      <w:r w:rsidR="00F15921">
        <w:rPr>
          <w:rFonts w:ascii="Verdana" w:eastAsia="Verdana" w:hAnsi="Verdana"/>
          <w:color w:val="0072BC"/>
        </w:rPr>
        <w:t xml:space="preserve">, </w:t>
      </w:r>
      <w:r w:rsidR="007B3D02">
        <w:rPr>
          <w:rFonts w:ascii="Verdana" w:eastAsia="Verdana" w:hAnsi="Verdana"/>
          <w:color w:val="0072BC"/>
        </w:rPr>
        <w:t>bowiem</w:t>
      </w:r>
      <w:r w:rsidR="00F15921">
        <w:rPr>
          <w:rFonts w:ascii="Verdana" w:eastAsia="Verdana" w:hAnsi="Verdana"/>
          <w:color w:val="0072BC"/>
        </w:rPr>
        <w:t xml:space="preserve"> odmawiając ponownej re</w:t>
      </w:r>
      <w:r w:rsidR="00892273">
        <w:rPr>
          <w:rFonts w:ascii="Verdana" w:eastAsia="Verdana" w:hAnsi="Verdana"/>
          <w:color w:val="0072BC"/>
        </w:rPr>
        <w:t>j</w:t>
      </w:r>
      <w:r w:rsidR="00F15921">
        <w:rPr>
          <w:rFonts w:ascii="Verdana" w:eastAsia="Verdana" w:hAnsi="Verdana"/>
          <w:color w:val="0072BC"/>
        </w:rPr>
        <w:t>estracji wspólnoty Świadków Jehowy w Moskwie, władze moskiewskie ni</w:t>
      </w:r>
      <w:r w:rsidR="00892273">
        <w:rPr>
          <w:rFonts w:ascii="Verdana" w:eastAsia="Verdana" w:hAnsi="Verdana"/>
          <w:color w:val="0072BC"/>
        </w:rPr>
        <w:t>e działały w dobrej wierze i zan</w:t>
      </w:r>
      <w:r w:rsidR="00F15921">
        <w:rPr>
          <w:rFonts w:ascii="Verdana" w:eastAsia="Verdana" w:hAnsi="Verdana"/>
          <w:color w:val="0072BC"/>
        </w:rPr>
        <w:t xml:space="preserve">iedbały swój obowiązek zachowania neutralności i bezstronności wobec skarżącej wspólnoty. Wreszcie Trybunał orzekł </w:t>
      </w:r>
      <w:r w:rsidR="00F15921" w:rsidRPr="00892273">
        <w:rPr>
          <w:rFonts w:ascii="Verdana" w:eastAsia="Verdana" w:hAnsi="Verdana"/>
          <w:b/>
          <w:color w:val="0072BC"/>
        </w:rPr>
        <w:t>naruszenie Artykułu 6 §1</w:t>
      </w:r>
      <w:r w:rsidR="00F15921">
        <w:rPr>
          <w:rFonts w:ascii="Verdana" w:eastAsia="Verdana" w:hAnsi="Verdana"/>
          <w:color w:val="0072BC"/>
        </w:rPr>
        <w:t xml:space="preserve"> (prawo do sprawiedliwego procesu sądowego w rozsądnym terminie) Konwencji, uznając</w:t>
      </w:r>
      <w:r w:rsidR="00892273">
        <w:rPr>
          <w:rFonts w:ascii="Verdana" w:eastAsia="Verdana" w:hAnsi="Verdana"/>
          <w:color w:val="0072BC"/>
        </w:rPr>
        <w:t>,</w:t>
      </w:r>
      <w:r w:rsidR="00F15921">
        <w:rPr>
          <w:rFonts w:ascii="Verdana" w:eastAsia="Verdana" w:hAnsi="Verdana"/>
          <w:color w:val="0072BC"/>
        </w:rPr>
        <w:t xml:space="preserve"> iż długość </w:t>
      </w:r>
      <w:r w:rsidR="006916DD">
        <w:rPr>
          <w:rFonts w:ascii="Verdana" w:eastAsia="Verdana" w:hAnsi="Verdana"/>
          <w:color w:val="0072BC"/>
        </w:rPr>
        <w:t xml:space="preserve">postępowania w sprawie rozwiązania wspólnoty była nadmierna. </w:t>
      </w:r>
      <w:r w:rsidR="00F15921">
        <w:rPr>
          <w:rFonts w:ascii="Verdana" w:eastAsia="Verdana" w:hAnsi="Verdana"/>
          <w:color w:val="0072BC"/>
        </w:rPr>
        <w:t xml:space="preserve"> </w:t>
      </w:r>
    </w:p>
    <w:p w14:paraId="0007A780" w14:textId="77777777" w:rsidR="005B408C" w:rsidRDefault="005B408C" w:rsidP="00B65E59">
      <w:pPr>
        <w:spacing w:line="200" w:lineRule="exact"/>
        <w:rPr>
          <w:rFonts w:ascii="Times New Roman" w:eastAsia="Times New Roman" w:hAnsi="Times New Roman"/>
        </w:rPr>
      </w:pPr>
    </w:p>
    <w:p w14:paraId="40B190A6" w14:textId="77777777" w:rsidR="005B408C" w:rsidRDefault="005B408C" w:rsidP="00B65E59">
      <w:pPr>
        <w:spacing w:line="0" w:lineRule="atLeast"/>
        <w:rPr>
          <w:rFonts w:ascii="Verdana" w:eastAsia="Verdana" w:hAnsi="Verdana"/>
          <w:b/>
          <w:color w:val="0072BC"/>
          <w:u w:val="single"/>
        </w:rPr>
      </w:pPr>
      <w:hyperlink r:id="rId26" w:history="1">
        <w:r>
          <w:rPr>
            <w:rFonts w:ascii="Verdana" w:eastAsia="Verdana" w:hAnsi="Verdana"/>
            <w:b/>
            <w:color w:val="0072BC"/>
            <w:u w:val="single"/>
          </w:rPr>
          <w:t xml:space="preserve">Magyar Keresztény Mennonita Egyház </w:t>
        </w:r>
        <w:r w:rsidR="006916DD">
          <w:rPr>
            <w:rFonts w:ascii="Verdana" w:eastAsia="Verdana" w:hAnsi="Verdana"/>
            <w:b/>
            <w:color w:val="0072BC"/>
            <w:u w:val="single"/>
          </w:rPr>
          <w:t xml:space="preserve">i Inni przeciwko Węgrom </w:t>
        </w:r>
      </w:hyperlink>
    </w:p>
    <w:p w14:paraId="7706FE27" w14:textId="77777777" w:rsidR="005B408C" w:rsidRDefault="005B408C" w:rsidP="00B65E59">
      <w:pPr>
        <w:spacing w:line="64" w:lineRule="exact"/>
        <w:rPr>
          <w:rFonts w:ascii="Times New Roman" w:eastAsia="Times New Roman" w:hAnsi="Times New Roman"/>
        </w:rPr>
      </w:pPr>
    </w:p>
    <w:p w14:paraId="62512171" w14:textId="77777777" w:rsidR="005B408C" w:rsidRDefault="005B408C" w:rsidP="00B65E59">
      <w:pPr>
        <w:spacing w:line="0" w:lineRule="atLeast"/>
        <w:rPr>
          <w:rFonts w:ascii="Verdana" w:eastAsia="Verdana" w:hAnsi="Verdana"/>
          <w:color w:val="808080"/>
          <w:sz w:val="18"/>
        </w:rPr>
      </w:pPr>
      <w:r>
        <w:rPr>
          <w:rFonts w:ascii="Verdana" w:eastAsia="Verdana" w:hAnsi="Verdana"/>
          <w:color w:val="808080"/>
          <w:sz w:val="18"/>
        </w:rPr>
        <w:t xml:space="preserve">8 </w:t>
      </w:r>
      <w:r w:rsidR="006916DD">
        <w:rPr>
          <w:rFonts w:ascii="Verdana" w:eastAsia="Verdana" w:hAnsi="Verdana"/>
          <w:color w:val="808080"/>
          <w:sz w:val="18"/>
        </w:rPr>
        <w:t xml:space="preserve">kwietnia </w:t>
      </w:r>
      <w:r>
        <w:rPr>
          <w:rFonts w:ascii="Verdana" w:eastAsia="Verdana" w:hAnsi="Verdana"/>
          <w:color w:val="808080"/>
          <w:sz w:val="18"/>
        </w:rPr>
        <w:t>2014</w:t>
      </w:r>
      <w:r w:rsidR="006916DD">
        <w:rPr>
          <w:rFonts w:ascii="Verdana" w:eastAsia="Verdana" w:hAnsi="Verdana"/>
          <w:color w:val="808080"/>
          <w:sz w:val="18"/>
        </w:rPr>
        <w:t xml:space="preserve"> roku</w:t>
      </w:r>
    </w:p>
    <w:p w14:paraId="5D7CCEE1" w14:textId="77777777" w:rsidR="005B408C" w:rsidRDefault="005B408C" w:rsidP="00B65E59">
      <w:pPr>
        <w:spacing w:line="1" w:lineRule="exact"/>
        <w:rPr>
          <w:rFonts w:ascii="Times New Roman" w:eastAsia="Times New Roman" w:hAnsi="Times New Roman"/>
        </w:rPr>
      </w:pPr>
    </w:p>
    <w:p w14:paraId="18197DFC" w14:textId="77777777" w:rsidR="005B408C" w:rsidRDefault="005563E5" w:rsidP="00B65E59">
      <w:pPr>
        <w:spacing w:line="239" w:lineRule="auto"/>
        <w:jc w:val="both"/>
        <w:rPr>
          <w:rFonts w:ascii="Verdana" w:eastAsia="Verdana" w:hAnsi="Verdana"/>
        </w:rPr>
      </w:pPr>
      <w:r>
        <w:rPr>
          <w:rFonts w:ascii="Verdana" w:eastAsia="Verdana" w:hAnsi="Verdana"/>
        </w:rPr>
        <w:t>Skarżący to wspólnoty religijne, ministrowie i ich członkowie</w:t>
      </w:r>
      <w:r w:rsidR="00F72EEB">
        <w:rPr>
          <w:rFonts w:ascii="Verdana" w:eastAsia="Verdana" w:hAnsi="Verdana"/>
        </w:rPr>
        <w:t>. Przed</w:t>
      </w:r>
      <w:r w:rsidR="00892273">
        <w:rPr>
          <w:rFonts w:ascii="Verdana" w:eastAsia="Verdana" w:hAnsi="Verdana"/>
        </w:rPr>
        <w:t xml:space="preserve"> przyjęciem nowej Ustawy o K</w:t>
      </w:r>
      <w:r w:rsidR="00F72EEB">
        <w:rPr>
          <w:rFonts w:ascii="Verdana" w:eastAsia="Verdana" w:hAnsi="Verdana"/>
        </w:rPr>
        <w:t xml:space="preserve">ościołach, która weszła w życie w styczniu 2012 roku, wspólnoty religijne </w:t>
      </w:r>
      <w:r w:rsidR="00935E10">
        <w:rPr>
          <w:rFonts w:ascii="Verdana" w:eastAsia="Verdana" w:hAnsi="Verdana"/>
        </w:rPr>
        <w:t>na Węgrzech zarejestrowane były jako kościoły i finansowane z budżetu państwa. Na mocy nowych regulacji jedynie niektóre uznane kościoły były nadal finansowane. Wszystkie inne wspólnoty religijne, w tym skarżący, straciły status kościoła, ale nadal mogły prowadzić swoją działalność religijną. Po orzeczeniu Trybunału Konstytucyjnego</w:t>
      </w:r>
      <w:r w:rsidR="00CE5F71">
        <w:rPr>
          <w:rFonts w:ascii="Verdana" w:eastAsia="Verdana" w:hAnsi="Verdana"/>
        </w:rPr>
        <w:t>, który</w:t>
      </w:r>
      <w:r w:rsidR="00892273">
        <w:rPr>
          <w:rFonts w:ascii="Verdana" w:eastAsia="Verdana" w:hAnsi="Verdana"/>
        </w:rPr>
        <w:t xml:space="preserve"> uznał niektóre przepisy nowej Ustawy o K</w:t>
      </w:r>
      <w:r w:rsidR="00CE5F71">
        <w:rPr>
          <w:rFonts w:ascii="Verdana" w:eastAsia="Verdana" w:hAnsi="Verdana"/>
        </w:rPr>
        <w:t>oś</w:t>
      </w:r>
      <w:r w:rsidR="00892273">
        <w:rPr>
          <w:rFonts w:ascii="Verdana" w:eastAsia="Verdana" w:hAnsi="Verdana"/>
        </w:rPr>
        <w:t>c</w:t>
      </w:r>
      <w:r w:rsidR="00CE5F71">
        <w:rPr>
          <w:rFonts w:ascii="Verdana" w:eastAsia="Verdana" w:hAnsi="Verdana"/>
        </w:rPr>
        <w:t>iołach za niekonstytucyjne, wspólnoty religijne takie jak skarżąc</w:t>
      </w:r>
      <w:r w:rsidR="007B3D02">
        <w:rPr>
          <w:rFonts w:ascii="Verdana" w:eastAsia="Verdana" w:hAnsi="Verdana"/>
        </w:rPr>
        <w:t>y</w:t>
      </w:r>
      <w:r w:rsidR="00CE5F71">
        <w:rPr>
          <w:rFonts w:ascii="Verdana" w:eastAsia="Verdana" w:hAnsi="Verdana"/>
        </w:rPr>
        <w:t xml:space="preserve"> mogły nadal funkcjonować i nazywać się kościołami. Jednakże prawo nadal wymagało od wspólnot </w:t>
      </w:r>
      <w:r w:rsidR="00892273">
        <w:rPr>
          <w:rFonts w:ascii="Verdana" w:eastAsia="Verdana" w:hAnsi="Verdana"/>
        </w:rPr>
        <w:t>z</w:t>
      </w:r>
      <w:r w:rsidR="00CE5F71">
        <w:rPr>
          <w:rFonts w:ascii="Verdana" w:eastAsia="Verdana" w:hAnsi="Verdana"/>
        </w:rPr>
        <w:t>wrócenia się do Parlamentu celem rejestracji jako kościoły inkorporowane</w:t>
      </w:r>
      <w:r w:rsidR="00892273">
        <w:rPr>
          <w:rFonts w:ascii="Verdana" w:eastAsia="Verdana" w:hAnsi="Verdana"/>
        </w:rPr>
        <w:t>,</w:t>
      </w:r>
      <w:r w:rsidR="00CE5F71">
        <w:rPr>
          <w:rFonts w:ascii="Verdana" w:eastAsia="Verdana" w:hAnsi="Verdana"/>
        </w:rPr>
        <w:t xml:space="preserve"> jeśli chciałyby odzyskać dostęp do przywilejów pieniężnych i fiskalnych, z których wcześniej korzystały. </w:t>
      </w:r>
      <w:r w:rsidR="00D845FA">
        <w:rPr>
          <w:rFonts w:ascii="Verdana" w:eastAsia="Verdana" w:hAnsi="Verdana"/>
        </w:rPr>
        <w:t>Skarga dotyczyłą</w:t>
      </w:r>
      <w:r w:rsidR="00CE5F71">
        <w:rPr>
          <w:rFonts w:ascii="Verdana" w:eastAsia="Verdana" w:hAnsi="Verdana"/>
        </w:rPr>
        <w:t xml:space="preserve"> wyrejestrowanie na mocy nowego prawa oraz </w:t>
      </w:r>
      <w:r w:rsidR="00D845FA">
        <w:rPr>
          <w:rFonts w:ascii="Verdana" w:eastAsia="Verdana" w:hAnsi="Verdana"/>
        </w:rPr>
        <w:t>uznaniowości w zakresie ponownej rejestracji</w:t>
      </w:r>
      <w:r w:rsidR="00CE5F71">
        <w:rPr>
          <w:rFonts w:ascii="Verdana" w:eastAsia="Verdana" w:hAnsi="Verdana"/>
        </w:rPr>
        <w:t xml:space="preserve">.    </w:t>
      </w:r>
      <w:r w:rsidR="00935E10">
        <w:rPr>
          <w:rFonts w:ascii="Verdana" w:eastAsia="Verdana" w:hAnsi="Verdana"/>
        </w:rPr>
        <w:t xml:space="preserve"> </w:t>
      </w:r>
      <w:r w:rsidR="00F72EEB">
        <w:rPr>
          <w:rFonts w:ascii="Verdana" w:eastAsia="Verdana" w:hAnsi="Verdana"/>
        </w:rPr>
        <w:t xml:space="preserve"> </w:t>
      </w:r>
      <w:r>
        <w:rPr>
          <w:rFonts w:ascii="Verdana" w:eastAsia="Verdana" w:hAnsi="Verdana"/>
        </w:rPr>
        <w:t xml:space="preserve">  </w:t>
      </w:r>
    </w:p>
    <w:p w14:paraId="2502E3C5" w14:textId="77777777" w:rsidR="005B408C" w:rsidRDefault="005563E5" w:rsidP="00B65E59">
      <w:pPr>
        <w:tabs>
          <w:tab w:val="left" w:pos="4305"/>
        </w:tabs>
        <w:spacing w:line="12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14:paraId="7AE8D162" w14:textId="77777777" w:rsidR="005B408C" w:rsidRDefault="00CE5F71" w:rsidP="00B65E59">
      <w:pPr>
        <w:spacing w:line="241" w:lineRule="auto"/>
        <w:jc w:val="both"/>
        <w:rPr>
          <w:rFonts w:ascii="Verdana" w:eastAsia="Verdana" w:hAnsi="Verdana"/>
          <w:color w:val="0072BC"/>
        </w:rPr>
      </w:pPr>
      <w:r>
        <w:rPr>
          <w:rFonts w:ascii="Verdana" w:eastAsia="Verdana" w:hAnsi="Verdana"/>
          <w:color w:val="0072BC"/>
        </w:rPr>
        <w:t xml:space="preserve">Trybunał uznał, iż </w:t>
      </w:r>
      <w:r w:rsidR="00D845FA">
        <w:rPr>
          <w:rFonts w:ascii="Verdana" w:eastAsia="Verdana" w:hAnsi="Verdana"/>
          <w:color w:val="0072BC"/>
        </w:rPr>
        <w:t xml:space="preserve">wyrejestrowanie </w:t>
      </w:r>
      <w:r>
        <w:rPr>
          <w:rFonts w:ascii="Verdana" w:eastAsia="Verdana" w:hAnsi="Verdana"/>
          <w:color w:val="0072BC"/>
        </w:rPr>
        <w:t>skarżących na skutek</w:t>
      </w:r>
      <w:r w:rsidR="00892273">
        <w:rPr>
          <w:rFonts w:ascii="Verdana" w:eastAsia="Verdana" w:hAnsi="Verdana"/>
          <w:color w:val="0072BC"/>
        </w:rPr>
        <w:t>,</w:t>
      </w:r>
      <w:r>
        <w:rPr>
          <w:rFonts w:ascii="Verdana" w:eastAsia="Verdana" w:hAnsi="Verdana"/>
          <w:color w:val="0072BC"/>
        </w:rPr>
        <w:t xml:space="preserve"> którego utracili oni status kościołów stanowiło ingerencję w ich prawa wynikające z Artykułu 9 i 11 (wolność zgromadzeń i stowarzyszania się) Konwencji. </w:t>
      </w:r>
      <w:r w:rsidR="00892273">
        <w:rPr>
          <w:rFonts w:ascii="Verdana" w:eastAsia="Verdana" w:hAnsi="Verdana"/>
          <w:color w:val="0072BC"/>
        </w:rPr>
        <w:t>Bezspornym</w:t>
      </w:r>
      <w:r>
        <w:rPr>
          <w:rFonts w:ascii="Verdana" w:eastAsia="Verdana" w:hAnsi="Verdana"/>
          <w:color w:val="0072BC"/>
        </w:rPr>
        <w:t xml:space="preserve"> był fakt, iż ingerencja ta była przewidziana przez prawo</w:t>
      </w:r>
      <w:r w:rsidR="00892273">
        <w:rPr>
          <w:rFonts w:ascii="Verdana" w:eastAsia="Verdana" w:hAnsi="Verdana"/>
          <w:color w:val="0072BC"/>
        </w:rPr>
        <w:t>, mianowicie Ustawę o</w:t>
      </w:r>
      <w:r w:rsidR="005B408C">
        <w:rPr>
          <w:rFonts w:ascii="Verdana" w:eastAsia="Verdana" w:hAnsi="Verdana"/>
          <w:color w:val="0072BC"/>
        </w:rPr>
        <w:t xml:space="preserve"> Kościołach z 2011 roku. Trybunał gotów był zaakceptować, iż środek ten służył słusznemu celowi zapobiegania przestępczości w rozumieniu w rozumieniu Artykułu 11, w szczególności poprzez próbę zwalczania </w:t>
      </w:r>
      <w:r w:rsidR="00892273">
        <w:rPr>
          <w:rFonts w:ascii="Verdana" w:eastAsia="Verdana" w:hAnsi="Verdana"/>
          <w:color w:val="0072BC"/>
        </w:rPr>
        <w:t>niezgodnej z prawem</w:t>
      </w:r>
      <w:r w:rsidR="005B408C">
        <w:rPr>
          <w:rFonts w:ascii="Verdana" w:eastAsia="Verdana" w:hAnsi="Verdana"/>
          <w:color w:val="0072BC"/>
        </w:rPr>
        <w:t xml:space="preserve"> działalności niektórych kościołów. Stwierdził jednak, iż środki narzucone przez Ustawę o Kościele nie były „konieczne w demokratycznym społeczeństwie” i uznał</w:t>
      </w:r>
      <w:r w:rsidR="00892273">
        <w:rPr>
          <w:rFonts w:ascii="Verdana" w:eastAsia="Verdana" w:hAnsi="Verdana"/>
          <w:color w:val="0072BC"/>
        </w:rPr>
        <w:t>,</w:t>
      </w:r>
      <w:r w:rsidR="005B408C">
        <w:rPr>
          <w:rFonts w:ascii="Verdana" w:eastAsia="Verdana" w:hAnsi="Verdana"/>
          <w:color w:val="0072BC"/>
        </w:rPr>
        <w:t xml:space="preserve"> iż </w:t>
      </w:r>
      <w:r w:rsidR="005B408C" w:rsidRPr="00892273">
        <w:rPr>
          <w:rFonts w:ascii="Verdana" w:eastAsia="Verdana" w:hAnsi="Verdana"/>
          <w:b/>
          <w:color w:val="0072BC"/>
        </w:rPr>
        <w:t>doszło do naruszenia Artykułu 11</w:t>
      </w:r>
      <w:r w:rsidR="005B408C">
        <w:rPr>
          <w:rFonts w:ascii="Verdana" w:eastAsia="Verdana" w:hAnsi="Verdana"/>
          <w:color w:val="0072BC"/>
        </w:rPr>
        <w:t xml:space="preserve"> </w:t>
      </w:r>
      <w:r w:rsidR="005B408C" w:rsidRPr="00892273">
        <w:rPr>
          <w:rFonts w:ascii="Verdana" w:eastAsia="Verdana" w:hAnsi="Verdana"/>
          <w:b/>
          <w:color w:val="0072BC"/>
        </w:rPr>
        <w:t>w związku z Artykułem 9</w:t>
      </w:r>
      <w:r w:rsidR="005B408C">
        <w:rPr>
          <w:rFonts w:ascii="Verdana" w:eastAsia="Verdana" w:hAnsi="Verdana"/>
          <w:color w:val="0072BC"/>
        </w:rPr>
        <w:t xml:space="preserve"> Konwencji. Trybunał w szczególności uznał, iż Rząd Węgierski nie wykazał, ż</w:t>
      </w:r>
      <w:r w:rsidR="00D845FA">
        <w:rPr>
          <w:rFonts w:ascii="Verdana" w:eastAsia="Verdana" w:hAnsi="Verdana"/>
          <w:color w:val="0072BC"/>
        </w:rPr>
        <w:t>e</w:t>
      </w:r>
      <w:r w:rsidR="005B408C">
        <w:rPr>
          <w:rFonts w:ascii="Verdana" w:eastAsia="Verdana" w:hAnsi="Verdana"/>
          <w:color w:val="0072BC"/>
        </w:rPr>
        <w:t xml:space="preserve"> istnieją inne, mniej drastyczne </w:t>
      </w:r>
      <w:r w:rsidR="00D845FA">
        <w:rPr>
          <w:rFonts w:ascii="Verdana" w:eastAsia="Verdana" w:hAnsi="Verdana"/>
          <w:color w:val="0072BC"/>
        </w:rPr>
        <w:t xml:space="preserve">środki </w:t>
      </w:r>
      <w:r w:rsidR="005B408C">
        <w:rPr>
          <w:rFonts w:ascii="Verdana" w:eastAsia="Verdana" w:hAnsi="Verdana"/>
          <w:color w:val="0072BC"/>
        </w:rPr>
        <w:t>rozwiązania problemów związanych z nadużywaniem dotacji państwowych przez niektóre kościoły niżeli wyrejestrowanie skarżących wspólnot. Ponadto niezgodne z obowiązkiem zachowania przez Państwo neutralności w kwestiach religijnych</w:t>
      </w:r>
      <w:r w:rsidR="00C71EC4">
        <w:rPr>
          <w:rFonts w:ascii="Verdana" w:eastAsia="Verdana" w:hAnsi="Verdana"/>
          <w:color w:val="0072BC"/>
        </w:rPr>
        <w:t xml:space="preserve"> był</w:t>
      </w:r>
      <w:r w:rsidR="00D845FA">
        <w:rPr>
          <w:rFonts w:ascii="Verdana" w:eastAsia="Verdana" w:hAnsi="Verdana"/>
          <w:color w:val="0072BC"/>
        </w:rPr>
        <w:t>o</w:t>
      </w:r>
      <w:r w:rsidR="00C71EC4">
        <w:rPr>
          <w:rFonts w:ascii="Verdana" w:eastAsia="Verdana" w:hAnsi="Verdana"/>
          <w:color w:val="0072BC"/>
        </w:rPr>
        <w:t xml:space="preserve"> </w:t>
      </w:r>
      <w:r w:rsidR="00D845FA">
        <w:rPr>
          <w:rFonts w:ascii="Verdana" w:eastAsia="Verdana" w:hAnsi="Verdana"/>
          <w:color w:val="0072BC"/>
        </w:rPr>
        <w:t>nałożenie obowiązku</w:t>
      </w:r>
      <w:r w:rsidR="00C71EC4">
        <w:rPr>
          <w:rFonts w:ascii="Verdana" w:eastAsia="Verdana" w:hAnsi="Verdana"/>
          <w:color w:val="0072BC"/>
        </w:rPr>
        <w:t xml:space="preserve"> </w:t>
      </w:r>
      <w:r w:rsidR="00D845FA">
        <w:rPr>
          <w:rFonts w:ascii="Verdana" w:eastAsia="Verdana" w:hAnsi="Verdana"/>
          <w:color w:val="0072BC"/>
        </w:rPr>
        <w:t xml:space="preserve">wnioskowania </w:t>
      </w:r>
      <w:r w:rsidR="00C71EC4">
        <w:rPr>
          <w:rFonts w:ascii="Verdana" w:eastAsia="Verdana" w:hAnsi="Verdana"/>
          <w:color w:val="0072BC"/>
        </w:rPr>
        <w:t xml:space="preserve">do Parlamentu </w:t>
      </w:r>
      <w:r w:rsidR="00D845FA">
        <w:rPr>
          <w:rFonts w:ascii="Verdana" w:eastAsia="Verdana" w:hAnsi="Verdana"/>
          <w:color w:val="0072BC"/>
        </w:rPr>
        <w:t xml:space="preserve">w sprawie uzyskania </w:t>
      </w:r>
      <w:r w:rsidR="00C71EC4">
        <w:rPr>
          <w:rFonts w:ascii="Verdana" w:eastAsia="Verdana" w:hAnsi="Verdana"/>
          <w:color w:val="0072BC"/>
        </w:rPr>
        <w:t xml:space="preserve">ponownej rejestracji jako Kościoły </w:t>
      </w:r>
      <w:r w:rsidR="00D845FA">
        <w:rPr>
          <w:rFonts w:ascii="Verdana" w:eastAsia="Verdana" w:hAnsi="Verdana"/>
          <w:color w:val="0072BC"/>
        </w:rPr>
        <w:t>oraz odmienne,</w:t>
      </w:r>
      <w:r w:rsidR="00C71EC4">
        <w:rPr>
          <w:rFonts w:ascii="Verdana" w:eastAsia="Verdana" w:hAnsi="Verdana"/>
          <w:color w:val="0072BC"/>
        </w:rPr>
        <w:t xml:space="preserve"> inaczej niż </w:t>
      </w:r>
      <w:r w:rsidR="0050091D">
        <w:rPr>
          <w:rFonts w:ascii="Verdana" w:eastAsia="Verdana" w:hAnsi="Verdana"/>
          <w:color w:val="0072BC"/>
        </w:rPr>
        <w:t xml:space="preserve"> w przypadku inkorporowanych kościołów</w:t>
      </w:r>
      <w:r w:rsidR="00D845FA">
        <w:rPr>
          <w:rFonts w:ascii="Verdana" w:eastAsia="Verdana" w:hAnsi="Verdana"/>
          <w:color w:val="0072BC"/>
        </w:rPr>
        <w:t>,</w:t>
      </w:r>
      <w:r w:rsidR="00D845FA" w:rsidRPr="00D845FA">
        <w:rPr>
          <w:rFonts w:ascii="Verdana" w:eastAsia="Verdana" w:hAnsi="Verdana"/>
          <w:color w:val="0072BC"/>
        </w:rPr>
        <w:t xml:space="preserve"> </w:t>
      </w:r>
      <w:r w:rsidR="00D845FA">
        <w:rPr>
          <w:rFonts w:ascii="Verdana" w:eastAsia="Verdana" w:hAnsi="Verdana"/>
          <w:color w:val="0072BC"/>
        </w:rPr>
        <w:t>taktowane</w:t>
      </w:r>
      <w:r w:rsidR="00C71EC4">
        <w:rPr>
          <w:rFonts w:ascii="Verdana" w:eastAsia="Verdana" w:hAnsi="Verdana"/>
          <w:color w:val="0072BC"/>
        </w:rPr>
        <w:t xml:space="preserve"> w odniesieniu do korzyści materialnych, bez jakichkolwiek obiektywnych podstaw. </w:t>
      </w:r>
      <w:r w:rsidR="005B408C">
        <w:rPr>
          <w:rFonts w:ascii="Verdana" w:eastAsia="Verdana" w:hAnsi="Verdana"/>
          <w:color w:val="0072BC"/>
        </w:rPr>
        <w:t xml:space="preserve">  </w:t>
      </w:r>
      <w:r>
        <w:rPr>
          <w:rFonts w:ascii="Verdana" w:eastAsia="Verdana" w:hAnsi="Verdana"/>
          <w:color w:val="0072BC"/>
        </w:rPr>
        <w:t xml:space="preserve">  </w:t>
      </w:r>
    </w:p>
    <w:p w14:paraId="50B58E1E" w14:textId="77777777" w:rsidR="005B408C" w:rsidRDefault="005B408C" w:rsidP="00B65E59">
      <w:pPr>
        <w:spacing w:line="218" w:lineRule="exact"/>
        <w:rPr>
          <w:rFonts w:ascii="Times New Roman" w:eastAsia="Times New Roman" w:hAnsi="Times New Roman"/>
        </w:rPr>
      </w:pPr>
    </w:p>
    <w:p w14:paraId="6019F5EE" w14:textId="77777777" w:rsidR="005B408C" w:rsidRDefault="00F03608" w:rsidP="00B65E59">
      <w:pPr>
        <w:spacing w:line="0" w:lineRule="atLeast"/>
        <w:rPr>
          <w:rFonts w:ascii="Verdana" w:eastAsia="Verdana" w:hAnsi="Verdana"/>
          <w:color w:val="0072BC"/>
          <w:sz w:val="28"/>
        </w:rPr>
      </w:pPr>
      <w:r>
        <w:rPr>
          <w:rFonts w:ascii="Verdana" w:eastAsia="Verdana" w:hAnsi="Verdana"/>
          <w:color w:val="0072BC"/>
          <w:sz w:val="28"/>
        </w:rPr>
        <w:t xml:space="preserve">Odmowa świadczenia usług publicznych w sprawach religijnych </w:t>
      </w:r>
    </w:p>
    <w:p w14:paraId="5EFC8DEA" w14:textId="77777777" w:rsidR="005B408C" w:rsidRDefault="005B408C" w:rsidP="00B65E59">
      <w:pPr>
        <w:spacing w:line="20" w:lineRule="exact"/>
        <w:rPr>
          <w:rFonts w:ascii="Times New Roman" w:eastAsia="Times New Roman" w:hAnsi="Times New Roman"/>
        </w:rPr>
      </w:pPr>
    </w:p>
    <w:p w14:paraId="19DD3DC6" w14:textId="2C77E8E7" w:rsidR="005B408C" w:rsidRDefault="00081EA2" w:rsidP="00B65E59">
      <w:pPr>
        <w:spacing w:line="213" w:lineRule="exact"/>
        <w:rPr>
          <w:rFonts w:ascii="Times New Roman" w:eastAsia="Times New Roman" w:hAnsi="Times New Roman"/>
        </w:rPr>
      </w:pPr>
      <w:r>
        <w:rPr>
          <w:rFonts w:ascii="Verdana" w:eastAsia="Verdana" w:hAnsi="Verdana"/>
          <w:noProof/>
          <w:color w:val="0072BC"/>
          <w:sz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ABF48E0" wp14:editId="766C1BEA">
                <wp:simplePos x="0" y="0"/>
                <wp:positionH relativeFrom="column">
                  <wp:posOffset>-26035</wp:posOffset>
                </wp:positionH>
                <wp:positionV relativeFrom="paragraph">
                  <wp:posOffset>57150</wp:posOffset>
                </wp:positionV>
                <wp:extent cx="5907405" cy="0"/>
                <wp:effectExtent l="16510" t="12700" r="10160" b="15875"/>
                <wp:wrapNone/>
                <wp:docPr id="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0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69015" id="Line 3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05pt,4.5pt" to="463.1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" strokecolor="#999" strokeweight=".50797mm"/>
            </w:pict>
          </mc:Fallback>
        </mc:AlternateContent>
      </w:r>
    </w:p>
    <w:p w14:paraId="5797A0C2" w14:textId="77777777" w:rsidR="005B408C" w:rsidRDefault="005B408C" w:rsidP="00B65E59">
      <w:pPr>
        <w:spacing w:line="0" w:lineRule="atLeast"/>
        <w:rPr>
          <w:rFonts w:ascii="Verdana" w:eastAsia="Verdana" w:hAnsi="Verdana"/>
          <w:b/>
          <w:color w:val="0072BC"/>
          <w:u w:val="single"/>
        </w:rPr>
      </w:pPr>
      <w:r>
        <w:rPr>
          <w:rFonts w:ascii="Verdana" w:eastAsia="Verdana" w:hAnsi="Verdana"/>
          <w:b/>
          <w:color w:val="0072BC"/>
          <w:u w:val="single"/>
        </w:rPr>
        <w:t xml:space="preserve">İzzettin Doğan </w:t>
      </w:r>
      <w:r w:rsidR="00822648">
        <w:rPr>
          <w:rFonts w:ascii="Verdana" w:eastAsia="Verdana" w:hAnsi="Verdana"/>
          <w:b/>
          <w:color w:val="0072BC"/>
          <w:u w:val="single"/>
        </w:rPr>
        <w:t>i Inni przeciwko Turcji</w:t>
      </w:r>
    </w:p>
    <w:p w14:paraId="6EFF056B" w14:textId="77777777" w:rsidR="005B408C" w:rsidRDefault="005B408C" w:rsidP="00B65E59">
      <w:pPr>
        <w:spacing w:line="63" w:lineRule="exact"/>
        <w:rPr>
          <w:rFonts w:ascii="Times New Roman" w:eastAsia="Times New Roman" w:hAnsi="Times New Roman"/>
        </w:rPr>
      </w:pPr>
    </w:p>
    <w:p w14:paraId="487FDCFF" w14:textId="77777777" w:rsidR="005B408C" w:rsidRDefault="00822648" w:rsidP="00B65E59">
      <w:pPr>
        <w:spacing w:line="0" w:lineRule="atLeast"/>
        <w:rPr>
          <w:rFonts w:ascii="Verdana" w:eastAsia="Verdana" w:hAnsi="Verdana"/>
          <w:color w:val="808080"/>
          <w:sz w:val="18"/>
        </w:rPr>
      </w:pPr>
      <w:r>
        <w:rPr>
          <w:rFonts w:ascii="Verdana" w:eastAsia="Verdana" w:hAnsi="Verdana"/>
          <w:color w:val="808080"/>
          <w:sz w:val="18"/>
        </w:rPr>
        <w:t xml:space="preserve">26 kwietnia </w:t>
      </w:r>
      <w:r w:rsidR="005B408C">
        <w:rPr>
          <w:rFonts w:ascii="Verdana" w:eastAsia="Verdana" w:hAnsi="Verdana"/>
          <w:color w:val="808080"/>
          <w:sz w:val="18"/>
        </w:rPr>
        <w:t>2016</w:t>
      </w:r>
      <w:r>
        <w:rPr>
          <w:rFonts w:ascii="Verdana" w:eastAsia="Verdana" w:hAnsi="Verdana"/>
          <w:color w:val="808080"/>
          <w:sz w:val="18"/>
        </w:rPr>
        <w:t xml:space="preserve"> roku (Wielka Izba</w:t>
      </w:r>
      <w:r w:rsidR="005B408C">
        <w:rPr>
          <w:rFonts w:ascii="Verdana" w:eastAsia="Verdana" w:hAnsi="Verdana"/>
          <w:color w:val="808080"/>
          <w:sz w:val="18"/>
        </w:rPr>
        <w:t>)</w:t>
      </w:r>
    </w:p>
    <w:p w14:paraId="6C4DF7AE" w14:textId="77777777" w:rsidR="005B408C" w:rsidRDefault="00822648" w:rsidP="00B65E59">
      <w:pPr>
        <w:spacing w:line="234" w:lineRule="auto"/>
        <w:jc w:val="both"/>
        <w:rPr>
          <w:rFonts w:ascii="Times New Roman" w:eastAsia="Times New Roman" w:hAnsi="Times New Roman"/>
        </w:rPr>
      </w:pPr>
      <w:r>
        <w:rPr>
          <w:rFonts w:ascii="Verdana" w:eastAsia="Verdana" w:hAnsi="Verdana"/>
        </w:rPr>
        <w:t>Niniejsza sprawa dotyczyła odmowy władz Tureckich zapewnienia skarżącym, wyznawcom wiary Alevi (</w:t>
      </w:r>
      <w:r w:rsidR="0050091D">
        <w:rPr>
          <w:rFonts w:ascii="Verdana" w:eastAsia="Verdana" w:hAnsi="Verdana"/>
        </w:rPr>
        <w:t xml:space="preserve">drugie największe wyznanie </w:t>
      </w:r>
      <w:r w:rsidR="00892273">
        <w:rPr>
          <w:rFonts w:ascii="Verdana" w:eastAsia="Verdana" w:hAnsi="Verdana"/>
        </w:rPr>
        <w:t>w</w:t>
      </w:r>
      <w:r>
        <w:rPr>
          <w:rFonts w:ascii="Verdana" w:eastAsia="Verdana" w:hAnsi="Verdana"/>
        </w:rPr>
        <w:t xml:space="preserve"> kraju pod względem liczby wyznawców) odbywania </w:t>
      </w:r>
      <w:r w:rsidR="0050091D">
        <w:rPr>
          <w:rFonts w:ascii="Verdana" w:eastAsia="Verdana" w:hAnsi="Verdana"/>
        </w:rPr>
        <w:t xml:space="preserve">publicznie </w:t>
      </w:r>
      <w:r w:rsidR="00CC6195">
        <w:rPr>
          <w:rFonts w:ascii="Verdana" w:eastAsia="Verdana" w:hAnsi="Verdana"/>
        </w:rPr>
        <w:t>posług</w:t>
      </w:r>
      <w:r>
        <w:rPr>
          <w:rFonts w:ascii="Verdana" w:eastAsia="Verdana" w:hAnsi="Verdana"/>
        </w:rPr>
        <w:t xml:space="preserve"> religijnych, które jak twierdzą skarżący zastrzeżone </w:t>
      </w:r>
      <w:r w:rsidR="00892273">
        <w:rPr>
          <w:rFonts w:ascii="Verdana" w:eastAsia="Verdana" w:hAnsi="Verdana"/>
        </w:rPr>
        <w:t>są</w:t>
      </w:r>
      <w:r>
        <w:rPr>
          <w:rFonts w:ascii="Verdana" w:eastAsia="Verdana" w:hAnsi="Verdana"/>
        </w:rPr>
        <w:t xml:space="preserve"> wyłącznie dla sunnitów</w:t>
      </w:r>
      <w:r w:rsidR="00B65E59">
        <w:rPr>
          <w:rStyle w:val="Odwoanieprzypisudolnego"/>
          <w:rFonts w:ascii="Verdana" w:eastAsia="Verdana" w:hAnsi="Verdana"/>
        </w:rPr>
        <w:footnoteReference w:id="2"/>
      </w:r>
      <w:r w:rsidR="005B408C">
        <w:rPr>
          <w:rFonts w:ascii="Verdana" w:eastAsia="Verdana" w:hAnsi="Verdana"/>
        </w:rPr>
        <w:t>.</w:t>
      </w:r>
      <w:r>
        <w:rPr>
          <w:rFonts w:ascii="Verdana" w:eastAsia="Verdana" w:hAnsi="Verdana"/>
        </w:rPr>
        <w:t xml:space="preserve"> Skarżący utrzymali, iż</w:t>
      </w:r>
      <w:r w:rsidR="00CC6195">
        <w:rPr>
          <w:rFonts w:ascii="Verdana" w:eastAsia="Verdana" w:hAnsi="Verdana"/>
        </w:rPr>
        <w:t xml:space="preserve"> </w:t>
      </w:r>
      <w:r>
        <w:rPr>
          <w:rFonts w:ascii="Verdana" w:eastAsia="Verdana" w:hAnsi="Verdana"/>
        </w:rPr>
        <w:t>odmowa ta wiązała się z oceną ich wiary przez władz</w:t>
      </w:r>
      <w:r w:rsidR="00892273">
        <w:rPr>
          <w:rFonts w:ascii="Verdana" w:eastAsia="Verdana" w:hAnsi="Verdana"/>
        </w:rPr>
        <w:t>e</w:t>
      </w:r>
      <w:r>
        <w:rPr>
          <w:rFonts w:ascii="Verdana" w:eastAsia="Verdana" w:hAnsi="Verdana"/>
        </w:rPr>
        <w:t xml:space="preserve">, co naruszało obowiązek zachowania przez państwo neutralności i </w:t>
      </w:r>
      <w:r>
        <w:rPr>
          <w:rFonts w:ascii="Verdana" w:eastAsia="Verdana" w:hAnsi="Verdana"/>
        </w:rPr>
        <w:lastRenderedPageBreak/>
        <w:t>bezstronności w odniesieniu do wier</w:t>
      </w:r>
      <w:r w:rsidR="00892273">
        <w:rPr>
          <w:rFonts w:ascii="Verdana" w:eastAsia="Verdana" w:hAnsi="Verdana"/>
        </w:rPr>
        <w:t>z</w:t>
      </w:r>
      <w:r>
        <w:rPr>
          <w:rFonts w:ascii="Verdana" w:eastAsia="Verdana" w:hAnsi="Verdana"/>
        </w:rPr>
        <w:t xml:space="preserve">eń religijnych. Twierdzili oni również iż są ofiarami dyskryminacji na gruncie religijnym. </w:t>
      </w:r>
    </w:p>
    <w:p w14:paraId="0623AE46" w14:textId="77777777" w:rsidR="005B408C" w:rsidRDefault="005B408C" w:rsidP="00B65E59">
      <w:pPr>
        <w:spacing w:line="1" w:lineRule="exact"/>
        <w:rPr>
          <w:rFonts w:ascii="Times New Roman" w:eastAsia="Times New Roman" w:hAnsi="Times New Roman"/>
        </w:rPr>
      </w:pPr>
    </w:p>
    <w:p w14:paraId="21E161D0" w14:textId="77777777" w:rsidR="005B408C" w:rsidRDefault="00CC6195" w:rsidP="00B65E59">
      <w:pPr>
        <w:spacing w:line="241" w:lineRule="auto"/>
        <w:jc w:val="both"/>
        <w:rPr>
          <w:rFonts w:ascii="Verdana" w:eastAsia="Verdana" w:hAnsi="Verdana"/>
          <w:color w:val="0072BC"/>
        </w:rPr>
      </w:pPr>
      <w:r>
        <w:rPr>
          <w:rFonts w:ascii="Verdana" w:eastAsia="Verdana" w:hAnsi="Verdana"/>
          <w:color w:val="0072BC"/>
        </w:rPr>
        <w:t xml:space="preserve">Trybunał uznał, iż </w:t>
      </w:r>
      <w:r w:rsidRPr="00892273">
        <w:rPr>
          <w:rFonts w:ascii="Verdana" w:eastAsia="Verdana" w:hAnsi="Verdana"/>
          <w:b/>
          <w:color w:val="0072BC"/>
        </w:rPr>
        <w:t>doszło do naruszenia Artykułu 9</w:t>
      </w:r>
      <w:r>
        <w:rPr>
          <w:rFonts w:ascii="Verdana" w:eastAsia="Verdana" w:hAnsi="Verdana"/>
          <w:color w:val="0072BC"/>
        </w:rPr>
        <w:t xml:space="preserve"> Konwencji stwierdzając</w:t>
      </w:r>
      <w:r w:rsidR="00892273">
        <w:rPr>
          <w:rFonts w:ascii="Verdana" w:eastAsia="Verdana" w:hAnsi="Verdana"/>
          <w:color w:val="0072BC"/>
        </w:rPr>
        <w:t>,</w:t>
      </w:r>
      <w:r>
        <w:rPr>
          <w:rFonts w:ascii="Verdana" w:eastAsia="Verdana" w:hAnsi="Verdana"/>
          <w:color w:val="0072BC"/>
        </w:rPr>
        <w:t xml:space="preserve"> iż społeczność Alevi została pozbawiona </w:t>
      </w:r>
      <w:r w:rsidR="0050091D">
        <w:rPr>
          <w:rFonts w:ascii="Verdana" w:eastAsia="Verdana" w:hAnsi="Verdana"/>
          <w:color w:val="0072BC"/>
        </w:rPr>
        <w:t>możliwości praktykowania</w:t>
      </w:r>
      <w:r>
        <w:rPr>
          <w:rFonts w:ascii="Verdana" w:eastAsia="Verdana" w:hAnsi="Verdana"/>
          <w:color w:val="0072BC"/>
        </w:rPr>
        <w:t>, które mogłoby pozwolić jej członkom</w:t>
      </w:r>
      <w:r w:rsidR="00290022">
        <w:rPr>
          <w:rFonts w:ascii="Verdana" w:eastAsia="Verdana" w:hAnsi="Verdana"/>
          <w:color w:val="0072BC"/>
        </w:rPr>
        <w:t xml:space="preserve">, w tym skarżącym skutecznie korzystać z prawa do wolności wyznania. Trybunał uznał, iż odmowa władz prowadziła do odmowy uznania autonomicznego istnienia wspólnoty Alevi i pozbawiła społeczność ich miejsc kultu </w:t>
      </w:r>
      <w:r w:rsidR="0050091D">
        <w:rPr>
          <w:rFonts w:ascii="Verdana" w:eastAsia="Verdana" w:hAnsi="Verdana"/>
          <w:color w:val="0072BC"/>
        </w:rPr>
        <w:br/>
      </w:r>
      <w:r w:rsidR="005B408C">
        <w:rPr>
          <w:rFonts w:ascii="Verdana" w:eastAsia="Verdana" w:hAnsi="Verdana"/>
          <w:color w:val="0072BC"/>
        </w:rPr>
        <w:t xml:space="preserve">( </w:t>
      </w:r>
      <w:r w:rsidR="005B408C">
        <w:rPr>
          <w:rFonts w:ascii="Verdana" w:eastAsia="Verdana" w:hAnsi="Verdana"/>
          <w:i/>
          <w:color w:val="0072BC"/>
        </w:rPr>
        <w:t>cemevis</w:t>
      </w:r>
      <w:r w:rsidR="005B408C">
        <w:rPr>
          <w:rFonts w:ascii="Verdana" w:eastAsia="Verdana" w:hAnsi="Verdana"/>
          <w:color w:val="0072BC"/>
        </w:rPr>
        <w:t>)</w:t>
      </w:r>
      <w:r w:rsidR="00290022">
        <w:rPr>
          <w:rFonts w:ascii="Verdana" w:eastAsia="Verdana" w:hAnsi="Verdana"/>
          <w:color w:val="0072BC"/>
        </w:rPr>
        <w:t xml:space="preserve"> </w:t>
      </w:r>
      <w:r w:rsidR="00EB17D3">
        <w:rPr>
          <w:rFonts w:ascii="Verdana" w:eastAsia="Verdana" w:hAnsi="Verdana"/>
          <w:color w:val="0072BC"/>
        </w:rPr>
        <w:t>oraz tytułu</w:t>
      </w:r>
      <w:r w:rsidR="00290022">
        <w:rPr>
          <w:rFonts w:ascii="Verdana" w:eastAsia="Verdana" w:hAnsi="Verdana"/>
          <w:color w:val="0072BC"/>
        </w:rPr>
        <w:t xml:space="preserve"> religijnych liderów </w:t>
      </w:r>
      <w:r w:rsidR="005B408C">
        <w:rPr>
          <w:rFonts w:ascii="Verdana" w:eastAsia="Verdana" w:hAnsi="Verdana"/>
          <w:color w:val="0072BC"/>
        </w:rPr>
        <w:t>(</w:t>
      </w:r>
      <w:r w:rsidR="005B408C">
        <w:rPr>
          <w:rFonts w:ascii="Verdana" w:eastAsia="Verdana" w:hAnsi="Verdana"/>
          <w:i/>
          <w:color w:val="0072BC"/>
        </w:rPr>
        <w:t>dede</w:t>
      </w:r>
      <w:r w:rsidR="005B408C">
        <w:rPr>
          <w:rFonts w:ascii="Verdana" w:eastAsia="Verdana" w:hAnsi="Verdana"/>
          <w:color w:val="0072BC"/>
        </w:rPr>
        <w:t>)</w:t>
      </w:r>
      <w:r w:rsidR="00290022">
        <w:rPr>
          <w:rFonts w:ascii="Verdana" w:eastAsia="Verdana" w:hAnsi="Verdana"/>
          <w:color w:val="0072BC"/>
        </w:rPr>
        <w:t xml:space="preserve"> </w:t>
      </w:r>
      <w:r w:rsidR="005B408C">
        <w:rPr>
          <w:rFonts w:ascii="Verdana" w:eastAsia="Verdana" w:hAnsi="Verdana"/>
          <w:color w:val="0072BC"/>
        </w:rPr>
        <w:t xml:space="preserve"> </w:t>
      </w:r>
      <w:r w:rsidR="00EB17D3">
        <w:rPr>
          <w:rFonts w:ascii="Verdana" w:eastAsia="Verdana" w:hAnsi="Verdana"/>
          <w:color w:val="0072BC"/>
        </w:rPr>
        <w:t>w pełnej zgodzie z przepisami</w:t>
      </w:r>
      <w:r w:rsidR="005B408C">
        <w:rPr>
          <w:rFonts w:ascii="Verdana" w:eastAsia="Verdana" w:hAnsi="Verdana"/>
          <w:color w:val="0072BC"/>
        </w:rPr>
        <w:t xml:space="preserve">. </w:t>
      </w:r>
      <w:r w:rsidR="00EB17D3">
        <w:rPr>
          <w:rFonts w:ascii="Verdana" w:eastAsia="Verdana" w:hAnsi="Verdana"/>
          <w:color w:val="0072BC"/>
        </w:rPr>
        <w:t>Po drugie Państwo przekroczyło margines uznania bez wystarczających i istotnych przyczyn.</w:t>
      </w:r>
      <w:r w:rsidR="0084712A">
        <w:rPr>
          <w:rFonts w:ascii="Verdana" w:eastAsia="Verdana" w:hAnsi="Verdana"/>
          <w:color w:val="0072BC"/>
        </w:rPr>
        <w:t xml:space="preserve"> Trybunał uznał zatem, iż ingerencja państwa w </w:t>
      </w:r>
      <w:r w:rsidR="00BF06DA">
        <w:rPr>
          <w:rFonts w:ascii="Verdana" w:eastAsia="Verdana" w:hAnsi="Verdana"/>
          <w:color w:val="0072BC"/>
        </w:rPr>
        <w:t xml:space="preserve">prawo skarżących do wolności wyznania </w:t>
      </w:r>
      <w:r w:rsidR="00892273">
        <w:rPr>
          <w:rFonts w:ascii="Verdana" w:eastAsia="Verdana" w:hAnsi="Verdana"/>
          <w:color w:val="0072BC"/>
        </w:rPr>
        <w:t>nie była konieczna</w:t>
      </w:r>
      <w:r w:rsidR="005E485D">
        <w:rPr>
          <w:rFonts w:ascii="Verdana" w:eastAsia="Verdana" w:hAnsi="Verdana"/>
          <w:color w:val="0072BC"/>
        </w:rPr>
        <w:t xml:space="preserve"> w demokratycznym społeczeństwie. Trybunał orzekł również, iż </w:t>
      </w:r>
      <w:r w:rsidR="005E485D" w:rsidRPr="00892273">
        <w:rPr>
          <w:rFonts w:ascii="Verdana" w:eastAsia="Verdana" w:hAnsi="Verdana"/>
          <w:b/>
          <w:color w:val="0072BC"/>
        </w:rPr>
        <w:t xml:space="preserve">doszło </w:t>
      </w:r>
      <w:r w:rsidR="0050091D">
        <w:rPr>
          <w:rFonts w:ascii="Verdana" w:eastAsia="Verdana" w:hAnsi="Verdana"/>
          <w:b/>
          <w:color w:val="0072BC"/>
        </w:rPr>
        <w:t xml:space="preserve">do </w:t>
      </w:r>
      <w:r w:rsidR="005E485D" w:rsidRPr="00892273">
        <w:rPr>
          <w:rFonts w:ascii="Verdana" w:eastAsia="Verdana" w:hAnsi="Verdana"/>
          <w:b/>
          <w:color w:val="0072BC"/>
        </w:rPr>
        <w:t>naruszenia Artykułu 14</w:t>
      </w:r>
      <w:r w:rsidR="005E485D">
        <w:rPr>
          <w:rFonts w:ascii="Verdana" w:eastAsia="Verdana" w:hAnsi="Verdana"/>
          <w:color w:val="0072BC"/>
        </w:rPr>
        <w:t xml:space="preserve"> (zakaz dyskryminacji) Konwencji </w:t>
      </w:r>
      <w:r w:rsidR="005E485D" w:rsidRPr="00892273">
        <w:rPr>
          <w:rFonts w:ascii="Verdana" w:eastAsia="Verdana" w:hAnsi="Verdana"/>
          <w:b/>
          <w:color w:val="0072BC"/>
        </w:rPr>
        <w:t>w związku z Artykułem 9</w:t>
      </w:r>
      <w:r w:rsidR="005E485D">
        <w:rPr>
          <w:rFonts w:ascii="Verdana" w:eastAsia="Verdana" w:hAnsi="Verdana"/>
          <w:color w:val="0072BC"/>
        </w:rPr>
        <w:t xml:space="preserve">. </w:t>
      </w:r>
      <w:r w:rsidR="0050091D">
        <w:rPr>
          <w:rFonts w:ascii="Verdana" w:eastAsia="Verdana" w:hAnsi="Verdana"/>
          <w:color w:val="0072BC"/>
        </w:rPr>
        <w:br/>
      </w:r>
      <w:r w:rsidR="005E485D">
        <w:rPr>
          <w:rFonts w:ascii="Verdana" w:eastAsia="Verdana" w:hAnsi="Verdana"/>
          <w:color w:val="0072BC"/>
        </w:rPr>
        <w:t>W związku z powyższym zaobserwowan</w:t>
      </w:r>
      <w:r w:rsidR="0050091D">
        <w:rPr>
          <w:rFonts w:ascii="Verdana" w:eastAsia="Verdana" w:hAnsi="Verdana"/>
          <w:color w:val="0072BC"/>
        </w:rPr>
        <w:t xml:space="preserve"> Zwrócił uwagę na</w:t>
      </w:r>
      <w:r w:rsidR="005E485D">
        <w:rPr>
          <w:rFonts w:ascii="Verdana" w:eastAsia="Verdana" w:hAnsi="Verdana"/>
          <w:color w:val="0072BC"/>
        </w:rPr>
        <w:t xml:space="preserve"> rażącą dyspro</w:t>
      </w:r>
      <w:r w:rsidR="00892273">
        <w:rPr>
          <w:rFonts w:ascii="Verdana" w:eastAsia="Verdana" w:hAnsi="Verdana"/>
          <w:color w:val="0072BC"/>
        </w:rPr>
        <w:t>porcję pomiędzy statusem przyzn</w:t>
      </w:r>
      <w:r w:rsidR="005E485D">
        <w:rPr>
          <w:rFonts w:ascii="Verdana" w:eastAsia="Verdana" w:hAnsi="Verdana"/>
          <w:color w:val="0072BC"/>
        </w:rPr>
        <w:t>a</w:t>
      </w:r>
      <w:r w:rsidR="00892273">
        <w:rPr>
          <w:rFonts w:ascii="Verdana" w:eastAsia="Verdana" w:hAnsi="Verdana"/>
          <w:color w:val="0072BC"/>
        </w:rPr>
        <w:t>n</w:t>
      </w:r>
      <w:r w:rsidR="005E485D">
        <w:rPr>
          <w:rFonts w:ascii="Verdana" w:eastAsia="Verdana" w:hAnsi="Verdana"/>
          <w:color w:val="0072BC"/>
        </w:rPr>
        <w:t xml:space="preserve">ym rozumieniu religii muzułmańskiej przyjętej przez Wydział do Spraw Religijnych oraz możliwość korzystania z korzyści płynących </w:t>
      </w:r>
      <w:r w:rsidR="00C5008F">
        <w:rPr>
          <w:rFonts w:ascii="Verdana" w:eastAsia="Verdana" w:hAnsi="Verdana"/>
          <w:color w:val="0072BC"/>
        </w:rPr>
        <w:t xml:space="preserve">z religijnej służby publicznej, które prowadziło do wykluczenia społeczności Alewitów praktycznie w całości od przedmiotowej służby publicznej </w:t>
      </w:r>
      <w:r w:rsidR="00080BFF">
        <w:rPr>
          <w:rFonts w:ascii="Verdana" w:eastAsia="Verdana" w:hAnsi="Verdana"/>
          <w:color w:val="0072BC"/>
        </w:rPr>
        <w:t>oraz</w:t>
      </w:r>
      <w:r w:rsidR="00AB2BB3">
        <w:rPr>
          <w:rFonts w:ascii="Verdana" w:eastAsia="Verdana" w:hAnsi="Verdana"/>
          <w:color w:val="0072BC"/>
        </w:rPr>
        <w:t xml:space="preserve"> było zrównane przez system prawny z tzw. „zaleceniami Sufi” (tarikat), które były przedmiotem znacznych obostrzeń i zakazów. Trybunał uznał więc, iż skarżący jako Alewici byli </w:t>
      </w:r>
      <w:r w:rsidR="0050091D">
        <w:rPr>
          <w:rFonts w:ascii="Verdana" w:eastAsia="Verdana" w:hAnsi="Verdana"/>
          <w:color w:val="0072BC"/>
        </w:rPr>
        <w:t xml:space="preserve">narażeni </w:t>
      </w:r>
      <w:r w:rsidR="00AB2BB3">
        <w:rPr>
          <w:rFonts w:ascii="Verdana" w:eastAsia="Verdana" w:hAnsi="Verdana"/>
          <w:color w:val="0072BC"/>
        </w:rPr>
        <w:t xml:space="preserve">na odmienne traktowanie, dla którego nie było rozsądnego usprawiedliwienia. </w:t>
      </w:r>
    </w:p>
    <w:p w14:paraId="5E722CBF" w14:textId="77777777" w:rsidR="005B408C" w:rsidRDefault="005B408C" w:rsidP="00B65E59">
      <w:pPr>
        <w:spacing w:line="218" w:lineRule="exact"/>
        <w:rPr>
          <w:rFonts w:ascii="Times New Roman" w:eastAsia="Times New Roman" w:hAnsi="Times New Roman"/>
        </w:rPr>
      </w:pPr>
    </w:p>
    <w:p w14:paraId="5D2B8077" w14:textId="77777777" w:rsidR="005B408C" w:rsidRDefault="00AF6FFF" w:rsidP="00B65E59">
      <w:pPr>
        <w:spacing w:line="0" w:lineRule="atLeast"/>
        <w:rPr>
          <w:rFonts w:ascii="Verdana" w:eastAsia="Verdana" w:hAnsi="Verdana"/>
          <w:color w:val="0072BC"/>
          <w:sz w:val="28"/>
        </w:rPr>
      </w:pPr>
      <w:r>
        <w:rPr>
          <w:rFonts w:ascii="Verdana" w:eastAsia="Verdana" w:hAnsi="Verdana"/>
          <w:color w:val="0072BC"/>
          <w:sz w:val="28"/>
        </w:rPr>
        <w:t xml:space="preserve">Święta religijne </w:t>
      </w:r>
    </w:p>
    <w:p w14:paraId="68EC3057" w14:textId="77777777" w:rsidR="005B408C" w:rsidRDefault="005B408C" w:rsidP="00B65E59">
      <w:pPr>
        <w:spacing w:line="20" w:lineRule="exact"/>
        <w:rPr>
          <w:rFonts w:ascii="Times New Roman" w:eastAsia="Times New Roman" w:hAnsi="Times New Roman"/>
        </w:rPr>
      </w:pPr>
    </w:p>
    <w:p w14:paraId="48077503" w14:textId="353D72F3" w:rsidR="005B408C" w:rsidRDefault="00081EA2" w:rsidP="00B65E59">
      <w:pPr>
        <w:spacing w:line="213" w:lineRule="exact"/>
        <w:rPr>
          <w:rFonts w:ascii="Times New Roman" w:eastAsia="Times New Roman" w:hAnsi="Times New Roman"/>
        </w:rPr>
      </w:pPr>
      <w:r>
        <w:rPr>
          <w:rFonts w:ascii="Verdana" w:eastAsia="Verdana" w:hAnsi="Verdana"/>
          <w:noProof/>
          <w:color w:val="0072BC"/>
          <w:sz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75BA0C6" wp14:editId="74B0947D">
                <wp:simplePos x="0" y="0"/>
                <wp:positionH relativeFrom="column">
                  <wp:posOffset>6350</wp:posOffset>
                </wp:positionH>
                <wp:positionV relativeFrom="paragraph">
                  <wp:posOffset>57150</wp:posOffset>
                </wp:positionV>
                <wp:extent cx="5890895" cy="0"/>
                <wp:effectExtent l="10795" t="15240" r="13335" b="13335"/>
                <wp:wrapNone/>
                <wp:docPr id="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089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DA150" id="Line 3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4.5pt" to="464.3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" strokecolor="#999" strokeweight="1.44pt"/>
            </w:pict>
          </mc:Fallback>
        </mc:AlternateContent>
      </w:r>
    </w:p>
    <w:p w14:paraId="6120D425" w14:textId="77777777" w:rsidR="005B408C" w:rsidRDefault="005B408C" w:rsidP="00B65E59">
      <w:pPr>
        <w:spacing w:line="0" w:lineRule="atLeast"/>
        <w:rPr>
          <w:rFonts w:ascii="Verdana" w:eastAsia="Verdana" w:hAnsi="Verdana"/>
          <w:b/>
          <w:color w:val="0072BC"/>
          <w:u w:val="single"/>
        </w:rPr>
      </w:pPr>
      <w:r>
        <w:rPr>
          <w:rFonts w:ascii="Verdana" w:eastAsia="Verdana" w:hAnsi="Verdana"/>
          <w:b/>
          <w:color w:val="0072BC"/>
          <w:u w:val="single"/>
        </w:rPr>
        <w:t xml:space="preserve">Kosteski </w:t>
      </w:r>
      <w:r w:rsidR="0003797E">
        <w:rPr>
          <w:rFonts w:ascii="Verdana" w:eastAsia="Verdana" w:hAnsi="Verdana"/>
          <w:b/>
          <w:color w:val="0072BC"/>
          <w:u w:val="single"/>
        </w:rPr>
        <w:t>przeciwko „Była Jugosławiańska Republika Macedonii”</w:t>
      </w:r>
    </w:p>
    <w:p w14:paraId="43778A66" w14:textId="77777777" w:rsidR="005B408C" w:rsidRDefault="005B408C" w:rsidP="00B65E59">
      <w:pPr>
        <w:spacing w:line="63" w:lineRule="exact"/>
        <w:rPr>
          <w:rFonts w:ascii="Times New Roman" w:eastAsia="Times New Roman" w:hAnsi="Times New Roman"/>
        </w:rPr>
      </w:pPr>
    </w:p>
    <w:p w14:paraId="5C0547AA" w14:textId="77777777" w:rsidR="005B408C" w:rsidRDefault="00AB2BB3" w:rsidP="00B65E59">
      <w:pPr>
        <w:spacing w:line="0" w:lineRule="atLeast"/>
        <w:rPr>
          <w:rFonts w:ascii="Verdana" w:eastAsia="Verdana" w:hAnsi="Verdana"/>
          <w:color w:val="808080"/>
          <w:sz w:val="18"/>
        </w:rPr>
      </w:pPr>
      <w:r>
        <w:rPr>
          <w:rFonts w:ascii="Verdana" w:eastAsia="Verdana" w:hAnsi="Verdana"/>
          <w:color w:val="808080"/>
          <w:sz w:val="18"/>
        </w:rPr>
        <w:t>13 kwietnia</w:t>
      </w:r>
      <w:r w:rsidR="005B408C">
        <w:rPr>
          <w:rFonts w:ascii="Verdana" w:eastAsia="Verdana" w:hAnsi="Verdana"/>
          <w:color w:val="808080"/>
          <w:sz w:val="18"/>
        </w:rPr>
        <w:t xml:space="preserve"> 2006</w:t>
      </w:r>
      <w:r>
        <w:rPr>
          <w:rFonts w:ascii="Verdana" w:eastAsia="Verdana" w:hAnsi="Verdana"/>
          <w:color w:val="808080"/>
          <w:sz w:val="18"/>
        </w:rPr>
        <w:t xml:space="preserve"> roku </w:t>
      </w:r>
    </w:p>
    <w:p w14:paraId="519B3214" w14:textId="77777777" w:rsidR="005B408C" w:rsidRDefault="0003797E" w:rsidP="00B65E59">
      <w:pPr>
        <w:spacing w:line="0" w:lineRule="atLeast"/>
        <w:jc w:val="both"/>
        <w:rPr>
          <w:rFonts w:ascii="Verdana" w:eastAsia="Verdana" w:hAnsi="Verdana"/>
        </w:rPr>
      </w:pPr>
      <w:r>
        <w:rPr>
          <w:rFonts w:ascii="Verdana" w:eastAsia="Verdana" w:hAnsi="Verdana"/>
        </w:rPr>
        <w:t>W kwietniu 1998 skarżący został ukarany</w:t>
      </w:r>
      <w:r w:rsidR="00892273">
        <w:rPr>
          <w:rFonts w:ascii="Verdana" w:eastAsia="Verdana" w:hAnsi="Verdana"/>
        </w:rPr>
        <w:t xml:space="preserve"> grzywną</w:t>
      </w:r>
      <w:r>
        <w:rPr>
          <w:rFonts w:ascii="Verdana" w:eastAsia="Verdana" w:hAnsi="Verdana"/>
        </w:rPr>
        <w:t xml:space="preserve"> za skorzystanie z dnia urlopu bez pozwolenia, aby świętować Bayram, muzułmańskie święto religijne. Odwołał się. W lipcu 2000 roku Trybunał Konstytucyjny zauważył, iż </w:t>
      </w:r>
      <w:r w:rsidR="00315638">
        <w:rPr>
          <w:rFonts w:ascii="Verdana" w:eastAsia="Verdana" w:hAnsi="Verdana"/>
        </w:rPr>
        <w:t xml:space="preserve">skarżący </w:t>
      </w:r>
      <w:r w:rsidR="00892273">
        <w:rPr>
          <w:rFonts w:ascii="Verdana" w:eastAsia="Verdana" w:hAnsi="Verdana"/>
        </w:rPr>
        <w:t>powołał</w:t>
      </w:r>
      <w:r w:rsidR="00315638">
        <w:rPr>
          <w:rFonts w:ascii="Verdana" w:eastAsia="Verdana" w:hAnsi="Verdana"/>
        </w:rPr>
        <w:t xml:space="preserve"> się na prawa dotyczące wolności wyznania, ale odmówił przedstawienia jakichkolwiek dowodów potwierdzających jego wyznanie. Stwierdzono, iż sk</w:t>
      </w:r>
      <w:r w:rsidR="00A6598A">
        <w:rPr>
          <w:rFonts w:ascii="Verdana" w:eastAsia="Verdana" w:hAnsi="Verdana"/>
        </w:rPr>
        <w:t xml:space="preserve">arżący nie został </w:t>
      </w:r>
      <w:r w:rsidR="00892273">
        <w:rPr>
          <w:rFonts w:ascii="Verdana" w:eastAsia="Verdana" w:hAnsi="Verdana"/>
        </w:rPr>
        <w:t>dyskryminowany</w:t>
      </w:r>
      <w:r w:rsidR="00315638">
        <w:rPr>
          <w:rFonts w:ascii="Verdana" w:eastAsia="Verdana" w:hAnsi="Verdana"/>
        </w:rPr>
        <w:t xml:space="preserve"> poprzez wymóg</w:t>
      </w:r>
      <w:r w:rsidR="00A6598A">
        <w:rPr>
          <w:rFonts w:ascii="Verdana" w:eastAsia="Verdana" w:hAnsi="Verdana"/>
        </w:rPr>
        <w:t xml:space="preserve"> </w:t>
      </w:r>
      <w:r w:rsidR="00147A79">
        <w:rPr>
          <w:rFonts w:ascii="Verdana" w:eastAsia="Verdana" w:hAnsi="Verdana"/>
        </w:rPr>
        <w:t xml:space="preserve">ustalenia obiektywnych faktów i oddalił jego skargę. </w:t>
      </w:r>
      <w:r w:rsidR="00315638">
        <w:rPr>
          <w:rFonts w:ascii="Verdana" w:eastAsia="Verdana" w:hAnsi="Verdana"/>
        </w:rPr>
        <w:t xml:space="preserve">  </w:t>
      </w:r>
      <w:r>
        <w:rPr>
          <w:rFonts w:ascii="Verdana" w:eastAsia="Verdana" w:hAnsi="Verdana"/>
        </w:rPr>
        <w:t xml:space="preserve"> </w:t>
      </w:r>
    </w:p>
    <w:p w14:paraId="49DD03A1" w14:textId="77777777" w:rsidR="005B408C" w:rsidRDefault="005B408C" w:rsidP="00B65E59">
      <w:pPr>
        <w:spacing w:line="1" w:lineRule="exact"/>
        <w:rPr>
          <w:rFonts w:ascii="Times New Roman" w:eastAsia="Times New Roman" w:hAnsi="Times New Roman"/>
        </w:rPr>
      </w:pPr>
    </w:p>
    <w:p w14:paraId="3EE11393" w14:textId="77777777" w:rsidR="005B408C" w:rsidRDefault="00147A79" w:rsidP="00B65E59">
      <w:pPr>
        <w:spacing w:line="238" w:lineRule="auto"/>
        <w:jc w:val="both"/>
        <w:rPr>
          <w:rFonts w:ascii="Verdana" w:eastAsia="Verdana" w:hAnsi="Verdana"/>
        </w:rPr>
      </w:pPr>
      <w:r>
        <w:rPr>
          <w:rFonts w:ascii="Verdana" w:eastAsia="Verdana" w:hAnsi="Verdana"/>
        </w:rPr>
        <w:t xml:space="preserve">Skarżący zarzucił, iż nałożona na niego grzywna za nieobecność w pracy podczas obchodów muzułmańskiego święta stanowiła naruszenie Artykułu 9 Konwencji (wolność myśli, sumienia i wyznania) samodzielnie oraz w związku z Artykułem 14 (zakaz dyskryminacji).  </w:t>
      </w:r>
    </w:p>
    <w:p w14:paraId="5BB8D14E" w14:textId="77777777" w:rsidR="005B408C" w:rsidRDefault="005B408C" w:rsidP="00B65E59">
      <w:pPr>
        <w:spacing w:line="2" w:lineRule="exact"/>
        <w:rPr>
          <w:rFonts w:ascii="Times New Roman" w:eastAsia="Times New Roman" w:hAnsi="Times New Roman"/>
        </w:rPr>
      </w:pPr>
    </w:p>
    <w:p w14:paraId="5C42948C" w14:textId="77777777" w:rsidR="00386A91" w:rsidRPr="00B65E59" w:rsidRDefault="00147A79" w:rsidP="00B65E59">
      <w:pPr>
        <w:spacing w:line="242" w:lineRule="auto"/>
        <w:jc w:val="both"/>
        <w:rPr>
          <w:rFonts w:ascii="Verdana" w:eastAsia="Verdana" w:hAnsi="Verdana"/>
          <w:color w:val="0072BC"/>
        </w:rPr>
      </w:pPr>
      <w:r>
        <w:rPr>
          <w:rFonts w:ascii="Verdana" w:eastAsia="Verdana" w:hAnsi="Verdana"/>
          <w:color w:val="0072BC"/>
        </w:rPr>
        <w:t xml:space="preserve">Trybunał orzekł, iż </w:t>
      </w:r>
      <w:r w:rsidRPr="00892273">
        <w:rPr>
          <w:rFonts w:ascii="Verdana" w:eastAsia="Verdana" w:hAnsi="Verdana"/>
          <w:b/>
          <w:color w:val="0072BC"/>
        </w:rPr>
        <w:t>nie doszło do naruszenia Artykułu 9</w:t>
      </w:r>
      <w:r>
        <w:rPr>
          <w:rFonts w:ascii="Verdana" w:eastAsia="Verdana" w:hAnsi="Verdana"/>
          <w:color w:val="0072BC"/>
        </w:rPr>
        <w:t xml:space="preserve"> Konwencji oraz </w:t>
      </w:r>
      <w:r w:rsidRPr="007C20EA">
        <w:rPr>
          <w:rFonts w:ascii="Verdana" w:eastAsia="Verdana" w:hAnsi="Verdana"/>
          <w:b/>
          <w:color w:val="0072BC"/>
        </w:rPr>
        <w:t>Artykułu 14</w:t>
      </w:r>
      <w:r>
        <w:rPr>
          <w:rFonts w:ascii="Verdana" w:eastAsia="Verdana" w:hAnsi="Verdana"/>
          <w:color w:val="0072BC"/>
        </w:rPr>
        <w:t xml:space="preserve"> (zakaz dyskryminacji) Konwencji </w:t>
      </w:r>
      <w:r w:rsidRPr="007C20EA">
        <w:rPr>
          <w:rFonts w:ascii="Verdana" w:eastAsia="Verdana" w:hAnsi="Verdana"/>
          <w:b/>
          <w:color w:val="0072BC"/>
        </w:rPr>
        <w:t>w związku z Artykułem 9</w:t>
      </w:r>
      <w:r>
        <w:rPr>
          <w:rFonts w:ascii="Verdana" w:eastAsia="Verdana" w:hAnsi="Verdana"/>
          <w:color w:val="0072BC"/>
        </w:rPr>
        <w:t xml:space="preserve">. Przypominając, iż Artykuł 9 Konwencji wyszczególnia formy, które manifestacja religii lub przekonań może przyjąć, ale nie chroni każdego aktu motywowanego lub inspirowanego religią czy przekonaniem, nie było oczywistym, iż udział w święcie muzułmańskim był </w:t>
      </w:r>
      <w:r w:rsidR="007C20EA">
        <w:rPr>
          <w:rFonts w:ascii="Verdana" w:eastAsia="Verdana" w:hAnsi="Verdana"/>
          <w:color w:val="0072BC"/>
        </w:rPr>
        <w:t>uzewnętrznieniem</w:t>
      </w:r>
      <w:r w:rsidR="00BA2FAE">
        <w:rPr>
          <w:rFonts w:ascii="Verdana" w:eastAsia="Verdana" w:hAnsi="Verdana"/>
          <w:color w:val="0072BC"/>
        </w:rPr>
        <w:t xml:space="preserve"> religii w zakresie chronionym Artykułem</w:t>
      </w:r>
      <w:r>
        <w:rPr>
          <w:rFonts w:ascii="Verdana" w:eastAsia="Verdana" w:hAnsi="Verdana"/>
          <w:color w:val="0072BC"/>
        </w:rPr>
        <w:t xml:space="preserve"> 9 lub że kara nałożona na niego w </w:t>
      </w:r>
      <w:r w:rsidR="007C20EA">
        <w:rPr>
          <w:rFonts w:ascii="Verdana" w:eastAsia="Verdana" w:hAnsi="Verdana"/>
          <w:color w:val="0072BC"/>
        </w:rPr>
        <w:t>przypadku</w:t>
      </w:r>
      <w:r>
        <w:rPr>
          <w:rFonts w:ascii="Verdana" w:eastAsia="Verdana" w:hAnsi="Verdana"/>
          <w:color w:val="0072BC"/>
        </w:rPr>
        <w:t xml:space="preserve"> naruszenia umowy w postaci nieobecności bez odpowiedniej</w:t>
      </w:r>
      <w:r w:rsidR="00BA2FAE">
        <w:rPr>
          <w:rFonts w:ascii="Verdana" w:eastAsia="Verdana" w:hAnsi="Verdana"/>
          <w:color w:val="0072BC"/>
        </w:rPr>
        <w:t xml:space="preserve"> zgody stanowiła ingerencję w chronione</w:t>
      </w:r>
      <w:r>
        <w:rPr>
          <w:rFonts w:ascii="Verdana" w:eastAsia="Verdana" w:hAnsi="Verdana"/>
          <w:color w:val="0072BC"/>
        </w:rPr>
        <w:t xml:space="preserve"> prawa. Ponadto Trybunał nie uznał </w:t>
      </w:r>
      <w:r w:rsidR="0050091D">
        <w:rPr>
          <w:rFonts w:ascii="Verdana" w:eastAsia="Verdana" w:hAnsi="Verdana"/>
          <w:color w:val="0072BC"/>
        </w:rPr>
        <w:t xml:space="preserve">za nieuzasadnione potraktowanie </w:t>
      </w:r>
      <w:r>
        <w:rPr>
          <w:rFonts w:ascii="Verdana" w:eastAsia="Verdana" w:hAnsi="Verdana"/>
          <w:color w:val="0072BC"/>
        </w:rPr>
        <w:t xml:space="preserve">przez pracodawcę </w:t>
      </w:r>
      <w:r w:rsidR="0050091D">
        <w:rPr>
          <w:rFonts w:ascii="Verdana" w:eastAsia="Verdana" w:hAnsi="Verdana"/>
          <w:color w:val="0072BC"/>
        </w:rPr>
        <w:t>nieusprawiedliwion</w:t>
      </w:r>
      <w:r w:rsidR="00330108">
        <w:rPr>
          <w:rFonts w:ascii="Verdana" w:eastAsia="Verdana" w:hAnsi="Verdana"/>
          <w:color w:val="0072BC"/>
        </w:rPr>
        <w:t>ej</w:t>
      </w:r>
      <w:r w:rsidR="0050091D">
        <w:rPr>
          <w:rFonts w:ascii="Verdana" w:eastAsia="Verdana" w:hAnsi="Verdana"/>
          <w:color w:val="0072BC"/>
        </w:rPr>
        <w:t xml:space="preserve"> nieobecnoś</w:t>
      </w:r>
      <w:r w:rsidR="00330108">
        <w:rPr>
          <w:rFonts w:ascii="Verdana" w:eastAsia="Verdana" w:hAnsi="Verdana"/>
          <w:color w:val="0072BC"/>
        </w:rPr>
        <w:t>ci</w:t>
      </w:r>
      <w:r w:rsidR="0050091D">
        <w:rPr>
          <w:rFonts w:ascii="Verdana" w:eastAsia="Verdana" w:hAnsi="Verdana"/>
          <w:color w:val="0072BC"/>
        </w:rPr>
        <w:t xml:space="preserve"> w pracy za </w:t>
      </w:r>
      <w:r w:rsidR="00330108">
        <w:rPr>
          <w:rFonts w:ascii="Verdana" w:eastAsia="Verdana" w:hAnsi="Verdana"/>
          <w:color w:val="0072BC"/>
        </w:rPr>
        <w:t>przewinienie</w:t>
      </w:r>
      <w:r w:rsidR="0050091D">
        <w:rPr>
          <w:rFonts w:ascii="Verdana" w:eastAsia="Verdana" w:hAnsi="Verdana"/>
          <w:color w:val="0072BC"/>
        </w:rPr>
        <w:t xml:space="preserve"> dyscyplinarn</w:t>
      </w:r>
      <w:r w:rsidR="00330108">
        <w:rPr>
          <w:rFonts w:ascii="Verdana" w:eastAsia="Verdana" w:hAnsi="Verdana"/>
          <w:color w:val="0072BC"/>
        </w:rPr>
        <w:t>e</w:t>
      </w:r>
      <w:r w:rsidR="00BA2FAE">
        <w:rPr>
          <w:rFonts w:ascii="Verdana" w:eastAsia="Verdana" w:hAnsi="Verdana"/>
          <w:color w:val="0072BC"/>
        </w:rPr>
        <w:t>.</w:t>
      </w:r>
      <w:r w:rsidR="005F524D">
        <w:rPr>
          <w:rFonts w:ascii="Verdana" w:eastAsia="Verdana" w:hAnsi="Verdana"/>
          <w:color w:val="0072BC"/>
        </w:rPr>
        <w:t xml:space="preserve"> Stwierdził, iż jeśli pracownik </w:t>
      </w:r>
      <w:r w:rsidR="00330108">
        <w:rPr>
          <w:rFonts w:ascii="Verdana" w:eastAsia="Verdana" w:hAnsi="Verdana"/>
          <w:color w:val="0072BC"/>
        </w:rPr>
        <w:t>powołuje się na konkretną przyczynę nieobecności</w:t>
      </w:r>
      <w:r w:rsidR="005F524D">
        <w:rPr>
          <w:rFonts w:ascii="Verdana" w:eastAsia="Verdana" w:hAnsi="Verdana"/>
          <w:color w:val="0072BC"/>
        </w:rPr>
        <w:t>, to</w:t>
      </w:r>
      <w:r w:rsidR="00BA2FAE">
        <w:rPr>
          <w:rFonts w:ascii="Verdana" w:eastAsia="Verdana" w:hAnsi="Verdana"/>
          <w:color w:val="0072BC"/>
        </w:rPr>
        <w:t xml:space="preserve"> nie jest uciążliwym lub kłócącym się </w:t>
      </w:r>
      <w:r w:rsidR="005F524D">
        <w:rPr>
          <w:rFonts w:ascii="Verdana" w:eastAsia="Verdana" w:hAnsi="Verdana"/>
          <w:color w:val="0072BC"/>
        </w:rPr>
        <w:t xml:space="preserve">z wolnością sumienia </w:t>
      </w:r>
      <w:r w:rsidR="00BA2FAE">
        <w:rPr>
          <w:rFonts w:ascii="Verdana" w:eastAsia="Verdana" w:hAnsi="Verdana"/>
          <w:color w:val="0072BC"/>
        </w:rPr>
        <w:t>aby wymag</w:t>
      </w:r>
      <w:r w:rsidR="005F524D">
        <w:rPr>
          <w:rFonts w:ascii="Verdana" w:eastAsia="Verdana" w:hAnsi="Verdana"/>
          <w:color w:val="0072BC"/>
        </w:rPr>
        <w:t>a</w:t>
      </w:r>
      <w:r w:rsidR="00BA2FAE">
        <w:rPr>
          <w:rFonts w:ascii="Verdana" w:eastAsia="Verdana" w:hAnsi="Verdana"/>
          <w:color w:val="0072BC"/>
        </w:rPr>
        <w:t>ć</w:t>
      </w:r>
      <w:r w:rsidR="005F524D">
        <w:rPr>
          <w:rFonts w:ascii="Verdana" w:eastAsia="Verdana" w:hAnsi="Verdana"/>
          <w:color w:val="0072BC"/>
        </w:rPr>
        <w:t xml:space="preserve"> </w:t>
      </w:r>
      <w:r w:rsidR="00330108">
        <w:rPr>
          <w:rFonts w:ascii="Verdana" w:eastAsia="Verdana" w:hAnsi="Verdana"/>
          <w:color w:val="0072BC"/>
        </w:rPr>
        <w:t>jej usprawiedliwienia</w:t>
      </w:r>
      <w:r w:rsidR="005F524D">
        <w:rPr>
          <w:rFonts w:ascii="Verdana" w:eastAsia="Verdana" w:hAnsi="Verdana"/>
          <w:color w:val="0072BC"/>
        </w:rPr>
        <w:t xml:space="preserve">. </w:t>
      </w:r>
    </w:p>
    <w:p w14:paraId="01499854" w14:textId="77777777" w:rsidR="00386A91" w:rsidRDefault="00386A91" w:rsidP="00B65E59">
      <w:pPr>
        <w:spacing w:line="92" w:lineRule="exact"/>
        <w:rPr>
          <w:rFonts w:ascii="Times New Roman" w:eastAsia="Times New Roman" w:hAnsi="Times New Roman"/>
        </w:rPr>
      </w:pPr>
    </w:p>
    <w:p w14:paraId="7F657D58" w14:textId="77777777" w:rsidR="00386A91" w:rsidRDefault="00386A91" w:rsidP="00B65E59">
      <w:pPr>
        <w:spacing w:line="92" w:lineRule="exact"/>
        <w:rPr>
          <w:rFonts w:ascii="Times New Roman" w:eastAsia="Times New Roman" w:hAnsi="Times New Roman"/>
        </w:rPr>
      </w:pPr>
    </w:p>
    <w:p w14:paraId="738686F6" w14:textId="77777777" w:rsidR="00386A91" w:rsidRDefault="00386A91" w:rsidP="00B65E59">
      <w:pPr>
        <w:spacing w:line="92" w:lineRule="exact"/>
        <w:rPr>
          <w:rFonts w:ascii="Times New Roman" w:eastAsia="Times New Roman" w:hAnsi="Times New Roman"/>
        </w:rPr>
      </w:pPr>
    </w:p>
    <w:p w14:paraId="0AF489A0" w14:textId="77777777" w:rsidR="005B408C" w:rsidRDefault="005B408C" w:rsidP="00B65E59">
      <w:pPr>
        <w:spacing w:line="0" w:lineRule="atLeast"/>
        <w:rPr>
          <w:rFonts w:ascii="Verdana" w:eastAsia="Verdana" w:hAnsi="Verdana"/>
          <w:b/>
          <w:color w:val="0072BC"/>
          <w:u w:val="single"/>
        </w:rPr>
      </w:pPr>
      <w:r>
        <w:rPr>
          <w:rFonts w:ascii="Verdana" w:eastAsia="Verdana" w:hAnsi="Verdana"/>
          <w:b/>
          <w:color w:val="0072BC"/>
          <w:u w:val="single"/>
        </w:rPr>
        <w:t xml:space="preserve">Francesco Sessa </w:t>
      </w:r>
      <w:r w:rsidR="00D45A7C">
        <w:rPr>
          <w:rFonts w:ascii="Verdana" w:eastAsia="Verdana" w:hAnsi="Verdana"/>
          <w:b/>
          <w:color w:val="0072BC"/>
          <w:u w:val="single"/>
        </w:rPr>
        <w:t>przeciwko Włochom</w:t>
      </w:r>
    </w:p>
    <w:p w14:paraId="62507526" w14:textId="77777777" w:rsidR="005B408C" w:rsidRDefault="005B408C" w:rsidP="00B65E59">
      <w:pPr>
        <w:spacing w:line="65" w:lineRule="exact"/>
        <w:rPr>
          <w:rFonts w:ascii="Times New Roman" w:eastAsia="Times New Roman" w:hAnsi="Times New Roman"/>
        </w:rPr>
      </w:pPr>
    </w:p>
    <w:p w14:paraId="43AB0B38" w14:textId="77777777" w:rsidR="005B408C" w:rsidRDefault="005B408C" w:rsidP="00B65E59">
      <w:pPr>
        <w:spacing w:line="0" w:lineRule="atLeast"/>
        <w:rPr>
          <w:rFonts w:ascii="Verdana" w:eastAsia="Verdana" w:hAnsi="Verdana"/>
          <w:color w:val="808080"/>
          <w:sz w:val="18"/>
        </w:rPr>
      </w:pPr>
      <w:r>
        <w:rPr>
          <w:rFonts w:ascii="Verdana" w:eastAsia="Verdana" w:hAnsi="Verdana"/>
          <w:color w:val="808080"/>
          <w:sz w:val="18"/>
        </w:rPr>
        <w:t xml:space="preserve">3 </w:t>
      </w:r>
      <w:r w:rsidR="00D45A7C">
        <w:rPr>
          <w:rFonts w:ascii="Verdana" w:eastAsia="Verdana" w:hAnsi="Verdana"/>
          <w:color w:val="808080"/>
          <w:sz w:val="18"/>
        </w:rPr>
        <w:t>kwietnia</w:t>
      </w:r>
      <w:r>
        <w:rPr>
          <w:rFonts w:ascii="Verdana" w:eastAsia="Verdana" w:hAnsi="Verdana"/>
          <w:color w:val="808080"/>
          <w:sz w:val="18"/>
        </w:rPr>
        <w:t xml:space="preserve"> 2012</w:t>
      </w:r>
      <w:r w:rsidR="00D45A7C">
        <w:rPr>
          <w:rFonts w:ascii="Verdana" w:eastAsia="Verdana" w:hAnsi="Verdana"/>
          <w:color w:val="808080"/>
          <w:sz w:val="18"/>
        </w:rPr>
        <w:t xml:space="preserve"> roku</w:t>
      </w:r>
    </w:p>
    <w:p w14:paraId="13DA4A13" w14:textId="77777777" w:rsidR="005B408C" w:rsidRPr="00B65E59" w:rsidRDefault="00D45A7C" w:rsidP="00B65E59">
      <w:pPr>
        <w:spacing w:line="246" w:lineRule="auto"/>
        <w:jc w:val="both"/>
        <w:rPr>
          <w:rFonts w:ascii="Verdana" w:eastAsia="Verdana" w:hAnsi="Verdana"/>
        </w:rPr>
      </w:pPr>
      <w:r>
        <w:rPr>
          <w:rFonts w:ascii="Verdana" w:eastAsia="Verdana" w:hAnsi="Verdana"/>
        </w:rPr>
        <w:t>Sk</w:t>
      </w:r>
      <w:r w:rsidR="007A416A">
        <w:rPr>
          <w:rFonts w:ascii="Verdana" w:eastAsia="Verdana" w:hAnsi="Verdana"/>
        </w:rPr>
        <w:t xml:space="preserve">arżący był wyznania żydowskiego, </w:t>
      </w:r>
      <w:r>
        <w:rPr>
          <w:rFonts w:ascii="Verdana" w:eastAsia="Verdana" w:hAnsi="Verdana"/>
        </w:rPr>
        <w:t xml:space="preserve">z zawodu prawnikiem. </w:t>
      </w:r>
      <w:r w:rsidR="00386A91">
        <w:rPr>
          <w:rFonts w:ascii="Verdana" w:eastAsia="Verdana" w:hAnsi="Verdana"/>
        </w:rPr>
        <w:t>Jako przedstawicie</w:t>
      </w:r>
      <w:r w:rsidR="007A416A">
        <w:rPr>
          <w:rFonts w:ascii="Verdana" w:eastAsia="Verdana" w:hAnsi="Verdana"/>
        </w:rPr>
        <w:t xml:space="preserve">l jednego ze skarżących w pewnej sprawie, stawił się przed sądem na rozprawie dotyczącej przedstawienia dowodów. Ponieważ sędzia nie był obecny, jego zastępca poprosił strony o ustalenie terminu odroczonej rozprawy i wybór spośród dwóch zaproponowanych dat. </w:t>
      </w:r>
      <w:r w:rsidR="007A416A">
        <w:rPr>
          <w:rFonts w:ascii="Verdana" w:eastAsia="Verdana" w:hAnsi="Verdana"/>
        </w:rPr>
        <w:lastRenderedPageBreak/>
        <w:t>Skarżący w niniejszej sprawie wskazał, iż obydwa terminy odpowiadają żydowskim świętom religijnym, a jego religijne zobowiąz</w:t>
      </w:r>
      <w:r w:rsidR="00386A91">
        <w:rPr>
          <w:rFonts w:ascii="Verdana" w:eastAsia="Verdana" w:hAnsi="Verdana"/>
        </w:rPr>
        <w:t>a</w:t>
      </w:r>
      <w:r w:rsidR="007A416A">
        <w:rPr>
          <w:rFonts w:ascii="Verdana" w:eastAsia="Verdana" w:hAnsi="Verdana"/>
        </w:rPr>
        <w:t xml:space="preserve">nia uniemożliwią mu udział w rozprawie. Rozprawa została wyznaczona zgodnie z jednym z zaproponowanych terminów, skarżący złożył wniosek o odroczenie. Prokurator oraz obrońca oskarżonych wnieśli sprzeciw wobec wniosku ze względu na brak prawnie uzasadnionego powodu </w:t>
      </w:r>
      <w:r w:rsidR="00D32A23">
        <w:rPr>
          <w:rFonts w:ascii="Verdana" w:eastAsia="Verdana" w:hAnsi="Verdana"/>
        </w:rPr>
        <w:t xml:space="preserve">do odroczenia rozprawy. Skarżący zarzucił, iż oddalenie jego wniosku o odroczenie rozprawy ustalonej na dzień </w:t>
      </w:r>
      <w:r w:rsidR="00386A91">
        <w:rPr>
          <w:rFonts w:ascii="Verdana" w:eastAsia="Verdana" w:hAnsi="Verdana"/>
        </w:rPr>
        <w:t>święta religijnego uniemożliwiło</w:t>
      </w:r>
      <w:r w:rsidR="00D32A23">
        <w:rPr>
          <w:rFonts w:ascii="Verdana" w:eastAsia="Verdana" w:hAnsi="Verdana"/>
        </w:rPr>
        <w:t xml:space="preserve"> mu wzięcie</w:t>
      </w:r>
      <w:r w:rsidR="00386A91">
        <w:rPr>
          <w:rFonts w:ascii="Verdana" w:eastAsia="Verdana" w:hAnsi="Verdana"/>
        </w:rPr>
        <w:t xml:space="preserve"> udziału w rozprawie i naruszyło</w:t>
      </w:r>
      <w:r w:rsidR="00D32A23">
        <w:rPr>
          <w:rFonts w:ascii="Verdana" w:eastAsia="Verdana" w:hAnsi="Verdana"/>
        </w:rPr>
        <w:t xml:space="preserve"> jego prawo do swobodnego wyraż</w:t>
      </w:r>
      <w:r w:rsidR="00386A91">
        <w:rPr>
          <w:rFonts w:ascii="Verdana" w:eastAsia="Verdana" w:hAnsi="Verdana"/>
        </w:rPr>
        <w:t>a</w:t>
      </w:r>
      <w:r w:rsidR="00D32A23">
        <w:rPr>
          <w:rFonts w:ascii="Verdana" w:eastAsia="Verdana" w:hAnsi="Verdana"/>
        </w:rPr>
        <w:t>nia swojej religii.</w:t>
      </w:r>
      <w:r w:rsidR="007A416A">
        <w:rPr>
          <w:rFonts w:ascii="Verdana" w:eastAsia="Verdana" w:hAnsi="Verdana"/>
        </w:rPr>
        <w:t xml:space="preserve">      </w:t>
      </w:r>
    </w:p>
    <w:p w14:paraId="38586F81" w14:textId="77777777" w:rsidR="005B408C" w:rsidRDefault="005B408C" w:rsidP="00B65E59">
      <w:pPr>
        <w:spacing w:line="6" w:lineRule="exact"/>
        <w:rPr>
          <w:rFonts w:ascii="Times New Roman" w:eastAsia="Times New Roman" w:hAnsi="Times New Roman"/>
        </w:rPr>
      </w:pPr>
    </w:p>
    <w:p w14:paraId="33BA6EF9" w14:textId="77777777" w:rsidR="005B408C" w:rsidRDefault="00D45A7C" w:rsidP="00B65E59">
      <w:pPr>
        <w:spacing w:line="243" w:lineRule="auto"/>
        <w:jc w:val="both"/>
        <w:rPr>
          <w:rFonts w:ascii="Verdana" w:eastAsia="Verdana" w:hAnsi="Verdana"/>
          <w:color w:val="0072BC"/>
        </w:rPr>
      </w:pPr>
      <w:r>
        <w:rPr>
          <w:rFonts w:ascii="Verdana" w:eastAsia="Verdana" w:hAnsi="Verdana"/>
          <w:color w:val="0072BC"/>
        </w:rPr>
        <w:t xml:space="preserve">Trybunał uznał, iż </w:t>
      </w:r>
      <w:r w:rsidRPr="00386A91">
        <w:rPr>
          <w:rFonts w:ascii="Verdana" w:eastAsia="Verdana" w:hAnsi="Verdana"/>
          <w:b/>
          <w:color w:val="0072BC"/>
        </w:rPr>
        <w:t>nie doszło do naruszenia Artykułu 9</w:t>
      </w:r>
      <w:r>
        <w:rPr>
          <w:rFonts w:ascii="Verdana" w:eastAsia="Verdana" w:hAnsi="Verdana"/>
          <w:color w:val="0072BC"/>
        </w:rPr>
        <w:t xml:space="preserve"> Konwencji.</w:t>
      </w:r>
      <w:r w:rsidR="00D870C8">
        <w:rPr>
          <w:rFonts w:ascii="Verdana" w:eastAsia="Verdana" w:hAnsi="Verdana"/>
          <w:color w:val="0072BC"/>
        </w:rPr>
        <w:t xml:space="preserve"> W szczególności nie był przekonany jakoby przeprowadzenie rozprawy w dniu żydowskiego święta i odmowa jego odroczenia stanowiły ograniczenie prawa skarżącego do swobodnego uzewnętrzniania swojej wiary. Zakładając nawet, iż doszło do ingerencji w prawa skarżącego wyrażone Artykułem 9 §1 Konwencji, Trybunał uznaje, iż prawo taką ingerencję przewiduje, była ona uzasadniona ochroną praw i wolno</w:t>
      </w:r>
      <w:r w:rsidR="00AF6FFF">
        <w:rPr>
          <w:rFonts w:ascii="Verdana" w:eastAsia="Verdana" w:hAnsi="Verdana"/>
          <w:color w:val="0072BC"/>
        </w:rPr>
        <w:t xml:space="preserve">ści innych osób, w szczególności prawem do poprawnego wykonywania wymiaru sprawiedliwości oraz zasady, iż sprawy powinny być rozpatrywane w rozsądnym terminie. Ingerencja ta wykazała rozsądny stosunek proporcjonalności między zastosowanymi środkami a zamierzonym celem.   </w:t>
      </w:r>
      <w:r w:rsidR="00D870C8">
        <w:rPr>
          <w:rFonts w:ascii="Verdana" w:eastAsia="Verdana" w:hAnsi="Verdana"/>
          <w:color w:val="0072BC"/>
        </w:rPr>
        <w:t xml:space="preserve">  </w:t>
      </w:r>
    </w:p>
    <w:p w14:paraId="12400866" w14:textId="77777777" w:rsidR="005B408C" w:rsidRDefault="005B408C" w:rsidP="00B65E59">
      <w:pPr>
        <w:spacing w:line="205" w:lineRule="exact"/>
        <w:rPr>
          <w:rFonts w:ascii="Times New Roman" w:eastAsia="Times New Roman" w:hAnsi="Times New Roman"/>
        </w:rPr>
      </w:pPr>
    </w:p>
    <w:p w14:paraId="3D8EDE89" w14:textId="77777777" w:rsidR="005B408C" w:rsidRDefault="00826BAF" w:rsidP="00B65E59">
      <w:pPr>
        <w:spacing w:line="0" w:lineRule="atLeast"/>
        <w:rPr>
          <w:rFonts w:ascii="Verdana" w:eastAsia="Verdana" w:hAnsi="Verdana"/>
          <w:color w:val="0072BC"/>
          <w:sz w:val="28"/>
        </w:rPr>
      </w:pPr>
      <w:r>
        <w:rPr>
          <w:rFonts w:ascii="Verdana" w:eastAsia="Verdana" w:hAnsi="Verdana"/>
          <w:color w:val="0072BC"/>
          <w:sz w:val="28"/>
        </w:rPr>
        <w:t>Rytualny ubój zwierząt</w:t>
      </w:r>
    </w:p>
    <w:p w14:paraId="2CFC116D" w14:textId="77777777" w:rsidR="005B408C" w:rsidRDefault="005B408C" w:rsidP="00B65E59">
      <w:pPr>
        <w:spacing w:line="20" w:lineRule="exact"/>
        <w:rPr>
          <w:rFonts w:ascii="Times New Roman" w:eastAsia="Times New Roman" w:hAnsi="Times New Roman"/>
        </w:rPr>
      </w:pPr>
    </w:p>
    <w:p w14:paraId="5D354C67" w14:textId="3C27B164" w:rsidR="005B408C" w:rsidRDefault="00081EA2" w:rsidP="00B65E59">
      <w:pPr>
        <w:spacing w:line="213" w:lineRule="exact"/>
        <w:rPr>
          <w:rFonts w:ascii="Times New Roman" w:eastAsia="Times New Roman" w:hAnsi="Times New Roman"/>
        </w:rPr>
      </w:pPr>
      <w:r>
        <w:rPr>
          <w:rFonts w:ascii="Verdana" w:eastAsia="Verdana" w:hAnsi="Verdana"/>
          <w:noProof/>
          <w:color w:val="0072BC"/>
          <w:sz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133BF3F" wp14:editId="614200DB">
                <wp:simplePos x="0" y="0"/>
                <wp:positionH relativeFrom="column">
                  <wp:posOffset>22225</wp:posOffset>
                </wp:positionH>
                <wp:positionV relativeFrom="paragraph">
                  <wp:posOffset>57150</wp:posOffset>
                </wp:positionV>
                <wp:extent cx="5875020" cy="0"/>
                <wp:effectExtent l="17145" t="10160" r="13335" b="18415"/>
                <wp:wrapNone/>
                <wp:docPr id="5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02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5F796" id="Line 40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4.5pt" to="464.3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" strokecolor="#999" strokeweight="1.44pt"/>
            </w:pict>
          </mc:Fallback>
        </mc:AlternateContent>
      </w:r>
    </w:p>
    <w:p w14:paraId="60C0E209" w14:textId="77777777" w:rsidR="005B408C" w:rsidRDefault="005B408C" w:rsidP="00B65E59">
      <w:pPr>
        <w:spacing w:line="0" w:lineRule="atLeast"/>
        <w:rPr>
          <w:rFonts w:ascii="Verdana" w:eastAsia="Verdana" w:hAnsi="Verdana"/>
          <w:b/>
          <w:color w:val="0072BC"/>
          <w:u w:val="single"/>
        </w:rPr>
      </w:pPr>
      <w:r>
        <w:rPr>
          <w:rFonts w:ascii="Verdana" w:eastAsia="Verdana" w:hAnsi="Verdana"/>
          <w:b/>
          <w:color w:val="0072BC"/>
          <w:u w:val="single"/>
        </w:rPr>
        <w:t>Cha</w:t>
      </w:r>
      <w:r w:rsidR="00826BAF">
        <w:rPr>
          <w:rFonts w:ascii="Verdana" w:eastAsia="Verdana" w:hAnsi="Verdana"/>
          <w:b/>
          <w:color w:val="0072BC"/>
          <w:u w:val="single"/>
        </w:rPr>
        <w:t>’are Shalom ve Tsedek przeciwko Francji</w:t>
      </w:r>
    </w:p>
    <w:p w14:paraId="62AC4C35" w14:textId="77777777" w:rsidR="005B408C" w:rsidRDefault="005B408C" w:rsidP="00B65E59">
      <w:pPr>
        <w:spacing w:line="64" w:lineRule="exact"/>
        <w:rPr>
          <w:rFonts w:ascii="Times New Roman" w:eastAsia="Times New Roman" w:hAnsi="Times New Roman"/>
        </w:rPr>
      </w:pPr>
    </w:p>
    <w:p w14:paraId="06F47E66" w14:textId="77777777" w:rsidR="005B408C" w:rsidRDefault="00826BAF" w:rsidP="00B65E59">
      <w:pPr>
        <w:spacing w:line="0" w:lineRule="atLeast"/>
        <w:rPr>
          <w:rFonts w:ascii="Verdana" w:eastAsia="Verdana" w:hAnsi="Verdana"/>
          <w:color w:val="808080"/>
          <w:sz w:val="18"/>
        </w:rPr>
      </w:pPr>
      <w:r>
        <w:rPr>
          <w:rFonts w:ascii="Verdana" w:eastAsia="Verdana" w:hAnsi="Verdana"/>
          <w:color w:val="808080"/>
          <w:sz w:val="18"/>
        </w:rPr>
        <w:t>27 czerwca</w:t>
      </w:r>
      <w:r w:rsidR="005B408C">
        <w:rPr>
          <w:rFonts w:ascii="Verdana" w:eastAsia="Verdana" w:hAnsi="Verdana"/>
          <w:color w:val="808080"/>
          <w:sz w:val="18"/>
        </w:rPr>
        <w:t xml:space="preserve"> 2000</w:t>
      </w:r>
      <w:r>
        <w:rPr>
          <w:rFonts w:ascii="Verdana" w:eastAsia="Verdana" w:hAnsi="Verdana"/>
          <w:color w:val="808080"/>
          <w:sz w:val="18"/>
        </w:rPr>
        <w:t xml:space="preserve"> roku </w:t>
      </w:r>
      <w:r w:rsidR="005B408C">
        <w:rPr>
          <w:rFonts w:ascii="Verdana" w:eastAsia="Verdana" w:hAnsi="Verdana"/>
          <w:color w:val="808080"/>
          <w:sz w:val="18"/>
        </w:rPr>
        <w:t>(</w:t>
      </w:r>
      <w:r>
        <w:rPr>
          <w:rFonts w:ascii="Verdana" w:eastAsia="Verdana" w:hAnsi="Verdana"/>
          <w:color w:val="808080"/>
          <w:sz w:val="18"/>
        </w:rPr>
        <w:t>Wielka Izba</w:t>
      </w:r>
      <w:r w:rsidR="005B408C">
        <w:rPr>
          <w:rFonts w:ascii="Verdana" w:eastAsia="Verdana" w:hAnsi="Verdana"/>
          <w:color w:val="808080"/>
          <w:sz w:val="18"/>
        </w:rPr>
        <w:t>)</w:t>
      </w:r>
    </w:p>
    <w:p w14:paraId="6CA1CD2B" w14:textId="77777777" w:rsidR="005B408C" w:rsidRDefault="005B408C" w:rsidP="00B65E59">
      <w:pPr>
        <w:spacing w:line="1" w:lineRule="exact"/>
        <w:rPr>
          <w:rFonts w:ascii="Times New Roman" w:eastAsia="Times New Roman" w:hAnsi="Times New Roman"/>
        </w:rPr>
      </w:pPr>
    </w:p>
    <w:p w14:paraId="1648DAB7" w14:textId="77777777" w:rsidR="005B408C" w:rsidRDefault="00826BAF" w:rsidP="00B65E59">
      <w:pPr>
        <w:spacing w:line="232" w:lineRule="auto"/>
        <w:jc w:val="both"/>
        <w:rPr>
          <w:rFonts w:ascii="Verdana" w:eastAsia="Verdana" w:hAnsi="Verdana"/>
        </w:rPr>
      </w:pPr>
      <w:r>
        <w:rPr>
          <w:rFonts w:ascii="Verdana" w:eastAsia="Verdana" w:hAnsi="Verdana"/>
        </w:rPr>
        <w:t>Skarżący Żydowskie Stowarzyszenie Liturgiczne, skarżyło odmowę władz francuskich przyznania niezbędnego pozwolenia na dostęp do ubojni w celu przeprowadzenia uboju rytualnego zgodnie z ultra</w:t>
      </w:r>
      <w:r w:rsidR="00386A91">
        <w:rPr>
          <w:rFonts w:ascii="Verdana" w:eastAsia="Verdana" w:hAnsi="Verdana"/>
        </w:rPr>
        <w:t>-</w:t>
      </w:r>
      <w:r>
        <w:rPr>
          <w:rFonts w:ascii="Verdana" w:eastAsia="Verdana" w:hAnsi="Verdana"/>
        </w:rPr>
        <w:t>ortodoksyjnymi poglądami ich członków według których mięso nie jest koszerne dopóki nie jest</w:t>
      </w:r>
      <w:r w:rsidR="005B408C">
        <w:rPr>
          <w:rFonts w:ascii="Verdana" w:eastAsia="Verdana" w:hAnsi="Verdana"/>
        </w:rPr>
        <w:t xml:space="preserve"> “glatt”</w:t>
      </w:r>
      <w:r w:rsidR="00B65E59">
        <w:rPr>
          <w:rStyle w:val="Odwoanieprzypisudolnego"/>
          <w:rFonts w:ascii="Verdana" w:eastAsia="Verdana" w:hAnsi="Verdana"/>
        </w:rPr>
        <w:footnoteReference w:id="3"/>
      </w:r>
      <w:r w:rsidR="005B408C">
        <w:rPr>
          <w:rFonts w:ascii="Verdana" w:eastAsia="Verdana" w:hAnsi="Verdana"/>
        </w:rPr>
        <w:t>.</w:t>
      </w:r>
      <w:r w:rsidR="00386A91">
        <w:rPr>
          <w:rFonts w:ascii="Verdana" w:eastAsia="Verdana" w:hAnsi="Verdana"/>
        </w:rPr>
        <w:t xml:space="preserve"> Zarz</w:t>
      </w:r>
      <w:r>
        <w:rPr>
          <w:rFonts w:ascii="Verdana" w:eastAsia="Verdana" w:hAnsi="Verdana"/>
        </w:rPr>
        <w:t xml:space="preserve">ucono w szczególności, iż </w:t>
      </w:r>
      <w:r w:rsidR="00386A91">
        <w:rPr>
          <w:rFonts w:ascii="Verdana" w:eastAsia="Verdana" w:hAnsi="Verdana"/>
        </w:rPr>
        <w:t>odrzucenie wniosku naruszyło</w:t>
      </w:r>
      <w:r w:rsidR="009F1418">
        <w:rPr>
          <w:rFonts w:ascii="Verdana" w:eastAsia="Verdana" w:hAnsi="Verdana"/>
        </w:rPr>
        <w:t xml:space="preserve"> prawo do uzewnętrzniania wiary </w:t>
      </w:r>
      <w:r w:rsidR="00194202">
        <w:rPr>
          <w:rFonts w:ascii="Verdana" w:eastAsia="Verdana" w:hAnsi="Verdana"/>
        </w:rPr>
        <w:t>przez praktykowanie. Zarzucono także naruszenie Artykułu 14 (zakaz dyskryminacji) Konwencji</w:t>
      </w:r>
      <w:r w:rsidR="00386A91">
        <w:rPr>
          <w:rFonts w:ascii="Verdana" w:eastAsia="Verdana" w:hAnsi="Verdana"/>
        </w:rPr>
        <w:t>,</w:t>
      </w:r>
      <w:r w:rsidR="00194202">
        <w:rPr>
          <w:rFonts w:ascii="Verdana" w:eastAsia="Verdana" w:hAnsi="Verdana"/>
        </w:rPr>
        <w:t xml:space="preserve"> ponieważ wyłącznie Żydowskie Stowarzyszenie Konsystorskie Paryża </w:t>
      </w:r>
      <w:r w:rsidR="005B408C">
        <w:rPr>
          <w:rFonts w:ascii="Verdana" w:eastAsia="Verdana" w:hAnsi="Verdana"/>
        </w:rPr>
        <w:t>(</w:t>
      </w:r>
      <w:r w:rsidR="005B408C">
        <w:rPr>
          <w:rFonts w:ascii="Verdana" w:eastAsia="Verdana" w:hAnsi="Verdana"/>
          <w:i/>
        </w:rPr>
        <w:t>Association consistoriale israélite de Paris</w:t>
      </w:r>
      <w:r w:rsidR="005B408C">
        <w:rPr>
          <w:rFonts w:ascii="Verdana" w:eastAsia="Verdana" w:hAnsi="Verdana"/>
        </w:rPr>
        <w:t xml:space="preserve"> – “the ACIP”),</w:t>
      </w:r>
      <w:r w:rsidR="00194202">
        <w:rPr>
          <w:rFonts w:ascii="Verdana" w:eastAsia="Verdana" w:hAnsi="Verdana"/>
        </w:rPr>
        <w:t xml:space="preserve"> do którego należy większość lud</w:t>
      </w:r>
      <w:r w:rsidR="00386A91">
        <w:rPr>
          <w:rFonts w:ascii="Verdana" w:eastAsia="Verdana" w:hAnsi="Verdana"/>
        </w:rPr>
        <w:t>n</w:t>
      </w:r>
      <w:r w:rsidR="00194202">
        <w:rPr>
          <w:rFonts w:ascii="Verdana" w:eastAsia="Verdana" w:hAnsi="Verdana"/>
        </w:rPr>
        <w:t xml:space="preserve">ości wyznania Żydowskiego we Francji, uzyskało przedmiotową zgodę. </w:t>
      </w:r>
      <w:r w:rsidR="005B408C">
        <w:rPr>
          <w:rFonts w:ascii="Verdana" w:eastAsia="Verdana" w:hAnsi="Verdana"/>
        </w:rPr>
        <w:t xml:space="preserve"> </w:t>
      </w:r>
    </w:p>
    <w:p w14:paraId="03FB6E22" w14:textId="77777777" w:rsidR="005B408C" w:rsidRDefault="005B408C" w:rsidP="00B65E59">
      <w:pPr>
        <w:spacing w:line="9" w:lineRule="exact"/>
        <w:rPr>
          <w:rFonts w:ascii="Times New Roman" w:eastAsia="Times New Roman" w:hAnsi="Times New Roman"/>
        </w:rPr>
      </w:pPr>
    </w:p>
    <w:p w14:paraId="5FBCC50C" w14:textId="77777777" w:rsidR="007A416A" w:rsidRDefault="00194202" w:rsidP="00B65E59">
      <w:pPr>
        <w:spacing w:line="242" w:lineRule="auto"/>
        <w:jc w:val="both"/>
        <w:rPr>
          <w:rFonts w:ascii="Verdana" w:eastAsia="Verdana" w:hAnsi="Verdana"/>
          <w:color w:val="0072BC"/>
        </w:rPr>
      </w:pPr>
      <w:r>
        <w:rPr>
          <w:rFonts w:ascii="Verdana" w:eastAsia="Verdana" w:hAnsi="Verdana"/>
          <w:color w:val="0072BC"/>
        </w:rPr>
        <w:t xml:space="preserve">Trybunał orzekł, iż </w:t>
      </w:r>
      <w:r w:rsidRPr="00386A91">
        <w:rPr>
          <w:rFonts w:ascii="Verdana" w:eastAsia="Verdana" w:hAnsi="Verdana"/>
          <w:b/>
          <w:color w:val="0072BC"/>
        </w:rPr>
        <w:t>nie doszło do naruszenia Artykułu 9</w:t>
      </w:r>
      <w:r>
        <w:rPr>
          <w:rFonts w:ascii="Verdana" w:eastAsia="Verdana" w:hAnsi="Verdana"/>
          <w:color w:val="0072BC"/>
        </w:rPr>
        <w:t xml:space="preserve"> Konwencji. Według Trybunału doszło</w:t>
      </w:r>
      <w:r w:rsidR="008045A0">
        <w:rPr>
          <w:rFonts w:ascii="Verdana" w:eastAsia="Verdana" w:hAnsi="Verdana"/>
          <w:color w:val="0072BC"/>
        </w:rPr>
        <w:t>by</w:t>
      </w:r>
      <w:r>
        <w:rPr>
          <w:rFonts w:ascii="Verdana" w:eastAsia="Verdana" w:hAnsi="Verdana"/>
          <w:color w:val="0072BC"/>
        </w:rPr>
        <w:t xml:space="preserve"> do ingerencji w prawo skarżącego stowarzyszenia do wolności wyznania</w:t>
      </w:r>
      <w:r w:rsidR="008045A0">
        <w:rPr>
          <w:rFonts w:ascii="Verdana" w:eastAsia="Verdana" w:hAnsi="Verdana"/>
          <w:color w:val="0072BC"/>
        </w:rPr>
        <w:t xml:space="preserve"> tylko gdyby uniemożliwienie uboju rytualnego z uwagi na jego niezgodność z prawem uniemożliwiało ultra</w:t>
      </w:r>
      <w:r w:rsidR="00386A91">
        <w:rPr>
          <w:rFonts w:ascii="Verdana" w:eastAsia="Verdana" w:hAnsi="Verdana"/>
          <w:color w:val="0072BC"/>
        </w:rPr>
        <w:t>-</w:t>
      </w:r>
      <w:r w:rsidR="008045A0">
        <w:rPr>
          <w:rFonts w:ascii="Verdana" w:eastAsia="Verdana" w:hAnsi="Verdana"/>
          <w:color w:val="0072BC"/>
        </w:rPr>
        <w:t>ortodoksyjnym Żydom spożywanie mięsa ze zwierząt z uboju przeprowadzonego w zgodzie z zasadami religii, które Ci wyznawali. Jednakże z uwagi na fakt, iż nie stwierdzono jakoby Żydzi należący do skarżącego stowarzyszenia nie mogli spożywać mięsa, które nie jest „glatt” lub stowarzyszenie nie mogło go zapewnić poprzez zawarcie porozumienia z ACIP odnośnie zaangażowania się w ubój rytualny na mocy pozwolenia udzielonego ACIP, Trybunał stwierdził, iż odmowa przyznania przedmiotowego pozwolenia nie stanowiła ingerencji w prawo stowarzyszenia</w:t>
      </w:r>
      <w:r w:rsidR="00386A91">
        <w:rPr>
          <w:rFonts w:ascii="Verdana" w:eastAsia="Verdana" w:hAnsi="Verdana"/>
          <w:color w:val="0072BC"/>
        </w:rPr>
        <w:t xml:space="preserve"> do uzewnętrzniania swojej</w:t>
      </w:r>
      <w:r w:rsidR="008045A0">
        <w:rPr>
          <w:rFonts w:ascii="Verdana" w:eastAsia="Verdana" w:hAnsi="Verdana"/>
          <w:color w:val="0072BC"/>
        </w:rPr>
        <w:t xml:space="preserve"> religii. Trybunał orzekł również, iż</w:t>
      </w:r>
      <w:r w:rsidR="007A416A">
        <w:rPr>
          <w:rFonts w:ascii="Verdana" w:eastAsia="Verdana" w:hAnsi="Verdana"/>
          <w:color w:val="0072BC"/>
        </w:rPr>
        <w:t xml:space="preserve"> w niniejszej sprawie</w:t>
      </w:r>
      <w:r w:rsidR="008045A0">
        <w:rPr>
          <w:rFonts w:ascii="Verdana" w:eastAsia="Verdana" w:hAnsi="Verdana"/>
          <w:color w:val="0072BC"/>
        </w:rPr>
        <w:t xml:space="preserve"> </w:t>
      </w:r>
      <w:r w:rsidR="008045A0" w:rsidRPr="00386A91">
        <w:rPr>
          <w:rFonts w:ascii="Verdana" w:eastAsia="Verdana" w:hAnsi="Verdana"/>
          <w:b/>
          <w:color w:val="0072BC"/>
        </w:rPr>
        <w:t>nie doszło do naruszenia</w:t>
      </w:r>
      <w:r w:rsidR="00FE2EB5" w:rsidRPr="00386A91">
        <w:rPr>
          <w:rFonts w:ascii="Verdana" w:eastAsia="Verdana" w:hAnsi="Verdana"/>
          <w:b/>
          <w:color w:val="0072BC"/>
        </w:rPr>
        <w:t xml:space="preserve"> Artykułu 9 Konwencj</w:t>
      </w:r>
      <w:r w:rsidR="007A416A" w:rsidRPr="00386A91">
        <w:rPr>
          <w:rFonts w:ascii="Verdana" w:eastAsia="Verdana" w:hAnsi="Verdana"/>
          <w:b/>
          <w:color w:val="0072BC"/>
        </w:rPr>
        <w:t xml:space="preserve">i w zbiegu z Artykułem 14 </w:t>
      </w:r>
      <w:r w:rsidR="007A416A">
        <w:rPr>
          <w:rFonts w:ascii="Verdana" w:eastAsia="Verdana" w:hAnsi="Verdana"/>
          <w:color w:val="0072BC"/>
        </w:rPr>
        <w:t>(zaka</w:t>
      </w:r>
      <w:r w:rsidR="00FE2EB5">
        <w:rPr>
          <w:rFonts w:ascii="Verdana" w:eastAsia="Verdana" w:hAnsi="Verdana"/>
          <w:color w:val="0072BC"/>
        </w:rPr>
        <w:t>z dyskryminacji)</w:t>
      </w:r>
      <w:r w:rsidR="007A416A">
        <w:rPr>
          <w:rFonts w:ascii="Verdana" w:eastAsia="Verdana" w:hAnsi="Verdana"/>
          <w:color w:val="0072BC"/>
        </w:rPr>
        <w:t>.</w:t>
      </w:r>
    </w:p>
    <w:p w14:paraId="67E04E20" w14:textId="77777777" w:rsidR="005B408C" w:rsidRPr="00B65E59" w:rsidRDefault="00B65E59" w:rsidP="00B65E59">
      <w:pPr>
        <w:spacing w:line="242" w:lineRule="auto"/>
        <w:jc w:val="both"/>
        <w:rPr>
          <w:rFonts w:ascii="Verdana" w:eastAsia="Verdana" w:hAnsi="Verdana"/>
          <w:color w:val="0072BC"/>
        </w:rPr>
      </w:pPr>
      <w:r>
        <w:rPr>
          <w:rFonts w:ascii="Verdana" w:eastAsia="Verdana" w:hAnsi="Verdana"/>
          <w:color w:val="0072BC"/>
        </w:rPr>
        <w:t xml:space="preserve"> </w:t>
      </w:r>
    </w:p>
    <w:p w14:paraId="232209A1" w14:textId="77777777" w:rsidR="005B408C" w:rsidRDefault="00D47A9B" w:rsidP="00B65E59">
      <w:pPr>
        <w:spacing w:line="269" w:lineRule="auto"/>
        <w:jc w:val="both"/>
        <w:rPr>
          <w:rFonts w:ascii="Verdana" w:eastAsia="Verdana" w:hAnsi="Verdana"/>
          <w:color w:val="0072BC"/>
          <w:sz w:val="28"/>
        </w:rPr>
      </w:pPr>
      <w:r>
        <w:rPr>
          <w:rFonts w:ascii="Verdana" w:eastAsia="Verdana" w:hAnsi="Verdana"/>
          <w:color w:val="0072BC"/>
          <w:sz w:val="28"/>
        </w:rPr>
        <w:t>Odmowa przyznania zgody na organizację działalności religijnej przy odnawianiu zezwolenia na pobyt</w:t>
      </w:r>
    </w:p>
    <w:p w14:paraId="6BD81D75" w14:textId="77777777" w:rsidR="005B408C" w:rsidRDefault="005B408C" w:rsidP="00B65E59">
      <w:pPr>
        <w:spacing w:line="20" w:lineRule="exact"/>
        <w:rPr>
          <w:rFonts w:ascii="Times New Roman" w:eastAsia="Times New Roman" w:hAnsi="Times New Roman"/>
        </w:rPr>
      </w:pPr>
    </w:p>
    <w:p w14:paraId="5CEF05A4" w14:textId="325BF92E" w:rsidR="005B408C" w:rsidRDefault="00081EA2" w:rsidP="00B65E59">
      <w:pPr>
        <w:spacing w:line="134" w:lineRule="exact"/>
        <w:rPr>
          <w:rFonts w:ascii="Times New Roman" w:eastAsia="Times New Roman" w:hAnsi="Times New Roman"/>
        </w:rPr>
      </w:pPr>
      <w:r>
        <w:rPr>
          <w:rFonts w:ascii="Verdana" w:eastAsia="Verdana" w:hAnsi="Verdana"/>
          <w:noProof/>
          <w:color w:val="0072BC"/>
          <w:sz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93C9C59" wp14:editId="7972560C">
                <wp:simplePos x="0" y="0"/>
                <wp:positionH relativeFrom="column">
                  <wp:posOffset>22225</wp:posOffset>
                </wp:positionH>
                <wp:positionV relativeFrom="paragraph">
                  <wp:posOffset>6985</wp:posOffset>
                </wp:positionV>
                <wp:extent cx="5875020" cy="0"/>
                <wp:effectExtent l="17145" t="12700" r="13335" b="15875"/>
                <wp:wrapNone/>
                <wp:docPr id="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02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80905" id="Line 44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.55pt" to="464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" strokecolor="#999" strokeweight="1.44pt"/>
            </w:pict>
          </mc:Fallback>
        </mc:AlternateContent>
      </w:r>
    </w:p>
    <w:p w14:paraId="58B85365" w14:textId="77777777" w:rsidR="005B408C" w:rsidRDefault="005B408C" w:rsidP="00B65E59">
      <w:pPr>
        <w:spacing w:line="0" w:lineRule="atLeast"/>
        <w:rPr>
          <w:rFonts w:ascii="Verdana" w:eastAsia="Verdana" w:hAnsi="Verdana"/>
          <w:b/>
          <w:color w:val="0072BC"/>
          <w:u w:val="single"/>
        </w:rPr>
      </w:pPr>
      <w:hyperlink r:id="rId27" w:history="1">
        <w:r>
          <w:rPr>
            <w:rFonts w:ascii="Verdana" w:eastAsia="Verdana" w:hAnsi="Verdana"/>
            <w:b/>
            <w:color w:val="0072BC"/>
            <w:u w:val="single"/>
          </w:rPr>
          <w:t>Perry v. Latvia</w:t>
        </w:r>
      </w:hyperlink>
    </w:p>
    <w:p w14:paraId="32643C55" w14:textId="77777777" w:rsidR="005B408C" w:rsidRDefault="005B408C" w:rsidP="00B65E59">
      <w:pPr>
        <w:spacing w:line="63" w:lineRule="exact"/>
        <w:rPr>
          <w:rFonts w:ascii="Times New Roman" w:eastAsia="Times New Roman" w:hAnsi="Times New Roman"/>
        </w:rPr>
      </w:pPr>
    </w:p>
    <w:p w14:paraId="4A6B5F45" w14:textId="77777777" w:rsidR="005B408C" w:rsidRDefault="005B408C" w:rsidP="00B65E59">
      <w:pPr>
        <w:spacing w:line="0" w:lineRule="atLeast"/>
        <w:rPr>
          <w:rFonts w:ascii="Verdana" w:eastAsia="Verdana" w:hAnsi="Verdana"/>
          <w:color w:val="808080"/>
          <w:sz w:val="18"/>
        </w:rPr>
      </w:pPr>
      <w:r>
        <w:rPr>
          <w:rFonts w:ascii="Verdana" w:eastAsia="Verdana" w:hAnsi="Verdana"/>
          <w:color w:val="808080"/>
          <w:sz w:val="18"/>
        </w:rPr>
        <w:t xml:space="preserve">8 </w:t>
      </w:r>
      <w:r w:rsidR="00BF5E73">
        <w:rPr>
          <w:rFonts w:ascii="Verdana" w:eastAsia="Verdana" w:hAnsi="Verdana"/>
          <w:color w:val="808080"/>
          <w:sz w:val="18"/>
        </w:rPr>
        <w:t>listopada</w:t>
      </w:r>
      <w:r>
        <w:rPr>
          <w:rFonts w:ascii="Verdana" w:eastAsia="Verdana" w:hAnsi="Verdana"/>
          <w:color w:val="808080"/>
          <w:sz w:val="18"/>
        </w:rPr>
        <w:t xml:space="preserve"> 2007</w:t>
      </w:r>
      <w:r w:rsidR="00B65E59">
        <w:rPr>
          <w:rFonts w:ascii="Verdana" w:eastAsia="Verdana" w:hAnsi="Verdana"/>
          <w:color w:val="808080"/>
          <w:sz w:val="18"/>
        </w:rPr>
        <w:t xml:space="preserve"> roku</w:t>
      </w:r>
    </w:p>
    <w:p w14:paraId="1432C478" w14:textId="77777777" w:rsidR="005B408C" w:rsidRDefault="00D45A7C" w:rsidP="00B65E59">
      <w:pPr>
        <w:spacing w:line="0" w:lineRule="atLeast"/>
        <w:jc w:val="both"/>
        <w:rPr>
          <w:rFonts w:ascii="Verdana" w:eastAsia="Verdana" w:hAnsi="Verdana"/>
        </w:rPr>
      </w:pPr>
      <w:r>
        <w:rPr>
          <w:rFonts w:ascii="Verdana" w:eastAsia="Verdana" w:hAnsi="Verdana"/>
        </w:rPr>
        <w:lastRenderedPageBreak/>
        <w:t>Skarżący, obywatel Amerykański, był pastorem należącym do</w:t>
      </w:r>
      <w:r w:rsidR="00192BA8">
        <w:rPr>
          <w:rFonts w:ascii="Verdana" w:eastAsia="Verdana" w:hAnsi="Verdana"/>
        </w:rPr>
        <w:t xml:space="preserve"> Morning Star International, federacji </w:t>
      </w:r>
      <w:r w:rsidR="00A82299">
        <w:rPr>
          <w:rFonts w:ascii="Verdana" w:eastAsia="Verdana" w:hAnsi="Verdana"/>
        </w:rPr>
        <w:t>wspólnot chrześcijańskich o ewangelicznej tendencji protestanckiej mających siedzibę w Stanach Zjednoczonych</w:t>
      </w:r>
      <w:r w:rsidR="00BD1B9C">
        <w:rPr>
          <w:rFonts w:ascii="Verdana" w:eastAsia="Verdana" w:hAnsi="Verdana"/>
        </w:rPr>
        <w:t xml:space="preserve">. W 1997 roku zamieszkał na Łotwie i założył wspólnotę związaną z federacją </w:t>
      </w:r>
      <w:r w:rsidR="005B408C">
        <w:rPr>
          <w:rFonts w:ascii="Verdana" w:eastAsia="Verdana" w:hAnsi="Verdana"/>
          <w:i/>
        </w:rPr>
        <w:t>Rīta Zvaigzne</w:t>
      </w:r>
      <w:r w:rsidR="005B408C">
        <w:rPr>
          <w:rFonts w:ascii="Verdana" w:eastAsia="Verdana" w:hAnsi="Verdana"/>
        </w:rPr>
        <w:t xml:space="preserve"> (“Morning Star”). </w:t>
      </w:r>
      <w:r w:rsidR="00BD1B9C">
        <w:rPr>
          <w:rFonts w:ascii="Verdana" w:eastAsia="Verdana" w:hAnsi="Verdana"/>
        </w:rPr>
        <w:t>Skarżył w szczególności, iż pomimo tego</w:t>
      </w:r>
      <w:r w:rsidR="0099142A">
        <w:rPr>
          <w:rFonts w:ascii="Verdana" w:eastAsia="Verdana" w:hAnsi="Verdana"/>
        </w:rPr>
        <w:t>,</w:t>
      </w:r>
      <w:r w:rsidR="00BD1B9C">
        <w:rPr>
          <w:rFonts w:ascii="Verdana" w:eastAsia="Verdana" w:hAnsi="Verdana"/>
        </w:rPr>
        <w:t xml:space="preserve"> że władze łotewskie wydały mu zezwolenie na pobyt, odmówiły przyznania zezwolenia na prowadzenie działalności o charakter</w:t>
      </w:r>
      <w:r w:rsidR="00881E8B">
        <w:rPr>
          <w:rFonts w:ascii="Verdana" w:eastAsia="Verdana" w:hAnsi="Verdana"/>
        </w:rPr>
        <w:t>z</w:t>
      </w:r>
      <w:r w:rsidR="00BD1B9C">
        <w:rPr>
          <w:rFonts w:ascii="Verdana" w:eastAsia="Verdana" w:hAnsi="Verdana"/>
        </w:rPr>
        <w:t xml:space="preserve">e religijnym. </w:t>
      </w:r>
    </w:p>
    <w:p w14:paraId="7AA7E05E" w14:textId="77777777" w:rsidR="005B408C" w:rsidRDefault="005B408C" w:rsidP="00B65E59">
      <w:pPr>
        <w:spacing w:line="1" w:lineRule="exact"/>
        <w:rPr>
          <w:rFonts w:ascii="Times New Roman" w:eastAsia="Times New Roman" w:hAnsi="Times New Roman"/>
        </w:rPr>
      </w:pPr>
    </w:p>
    <w:p w14:paraId="15577FDF" w14:textId="77777777" w:rsidR="005B408C" w:rsidRDefault="00BD1B9C" w:rsidP="00B65E59">
      <w:pPr>
        <w:spacing w:line="241" w:lineRule="auto"/>
        <w:jc w:val="both"/>
        <w:rPr>
          <w:rFonts w:ascii="Verdana" w:eastAsia="Verdana" w:hAnsi="Verdana"/>
          <w:color w:val="0072BC"/>
        </w:rPr>
      </w:pPr>
      <w:r>
        <w:rPr>
          <w:rFonts w:ascii="Verdana" w:eastAsia="Verdana" w:hAnsi="Verdana"/>
          <w:color w:val="0072BC"/>
        </w:rPr>
        <w:t xml:space="preserve">Trybunał powtórzył, iż wolność religijna oznacza wolność do </w:t>
      </w:r>
      <w:r w:rsidR="00354894">
        <w:rPr>
          <w:rFonts w:ascii="Verdana" w:eastAsia="Verdana" w:hAnsi="Verdana"/>
          <w:color w:val="0072BC"/>
        </w:rPr>
        <w:t>uzewnętrzniania</w:t>
      </w:r>
      <w:r>
        <w:rPr>
          <w:rFonts w:ascii="Verdana" w:eastAsia="Verdana" w:hAnsi="Verdana"/>
          <w:color w:val="0072BC"/>
        </w:rPr>
        <w:t xml:space="preserve"> swojej religii w samotności i prywatnie lub we wspólnocie z innymi</w:t>
      </w:r>
      <w:r w:rsidR="00354894">
        <w:rPr>
          <w:rFonts w:ascii="Verdana" w:eastAsia="Verdana" w:hAnsi="Verdana"/>
          <w:color w:val="0072BC"/>
        </w:rPr>
        <w:t xml:space="preserve">, publicznie i w kręgu osób, z którymi wiarę tę się podziela. Trybunał zauważył również, iż niniejsza sprawa dotyczy typowego przykładu ingerencji w założenia Artykułu 9 konwencji. W niniejszej sprawie Trybunał orzekł, iż </w:t>
      </w:r>
      <w:r w:rsidR="00354894" w:rsidRPr="00881E8B">
        <w:rPr>
          <w:rFonts w:ascii="Verdana" w:eastAsia="Verdana" w:hAnsi="Verdana"/>
          <w:b/>
          <w:color w:val="0072BC"/>
        </w:rPr>
        <w:t>doszło do naruszenia Artykułu 9,</w:t>
      </w:r>
      <w:r w:rsidR="00354894">
        <w:rPr>
          <w:rFonts w:ascii="Verdana" w:eastAsia="Verdana" w:hAnsi="Verdana"/>
          <w:color w:val="0072BC"/>
        </w:rPr>
        <w:t xml:space="preserve"> stwierdzając</w:t>
      </w:r>
      <w:r w:rsidR="00881E8B">
        <w:rPr>
          <w:rFonts w:ascii="Verdana" w:eastAsia="Verdana" w:hAnsi="Verdana"/>
          <w:color w:val="0072BC"/>
        </w:rPr>
        <w:t>,</w:t>
      </w:r>
      <w:r w:rsidR="00354894">
        <w:rPr>
          <w:rFonts w:ascii="Verdana" w:eastAsia="Verdana" w:hAnsi="Verdana"/>
          <w:color w:val="0072BC"/>
        </w:rPr>
        <w:t xml:space="preserve"> że ingerencja w prawo skarżącego do wolności wyznania nie miała podstaw prawnych. Trybunał zauważył w szczególności, iż </w:t>
      </w:r>
      <w:r w:rsidR="00D31F80">
        <w:rPr>
          <w:rFonts w:ascii="Verdana" w:eastAsia="Verdana" w:hAnsi="Verdana"/>
          <w:color w:val="0072BC"/>
        </w:rPr>
        <w:t>żaden przepis prawa łotewskiego obowiązujący w przedmiotowym czasie nie upoważniał Dyrekcji do spraw Narodowości i Migracji do wykorzystania przedłużenia zezwolenia na pobyt jako pretekstu do zakazania obcemu obywatelowi prowadzenia działalności o charakterze religijnym na Łotwie. Ponadto</w:t>
      </w:r>
      <w:r w:rsidR="00E059F5">
        <w:rPr>
          <w:rFonts w:ascii="Verdana" w:eastAsia="Verdana" w:hAnsi="Verdana"/>
          <w:color w:val="0072BC"/>
        </w:rPr>
        <w:t>,</w:t>
      </w:r>
      <w:r w:rsidR="00D31F80">
        <w:rPr>
          <w:rFonts w:ascii="Verdana" w:eastAsia="Verdana" w:hAnsi="Verdana"/>
          <w:color w:val="0072BC"/>
        </w:rPr>
        <w:t xml:space="preserve"> mimo iż skarżący </w:t>
      </w:r>
      <w:r w:rsidR="00E059F5">
        <w:rPr>
          <w:rFonts w:ascii="Verdana" w:eastAsia="Verdana" w:hAnsi="Verdana"/>
          <w:color w:val="0072BC"/>
        </w:rPr>
        <w:t xml:space="preserve">dalej miał możliwość uczestniczenia w życiu religijnym swojej parafii jako zwyczajny członek Trybunał powtórzył, iż wspólnoty religijne istniały powszechnie w formie zorganizowanych struktur i przestrzegały zasad, które często były uważane za pochodzenia boskiego. Odpowiednio ceremonie religijne miały wartość świętą dla wyznawców, gdy były przeprowadzane przez upoważnionych do tego celu zgodnie ze wspomnianymi zasadami. </w:t>
      </w:r>
    </w:p>
    <w:p w14:paraId="58D13C17" w14:textId="77777777" w:rsidR="00E059F5" w:rsidRDefault="00E059F5" w:rsidP="00B65E59">
      <w:pPr>
        <w:spacing w:line="241" w:lineRule="auto"/>
        <w:jc w:val="both"/>
        <w:rPr>
          <w:rFonts w:ascii="Times New Roman" w:eastAsia="Times New Roman" w:hAnsi="Times New Roman"/>
        </w:rPr>
      </w:pPr>
    </w:p>
    <w:p w14:paraId="6DFB3364" w14:textId="77777777" w:rsidR="005B408C" w:rsidRDefault="00E059F5" w:rsidP="00B65E59">
      <w:pPr>
        <w:spacing w:line="0" w:lineRule="atLeast"/>
        <w:rPr>
          <w:rFonts w:ascii="Verdana" w:eastAsia="Verdana" w:hAnsi="Verdana"/>
          <w:color w:val="0072BC"/>
          <w:sz w:val="28"/>
        </w:rPr>
      </w:pPr>
      <w:r>
        <w:rPr>
          <w:rFonts w:ascii="Verdana" w:eastAsia="Verdana" w:hAnsi="Verdana"/>
          <w:color w:val="0072BC"/>
          <w:sz w:val="28"/>
        </w:rPr>
        <w:t xml:space="preserve">Dalsza lektura </w:t>
      </w:r>
    </w:p>
    <w:p w14:paraId="58EF78E4" w14:textId="13891447" w:rsidR="005B408C" w:rsidRDefault="00081EA2" w:rsidP="00B65E59">
      <w:pPr>
        <w:spacing w:line="20" w:lineRule="exact"/>
        <w:rPr>
          <w:rFonts w:ascii="Times New Roman" w:eastAsia="Times New Roman" w:hAnsi="Times New Roman"/>
        </w:rPr>
      </w:pPr>
      <w:r>
        <w:rPr>
          <w:rFonts w:ascii="Verdana" w:eastAsia="Verdana" w:hAnsi="Verdana"/>
          <w:noProof/>
          <w:color w:val="0072BC"/>
          <w:sz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546A83E" wp14:editId="090EB02B">
                <wp:simplePos x="0" y="0"/>
                <wp:positionH relativeFrom="column">
                  <wp:posOffset>451485</wp:posOffset>
                </wp:positionH>
                <wp:positionV relativeFrom="paragraph">
                  <wp:posOffset>69850</wp:posOffset>
                </wp:positionV>
                <wp:extent cx="5768340" cy="0"/>
                <wp:effectExtent l="17780" t="12065" r="14605" b="16510"/>
                <wp:wrapNone/>
                <wp:docPr id="3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57658" id="Line 45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55pt,5.5pt" to="489.7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" strokecolor="#999" strokeweight="1.44pt"/>
            </w:pict>
          </mc:Fallback>
        </mc:AlternateContent>
      </w:r>
    </w:p>
    <w:p w14:paraId="75FD9C84" w14:textId="77777777" w:rsidR="005B408C" w:rsidRDefault="005B408C" w:rsidP="00B65E59">
      <w:pPr>
        <w:spacing w:line="217" w:lineRule="exact"/>
        <w:rPr>
          <w:rFonts w:ascii="Times New Roman" w:eastAsia="Times New Roman" w:hAnsi="Times New Roman"/>
        </w:rPr>
      </w:pPr>
    </w:p>
    <w:p w14:paraId="1D6A5E0E" w14:textId="77777777" w:rsidR="005B408C" w:rsidRDefault="00E059F5" w:rsidP="00B65E59">
      <w:pPr>
        <w:spacing w:line="0" w:lineRule="atLeast"/>
        <w:rPr>
          <w:rFonts w:ascii="Verdana" w:eastAsia="Verdana" w:hAnsi="Verdana"/>
        </w:rPr>
      </w:pPr>
      <w:r>
        <w:rPr>
          <w:rFonts w:ascii="Verdana" w:eastAsia="Verdana" w:hAnsi="Verdana"/>
        </w:rPr>
        <w:t>Zobacz w szczególności</w:t>
      </w:r>
      <w:r w:rsidR="005B408C">
        <w:rPr>
          <w:rFonts w:ascii="Verdana" w:eastAsia="Verdana" w:hAnsi="Verdana"/>
        </w:rPr>
        <w:t>:</w:t>
      </w:r>
    </w:p>
    <w:p w14:paraId="14A6FA5B" w14:textId="77777777" w:rsidR="005B408C" w:rsidRDefault="005B408C" w:rsidP="00B65E59">
      <w:pPr>
        <w:spacing w:line="127" w:lineRule="exact"/>
        <w:rPr>
          <w:rFonts w:ascii="Times New Roman" w:eastAsia="Times New Roman" w:hAnsi="Times New Roman"/>
        </w:rPr>
      </w:pPr>
    </w:p>
    <w:p w14:paraId="64DF4288" w14:textId="77777777" w:rsidR="005B408C" w:rsidRDefault="0099142A" w:rsidP="00B65E59">
      <w:pPr>
        <w:tabs>
          <w:tab w:val="left" w:pos="1460"/>
        </w:tabs>
        <w:spacing w:line="255" w:lineRule="auto"/>
        <w:jc w:val="both"/>
        <w:rPr>
          <w:rFonts w:ascii="Verdana" w:eastAsia="Verdana" w:hAnsi="Verdana"/>
          <w:b/>
          <w:color w:val="0072BC"/>
        </w:rPr>
      </w:pPr>
      <w:r>
        <w:rPr>
          <w:rFonts w:ascii="Verdana" w:eastAsia="Verdana" w:hAnsi="Verdana"/>
          <w:b/>
          <w:color w:val="0072BC"/>
          <w:u w:val="single"/>
        </w:rPr>
        <w:t>Przegląd orzecznictwa Europejskiego Trybunału Praw Człowieka dotyczącego wolności wyznania,</w:t>
      </w:r>
      <w:r w:rsidR="005B408C">
        <w:rPr>
          <w:rFonts w:ascii="Verdana" w:eastAsia="Verdana" w:hAnsi="Verdana"/>
          <w:b/>
          <w:color w:val="0072BC"/>
        </w:rPr>
        <w:t xml:space="preserve"> </w:t>
      </w:r>
      <w:r w:rsidR="005B408C">
        <w:rPr>
          <w:rFonts w:ascii="Verdana" w:eastAsia="Verdana" w:hAnsi="Verdana"/>
          <w:color w:val="000000"/>
        </w:rPr>
        <w:t>pr</w:t>
      </w:r>
      <w:r>
        <w:rPr>
          <w:rFonts w:ascii="Verdana" w:eastAsia="Verdana" w:hAnsi="Verdana"/>
          <w:color w:val="000000"/>
        </w:rPr>
        <w:t xml:space="preserve">zygotowany przez Wydział Badań Trybunału, zaktualizowany 31 października 2013 roku. </w:t>
      </w:r>
    </w:p>
    <w:p w14:paraId="64085490" w14:textId="77777777" w:rsidR="005B408C" w:rsidRDefault="005B408C" w:rsidP="00B65E59">
      <w:pPr>
        <w:spacing w:line="14" w:lineRule="exact"/>
        <w:rPr>
          <w:rFonts w:ascii="Verdana" w:eastAsia="Verdana" w:hAnsi="Verdana"/>
          <w:b/>
          <w:color w:val="0072BC"/>
        </w:rPr>
      </w:pPr>
    </w:p>
    <w:p w14:paraId="2EA10D80" w14:textId="77777777" w:rsidR="005B408C" w:rsidRPr="0099142A" w:rsidRDefault="005B408C" w:rsidP="00B65E59">
      <w:pPr>
        <w:numPr>
          <w:ilvl w:val="0"/>
          <w:numId w:val="1"/>
        </w:numPr>
        <w:tabs>
          <w:tab w:val="left" w:pos="1460"/>
        </w:tabs>
        <w:spacing w:line="0" w:lineRule="atLeast"/>
        <w:ind w:hanging="360"/>
        <w:rPr>
          <w:rFonts w:ascii="Verdana" w:eastAsia="Verdana" w:hAnsi="Verdana"/>
          <w:b/>
          <w:color w:val="0072BC"/>
        </w:rPr>
      </w:pPr>
      <w:hyperlink r:id="rId28" w:history="1">
        <w:r w:rsidR="0099142A">
          <w:rPr>
            <w:rFonts w:ascii="Verdana" w:eastAsia="Verdana" w:hAnsi="Verdana"/>
            <w:b/>
            <w:color w:val="0072BC"/>
            <w:u w:val="single"/>
          </w:rPr>
          <w:t>Przewodnik po Artykule 9 – Wolność myśli, sumienia i wyznania</w:t>
        </w:r>
        <w:r>
          <w:rPr>
            <w:rFonts w:ascii="Verdana" w:eastAsia="Verdana" w:hAnsi="Verdana"/>
            <w:b/>
            <w:color w:val="0072BC"/>
          </w:rPr>
          <w:t xml:space="preserve"> </w:t>
        </w:r>
      </w:hyperlink>
      <w:r>
        <w:rPr>
          <w:rFonts w:ascii="Verdana" w:eastAsia="Verdana" w:hAnsi="Verdana"/>
          <w:color w:val="000000"/>
        </w:rPr>
        <w:t>[</w:t>
      </w:r>
      <w:r w:rsidR="0099142A">
        <w:rPr>
          <w:rFonts w:ascii="Verdana" w:eastAsia="Verdana" w:hAnsi="Verdana"/>
          <w:color w:val="000000"/>
        </w:rPr>
        <w:t>jedynie po francusku</w:t>
      </w:r>
      <w:r w:rsidRPr="0099142A">
        <w:rPr>
          <w:rFonts w:ascii="Verdana" w:eastAsia="Verdana" w:hAnsi="Verdana"/>
        </w:rPr>
        <w:t xml:space="preserve">], </w:t>
      </w:r>
      <w:r w:rsidR="0099142A">
        <w:rPr>
          <w:rFonts w:ascii="Verdana" w:eastAsia="Verdana" w:hAnsi="Verdana"/>
        </w:rPr>
        <w:t>dokument przygotowany przez Wydział Badań Trybunału 1 września 2015 roku</w:t>
      </w:r>
      <w:r w:rsidRPr="0099142A">
        <w:rPr>
          <w:rFonts w:ascii="Verdana" w:eastAsia="Verdana" w:hAnsi="Verdana"/>
        </w:rPr>
        <w:t>.</w:t>
      </w:r>
    </w:p>
    <w:p w14:paraId="738FC4A2" w14:textId="0F5C3110" w:rsidR="005B408C" w:rsidRDefault="00081EA2" w:rsidP="00B65E59">
      <w:pPr>
        <w:spacing w:line="20" w:lineRule="exact"/>
        <w:rPr>
          <w:rFonts w:ascii="Verdana" w:eastAsia="Verdana" w:hAnsi="Verdana"/>
          <w:b/>
          <w:color w:val="0072BC"/>
          <w:u w:val="single"/>
        </w:rPr>
      </w:pPr>
      <w:r>
        <w:rPr>
          <w:rFonts w:ascii="Verdana" w:eastAsia="Verdana" w:hAnsi="Verdana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2B14F48" wp14:editId="35F19133">
                <wp:simplePos x="0" y="0"/>
                <wp:positionH relativeFrom="column">
                  <wp:posOffset>451485</wp:posOffset>
                </wp:positionH>
                <wp:positionV relativeFrom="paragraph">
                  <wp:posOffset>145415</wp:posOffset>
                </wp:positionV>
                <wp:extent cx="5768340" cy="0"/>
                <wp:effectExtent l="8255" t="8255" r="14605" b="10795"/>
                <wp:wrapNone/>
                <wp:docPr id="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07000" id="Line 46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55pt,11.45pt" to="489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" strokecolor="#999" strokeweight=".33864mm"/>
            </w:pict>
          </mc:Fallback>
        </mc:AlternateContent>
      </w:r>
    </w:p>
    <w:p w14:paraId="6D777296" w14:textId="77777777" w:rsidR="005B408C" w:rsidRDefault="005B408C" w:rsidP="00B65E59">
      <w:pPr>
        <w:spacing w:line="200" w:lineRule="exact"/>
        <w:rPr>
          <w:rFonts w:ascii="Verdana" w:eastAsia="Verdana" w:hAnsi="Verdana"/>
          <w:b/>
          <w:color w:val="0072BC"/>
          <w:u w:val="single"/>
        </w:rPr>
      </w:pPr>
    </w:p>
    <w:p w14:paraId="1A73C886" w14:textId="77777777" w:rsidR="005B408C" w:rsidRDefault="005B408C" w:rsidP="00B65E59">
      <w:pPr>
        <w:spacing w:line="367" w:lineRule="exact"/>
        <w:rPr>
          <w:rFonts w:ascii="Verdana" w:eastAsia="Verdana" w:hAnsi="Verdana"/>
          <w:b/>
          <w:color w:val="0072BC"/>
          <w:u w:val="single"/>
        </w:rPr>
      </w:pPr>
    </w:p>
    <w:p w14:paraId="66E08309" w14:textId="77777777" w:rsidR="005B408C" w:rsidRDefault="000D762C" w:rsidP="00B65E59">
      <w:pPr>
        <w:spacing w:line="0" w:lineRule="atLeast"/>
        <w:jc w:val="center"/>
        <w:rPr>
          <w:rFonts w:ascii="Verdana" w:eastAsia="Verdana" w:hAnsi="Verdana"/>
          <w:b/>
          <w:color w:val="808080"/>
        </w:rPr>
      </w:pPr>
      <w:r>
        <w:rPr>
          <w:rFonts w:ascii="Verdana" w:eastAsia="Verdana" w:hAnsi="Verdana"/>
          <w:b/>
          <w:color w:val="808080"/>
        </w:rPr>
        <w:t>Kontakt:</w:t>
      </w:r>
    </w:p>
    <w:p w14:paraId="4E0FDF9D" w14:textId="77777777" w:rsidR="005B408C" w:rsidRDefault="005B408C" w:rsidP="00B65E59">
      <w:pPr>
        <w:spacing w:line="4" w:lineRule="exact"/>
        <w:rPr>
          <w:rFonts w:ascii="Verdana" w:eastAsia="Verdana" w:hAnsi="Verdana"/>
          <w:b/>
          <w:color w:val="0072BC"/>
          <w:u w:val="single"/>
        </w:rPr>
      </w:pPr>
    </w:p>
    <w:p w14:paraId="520260BA" w14:textId="77777777" w:rsidR="005B408C" w:rsidRDefault="005B408C" w:rsidP="000D762C">
      <w:pPr>
        <w:spacing w:line="0" w:lineRule="atLeast"/>
        <w:jc w:val="center"/>
        <w:rPr>
          <w:rFonts w:ascii="Verdana" w:eastAsia="Verdana" w:hAnsi="Verdana"/>
          <w:color w:val="808080"/>
        </w:rPr>
      </w:pPr>
      <w:r>
        <w:rPr>
          <w:rFonts w:ascii="Verdana" w:eastAsia="Verdana" w:hAnsi="Verdana"/>
          <w:color w:val="808080"/>
        </w:rPr>
        <w:t>Tel.: +33 (0)3 90 21 42 08</w:t>
      </w:r>
    </w:p>
    <w:p w14:paraId="40459F7B" w14:textId="77777777" w:rsidR="005B408C" w:rsidRDefault="005B408C" w:rsidP="00B65E59">
      <w:pPr>
        <w:spacing w:line="200" w:lineRule="exact"/>
        <w:rPr>
          <w:rFonts w:ascii="Verdana" w:eastAsia="Verdana" w:hAnsi="Verdana"/>
          <w:b/>
          <w:color w:val="0072BC"/>
          <w:u w:val="single"/>
        </w:rPr>
      </w:pPr>
    </w:p>
    <w:p w14:paraId="4A03F857" w14:textId="77777777" w:rsidR="005B408C" w:rsidRDefault="005B408C" w:rsidP="00B65E59">
      <w:pPr>
        <w:spacing w:line="200" w:lineRule="exact"/>
        <w:rPr>
          <w:rFonts w:ascii="Verdana" w:eastAsia="Verdana" w:hAnsi="Verdana"/>
          <w:b/>
          <w:color w:val="0072BC"/>
          <w:u w:val="single"/>
        </w:rPr>
      </w:pPr>
    </w:p>
    <w:p w14:paraId="155B0676" w14:textId="77777777" w:rsidR="005B408C" w:rsidRDefault="005B408C" w:rsidP="00B65E59">
      <w:pPr>
        <w:spacing w:line="200" w:lineRule="exact"/>
        <w:rPr>
          <w:rFonts w:ascii="Verdana" w:eastAsia="Verdana" w:hAnsi="Verdana"/>
          <w:b/>
          <w:color w:val="0072BC"/>
          <w:u w:val="single"/>
        </w:rPr>
      </w:pPr>
    </w:p>
    <w:p w14:paraId="6013A313" w14:textId="77777777" w:rsidR="005B408C" w:rsidRDefault="005B408C" w:rsidP="00B65E59">
      <w:pPr>
        <w:spacing w:line="0" w:lineRule="atLeast"/>
        <w:rPr>
          <w:rFonts w:ascii="Verdana" w:eastAsia="Verdana" w:hAnsi="Verdana"/>
        </w:rPr>
      </w:pPr>
    </w:p>
    <w:sectPr w:rsidR="005B408C">
      <w:headerReference w:type="default" r:id="rId29"/>
      <w:footerReference w:type="default" r:id="rId30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2F4DF" w14:textId="77777777" w:rsidR="00934BC5" w:rsidRDefault="00934BC5" w:rsidP="006966C4">
      <w:r>
        <w:separator/>
      </w:r>
    </w:p>
  </w:endnote>
  <w:endnote w:type="continuationSeparator" w:id="0">
    <w:p w14:paraId="60470A5B" w14:textId="77777777" w:rsidR="00934BC5" w:rsidRDefault="00934BC5" w:rsidP="00696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B32A4" w14:textId="77777777" w:rsidR="006966C4" w:rsidRDefault="006966C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0468">
      <w:rPr>
        <w:noProof/>
      </w:rPr>
      <w:t>8</w:t>
    </w:r>
    <w:r>
      <w:fldChar w:fldCharType="end"/>
    </w:r>
  </w:p>
  <w:p w14:paraId="3162C533" w14:textId="77777777" w:rsidR="006966C4" w:rsidRDefault="006966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B4144" w14:textId="77777777" w:rsidR="00934BC5" w:rsidRDefault="00934BC5" w:rsidP="006966C4">
      <w:r>
        <w:separator/>
      </w:r>
    </w:p>
  </w:footnote>
  <w:footnote w:type="continuationSeparator" w:id="0">
    <w:p w14:paraId="1A2329CD" w14:textId="77777777" w:rsidR="00934BC5" w:rsidRDefault="00934BC5" w:rsidP="006966C4">
      <w:r>
        <w:continuationSeparator/>
      </w:r>
    </w:p>
  </w:footnote>
  <w:footnote w:id="1">
    <w:p w14:paraId="2018A0EB" w14:textId="77777777" w:rsidR="006966C4" w:rsidRDefault="006966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eastAsia="Verdana" w:hAnsi="Verdana"/>
          <w:sz w:val="16"/>
        </w:rPr>
        <w:t>Głęboko zakorzeniony w tureckiej historii i społeczeństwie. Ich wiara, na którą mają wpływ w szczególności sufizm oraz wierzenia przed islamskie, jest uważana przez niektórych uczonych alewitów za odrębną religię, a przez innych za gałąź Islamu.</w:t>
      </w:r>
    </w:p>
  </w:footnote>
  <w:footnote w:id="2">
    <w:p w14:paraId="6BE215A2" w14:textId="77777777" w:rsidR="00B65E59" w:rsidRDefault="00B65E5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eastAsia="Verdana" w:hAnsi="Verdana"/>
          <w:sz w:val="16"/>
        </w:rPr>
        <w:t xml:space="preserve">Skarżący wystąpili z wnioskiem o zapewnienie społeczności alewitów posług religijnych w formie służby publicznej, aby przywódcy religijni zostali uznani i zatrudnieni jako pracownicy służby cywilnej; aby </w:t>
      </w:r>
      <w:r w:rsidRPr="00CC6195">
        <w:rPr>
          <w:rFonts w:ascii="Verdana" w:eastAsia="Verdana" w:hAnsi="Verdana"/>
          <w:i/>
          <w:sz w:val="16"/>
        </w:rPr>
        <w:t>cemevis</w:t>
      </w:r>
      <w:r>
        <w:rPr>
          <w:rFonts w:ascii="Verdana" w:eastAsia="Verdana" w:hAnsi="Verdana"/>
          <w:sz w:val="16"/>
        </w:rPr>
        <w:t xml:space="preserve"> (miejsca gdzie Alewici praktykują swoje ceremonie religijne - </w:t>
      </w:r>
      <w:r w:rsidRPr="00CC6195">
        <w:rPr>
          <w:rFonts w:ascii="Verdana" w:eastAsia="Verdana" w:hAnsi="Verdana"/>
          <w:i/>
          <w:sz w:val="16"/>
        </w:rPr>
        <w:t>cem</w:t>
      </w:r>
      <w:r>
        <w:rPr>
          <w:rFonts w:ascii="Verdana" w:eastAsia="Verdana" w:hAnsi="Verdana"/>
          <w:sz w:val="16"/>
        </w:rPr>
        <w:t>) otrzymały status miejsc kultu; oraz mieć możliwość otrzymania dotacji państwowych. Ich wnioski zostały oddalone na podstawie, iż wiara Alewitów jest uznawana przez władze tureckie za ruch religijny w ramach Islamu, pokrewny do sufizmu.</w:t>
      </w:r>
    </w:p>
  </w:footnote>
  <w:footnote w:id="3">
    <w:p w14:paraId="5B64E5E1" w14:textId="77777777" w:rsidR="00B65E59" w:rsidRDefault="00B65E5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eastAsia="Verdana" w:hAnsi="Verdana"/>
          <w:sz w:val="16"/>
        </w:rPr>
        <w:t>Mięso z uboju nie może zostać uznane jako „glatt”: jeśli przeprowadzone badania płuc wykażą chociażby śladowe oznaki nieczystości.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E516C" w14:textId="5F27E9BA" w:rsidR="00B65E59" w:rsidRDefault="00081EA2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47085C" wp14:editId="302D9132">
              <wp:simplePos x="0" y="0"/>
              <wp:positionH relativeFrom="column">
                <wp:posOffset>-374015</wp:posOffset>
              </wp:positionH>
              <wp:positionV relativeFrom="paragraph">
                <wp:posOffset>254635</wp:posOffset>
              </wp:positionV>
              <wp:extent cx="6797675" cy="7620"/>
              <wp:effectExtent l="11430" t="8890" r="10795" b="1206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97675" cy="76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F2C4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9.45pt;margin-top:20.05pt;width:535.25pt;height:.6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"/>
          </w:pict>
        </mc:Fallback>
      </mc:AlternateContent>
    </w:r>
    <w:r w:rsidR="00B65E59">
      <w:t>Zestawienie – Wolność wyznania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327B23C6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trackRevisions/>
  <w:defaultTabStop w:val="720"/>
  <w:characterSpacingControl w:val="doNotCompress"/>
  <w:hdrShapeDefaults>
    <o:shapedefaults v:ext="edit" spidmax="3074"/>
    <o:shapelayout v:ext="edit"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8B3"/>
    <w:rsid w:val="00001421"/>
    <w:rsid w:val="00005B03"/>
    <w:rsid w:val="00006448"/>
    <w:rsid w:val="00013AE6"/>
    <w:rsid w:val="000252C4"/>
    <w:rsid w:val="00031D12"/>
    <w:rsid w:val="00032F47"/>
    <w:rsid w:val="0003797E"/>
    <w:rsid w:val="00053E52"/>
    <w:rsid w:val="0006206C"/>
    <w:rsid w:val="00076EE0"/>
    <w:rsid w:val="00077C70"/>
    <w:rsid w:val="00080BFF"/>
    <w:rsid w:val="00081EA2"/>
    <w:rsid w:val="000C0B20"/>
    <w:rsid w:val="000C210F"/>
    <w:rsid w:val="000C2310"/>
    <w:rsid w:val="000C542A"/>
    <w:rsid w:val="000D2F03"/>
    <w:rsid w:val="000D762C"/>
    <w:rsid w:val="00122DB8"/>
    <w:rsid w:val="00131156"/>
    <w:rsid w:val="0013542A"/>
    <w:rsid w:val="001432A9"/>
    <w:rsid w:val="00147A79"/>
    <w:rsid w:val="00153BFF"/>
    <w:rsid w:val="00157C31"/>
    <w:rsid w:val="00183841"/>
    <w:rsid w:val="00192BA8"/>
    <w:rsid w:val="00194202"/>
    <w:rsid w:val="001B0FDB"/>
    <w:rsid w:val="001D3A80"/>
    <w:rsid w:val="001E1DF9"/>
    <w:rsid w:val="001E35F4"/>
    <w:rsid w:val="001F24FE"/>
    <w:rsid w:val="00206ECF"/>
    <w:rsid w:val="002429C0"/>
    <w:rsid w:val="00251E1C"/>
    <w:rsid w:val="0026417E"/>
    <w:rsid w:val="00276CAF"/>
    <w:rsid w:val="0028184F"/>
    <w:rsid w:val="00290022"/>
    <w:rsid w:val="0029737D"/>
    <w:rsid w:val="002B0EF2"/>
    <w:rsid w:val="0031180E"/>
    <w:rsid w:val="00315638"/>
    <w:rsid w:val="00330108"/>
    <w:rsid w:val="003443FE"/>
    <w:rsid w:val="00354894"/>
    <w:rsid w:val="00355F39"/>
    <w:rsid w:val="003641E8"/>
    <w:rsid w:val="00380641"/>
    <w:rsid w:val="00386A91"/>
    <w:rsid w:val="003A0A4E"/>
    <w:rsid w:val="003C7121"/>
    <w:rsid w:val="003D03FB"/>
    <w:rsid w:val="003E0D00"/>
    <w:rsid w:val="003F3B5D"/>
    <w:rsid w:val="003F5DE4"/>
    <w:rsid w:val="0042439B"/>
    <w:rsid w:val="00443251"/>
    <w:rsid w:val="00446EA3"/>
    <w:rsid w:val="00460797"/>
    <w:rsid w:val="004729D9"/>
    <w:rsid w:val="00476405"/>
    <w:rsid w:val="00481BE2"/>
    <w:rsid w:val="004A0A58"/>
    <w:rsid w:val="004C4B1B"/>
    <w:rsid w:val="004E3C28"/>
    <w:rsid w:val="004F3802"/>
    <w:rsid w:val="0050091D"/>
    <w:rsid w:val="00501046"/>
    <w:rsid w:val="00522881"/>
    <w:rsid w:val="0054091B"/>
    <w:rsid w:val="00542794"/>
    <w:rsid w:val="005563E5"/>
    <w:rsid w:val="00587E81"/>
    <w:rsid w:val="00591278"/>
    <w:rsid w:val="005B408C"/>
    <w:rsid w:val="005C182F"/>
    <w:rsid w:val="005E0E5D"/>
    <w:rsid w:val="005E485D"/>
    <w:rsid w:val="005E537F"/>
    <w:rsid w:val="005E658D"/>
    <w:rsid w:val="005E6BDC"/>
    <w:rsid w:val="005F48B5"/>
    <w:rsid w:val="005F524D"/>
    <w:rsid w:val="006428AA"/>
    <w:rsid w:val="00653FC3"/>
    <w:rsid w:val="00671956"/>
    <w:rsid w:val="00674AA1"/>
    <w:rsid w:val="00687BB4"/>
    <w:rsid w:val="006916DD"/>
    <w:rsid w:val="006918B3"/>
    <w:rsid w:val="006941AD"/>
    <w:rsid w:val="006966C4"/>
    <w:rsid w:val="00696A01"/>
    <w:rsid w:val="006A3B08"/>
    <w:rsid w:val="006B1B5D"/>
    <w:rsid w:val="006E6768"/>
    <w:rsid w:val="00705226"/>
    <w:rsid w:val="00714DC8"/>
    <w:rsid w:val="00717A6F"/>
    <w:rsid w:val="00732E8B"/>
    <w:rsid w:val="007525EE"/>
    <w:rsid w:val="00753DE5"/>
    <w:rsid w:val="00773951"/>
    <w:rsid w:val="007A416A"/>
    <w:rsid w:val="007B3D02"/>
    <w:rsid w:val="007C20EA"/>
    <w:rsid w:val="007F0630"/>
    <w:rsid w:val="007F7063"/>
    <w:rsid w:val="008045A0"/>
    <w:rsid w:val="00822648"/>
    <w:rsid w:val="00826BAF"/>
    <w:rsid w:val="00837306"/>
    <w:rsid w:val="0084712A"/>
    <w:rsid w:val="00847644"/>
    <w:rsid w:val="008514DB"/>
    <w:rsid w:val="00861A53"/>
    <w:rsid w:val="008650A2"/>
    <w:rsid w:val="00877975"/>
    <w:rsid w:val="00881E8B"/>
    <w:rsid w:val="00892273"/>
    <w:rsid w:val="008D2091"/>
    <w:rsid w:val="008D2B3F"/>
    <w:rsid w:val="008E0975"/>
    <w:rsid w:val="00901810"/>
    <w:rsid w:val="00915FDF"/>
    <w:rsid w:val="0092544D"/>
    <w:rsid w:val="00926AE2"/>
    <w:rsid w:val="00934BC5"/>
    <w:rsid w:val="00935E10"/>
    <w:rsid w:val="009643C6"/>
    <w:rsid w:val="00971FF3"/>
    <w:rsid w:val="00981DE6"/>
    <w:rsid w:val="0099142A"/>
    <w:rsid w:val="009B1CFD"/>
    <w:rsid w:val="009D3C87"/>
    <w:rsid w:val="009F1418"/>
    <w:rsid w:val="00A12993"/>
    <w:rsid w:val="00A15B6A"/>
    <w:rsid w:val="00A16CB7"/>
    <w:rsid w:val="00A326C2"/>
    <w:rsid w:val="00A3644D"/>
    <w:rsid w:val="00A40283"/>
    <w:rsid w:val="00A541F3"/>
    <w:rsid w:val="00A6598A"/>
    <w:rsid w:val="00A7619D"/>
    <w:rsid w:val="00A76A3F"/>
    <w:rsid w:val="00A820C3"/>
    <w:rsid w:val="00A82299"/>
    <w:rsid w:val="00A834DD"/>
    <w:rsid w:val="00A87C07"/>
    <w:rsid w:val="00AA0167"/>
    <w:rsid w:val="00AB25BD"/>
    <w:rsid w:val="00AB2BB3"/>
    <w:rsid w:val="00AB2FFB"/>
    <w:rsid w:val="00AB451F"/>
    <w:rsid w:val="00AD34F5"/>
    <w:rsid w:val="00AD765E"/>
    <w:rsid w:val="00AF6FFF"/>
    <w:rsid w:val="00B63242"/>
    <w:rsid w:val="00B64178"/>
    <w:rsid w:val="00B65E59"/>
    <w:rsid w:val="00B66B18"/>
    <w:rsid w:val="00B924E4"/>
    <w:rsid w:val="00BA0255"/>
    <w:rsid w:val="00BA2FAE"/>
    <w:rsid w:val="00BD0998"/>
    <w:rsid w:val="00BD1B9C"/>
    <w:rsid w:val="00BE329F"/>
    <w:rsid w:val="00BF06DA"/>
    <w:rsid w:val="00BF5E73"/>
    <w:rsid w:val="00C06892"/>
    <w:rsid w:val="00C07372"/>
    <w:rsid w:val="00C2570C"/>
    <w:rsid w:val="00C303B6"/>
    <w:rsid w:val="00C36B84"/>
    <w:rsid w:val="00C5008F"/>
    <w:rsid w:val="00C57FA6"/>
    <w:rsid w:val="00C71EC4"/>
    <w:rsid w:val="00C9244E"/>
    <w:rsid w:val="00C946AB"/>
    <w:rsid w:val="00CA5F2F"/>
    <w:rsid w:val="00CC6195"/>
    <w:rsid w:val="00CE3A58"/>
    <w:rsid w:val="00CE40D1"/>
    <w:rsid w:val="00CE5F71"/>
    <w:rsid w:val="00CF012A"/>
    <w:rsid w:val="00CF2F67"/>
    <w:rsid w:val="00CF3997"/>
    <w:rsid w:val="00D052A7"/>
    <w:rsid w:val="00D063A0"/>
    <w:rsid w:val="00D13105"/>
    <w:rsid w:val="00D15718"/>
    <w:rsid w:val="00D21584"/>
    <w:rsid w:val="00D22BCB"/>
    <w:rsid w:val="00D26371"/>
    <w:rsid w:val="00D31F80"/>
    <w:rsid w:val="00D32A23"/>
    <w:rsid w:val="00D40D4B"/>
    <w:rsid w:val="00D45A7C"/>
    <w:rsid w:val="00D47A9B"/>
    <w:rsid w:val="00D70F40"/>
    <w:rsid w:val="00D7121E"/>
    <w:rsid w:val="00D845FA"/>
    <w:rsid w:val="00D870C8"/>
    <w:rsid w:val="00D87860"/>
    <w:rsid w:val="00D90921"/>
    <w:rsid w:val="00D90A5D"/>
    <w:rsid w:val="00DB1CAD"/>
    <w:rsid w:val="00DC3D5E"/>
    <w:rsid w:val="00DD1464"/>
    <w:rsid w:val="00DF27B8"/>
    <w:rsid w:val="00DF55AD"/>
    <w:rsid w:val="00E03FA9"/>
    <w:rsid w:val="00E059F5"/>
    <w:rsid w:val="00E330BB"/>
    <w:rsid w:val="00E34686"/>
    <w:rsid w:val="00E37948"/>
    <w:rsid w:val="00E66694"/>
    <w:rsid w:val="00E830BB"/>
    <w:rsid w:val="00E87AC0"/>
    <w:rsid w:val="00E92D86"/>
    <w:rsid w:val="00EB1012"/>
    <w:rsid w:val="00EB17D3"/>
    <w:rsid w:val="00EB7131"/>
    <w:rsid w:val="00EF0081"/>
    <w:rsid w:val="00F03608"/>
    <w:rsid w:val="00F15921"/>
    <w:rsid w:val="00F228D2"/>
    <w:rsid w:val="00F46F60"/>
    <w:rsid w:val="00F55089"/>
    <w:rsid w:val="00F72EEB"/>
    <w:rsid w:val="00F74A4E"/>
    <w:rsid w:val="00F90468"/>
    <w:rsid w:val="00F90E75"/>
    <w:rsid w:val="00FA6131"/>
    <w:rsid w:val="00FC26DC"/>
    <w:rsid w:val="00FE200D"/>
    <w:rsid w:val="00FE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CE271C6"/>
  <w15:chartTrackingRefBased/>
  <w15:docId w15:val="{B0533C6A-0E8C-4C49-8B00-3A89B155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26AE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6966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966C4"/>
  </w:style>
  <w:style w:type="paragraph" w:styleId="Stopka">
    <w:name w:val="footer"/>
    <w:basedOn w:val="Normalny"/>
    <w:link w:val="StopkaZnak"/>
    <w:uiPriority w:val="99"/>
    <w:unhideWhenUsed/>
    <w:rsid w:val="006966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6C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66C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66C4"/>
  </w:style>
  <w:style w:type="character" w:styleId="Odwoanieprzypisudolnego">
    <w:name w:val="footnote reference"/>
    <w:uiPriority w:val="99"/>
    <w:semiHidden/>
    <w:unhideWhenUsed/>
    <w:rsid w:val="006966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89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8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hr.coe.int/Documents/FS_Childrens_ENG.pdf" TargetMode="External"/><Relationship Id="rId13" Type="http://schemas.openxmlformats.org/officeDocument/2006/relationships/hyperlink" Target="http://www.echr.coe.int/Documents/FS_Taxation_ENG.pdf" TargetMode="External"/><Relationship Id="rId18" Type="http://schemas.openxmlformats.org/officeDocument/2006/relationships/hyperlink" Target="http://hudoc.echr.coe.int/sites/eng-press/pages/search.aspx?i=003-3013376-3325600" TargetMode="External"/><Relationship Id="rId26" Type="http://schemas.openxmlformats.org/officeDocument/2006/relationships/hyperlink" Target="http://hudoc.echr.coe.int/sites/eng-press/pages/search.aspx?i=003-4725089-573980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hudoc.echr.coe.int/sites/eng-press/pages/search.aspx?i=003-68423-68891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echr.coe.int/Documents/FS_Religious_Symbols_ENG.pdf" TargetMode="External"/><Relationship Id="rId17" Type="http://schemas.openxmlformats.org/officeDocument/2006/relationships/image" Target="media/image3.jpeg"/><Relationship Id="rId25" Type="http://schemas.openxmlformats.org/officeDocument/2006/relationships/hyperlink" Target="http://hudoc.echr.coe.int/sites/eng-press/pages/search.aspx?i=003-3162669-351612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chr.coe.int/Documents/Convention_ENG.pdf" TargetMode="External"/><Relationship Id="rId20" Type="http://schemas.openxmlformats.org/officeDocument/2006/relationships/hyperlink" Target="http://hudoc.echr.coe.int/sites/eng-press/pages/search.aspx?i=003-2274253-2426441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chr.coe.int/Documents/FS_Parental_ENG.pdf" TargetMode="External"/><Relationship Id="rId24" Type="http://schemas.openxmlformats.org/officeDocument/2006/relationships/hyperlink" Target="http://hudoc.echr.coe.int/sites/eng-press/pages/search.aspx?i=003-466441-467501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hyperlink" Target="http://cmiskp.echr.coe.int/tkp197/view.asp?action=html&amp;documentId=696016&amp;portal=hbkm&amp;source=externalbydocnumber&amp;table=F69A27FD8FB86142BF01C1166DEA398649" TargetMode="External"/><Relationship Id="rId28" Type="http://schemas.openxmlformats.org/officeDocument/2006/relationships/hyperlink" Target="http://www.echr.coe.int/Documents/Guide_Art_9_FRA.pdf" TargetMode="External"/><Relationship Id="rId10" Type="http://schemas.openxmlformats.org/officeDocument/2006/relationships/hyperlink" Target="http://www.echr.coe.int/Documents/FS_Health_ENG.pdf" TargetMode="External"/><Relationship Id="rId19" Type="http://schemas.openxmlformats.org/officeDocument/2006/relationships/hyperlink" Target="http://hudoc.echr.coe.int/sites/eng-press/pages/search.aspx?i=003-3151460-3507511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chr.coe.int/Documents/FS_Conscientious_objection_ENG.pdf" TargetMode="External"/><Relationship Id="rId14" Type="http://schemas.openxmlformats.org/officeDocument/2006/relationships/hyperlink" Target="http://www.echr.coe.int/Documents/FS_Work_ENG.pdf" TargetMode="External"/><Relationship Id="rId22" Type="http://schemas.openxmlformats.org/officeDocument/2006/relationships/hyperlink" Target="http://cmiskp.echr.coe.int/tkp197/view.asp?action=html&amp;documentId=695704&amp;portal=hbkm&amp;source=externalbydocnumber&amp;table=F69A27FD8FB86142BF01C1166DEA398649" TargetMode="External"/><Relationship Id="rId27" Type="http://schemas.openxmlformats.org/officeDocument/2006/relationships/hyperlink" Target="http://hudoc.echr.coe.int/sites/eng-press/pages/search.aspx?i=003-2160978-2296239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5670</Words>
  <Characters>28695</Characters>
  <Application>Microsoft Office Word</Application>
  <DocSecurity>0</DocSecurity>
  <Lines>699</Lines>
  <Paragraphs>293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34072</CharactersWithSpaces>
  <SharedDoc>false</SharedDoc>
  <HLinks>
    <vt:vector size="114" baseType="variant">
      <vt:variant>
        <vt:i4>2621469</vt:i4>
      </vt:variant>
      <vt:variant>
        <vt:i4>54</vt:i4>
      </vt:variant>
      <vt:variant>
        <vt:i4>0</vt:i4>
      </vt:variant>
      <vt:variant>
        <vt:i4>5</vt:i4>
      </vt:variant>
      <vt:variant>
        <vt:lpwstr>http://www.echr.coe.int/Documents/Guide_Art_9_FRA.pdf</vt:lpwstr>
      </vt:variant>
      <vt:variant>
        <vt:lpwstr/>
      </vt:variant>
      <vt:variant>
        <vt:i4>6225985</vt:i4>
      </vt:variant>
      <vt:variant>
        <vt:i4>51</vt:i4>
      </vt:variant>
      <vt:variant>
        <vt:i4>0</vt:i4>
      </vt:variant>
      <vt:variant>
        <vt:i4>5</vt:i4>
      </vt:variant>
      <vt:variant>
        <vt:lpwstr>http://hudoc.echr.coe.int/sites/eng-press/pages/search.aspx?i=003-2160978-2296239</vt:lpwstr>
      </vt:variant>
      <vt:variant>
        <vt:lpwstr/>
      </vt:variant>
      <vt:variant>
        <vt:i4>5898316</vt:i4>
      </vt:variant>
      <vt:variant>
        <vt:i4>48</vt:i4>
      </vt:variant>
      <vt:variant>
        <vt:i4>0</vt:i4>
      </vt:variant>
      <vt:variant>
        <vt:i4>5</vt:i4>
      </vt:variant>
      <vt:variant>
        <vt:lpwstr>http://hudoc.echr.coe.int/sites/eng-press/pages/search.aspx?i=003-4725089-5739803</vt:lpwstr>
      </vt:variant>
      <vt:variant>
        <vt:lpwstr/>
      </vt:variant>
      <vt:variant>
        <vt:i4>5898308</vt:i4>
      </vt:variant>
      <vt:variant>
        <vt:i4>45</vt:i4>
      </vt:variant>
      <vt:variant>
        <vt:i4>0</vt:i4>
      </vt:variant>
      <vt:variant>
        <vt:i4>5</vt:i4>
      </vt:variant>
      <vt:variant>
        <vt:lpwstr>http://hudoc.echr.coe.int/sites/eng-press/pages/search.aspx?i=003-3162669-3516125</vt:lpwstr>
      </vt:variant>
      <vt:variant>
        <vt:lpwstr/>
      </vt:variant>
      <vt:variant>
        <vt:i4>7536741</vt:i4>
      </vt:variant>
      <vt:variant>
        <vt:i4>42</vt:i4>
      </vt:variant>
      <vt:variant>
        <vt:i4>0</vt:i4>
      </vt:variant>
      <vt:variant>
        <vt:i4>5</vt:i4>
      </vt:variant>
      <vt:variant>
        <vt:lpwstr>http://hudoc.echr.coe.int/sites/eng-press/pages/search.aspx?i=003-466441-467501</vt:lpwstr>
      </vt:variant>
      <vt:variant>
        <vt:lpwstr/>
      </vt:variant>
      <vt:variant>
        <vt:i4>589827</vt:i4>
      </vt:variant>
      <vt:variant>
        <vt:i4>39</vt:i4>
      </vt:variant>
      <vt:variant>
        <vt:i4>0</vt:i4>
      </vt:variant>
      <vt:variant>
        <vt:i4>5</vt:i4>
      </vt:variant>
      <vt:variant>
        <vt:lpwstr>http://cmiskp.echr.coe.int/tkp197/view.asp?action=html&amp;documentId=696016&amp;portal=hbkm&amp;source=externalbydocnumber&amp;table=F69A27FD8FB86142BF01C1166DEA398649</vt:lpwstr>
      </vt:variant>
      <vt:variant>
        <vt:lpwstr/>
      </vt:variant>
      <vt:variant>
        <vt:i4>786433</vt:i4>
      </vt:variant>
      <vt:variant>
        <vt:i4>36</vt:i4>
      </vt:variant>
      <vt:variant>
        <vt:i4>0</vt:i4>
      </vt:variant>
      <vt:variant>
        <vt:i4>5</vt:i4>
      </vt:variant>
      <vt:variant>
        <vt:lpwstr>http://cmiskp.echr.coe.int/tkp197/view.asp?action=html&amp;documentId=695704&amp;portal=hbkm&amp;source=externalbydocnumber&amp;table=F69A27FD8FB86142BF01C1166DEA398649</vt:lpwstr>
      </vt:variant>
      <vt:variant>
        <vt:lpwstr/>
      </vt:variant>
      <vt:variant>
        <vt:i4>5570626</vt:i4>
      </vt:variant>
      <vt:variant>
        <vt:i4>33</vt:i4>
      </vt:variant>
      <vt:variant>
        <vt:i4>0</vt:i4>
      </vt:variant>
      <vt:variant>
        <vt:i4>5</vt:i4>
      </vt:variant>
      <vt:variant>
        <vt:lpwstr>http://hudoc.echr.coe.int/sites/eng-press/pages/search.aspx?i=003-68423-68891</vt:lpwstr>
      </vt:variant>
      <vt:variant>
        <vt:lpwstr/>
      </vt:variant>
      <vt:variant>
        <vt:i4>5963853</vt:i4>
      </vt:variant>
      <vt:variant>
        <vt:i4>30</vt:i4>
      </vt:variant>
      <vt:variant>
        <vt:i4>0</vt:i4>
      </vt:variant>
      <vt:variant>
        <vt:i4>5</vt:i4>
      </vt:variant>
      <vt:variant>
        <vt:lpwstr>http://hudoc.echr.coe.int/sites/eng-press/pages/search.aspx?i=003-2274253-2426441</vt:lpwstr>
      </vt:variant>
      <vt:variant>
        <vt:lpwstr/>
      </vt:variant>
      <vt:variant>
        <vt:i4>5963849</vt:i4>
      </vt:variant>
      <vt:variant>
        <vt:i4>27</vt:i4>
      </vt:variant>
      <vt:variant>
        <vt:i4>0</vt:i4>
      </vt:variant>
      <vt:variant>
        <vt:i4>5</vt:i4>
      </vt:variant>
      <vt:variant>
        <vt:lpwstr>http://hudoc.echr.coe.int/sites/eng-press/pages/search.aspx?i=003-3151460-3507511</vt:lpwstr>
      </vt:variant>
      <vt:variant>
        <vt:lpwstr/>
      </vt:variant>
      <vt:variant>
        <vt:i4>6029389</vt:i4>
      </vt:variant>
      <vt:variant>
        <vt:i4>24</vt:i4>
      </vt:variant>
      <vt:variant>
        <vt:i4>0</vt:i4>
      </vt:variant>
      <vt:variant>
        <vt:i4>5</vt:i4>
      </vt:variant>
      <vt:variant>
        <vt:lpwstr>http://hudoc.echr.coe.int/sites/eng-press/pages/search.aspx?i=003-3013376-3325600</vt:lpwstr>
      </vt:variant>
      <vt:variant>
        <vt:lpwstr/>
      </vt:variant>
      <vt:variant>
        <vt:i4>4718629</vt:i4>
      </vt:variant>
      <vt:variant>
        <vt:i4>21</vt:i4>
      </vt:variant>
      <vt:variant>
        <vt:i4>0</vt:i4>
      </vt:variant>
      <vt:variant>
        <vt:i4>5</vt:i4>
      </vt:variant>
      <vt:variant>
        <vt:lpwstr>http://www.echr.coe.int/Documents/Convention_ENG.pdf</vt:lpwstr>
      </vt:variant>
      <vt:variant>
        <vt:lpwstr/>
      </vt:variant>
      <vt:variant>
        <vt:i4>2162786</vt:i4>
      </vt:variant>
      <vt:variant>
        <vt:i4>18</vt:i4>
      </vt:variant>
      <vt:variant>
        <vt:i4>0</vt:i4>
      </vt:variant>
      <vt:variant>
        <vt:i4>5</vt:i4>
      </vt:variant>
      <vt:variant>
        <vt:lpwstr>http://www.echr.coe.int/Documents/FS_Work_ENG.pdf</vt:lpwstr>
      </vt:variant>
      <vt:variant>
        <vt:lpwstr/>
      </vt:variant>
      <vt:variant>
        <vt:i4>3342433</vt:i4>
      </vt:variant>
      <vt:variant>
        <vt:i4>15</vt:i4>
      </vt:variant>
      <vt:variant>
        <vt:i4>0</vt:i4>
      </vt:variant>
      <vt:variant>
        <vt:i4>5</vt:i4>
      </vt:variant>
      <vt:variant>
        <vt:lpwstr>http://www.echr.coe.int/Documents/FS_Taxation_ENG.pdf</vt:lpwstr>
      </vt:variant>
      <vt:variant>
        <vt:lpwstr/>
      </vt:variant>
      <vt:variant>
        <vt:i4>2883671</vt:i4>
      </vt:variant>
      <vt:variant>
        <vt:i4>12</vt:i4>
      </vt:variant>
      <vt:variant>
        <vt:i4>0</vt:i4>
      </vt:variant>
      <vt:variant>
        <vt:i4>5</vt:i4>
      </vt:variant>
      <vt:variant>
        <vt:lpwstr>http://www.echr.coe.int/Documents/FS_Religious_Symbols_ENG.pdf</vt:lpwstr>
      </vt:variant>
      <vt:variant>
        <vt:lpwstr/>
      </vt:variant>
      <vt:variant>
        <vt:i4>2687098</vt:i4>
      </vt:variant>
      <vt:variant>
        <vt:i4>9</vt:i4>
      </vt:variant>
      <vt:variant>
        <vt:i4>0</vt:i4>
      </vt:variant>
      <vt:variant>
        <vt:i4>5</vt:i4>
      </vt:variant>
      <vt:variant>
        <vt:lpwstr>http://www.echr.coe.int/Documents/FS_Parental_ENG.pdf</vt:lpwstr>
      </vt:variant>
      <vt:variant>
        <vt:lpwstr/>
      </vt:variant>
      <vt:variant>
        <vt:i4>5832711</vt:i4>
      </vt:variant>
      <vt:variant>
        <vt:i4>6</vt:i4>
      </vt:variant>
      <vt:variant>
        <vt:i4>0</vt:i4>
      </vt:variant>
      <vt:variant>
        <vt:i4>5</vt:i4>
      </vt:variant>
      <vt:variant>
        <vt:lpwstr>http://www.echr.coe.int/Documents/FS_Health_ENG.pdf</vt:lpwstr>
      </vt:variant>
      <vt:variant>
        <vt:lpwstr/>
      </vt:variant>
      <vt:variant>
        <vt:i4>4784171</vt:i4>
      </vt:variant>
      <vt:variant>
        <vt:i4>3</vt:i4>
      </vt:variant>
      <vt:variant>
        <vt:i4>0</vt:i4>
      </vt:variant>
      <vt:variant>
        <vt:i4>5</vt:i4>
      </vt:variant>
      <vt:variant>
        <vt:lpwstr>http://www.echr.coe.int/Documents/FS_Conscientious_objection_ENG.pdf</vt:lpwstr>
      </vt:variant>
      <vt:variant>
        <vt:lpwstr/>
      </vt:variant>
      <vt:variant>
        <vt:i4>3342455</vt:i4>
      </vt:variant>
      <vt:variant>
        <vt:i4>0</vt:i4>
      </vt:variant>
      <vt:variant>
        <vt:i4>0</vt:i4>
      </vt:variant>
      <vt:variant>
        <vt:i4>5</vt:i4>
      </vt:variant>
      <vt:variant>
        <vt:lpwstr>http://www.echr.coe.int/Documents/FS_Childrens_ENG.pdf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Chełstowska</dc:creator>
  <cp:keywords/>
  <cp:lastModifiedBy>Podwysocka Wioleta  (DWMPC)</cp:lastModifiedBy>
  <cp:revision>2</cp:revision>
  <dcterms:created xsi:type="dcterms:W3CDTF">2021-06-15T10:46:00Z</dcterms:created>
  <dcterms:modified xsi:type="dcterms:W3CDTF">2021-06-15T10:46:00Z</dcterms:modified>
</cp:coreProperties>
</file>