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B3232C" w:rsidRDefault="00F42E63" w:rsidP="00B3232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63">
        <w:rPr>
          <w:rFonts w:ascii="Times New Roman" w:hAnsi="Times New Roman" w:cs="Times New Roman"/>
          <w:b/>
          <w:sz w:val="24"/>
          <w:szCs w:val="24"/>
        </w:rPr>
        <w:t>Nr ew. 15/2020/WD/DEKiD</w:t>
      </w:r>
    </w:p>
    <w:p w:rsidR="00F42E63" w:rsidRPr="00F42E63" w:rsidRDefault="00F42E63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B3232C" w:rsidRPr="00054C92" w:rsidRDefault="00B3232C" w:rsidP="00B3232C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="00286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B3232C" w:rsidRPr="00054C92" w:rsidRDefault="00B3232C" w:rsidP="00B3232C">
      <w:pPr>
        <w:pStyle w:val="Akapitzlist"/>
        <w:numPr>
          <w:ilvl w:val="0"/>
          <w:numId w:val="1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 związków wyznaniowych oraz 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B3232C" w:rsidRPr="00054C92" w:rsidRDefault="00B3232C" w:rsidP="00B3232C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spółki akcyjne i spółki z ograniczoną odpowiedzialnością oraz kluby sportowe będące spółkami działającymi na podstawie przepisów ustawy z dnia 25 czerwca 2010 r. </w:t>
      </w:r>
      <w:r w:rsid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2019 r. poz. 1468, z późn. zm.), które nie działają w celu osiągniecia zysku oraz przeznaczają całość dochodu na realizację celów statutowych oraz nie przeznaczają zysku do podziału między swoi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B3232C" w:rsidRPr="00054C92" w:rsidRDefault="00B3232C" w:rsidP="00B3232C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maszynowo/komputerowo, według wzoru stanowiącego załącznik nr 1 do rozporządzenia </w:t>
      </w:r>
      <w:r w:rsidR="002869CE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 w:rsidR="00054C92">
        <w:rPr>
          <w:rFonts w:ascii="Times New Roman" w:hAnsi="Times New Roman" w:cs="Times New Roman"/>
          <w:i/>
          <w:sz w:val="24"/>
          <w:szCs w:val="24"/>
          <w:lang w:eastAsia="pl-PL"/>
        </w:rPr>
        <w:t>wozdań z 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 W kalkulacji przewidywanych kosztów realizacji zadania należy wpisać wszystkie działania, które zaplanowane zostały do realizacji.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 realizację zadania oferent zobowiązany jest przeznaczyć środki f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:rsidR="00B3232C" w:rsidRPr="00054C92" w:rsidRDefault="00B3232C" w:rsidP="00B3232C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:rsidR="00B3232C" w:rsidRPr="00054C92" w:rsidRDefault="00B3232C" w:rsidP="00B3232C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 w 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dotacji. W części VI. 3 (Inne informacje) należy wskazać szacunkową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wartość wkładu niefinansowego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podziałem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wkład osobowy i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wkład rzeczowy.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finansowego, o którym mowa w części III.4 Regulaminu i wkładu własnego niefinansowego powod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Koszty administracyjne związane z realizacją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realizacji zadań publicznych związanych z wykorzystaniem broni i amunicji muszą zawierać szczegółowe informacje na temat planowanej liczby i rodzaju wykonywanych strzelań wraz z podaniem liczby i rodzaju amunicji wykorzystywanej podczas przedmiotowych strzeleń, liczby 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określoną część zadania innemu podmiotowi, zobowiązany jest do wskazania w harmonogramie (część III.4 oferty) zakresu działania realizowanego przez podmiot niebędący stroną umowy. Jeżeli oferent nie planuje powierzyć realizacji poszczególnego działania podmiotowi niebędącemu stroną umowy należy wpisać „Nie dotyczy” w rubryce „Zakres działania realizowany przez podmiot niebędący stroną umowy”.</w:t>
      </w:r>
    </w:p>
    <w:p w:rsidR="00B3232C" w:rsidRPr="001D4E36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1D4E36" w:rsidRPr="007267F5" w:rsidRDefault="001D4E36" w:rsidP="001D4E36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</w:t>
      </w:r>
      <w:r w:rsidR="005E3435" w:rsidRPr="00054C92">
        <w:rPr>
          <w:rFonts w:ascii="Times New Roman" w:hAnsi="Times New Roman" w:cs="Times New Roman"/>
          <w:b/>
          <w:sz w:val="24"/>
          <w:szCs w:val="24"/>
        </w:rPr>
        <w:t>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należy złożyć w </w:t>
      </w:r>
      <w:r w:rsidRPr="00054C92">
        <w:rPr>
          <w:rFonts w:ascii="Times New Roman" w:hAnsi="Times New Roman" w:cs="Times New Roman"/>
          <w:sz w:val="24"/>
          <w:szCs w:val="24"/>
        </w:rPr>
        <w:t>Biurze Podawczym Ministerstwa Obr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ony Narodowej mieszczącym się w </w:t>
      </w:r>
      <w:r w:rsidR="00BD2A1C"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B749C1" w:rsidRPr="00054C92" w:rsidRDefault="00B749C1" w:rsidP="00B3232C">
      <w:pPr>
        <w:numPr>
          <w:ilvl w:val="0"/>
          <w:numId w:val="2"/>
        </w:numPr>
        <w:spacing w:before="120"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rozpatrywane są w </w:t>
      </w:r>
      <w:r w:rsidR="00B6634C"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następujących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etapach:</w:t>
      </w:r>
    </w:p>
    <w:p w:rsidR="00B3232C" w:rsidRPr="00054C92" w:rsidRDefault="00B3232C" w:rsidP="00B749C1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Departamencie Edukacji, Kultury i Dziedzictwa MON, po zarejestrowaniu oferty i nadaniu jej numeru identyfikacyjnego. Ocena formalna polega </w:t>
      </w:r>
      <w:r w:rsidR="00B749C1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stwierdzeniu, czy oferta nie zawiera uchybień i błędów formalnych.</w:t>
      </w:r>
    </w:p>
    <w:p w:rsidR="00EF7AB9" w:rsidRPr="00054C92" w:rsidRDefault="00B749C1" w:rsidP="00F42E63">
      <w:pPr>
        <w:pStyle w:val="Akapitzlist"/>
        <w:numPr>
          <w:ilvl w:val="0"/>
          <w:numId w:val="34"/>
        </w:numPr>
        <w:spacing w:before="60" w:after="60" w:line="276" w:lineRule="auto"/>
        <w:ind w:left="107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B749C1" w:rsidRPr="00054C92" w:rsidRDefault="00B749C1" w:rsidP="00F42E63">
      <w:pPr>
        <w:pStyle w:val="Akapitzlist"/>
        <w:spacing w:before="60" w:after="60" w:line="276" w:lineRule="auto"/>
        <w:ind w:left="107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B749C1" w:rsidRPr="00054C92" w:rsidRDefault="00B749C1" w:rsidP="00F42E63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brak 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wykazanych w ogłoszeniu otwartego konkursu ofert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załączników,</w:t>
      </w:r>
    </w:p>
    <w:p w:rsidR="00B749C1" w:rsidRPr="00054C92" w:rsidRDefault="00B749C1" w:rsidP="00F42E63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b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rak podpisu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/podpisów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ofercie lub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niezgodnie z </w:t>
      </w:r>
      <w:r w:rsidR="004B2E63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reprezentacją wskazaną w 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 Rejestrze Sądowym/właściwej ewidencji,</w:t>
      </w:r>
    </w:p>
    <w:p w:rsidR="00EF7AB9" w:rsidRPr="00054C92" w:rsidRDefault="00EF7AB9" w:rsidP="00F42E63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deklaracji o zamiarze odpłatnego lub nieodpłatnego wykonania zadania publicznego (cz. VI.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”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EF7AB9" w:rsidRPr="00054C92" w:rsidRDefault="00EF7AB9" w:rsidP="00F42E63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wyboru stosownej treści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 w cz.</w:t>
      </w:r>
      <w:r w:rsidR="0030565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:rsidR="00C93776" w:rsidRPr="00054C92" w:rsidRDefault="00C93776" w:rsidP="00F42E63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omyłki </w:t>
      </w:r>
      <w:r w:rsidR="001D4E36"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B6634C" w:rsidRPr="00054C92" w:rsidRDefault="00B6634C" w:rsidP="00B6634C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oferentów, których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uchybienia formalne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wykazem uchybień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054C9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https://www.gov.pl/web/obrona-narodowa/otwarte-konkursy-ofert</w:t>
        </w:r>
      </w:hyperlink>
      <w:r w:rsidR="001D4E36">
        <w:rPr>
          <w:rStyle w:val="Hipercze"/>
          <w:rFonts w:ascii="Times New Roman" w:hAnsi="Times New Roman" w:cs="Times New Roman"/>
          <w:color w:val="auto"/>
          <w:sz w:val="24"/>
          <w:szCs w:val="24"/>
        </w:rPr>
        <w:t>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634C" w:rsidRPr="00054C92" w:rsidRDefault="00E232BF" w:rsidP="00AC084C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w terminie 7 dni od dnia opublikowania wykazu na stronie internetowej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maja prawo do usunięcia stwierdzonych uchybień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(decyduje data wpływu usuniętych braków do kancelarii ogólnej MON, zgodnie z pkt III. 15 regulaminu)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Niezłożenie stosownych uzupełnień lub wyjaśnień dotyczących uchybień formalnych we wskazanym terminie powodować będzie odrzucenie oferty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przyczyn formalnych i nie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="00633C2D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podlegał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ocenie merytorycznej. </w:t>
      </w:r>
    </w:p>
    <w:p w:rsidR="0030565E" w:rsidRDefault="0030565E" w:rsidP="0030565E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gdy O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złożył oferty w liczbie przekraczającej dopuszczalny limit, jest zobowiązany wskazać, któr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ofertę/oferty wycofuje z konkursu.</w:t>
      </w:r>
    </w:p>
    <w:p w:rsidR="00B75F7D" w:rsidRPr="00054C92" w:rsidRDefault="00B75F7D" w:rsidP="00F42E63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B75F7D" w:rsidRPr="00054C92" w:rsidRDefault="00B75F7D" w:rsidP="00F42E63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B3232C" w:rsidRPr="00054C92" w:rsidRDefault="00E348F1" w:rsidP="00F42E63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określonym w ogłoszeniu otwartego konkursu ofert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6634C" w:rsidRPr="00054C92" w:rsidRDefault="00B6634C" w:rsidP="00F42E63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druku innym niż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ogłoszeniu otwartego konkursu ofert,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232C" w:rsidRPr="00054C92" w:rsidRDefault="00E348F1" w:rsidP="00F42E63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przez podmiot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nieuprawniony,</w:t>
      </w:r>
    </w:p>
    <w:p w:rsidR="00B3232C" w:rsidRPr="00054C92" w:rsidRDefault="0088354E" w:rsidP="00F42E63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zgodności treści oferty ze 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 w ogłoszeniu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rodzajem 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</w:t>
      </w:r>
    </w:p>
    <w:p w:rsidR="00B3232C" w:rsidRPr="00054C92" w:rsidRDefault="00B3232C" w:rsidP="00F42E63">
      <w:pPr>
        <w:numPr>
          <w:ilvl w:val="0"/>
          <w:numId w:val="36"/>
        </w:numPr>
        <w:suppressAutoHyphens/>
        <w:autoSpaceDN w:val="0"/>
        <w:spacing w:before="60" w:after="6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termin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nie zawiera się w 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przedziale czasowym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podanym w ogło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szeniu otwartego konkursu ofert,</w:t>
      </w:r>
    </w:p>
    <w:p w:rsidR="00B3232C" w:rsidRPr="00054C92" w:rsidRDefault="0088354E" w:rsidP="00F42E63">
      <w:pPr>
        <w:numPr>
          <w:ilvl w:val="0"/>
          <w:numId w:val="36"/>
        </w:numPr>
        <w:spacing w:before="60" w:after="6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obowiązkow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finansowego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podmiotu, 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 którym mowa w 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części III.4 Regulaminu, w wysokości minimum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:rsidR="00B3232C" w:rsidRPr="00054C92" w:rsidRDefault="0088354E" w:rsidP="00F42E63">
      <w:pPr>
        <w:numPr>
          <w:ilvl w:val="0"/>
          <w:numId w:val="36"/>
        </w:numPr>
        <w:spacing w:before="60" w:after="6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własnego niefinansowego (osobowego i rzeczowego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), w wysokości minim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um 10% planowanej kwoty dotacji.</w:t>
      </w:r>
    </w:p>
    <w:p w:rsidR="0030565E" w:rsidRPr="00054C92" w:rsidRDefault="00E348F1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88354E" w:rsidRPr="00054C92" w:rsidRDefault="0030565E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1D4E36"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B3232C" w:rsidRPr="00054C92" w:rsidRDefault="00B3232C" w:rsidP="00B3232C">
      <w:pPr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hAnsi="Times New Roman" w:cs="Times New Roman"/>
          <w:sz w:val="24"/>
          <w:szCs w:val="24"/>
        </w:rPr>
        <w:t xml:space="preserve">dokonywana jest przez nieetatową Komisję </w:t>
      </w:r>
      <w:r w:rsidR="00054C92">
        <w:rPr>
          <w:rFonts w:ascii="Times New Roman" w:hAnsi="Times New Roman" w:cs="Times New Roman"/>
          <w:sz w:val="24"/>
          <w:szCs w:val="24"/>
        </w:rPr>
        <w:t xml:space="preserve">ds. </w:t>
      </w:r>
      <w:r w:rsidRPr="00054C92">
        <w:rPr>
          <w:rFonts w:ascii="Times New Roman" w:hAnsi="Times New Roman" w:cs="Times New Roman"/>
          <w:sz w:val="24"/>
          <w:szCs w:val="24"/>
        </w:rPr>
        <w:t xml:space="preserve">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</w:t>
      </w:r>
      <w:r w:rsidRPr="00054C92">
        <w:rPr>
          <w:rFonts w:ascii="Times New Roman" w:hAnsi="Times New Roman" w:cs="Times New Roman"/>
          <w:sz w:val="24"/>
          <w:szCs w:val="24"/>
        </w:rPr>
        <w:lastRenderedPageBreak/>
        <w:t>również po jego zakończeniu.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B3232C" w:rsidRPr="00054C92" w:rsidRDefault="00B3232C" w:rsidP="00B3232C">
      <w:pPr>
        <w:numPr>
          <w:ilvl w:val="0"/>
          <w:numId w:val="13"/>
        </w:numPr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 możliwość do osiągnięcia dzięki realizacji zaplanowanych działań;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adekwatność proponowanych stawek jednostkowych w odniesieniu do celów, rezultatów i zakresu rzeczowego zadania, które obejmuje oferta;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:rsidR="00B3232C" w:rsidRPr="00054C92" w:rsidRDefault="00B3232C" w:rsidP="00F42E63">
      <w:pPr>
        <w:numPr>
          <w:ilvl w:val="0"/>
          <w:numId w:val="13"/>
        </w:numPr>
        <w:spacing w:before="60" w:after="6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Zadaniem Komisji jest wybranie najlepszych ofert. Posiedzenia Komisji odbywają się w siedzibie Ministerstwa Obrony Narodowej. 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0B6D37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0B6D37" w:rsidRPr="00054C92" w:rsidRDefault="00B3232C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dmiotów i zadań publicznych, na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których przyznane zostały środki z dotacji oraz ich wysokość, ogłaszane są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w Biuletynie Informacji Publicznej Ministerstwa </w:t>
      </w:r>
      <w:r w:rsidR="000B6D37" w:rsidRPr="00054C92">
        <w:rPr>
          <w:rFonts w:ascii="Times New Roman" w:hAnsi="Times New Roman" w:cs="Times New Roman"/>
          <w:sz w:val="24"/>
          <w:szCs w:val="24"/>
        </w:rPr>
        <w:lastRenderedPageBreak/>
        <w:t xml:space="preserve">Obrony Narodowej, link: </w:t>
      </w:r>
      <w:hyperlink r:id="rId9" w:history="1">
        <w:r w:rsidR="000B6D37" w:rsidRPr="00054C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0B6D37" w:rsidRPr="00054C92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0B6D37" w:rsidRPr="00054C92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organu.</w:t>
      </w:r>
    </w:p>
    <w:p w:rsidR="000B6D37" w:rsidRPr="00054C92" w:rsidRDefault="000B6D37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Podmioty, które otrzymały dotację zobowiązane są do skontaktowania się z DEKiD MON drogą elektroniczną: </w:t>
      </w:r>
      <w:hyperlink r:id="rId10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dokumentów, w terminie 30 dni od dnia ogłoszenia wyników otwartego konkursu ofert. Brak kontaktu ze strony oferenta w ww. terminie zostanie uznany za rezygnację z podpisania umowy. 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B3232C" w:rsidRPr="00054C92" w:rsidRDefault="00B3232C" w:rsidP="00B3232C">
      <w:pPr>
        <w:pStyle w:val="Akapitzlist"/>
        <w:numPr>
          <w:ilvl w:val="3"/>
          <w:numId w:val="5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B3232C" w:rsidRPr="00054C92" w:rsidRDefault="00B3232C" w:rsidP="00B3232C">
      <w:pPr>
        <w:numPr>
          <w:ilvl w:val="0"/>
          <w:numId w:val="6"/>
        </w:numPr>
        <w:spacing w:before="120"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 datę zawarcia umowy uważa się datę złożenia ostatniego podpisu przez osobę upoważnioną do reprezentowania stron;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szczególnie uzasadnionych przypadkach, na wniosek oferenta projekt umowy może zostać przesłany do oferenta drogą elektroniczną; oferent jest wówczas zobowiązany do jego uzupełnienia, w szczególności do podania i udokumentowania aktualnych danych osób reprezentujących go i podpisujących umowę; oferent, który otrzymał projekt umowy drogą elektroniczną, zobowiązany jest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zapoznania się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jego treścią, wydrukowania umowy, podpisania, dołączenia wymaganych załączników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niezwłocznego odesłania do Departamentu Eduk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acji, Kultury 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Dziedzictwa MON;</w:t>
      </w:r>
    </w:p>
    <w:p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B3232C" w:rsidRPr="00054C92" w:rsidRDefault="00B3232C" w:rsidP="00F42E63">
      <w:pPr>
        <w:numPr>
          <w:ilvl w:val="0"/>
          <w:numId w:val="14"/>
        </w:numPr>
        <w:suppressAutoHyphens/>
        <w:autoSpaceDN w:val="0"/>
        <w:spacing w:before="60" w:after="6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B3232C" w:rsidRPr="00054C92" w:rsidRDefault="00B3232C" w:rsidP="00F42E63">
      <w:pPr>
        <w:numPr>
          <w:ilvl w:val="0"/>
          <w:numId w:val="14"/>
        </w:numPr>
        <w:suppressAutoHyphens/>
        <w:autoSpaceDN w:val="0"/>
        <w:spacing w:before="60" w:after="6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B3232C" w:rsidRPr="00054C92" w:rsidRDefault="00B3232C" w:rsidP="00F42E63">
      <w:pPr>
        <w:numPr>
          <w:ilvl w:val="0"/>
          <w:numId w:val="14"/>
        </w:numPr>
        <w:suppressAutoHyphens/>
        <w:autoSpaceDN w:val="0"/>
        <w:spacing w:before="60" w:after="6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B3232C" w:rsidRPr="00054C92" w:rsidRDefault="00B3232C" w:rsidP="00F42E63">
      <w:pPr>
        <w:numPr>
          <w:ilvl w:val="0"/>
          <w:numId w:val="14"/>
        </w:numPr>
        <w:suppressAutoHyphens/>
        <w:autoSpaceDN w:val="0"/>
        <w:spacing w:before="60" w:after="6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administracyjny oddalił skargę na decyzję a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B3232C" w:rsidRPr="00054C92" w:rsidRDefault="00B3232C" w:rsidP="00F42E63">
      <w:pPr>
        <w:numPr>
          <w:ilvl w:val="0"/>
          <w:numId w:val="14"/>
        </w:numPr>
        <w:suppressAutoHyphens/>
        <w:autoSpaceDN w:val="0"/>
        <w:spacing w:before="60" w:after="6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toczy się postepowanie egzekucyjne przeciwko oferentowi, co mogłoby spowodować zajęcie dotacji na poczet zobowiązań oferenta;</w:t>
      </w:r>
    </w:p>
    <w:p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1429, z późn. zm.), z zastrzeżeniem wynikającym z art. 5 ust 2 ww. ustawy.</w:t>
      </w:r>
    </w:p>
    <w:p w:rsidR="00B3232C" w:rsidRPr="00054C92" w:rsidRDefault="00B3232C" w:rsidP="00B3232C">
      <w:pPr>
        <w:numPr>
          <w:ilvl w:val="0"/>
          <w:numId w:val="7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 wymaga zmiany umowy dokonanej w formie pisemnej;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III.4.1-3 i w części. III.5 niniejszego Regulaminu, bez konieczności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pisemnej; stosowna informacja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wniesieniu dodatkowego wkładu do zadania musi zostać zawarta w sprawozdaniu z realizacji zadania publicznego;</w:t>
      </w:r>
    </w:p>
    <w:p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B3232C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2869CE" w:rsidRDefault="002869CE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koronawirusa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</w:t>
      </w:r>
      <w:r w:rsidR="002731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godnie z </w:t>
      </w:r>
      <w:r w:rsidR="00854D41"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B3232C" w:rsidRPr="00054C92" w:rsidRDefault="00B3232C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 w:rsidR="00273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zadania publicznego, nie później jednak niż do dnia 31 grudnia danego roku; 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B3232C" w:rsidRPr="00054C92" w:rsidRDefault="00B3232C" w:rsidP="00B3232C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strzelnice, na których realizowane są zadania publiczne muszą posiadać wymagane prawem zezwolenia (decyzje) umożliwiające jej funkcjonowanie;</w:t>
      </w:r>
    </w:p>
    <w:p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zamieszcza się następujące dane: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B3232C" w:rsidRPr="00054C92" w:rsidRDefault="00B3232C" w:rsidP="00B3232C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B3232C" w:rsidRPr="00054C92" w:rsidRDefault="00B3232C" w:rsidP="00B3232C">
      <w:pPr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 w:rsidR="00286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sięgowych spełniających warunki</w:t>
      </w:r>
      <w:r w:rsidR="002731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 poz.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351)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 w:rsidR="00B04E2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2018 r. poz. 2174, z późn. zm.), 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2019 r. poz. 865, z późn. zm.),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nagrody, premie i inne formy bonifikaty rzeczowej lub finansowej dla osób zajmujących się realizacją zadania,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ustawy z 27 sierpnia 2009 r. o finansach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publicznych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869,) w sposób umożliwiający identyfikację poszczególnych operacji księgowych;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chyba, że umowa zezwala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wykonanie określonej części zadania przez taki podmiot; intencja powierzenia realizacji części zadania innemu podmiotowi (podmiotom) musi wynikać z oferty, co też stanowić będzie podstawę do udzielenia stosownego zezwolenia na wykonanie określonej części zadania przez 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 w:rsidR="00BD2A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 w:rsid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podpis),</w:t>
      </w:r>
    </w:p>
    <w:p w:rsidR="00B3232C" w:rsidRPr="00054C92" w:rsidRDefault="00B3232C" w:rsidP="00B3232C">
      <w:pPr>
        <w:pStyle w:val="Akapitzlist"/>
        <w:numPr>
          <w:ilvl w:val="0"/>
          <w:numId w:val="24"/>
        </w:numPr>
        <w:spacing w:after="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zapis, w jakim trybie dokonano zamówienia.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rozliczenie wkładu osobowego (praca wolontariuszy, praca społeczna członków zleceniobiorcy) winno być udokumentowane w następujący sposób: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wolontariusza – poprzez zawarte na piśmie porozumienie (umowę) wolontariacką,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członka zleceniobiorcy – poprzez pisemne oświadczenie władz statutowych zleceniobiorcy;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nieodpłatnie udostępnionych zleceniobiorcy pomieszczeń i obiektów - wyliczonych na podstawie czynszów, opłat, itp.;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dokonywania zwrotu kosztów używania do celów służbowych samochodów osobowych, motocykli i motorowerów niebędących własnością pracodawcy (Dz. U. Nr 27, poz. 271, z późn. zm.), tj.: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cm3 - 0,8358 zł/km,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B3232C" w:rsidRPr="00054C92" w:rsidRDefault="00B3232C" w:rsidP="00B3232C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kwotę wynikającą z przemnożenia liczby faktycznie przejechanych kilometrów i stawki za jeden kilometr przebiegu,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B3232C" w:rsidRPr="00054C92" w:rsidRDefault="00B3232C" w:rsidP="00F42E63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left="92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Zatwierdzenie sprawozdania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 ofercie rezultatów, działań oraz prawidłowości poniesionych kosztów.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zlece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 treści sprawozdania.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Dyrektor Departamentu Edukacji, Kultury i Dziedzictwa MON</w:t>
      </w:r>
    </w:p>
    <w:p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zadania publicznego, o której mowa w pkt 9, powinna być okazywana na wezwanie każdego organu upraw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nionego do kontroli oraz na każde wezwanie komórki organizacyjnej MON właściwej do prowadzenia monitoringu i ewaluacji efektywności działalności proobronnej.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strzeleń, wykaz uczestników) zwierające dane osobowe winny zostać poddane procesowi anonimizacji.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B3232C" w:rsidRPr="00054C92" w:rsidRDefault="00B3232C" w:rsidP="00F42E63">
      <w:pPr>
        <w:numPr>
          <w:ilvl w:val="0"/>
          <w:numId w:val="27"/>
        </w:numPr>
        <w:tabs>
          <w:tab w:val="left" w:pos="-585"/>
        </w:tabs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B3232C" w:rsidRPr="00054C92" w:rsidRDefault="00B3232C" w:rsidP="00F42E63">
      <w:pPr>
        <w:numPr>
          <w:ilvl w:val="0"/>
          <w:numId w:val="2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sprawozdanie podpisuje się czytelnie (pełnym imieniem i nazwiskiem).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B3232C" w:rsidRPr="00054C92" w:rsidRDefault="00B3232C" w:rsidP="00B3232C">
      <w:pPr>
        <w:pStyle w:val="Akapitzlist"/>
        <w:numPr>
          <w:ilvl w:val="3"/>
          <w:numId w:val="3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:rsidR="00B3232C" w:rsidRPr="00054C92" w:rsidRDefault="00B3232C" w:rsidP="00B3232C">
      <w:pPr>
        <w:pStyle w:val="Akapitzlist"/>
        <w:numPr>
          <w:ilvl w:val="3"/>
          <w:numId w:val="3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B3232C" w:rsidRPr="00054C92" w:rsidRDefault="00B3232C" w:rsidP="00F42E63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B3232C" w:rsidRPr="00054C92" w:rsidRDefault="00B3232C" w:rsidP="00F42E63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B3232C" w:rsidRPr="00054C92" w:rsidRDefault="00B3232C" w:rsidP="00F42E63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B3232C" w:rsidRPr="00054C92" w:rsidRDefault="00B3232C" w:rsidP="00F42E63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B3232C" w:rsidRPr="00054C92" w:rsidRDefault="00B3232C" w:rsidP="00F42E63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Kontrola obejmuje prawidłowość wykonania zadania publicznego przez zleceniobiorcę oraz 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 miejscu do przedłożenia do wglądu oryginałów faktur i innych dowodów księgowych dotyczących wydatków poniesionych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potwierdzenie podjętych działań w trakcie realizacji zadania.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 wydatków, by organ, od którego środki te pochodzą, w oparciu o przedstawione i wiarygodne dokumenty,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był w stanie powiązać każdy poniesiony wydatek z realizowanym w ramach zadania działaniem.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="00BD2A1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lastRenderedPageBreak/>
        <w:t>W zakresie związanym z realizacją zadania publicznego, w tym z pr</w:t>
      </w:r>
      <w:r w:rsidR="002869CE"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Zleceniobiorca(-cy) postępuje(-ją) zgodnie z postanowieniami rozporządzenia Parlamentu Europejskiego i Rady (UE) 2</w:t>
      </w:r>
      <w:r w:rsidR="00BD2A1C"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(ogólnego rozporządzenia o ochronie danych (Dz. Urz. UE L 119 z 04.05.2016 r., str. 1), zwanym dalej RODO.</w:t>
      </w:r>
    </w:p>
    <w:p w:rsidR="00B3232C" w:rsidRPr="00054C92" w:rsidRDefault="00B3232C" w:rsidP="00B3232C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 w:rsidR="00BD2A1C"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sectPr w:rsidR="00B3232C" w:rsidRPr="00054C92" w:rsidSect="002869CE">
      <w:headerReference w:type="default" r:id="rId11"/>
      <w:footerReference w:type="even" r:id="rId12"/>
      <w:footerReference w:type="default" r:id="rId13"/>
      <w:pgSz w:w="11906" w:h="16838"/>
      <w:pgMar w:top="1304" w:right="851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D6" w:rsidRDefault="00E21BD6">
      <w:pPr>
        <w:spacing w:after="0" w:line="240" w:lineRule="auto"/>
      </w:pPr>
      <w:r>
        <w:separator/>
      </w:r>
    </w:p>
  </w:endnote>
  <w:endnote w:type="continuationSeparator" w:id="0">
    <w:p w:rsidR="00E21BD6" w:rsidRDefault="00E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E21B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49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BC1" w:rsidRDefault="00E21B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D6" w:rsidRDefault="00E21BD6">
      <w:pPr>
        <w:spacing w:after="0" w:line="240" w:lineRule="auto"/>
      </w:pPr>
      <w:r>
        <w:separator/>
      </w:r>
    </w:p>
  </w:footnote>
  <w:footnote w:type="continuationSeparator" w:id="0">
    <w:p w:rsidR="00E21BD6" w:rsidRDefault="00E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CE" w:rsidRPr="00F42E63" w:rsidRDefault="002869CE" w:rsidP="002869C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42E63">
      <w:rPr>
        <w:rFonts w:ascii="Times New Roman" w:hAnsi="Times New Roman" w:cs="Times New Roman"/>
        <w:sz w:val="24"/>
        <w:szCs w:val="24"/>
      </w:rPr>
      <w:t>Załącznik Nr 1 do ogłoszenia otwartego konkursu ofert Nr</w:t>
    </w:r>
    <w:r w:rsidR="00F42E63" w:rsidRPr="00F42E63">
      <w:rPr>
        <w:rFonts w:ascii="Times New Roman" w:hAnsi="Times New Roman" w:cs="Times New Roman"/>
        <w:sz w:val="24"/>
        <w:szCs w:val="24"/>
      </w:rPr>
      <w:t xml:space="preserve"> ew. 15</w:t>
    </w:r>
    <w:r w:rsidRPr="00F42E63">
      <w:rPr>
        <w:rFonts w:ascii="Times New Roman" w:hAnsi="Times New Roman" w:cs="Times New Roman"/>
        <w:sz w:val="24"/>
        <w:szCs w:val="24"/>
      </w:rPr>
      <w:t>/2020/WD/DEKiD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95C2632"/>
    <w:multiLevelType w:val="hybridMultilevel"/>
    <w:tmpl w:val="F8E4E59E"/>
    <w:lvl w:ilvl="0" w:tplc="40CC570A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9D7"/>
    <w:multiLevelType w:val="hybridMultilevel"/>
    <w:tmpl w:val="0024A480"/>
    <w:lvl w:ilvl="0" w:tplc="6AF4A31C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C8234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4683E"/>
    <w:multiLevelType w:val="multilevel"/>
    <w:tmpl w:val="337C7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AD78E5"/>
    <w:multiLevelType w:val="hybridMultilevel"/>
    <w:tmpl w:val="427E70A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9" w15:restartNumberingAfterBreak="0">
    <w:nsid w:val="5686234A"/>
    <w:multiLevelType w:val="multilevel"/>
    <w:tmpl w:val="13446A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7"/>
  </w:num>
  <w:num w:numId="5">
    <w:abstractNumId w:val="11"/>
  </w:num>
  <w:num w:numId="6">
    <w:abstractNumId w:val="36"/>
  </w:num>
  <w:num w:numId="7">
    <w:abstractNumId w:val="19"/>
  </w:num>
  <w:num w:numId="8">
    <w:abstractNumId w:val="33"/>
  </w:num>
  <w:num w:numId="9">
    <w:abstractNumId w:val="28"/>
  </w:num>
  <w:num w:numId="10">
    <w:abstractNumId w:val="24"/>
  </w:num>
  <w:num w:numId="11">
    <w:abstractNumId w:val="18"/>
  </w:num>
  <w:num w:numId="12">
    <w:abstractNumId w:val="15"/>
  </w:num>
  <w:num w:numId="13">
    <w:abstractNumId w:val="37"/>
  </w:num>
  <w:num w:numId="14">
    <w:abstractNumId w:val="14"/>
  </w:num>
  <w:num w:numId="15">
    <w:abstractNumId w:val="7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30"/>
  </w:num>
  <w:num w:numId="21">
    <w:abstractNumId w:val="9"/>
  </w:num>
  <w:num w:numId="22">
    <w:abstractNumId w:val="34"/>
  </w:num>
  <w:num w:numId="23">
    <w:abstractNumId w:val="35"/>
  </w:num>
  <w:num w:numId="24">
    <w:abstractNumId w:val="12"/>
  </w:num>
  <w:num w:numId="25">
    <w:abstractNumId w:val="8"/>
  </w:num>
  <w:num w:numId="26">
    <w:abstractNumId w:val="31"/>
  </w:num>
  <w:num w:numId="27">
    <w:abstractNumId w:val="2"/>
  </w:num>
  <w:num w:numId="28">
    <w:abstractNumId w:val="27"/>
  </w:num>
  <w:num w:numId="29">
    <w:abstractNumId w:val="1"/>
  </w:num>
  <w:num w:numId="30">
    <w:abstractNumId w:val="29"/>
  </w:num>
  <w:num w:numId="31">
    <w:abstractNumId w:val="25"/>
  </w:num>
  <w:num w:numId="32">
    <w:abstractNumId w:val="16"/>
  </w:num>
  <w:num w:numId="33">
    <w:abstractNumId w:val="32"/>
  </w:num>
  <w:num w:numId="34">
    <w:abstractNumId w:val="23"/>
  </w:num>
  <w:num w:numId="35">
    <w:abstractNumId w:val="20"/>
  </w:num>
  <w:num w:numId="36">
    <w:abstractNumId w:val="21"/>
  </w:num>
  <w:num w:numId="37">
    <w:abstractNumId w:val="2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C"/>
    <w:rsid w:val="00054C92"/>
    <w:rsid w:val="00063F9B"/>
    <w:rsid w:val="000B6D37"/>
    <w:rsid w:val="00155C7F"/>
    <w:rsid w:val="001D4E36"/>
    <w:rsid w:val="00273190"/>
    <w:rsid w:val="002869CE"/>
    <w:rsid w:val="0030565E"/>
    <w:rsid w:val="004B2E63"/>
    <w:rsid w:val="00555F04"/>
    <w:rsid w:val="005E3435"/>
    <w:rsid w:val="00633C2D"/>
    <w:rsid w:val="007D3030"/>
    <w:rsid w:val="00854D41"/>
    <w:rsid w:val="0088354E"/>
    <w:rsid w:val="00995AB8"/>
    <w:rsid w:val="00AC084C"/>
    <w:rsid w:val="00B04E24"/>
    <w:rsid w:val="00B3232C"/>
    <w:rsid w:val="00B6634C"/>
    <w:rsid w:val="00B749C1"/>
    <w:rsid w:val="00B75F7D"/>
    <w:rsid w:val="00BD2A1C"/>
    <w:rsid w:val="00C8764B"/>
    <w:rsid w:val="00C93776"/>
    <w:rsid w:val="00DF1565"/>
    <w:rsid w:val="00E14C70"/>
    <w:rsid w:val="00E21BD6"/>
    <w:rsid w:val="00E232BF"/>
    <w:rsid w:val="00E27770"/>
    <w:rsid w:val="00E348F1"/>
    <w:rsid w:val="00EF7AB9"/>
    <w:rsid w:val="00F42E63"/>
    <w:rsid w:val="00F7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17E5-E230-47C1-9665-FE15B28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32C"/>
  </w:style>
  <w:style w:type="character" w:styleId="Numerstrony">
    <w:name w:val="page number"/>
    <w:basedOn w:val="Domylnaczcionkaakapitu"/>
    <w:semiHidden/>
    <w:rsid w:val="00B3232C"/>
  </w:style>
  <w:style w:type="paragraph" w:styleId="Akapitzlist">
    <w:name w:val="List Paragraph"/>
    <w:basedOn w:val="Normalny"/>
    <w:uiPriority w:val="34"/>
    <w:qFormat/>
    <w:rsid w:val="00B323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3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32C"/>
  </w:style>
  <w:style w:type="paragraph" w:styleId="Tekstdymka">
    <w:name w:val="Balloon Text"/>
    <w:basedOn w:val="Normalny"/>
    <w:link w:val="TekstdymkaZnak"/>
    <w:uiPriority w:val="99"/>
    <w:semiHidden/>
    <w:unhideWhenUsed/>
    <w:rsid w:val="00AC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6286</Words>
  <Characters>37721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2020-09-07T10:33:00Z</cp:lastPrinted>
  <dcterms:created xsi:type="dcterms:W3CDTF">2020-09-16T12:20:00Z</dcterms:created>
  <dcterms:modified xsi:type="dcterms:W3CDTF">2020-09-16T12:20:00Z</dcterms:modified>
</cp:coreProperties>
</file>