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46C" w:rsidRPr="004E607A" w:rsidRDefault="00B04E37" w:rsidP="009A246C">
      <w:pPr>
        <w:framePr w:w="4500" w:h="1553" w:hRule="exact" w:hSpace="180" w:wrap="around" w:vAnchor="text" w:hAnchor="page" w:x="1381" w:y="-29"/>
        <w:tabs>
          <w:tab w:val="left" w:pos="6237"/>
        </w:tabs>
        <w:spacing w:line="360" w:lineRule="auto"/>
        <w:ind w:right="-567"/>
      </w:pPr>
      <w:r>
        <w:t xml:space="preserve">                      </w:t>
      </w:r>
      <w:r>
        <w:rPr>
          <w:noProof/>
        </w:rPr>
        <w:drawing>
          <wp:inline distT="0" distB="0" distL="0" distR="0">
            <wp:extent cx="457200" cy="51816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193" t="32320" r="50797" b="333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</w:t>
      </w:r>
      <w:r w:rsidRPr="004E607A">
        <w:t xml:space="preserve">                   </w:t>
      </w:r>
      <w:r>
        <w:t xml:space="preserve">                           </w:t>
      </w:r>
    </w:p>
    <w:p w:rsidR="009A246C" w:rsidRPr="001C7B5F" w:rsidRDefault="00B04E37" w:rsidP="009A246C">
      <w:pPr>
        <w:framePr w:w="4500" w:h="1553" w:hRule="exact" w:hSpace="180" w:wrap="around" w:vAnchor="text" w:hAnchor="page" w:x="1381" w:y="-29"/>
        <w:autoSpaceDE w:val="0"/>
        <w:autoSpaceDN w:val="0"/>
        <w:adjustRightInd w:val="0"/>
        <w:spacing w:line="360" w:lineRule="auto"/>
        <w:rPr>
          <w:rStyle w:val="Pogrubienie"/>
        </w:rPr>
      </w:pPr>
      <w:r w:rsidRPr="001C7B5F">
        <w:rPr>
          <w:rStyle w:val="Pogrubienie"/>
        </w:rPr>
        <w:t>WOJEWODA MAZOWIECKI</w:t>
      </w:r>
    </w:p>
    <w:p w:rsidR="009A246C" w:rsidRPr="004E65D9" w:rsidRDefault="00B04E37" w:rsidP="009A246C">
      <w:pPr>
        <w:framePr w:w="4500" w:h="1553" w:hRule="exact" w:hSpace="180" w:wrap="around" w:vAnchor="text" w:hAnchor="page" w:x="1381" w:y="-29"/>
        <w:spacing w:line="360" w:lineRule="auto"/>
        <w:jc w:val="center"/>
        <w:rPr>
          <w:sz w:val="20"/>
          <w:szCs w:val="20"/>
          <w:u w:val="single"/>
        </w:rPr>
      </w:pPr>
    </w:p>
    <w:p w:rsidR="009A246C" w:rsidRPr="00EE75C1" w:rsidRDefault="00B04E37" w:rsidP="009A246C">
      <w:pPr>
        <w:framePr w:w="4500" w:h="1553" w:hRule="exact" w:hSpace="180" w:wrap="around" w:vAnchor="text" w:hAnchor="page" w:x="1381" w:y="-29"/>
        <w:autoSpaceDE w:val="0"/>
        <w:autoSpaceDN w:val="0"/>
        <w:adjustRightInd w:val="0"/>
        <w:spacing w:line="360" w:lineRule="auto"/>
        <w:rPr>
          <w:b/>
          <w:bCs/>
          <w:color w:val="000000"/>
          <w:sz w:val="20"/>
          <w:szCs w:val="20"/>
        </w:rPr>
      </w:pPr>
    </w:p>
    <w:p w:rsidR="009A246C" w:rsidRPr="00EE75C1" w:rsidRDefault="00B04E37" w:rsidP="009A246C">
      <w:pPr>
        <w:framePr w:w="4500" w:h="1553" w:hRule="exact" w:hSpace="180" w:wrap="around" w:vAnchor="text" w:hAnchor="page" w:x="1381" w:y="-29"/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  <w:sz w:val="20"/>
          <w:szCs w:val="20"/>
        </w:rPr>
      </w:pPr>
    </w:p>
    <w:p w:rsidR="009A246C" w:rsidRPr="00EE75C1" w:rsidRDefault="00B04E37" w:rsidP="009A246C">
      <w:pPr>
        <w:framePr w:w="4500" w:h="1553" w:hRule="exact" w:hSpace="180" w:wrap="around" w:vAnchor="text" w:hAnchor="page" w:x="1381" w:y="-29"/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  <w:sz w:val="20"/>
          <w:szCs w:val="20"/>
        </w:rPr>
      </w:pPr>
    </w:p>
    <w:p w:rsidR="009A246C" w:rsidRDefault="00B04E37" w:rsidP="009A246C">
      <w:pPr>
        <w:tabs>
          <w:tab w:val="left" w:pos="6237"/>
        </w:tabs>
        <w:spacing w:line="360" w:lineRule="auto"/>
      </w:pPr>
      <w:r>
        <w:t xml:space="preserve">                          Warszawa, </w:t>
      </w:r>
      <w:bookmarkStart w:id="0" w:name="ezdDataPodpisu"/>
      <w:r>
        <w:t>12 sierpnia 2021 r.</w:t>
      </w:r>
      <w:bookmarkEnd w:id="0"/>
    </w:p>
    <w:p w:rsidR="009A246C" w:rsidRDefault="00B04E37" w:rsidP="009A246C">
      <w:pPr>
        <w:spacing w:line="360" w:lineRule="auto"/>
      </w:pPr>
    </w:p>
    <w:p w:rsidR="009A246C" w:rsidRDefault="00B04E37" w:rsidP="009A246C">
      <w:pPr>
        <w:spacing w:line="360" w:lineRule="auto"/>
      </w:pPr>
    </w:p>
    <w:p w:rsidR="009A246C" w:rsidRPr="00D85864" w:rsidRDefault="00B04E37" w:rsidP="009A246C">
      <w:pPr>
        <w:spacing w:line="360" w:lineRule="auto"/>
      </w:pPr>
    </w:p>
    <w:p w:rsidR="009A246C" w:rsidRPr="00283966" w:rsidRDefault="00B04E37" w:rsidP="009A246C">
      <w:pPr>
        <w:spacing w:line="360" w:lineRule="auto"/>
        <w:rPr>
          <w:sz w:val="20"/>
        </w:rPr>
      </w:pPr>
      <w:r>
        <w:rPr>
          <w:sz w:val="20"/>
        </w:rPr>
        <w:t xml:space="preserve">          </w:t>
      </w:r>
      <w:bookmarkStart w:id="1" w:name="_GoBack"/>
      <w:r>
        <w:rPr>
          <w:sz w:val="20"/>
        </w:rPr>
        <w:t>WNP-I.4131.</w:t>
      </w:r>
      <w:r>
        <w:rPr>
          <w:sz w:val="20"/>
        </w:rPr>
        <w:t>178</w:t>
      </w:r>
      <w:r w:rsidRPr="00283966">
        <w:rPr>
          <w:sz w:val="20"/>
        </w:rPr>
        <w:t>.2021</w:t>
      </w:r>
      <w:r>
        <w:rPr>
          <w:sz w:val="20"/>
        </w:rPr>
        <w:t>.ML</w:t>
      </w:r>
      <w:bookmarkEnd w:id="1"/>
    </w:p>
    <w:p w:rsidR="009A246C" w:rsidRPr="00A433E2" w:rsidRDefault="00B04E37" w:rsidP="009A246C">
      <w:pPr>
        <w:spacing w:line="360" w:lineRule="auto"/>
        <w:rPr>
          <w:sz w:val="20"/>
        </w:rPr>
      </w:pPr>
    </w:p>
    <w:p w:rsidR="009A246C" w:rsidRPr="00CD266A" w:rsidRDefault="00B04E37" w:rsidP="009A246C">
      <w:pPr>
        <w:spacing w:line="360" w:lineRule="auto"/>
        <w:rPr>
          <w:b/>
          <w:sz w:val="28"/>
          <w:szCs w:val="28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CD266A">
        <w:rPr>
          <w:b/>
          <w:sz w:val="28"/>
          <w:szCs w:val="28"/>
        </w:rPr>
        <w:t xml:space="preserve">Rada Gminy Lesznowola </w:t>
      </w:r>
    </w:p>
    <w:p w:rsidR="009A246C" w:rsidRPr="00CD266A" w:rsidRDefault="00B04E37" w:rsidP="009A246C">
      <w:pPr>
        <w:spacing w:line="360" w:lineRule="auto"/>
        <w:rPr>
          <w:b/>
          <w:sz w:val="28"/>
          <w:szCs w:val="28"/>
        </w:rPr>
      </w:pPr>
      <w:r w:rsidRPr="00CD266A">
        <w:rPr>
          <w:b/>
          <w:sz w:val="28"/>
          <w:szCs w:val="28"/>
        </w:rPr>
        <w:tab/>
      </w:r>
      <w:r w:rsidRPr="00CD266A">
        <w:rPr>
          <w:b/>
          <w:sz w:val="28"/>
          <w:szCs w:val="28"/>
        </w:rPr>
        <w:tab/>
      </w:r>
      <w:r w:rsidRPr="00CD266A">
        <w:rPr>
          <w:b/>
          <w:sz w:val="28"/>
          <w:szCs w:val="28"/>
        </w:rPr>
        <w:tab/>
      </w:r>
      <w:r w:rsidRPr="00CD266A">
        <w:rPr>
          <w:b/>
          <w:sz w:val="28"/>
          <w:szCs w:val="28"/>
        </w:rPr>
        <w:tab/>
      </w:r>
      <w:r w:rsidRPr="00CD266A">
        <w:rPr>
          <w:b/>
          <w:sz w:val="28"/>
          <w:szCs w:val="28"/>
        </w:rPr>
        <w:tab/>
      </w:r>
      <w:r w:rsidRPr="00CD266A">
        <w:rPr>
          <w:b/>
          <w:sz w:val="28"/>
          <w:szCs w:val="28"/>
        </w:rPr>
        <w:tab/>
      </w:r>
      <w:r w:rsidRPr="00CD266A">
        <w:rPr>
          <w:b/>
          <w:sz w:val="28"/>
          <w:szCs w:val="28"/>
        </w:rPr>
        <w:tab/>
      </w:r>
      <w:r w:rsidRPr="00CD266A">
        <w:rPr>
          <w:b/>
          <w:sz w:val="28"/>
          <w:szCs w:val="28"/>
        </w:rPr>
        <w:tab/>
        <w:t xml:space="preserve">ul. </w:t>
      </w:r>
      <w:r w:rsidRPr="00CD266A">
        <w:rPr>
          <w:b/>
          <w:sz w:val="28"/>
          <w:szCs w:val="28"/>
        </w:rPr>
        <w:t>Gminna 60</w:t>
      </w:r>
    </w:p>
    <w:p w:rsidR="009A246C" w:rsidRPr="00CD266A" w:rsidRDefault="00B04E37" w:rsidP="009A246C">
      <w:pPr>
        <w:spacing w:line="360" w:lineRule="auto"/>
        <w:rPr>
          <w:b/>
          <w:sz w:val="28"/>
          <w:szCs w:val="28"/>
        </w:rPr>
      </w:pPr>
      <w:r w:rsidRPr="00CD266A">
        <w:rPr>
          <w:b/>
          <w:sz w:val="28"/>
          <w:szCs w:val="28"/>
        </w:rPr>
        <w:tab/>
      </w:r>
      <w:r w:rsidRPr="00CD266A">
        <w:rPr>
          <w:b/>
          <w:sz w:val="28"/>
          <w:szCs w:val="28"/>
        </w:rPr>
        <w:tab/>
      </w:r>
      <w:r w:rsidRPr="00CD266A">
        <w:rPr>
          <w:b/>
          <w:sz w:val="28"/>
          <w:szCs w:val="28"/>
        </w:rPr>
        <w:tab/>
      </w:r>
      <w:r w:rsidRPr="00CD266A">
        <w:rPr>
          <w:b/>
          <w:sz w:val="28"/>
          <w:szCs w:val="28"/>
        </w:rPr>
        <w:tab/>
      </w:r>
      <w:r w:rsidRPr="00CD266A">
        <w:rPr>
          <w:b/>
          <w:sz w:val="28"/>
          <w:szCs w:val="28"/>
        </w:rPr>
        <w:tab/>
      </w:r>
      <w:r w:rsidRPr="00CD266A">
        <w:rPr>
          <w:b/>
          <w:sz w:val="28"/>
          <w:szCs w:val="28"/>
        </w:rPr>
        <w:tab/>
      </w:r>
      <w:r w:rsidRPr="00CD266A">
        <w:rPr>
          <w:b/>
          <w:sz w:val="28"/>
          <w:szCs w:val="28"/>
        </w:rPr>
        <w:tab/>
      </w:r>
      <w:r w:rsidRPr="00CD266A">
        <w:rPr>
          <w:b/>
          <w:sz w:val="28"/>
          <w:szCs w:val="28"/>
        </w:rPr>
        <w:tab/>
        <w:t>05-506 Lesznowola</w:t>
      </w:r>
    </w:p>
    <w:p w:rsidR="009A246C" w:rsidRPr="00283966" w:rsidRDefault="00B04E37" w:rsidP="009A246C">
      <w:pPr>
        <w:spacing w:line="360" w:lineRule="auto"/>
        <w:jc w:val="both"/>
      </w:pPr>
    </w:p>
    <w:p w:rsidR="009A246C" w:rsidRDefault="00B04E37" w:rsidP="009A246C">
      <w:pPr>
        <w:spacing w:line="360" w:lineRule="auto"/>
        <w:jc w:val="center"/>
        <w:rPr>
          <w:b/>
        </w:rPr>
      </w:pPr>
      <w:r w:rsidRPr="00D114FC">
        <w:rPr>
          <w:b/>
        </w:rPr>
        <w:t>Rozstrzygnięcie nadzorcze</w:t>
      </w:r>
    </w:p>
    <w:p w:rsidR="009A246C" w:rsidRPr="00D114FC" w:rsidRDefault="00B04E37" w:rsidP="009A246C">
      <w:pPr>
        <w:spacing w:line="360" w:lineRule="auto"/>
        <w:jc w:val="center"/>
        <w:rPr>
          <w:b/>
        </w:rPr>
      </w:pPr>
    </w:p>
    <w:p w:rsidR="009A246C" w:rsidRPr="00D114FC" w:rsidRDefault="00B04E37" w:rsidP="009A246C">
      <w:pPr>
        <w:spacing w:line="360" w:lineRule="auto"/>
        <w:jc w:val="both"/>
      </w:pPr>
      <w:r w:rsidRPr="00D114FC">
        <w:t xml:space="preserve">Działając na podstawie art. 91 ust. 1, w związku z art. 86 ustawy z dnia 8 marca 1990 r. </w:t>
      </w:r>
      <w:r>
        <w:br/>
      </w:r>
      <w:r w:rsidRPr="00D114FC">
        <w:t xml:space="preserve">o samorządzie gminnym (Dz. U. z 2020 r. poz. </w:t>
      </w:r>
      <w:r>
        <w:t>1372</w:t>
      </w:r>
      <w:r w:rsidRPr="00D114FC">
        <w:t>)</w:t>
      </w:r>
    </w:p>
    <w:p w:rsidR="009A246C" w:rsidRDefault="00B04E37" w:rsidP="009A246C">
      <w:pPr>
        <w:spacing w:line="360" w:lineRule="auto"/>
        <w:jc w:val="center"/>
        <w:rPr>
          <w:b/>
        </w:rPr>
      </w:pPr>
    </w:p>
    <w:p w:rsidR="009A246C" w:rsidRDefault="00B04E37" w:rsidP="009A246C">
      <w:pPr>
        <w:spacing w:line="360" w:lineRule="auto"/>
        <w:jc w:val="center"/>
        <w:rPr>
          <w:b/>
        </w:rPr>
      </w:pPr>
      <w:r w:rsidRPr="00D114FC">
        <w:rPr>
          <w:b/>
        </w:rPr>
        <w:t>stwierdzam nieważność</w:t>
      </w:r>
    </w:p>
    <w:p w:rsidR="00552FA5" w:rsidRDefault="00B04E37" w:rsidP="009A246C">
      <w:pPr>
        <w:spacing w:line="360" w:lineRule="auto"/>
        <w:jc w:val="center"/>
        <w:rPr>
          <w:b/>
        </w:rPr>
      </w:pPr>
    </w:p>
    <w:p w:rsidR="00552FA5" w:rsidRDefault="00B04E37" w:rsidP="009A246C">
      <w:pPr>
        <w:spacing w:line="360" w:lineRule="auto"/>
        <w:jc w:val="both"/>
      </w:pPr>
      <w:r w:rsidRPr="00CD266A">
        <w:t xml:space="preserve">uchwały Rady </w:t>
      </w:r>
      <w:r>
        <w:t xml:space="preserve">Gminy Lesznowola </w:t>
      </w:r>
      <w:r w:rsidRPr="00CD266A">
        <w:t>Nr</w:t>
      </w:r>
      <w:r>
        <w:t xml:space="preserve"> 4</w:t>
      </w:r>
      <w:r>
        <w:t>72</w:t>
      </w:r>
      <w:r>
        <w:t>/X</w:t>
      </w:r>
      <w:r>
        <w:t>LI</w:t>
      </w:r>
      <w:r>
        <w:t xml:space="preserve">/2021 </w:t>
      </w:r>
      <w:r w:rsidRPr="00CD266A">
        <w:t>z dnia</w:t>
      </w:r>
      <w:r>
        <w:t xml:space="preserve"> 2</w:t>
      </w:r>
      <w:r>
        <w:t>2 lipca</w:t>
      </w:r>
      <w:r>
        <w:t xml:space="preserve"> 2021 r.</w:t>
      </w:r>
      <w:r w:rsidRPr="00CD266A">
        <w:t xml:space="preserve"> </w:t>
      </w:r>
      <w:bookmarkStart w:id="2" w:name="_Hlk79148726"/>
      <w:r w:rsidRPr="00CD266A">
        <w:rPr>
          <w:i/>
        </w:rPr>
        <w:t>w sprawie</w:t>
      </w:r>
      <w:r>
        <w:rPr>
          <w:i/>
        </w:rPr>
        <w:t xml:space="preserve"> określenia zasad udzielania i rozmiaru zniżek tygodniowego obowiązkowego wymiaru godzin zajęć nauczycielom, którym powierzono stanowiska kierownicze w szkołach i placówkach oświatowych prow</w:t>
      </w:r>
      <w:r>
        <w:rPr>
          <w:i/>
        </w:rPr>
        <w:t>adzonych przez Gminę Lesznowola</w:t>
      </w:r>
      <w:r>
        <w:tab/>
      </w:r>
      <w:r>
        <w:tab/>
      </w:r>
      <w:r>
        <w:tab/>
      </w:r>
    </w:p>
    <w:bookmarkEnd w:id="2"/>
    <w:p w:rsidR="009A246C" w:rsidRDefault="00B04E37" w:rsidP="009A246C">
      <w:pPr>
        <w:spacing w:line="360" w:lineRule="auto"/>
        <w:jc w:val="both"/>
        <w:rPr>
          <w:b/>
        </w:rPr>
      </w:pPr>
      <w:r w:rsidRPr="00520B17">
        <w:rPr>
          <w:b/>
        </w:rPr>
        <w:tab/>
      </w:r>
    </w:p>
    <w:p w:rsidR="009A246C" w:rsidRPr="00520B17" w:rsidRDefault="00B04E37" w:rsidP="009A246C">
      <w:pPr>
        <w:spacing w:line="360" w:lineRule="auto"/>
        <w:ind w:left="3540" w:firstLine="708"/>
        <w:jc w:val="both"/>
        <w:rPr>
          <w:b/>
        </w:rPr>
      </w:pPr>
      <w:r w:rsidRPr="00520B17">
        <w:rPr>
          <w:b/>
        </w:rPr>
        <w:t>Uzasadnienie</w:t>
      </w:r>
    </w:p>
    <w:p w:rsidR="009A246C" w:rsidRPr="006D7C02" w:rsidRDefault="00B04E37" w:rsidP="00E7446A">
      <w:pPr>
        <w:spacing w:line="360" w:lineRule="auto"/>
        <w:ind w:firstLine="708"/>
        <w:jc w:val="both"/>
        <w:rPr>
          <w:i/>
        </w:rPr>
      </w:pPr>
      <w:r w:rsidRPr="006D7C02">
        <w:t xml:space="preserve">Na sesji w dniu </w:t>
      </w:r>
      <w:r>
        <w:t>2</w:t>
      </w:r>
      <w:r>
        <w:t>2 lipca</w:t>
      </w:r>
      <w:r w:rsidRPr="006D7C02">
        <w:t xml:space="preserve"> 202</w:t>
      </w:r>
      <w:r>
        <w:t>1</w:t>
      </w:r>
      <w:r w:rsidRPr="006D7C02">
        <w:t xml:space="preserve"> r. Rada </w:t>
      </w:r>
      <w:r>
        <w:t>Gminy Lesznowola</w:t>
      </w:r>
      <w:r w:rsidRPr="006D7C02">
        <w:t xml:space="preserve"> podjęła uchwałę Nr </w:t>
      </w:r>
      <w:r>
        <w:t>4</w:t>
      </w:r>
      <w:r>
        <w:t>72</w:t>
      </w:r>
      <w:r>
        <w:t>/X</w:t>
      </w:r>
      <w:r>
        <w:t>LI</w:t>
      </w:r>
      <w:r w:rsidRPr="006D7C02">
        <w:t>/202</w:t>
      </w:r>
      <w:r>
        <w:t>1</w:t>
      </w:r>
      <w:r w:rsidRPr="006D7C02">
        <w:t xml:space="preserve"> </w:t>
      </w:r>
      <w:r>
        <w:br/>
      </w:r>
      <w:r w:rsidRPr="006D7C02">
        <w:rPr>
          <w:i/>
        </w:rPr>
        <w:t>w</w:t>
      </w:r>
      <w:r>
        <w:rPr>
          <w:i/>
        </w:rPr>
        <w:t xml:space="preserve"> </w:t>
      </w:r>
      <w:r w:rsidRPr="00CD266A">
        <w:rPr>
          <w:i/>
        </w:rPr>
        <w:t>sprawie</w:t>
      </w:r>
      <w:r>
        <w:rPr>
          <w:i/>
        </w:rPr>
        <w:t xml:space="preserve"> określenia zasad udzielania i rozmiaru zniżek tygodniowego obowiązkowego wymiaru godzin zajęć nauczycielom, </w:t>
      </w:r>
      <w:r>
        <w:rPr>
          <w:i/>
        </w:rPr>
        <w:t>którym powierzono stanowiska kierownicze w szkołach i placówkach oświatowych prowadzonych przez Gminę Lesznowola.</w:t>
      </w:r>
    </w:p>
    <w:p w:rsidR="009E20EB" w:rsidRDefault="00B04E37" w:rsidP="009A246C">
      <w:pPr>
        <w:spacing w:line="360" w:lineRule="auto"/>
        <w:ind w:firstLine="708"/>
        <w:jc w:val="both"/>
        <w:rPr>
          <w:rFonts w:eastAsia="MS Mincho"/>
          <w:i/>
        </w:rPr>
      </w:pPr>
      <w:r w:rsidRPr="006D7C02">
        <w:rPr>
          <w:rFonts w:eastAsia="MS Mincho"/>
        </w:rPr>
        <w:t>Jako podstawę prawną uchwały wskazano w niej art. 18 ust. 2 pkt 15 ustawy o samorządzie gminnym</w:t>
      </w:r>
      <w:r>
        <w:rPr>
          <w:rFonts w:eastAsia="MS Mincho"/>
        </w:rPr>
        <w:t xml:space="preserve"> oraz </w:t>
      </w:r>
      <w:r w:rsidRPr="006D7C02">
        <w:rPr>
          <w:rFonts w:eastAsia="MS Mincho"/>
        </w:rPr>
        <w:t xml:space="preserve">art. </w:t>
      </w:r>
      <w:r>
        <w:rPr>
          <w:rFonts w:eastAsia="MS Mincho"/>
        </w:rPr>
        <w:t xml:space="preserve">42 ust. 7 pkt 2 </w:t>
      </w:r>
      <w:r>
        <w:rPr>
          <w:rFonts w:eastAsia="MS Mincho"/>
        </w:rPr>
        <w:t xml:space="preserve">ustawy z dnia </w:t>
      </w:r>
      <w:r>
        <w:rPr>
          <w:rFonts w:eastAsia="MS Mincho"/>
        </w:rPr>
        <w:t>26 sty</w:t>
      </w:r>
      <w:r>
        <w:rPr>
          <w:rFonts w:eastAsia="MS Mincho"/>
        </w:rPr>
        <w:t xml:space="preserve">cznia 1982 r. – Karta Nauczyciela </w:t>
      </w:r>
      <w:r>
        <w:rPr>
          <w:rFonts w:eastAsia="MS Mincho"/>
        </w:rPr>
        <w:t xml:space="preserve">(Dz.U. </w:t>
      </w:r>
      <w:r>
        <w:rPr>
          <w:rFonts w:eastAsia="MS Mincho"/>
        </w:rPr>
        <w:br/>
      </w:r>
      <w:r>
        <w:rPr>
          <w:rFonts w:eastAsia="MS Mincho"/>
        </w:rPr>
        <w:t>z 20</w:t>
      </w:r>
      <w:r>
        <w:rPr>
          <w:rFonts w:eastAsia="MS Mincho"/>
        </w:rPr>
        <w:t>19 poz. 2215</w:t>
      </w:r>
      <w:r>
        <w:rPr>
          <w:rFonts w:eastAsia="MS Mincho"/>
        </w:rPr>
        <w:t>, z późn. zm.</w:t>
      </w:r>
      <w:r>
        <w:rPr>
          <w:rFonts w:eastAsia="MS Mincho"/>
        </w:rPr>
        <w:t xml:space="preserve">), zwanej dalej </w:t>
      </w:r>
      <w:r w:rsidRPr="004650FF">
        <w:rPr>
          <w:rFonts w:eastAsia="MS Mincho"/>
          <w:i/>
        </w:rPr>
        <w:t>„</w:t>
      </w:r>
      <w:r>
        <w:rPr>
          <w:rFonts w:eastAsia="MS Mincho"/>
          <w:i/>
        </w:rPr>
        <w:t>Kart</w:t>
      </w:r>
      <w:r>
        <w:rPr>
          <w:rFonts w:eastAsia="MS Mincho"/>
          <w:i/>
        </w:rPr>
        <w:t>ą</w:t>
      </w:r>
      <w:r>
        <w:rPr>
          <w:rFonts w:eastAsia="MS Mincho"/>
          <w:i/>
        </w:rPr>
        <w:t xml:space="preserve"> Nauczyciela”</w:t>
      </w:r>
      <w:r>
        <w:rPr>
          <w:rFonts w:eastAsia="MS Mincho"/>
          <w:i/>
        </w:rPr>
        <w:t>.</w:t>
      </w:r>
      <w:r>
        <w:rPr>
          <w:rFonts w:eastAsia="MS Mincho"/>
          <w:i/>
        </w:rPr>
        <w:t xml:space="preserve"> </w:t>
      </w:r>
    </w:p>
    <w:p w:rsidR="009A246C" w:rsidRPr="009E20EB" w:rsidRDefault="00B04E37" w:rsidP="009A246C">
      <w:pPr>
        <w:spacing w:line="360" w:lineRule="auto"/>
        <w:ind w:firstLine="708"/>
        <w:jc w:val="both"/>
        <w:rPr>
          <w:rFonts w:eastAsia="MS Mincho"/>
        </w:rPr>
      </w:pPr>
      <w:r>
        <w:rPr>
          <w:rFonts w:eastAsia="MS Mincho"/>
        </w:rPr>
        <w:t>Z u</w:t>
      </w:r>
      <w:r>
        <w:rPr>
          <w:rFonts w:eastAsia="MS Mincho"/>
        </w:rPr>
        <w:t>za</w:t>
      </w:r>
      <w:r>
        <w:rPr>
          <w:rFonts w:eastAsia="MS Mincho"/>
        </w:rPr>
        <w:t>sadnienia</w:t>
      </w:r>
      <w:r>
        <w:rPr>
          <w:rFonts w:eastAsia="MS Mincho"/>
        </w:rPr>
        <w:t xml:space="preserve"> załączonego do </w:t>
      </w:r>
      <w:r>
        <w:rPr>
          <w:rFonts w:eastAsia="MS Mincho"/>
        </w:rPr>
        <w:t xml:space="preserve">kwestionowanej </w:t>
      </w:r>
      <w:r>
        <w:rPr>
          <w:rFonts w:eastAsia="MS Mincho"/>
        </w:rPr>
        <w:t>uchwały wynika, że jej projekt został pozytywnie zaopiniowany przez związki zawodowe nauczycieli.</w:t>
      </w:r>
    </w:p>
    <w:p w:rsidR="007B2DF2" w:rsidRDefault="00B04E37" w:rsidP="00AD79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400"/>
        </w:tabs>
        <w:spacing w:line="360" w:lineRule="auto"/>
        <w:ind w:firstLine="709"/>
        <w:jc w:val="both"/>
      </w:pPr>
      <w:r>
        <w:lastRenderedPageBreak/>
        <w:t>Zgodnie z art. 42 ust. 7 pkt 2 Karty Nauczyciela o</w:t>
      </w:r>
      <w:r w:rsidRPr="005E6D46">
        <w:t>rgan prowadz</w:t>
      </w:r>
      <w:r>
        <w:t xml:space="preserve">ący szkołę lub placówkę określa </w:t>
      </w:r>
      <w:r w:rsidRPr="005E6D46">
        <w:t xml:space="preserve">zasady udzielania i rozmiar obniżek, o których mowa w ust. 6, oraz przyznaje zwolnienia </w:t>
      </w:r>
      <w:r>
        <w:br/>
      </w:r>
      <w:r w:rsidRPr="005E6D46">
        <w:t>od obowiązku realizacji zajęć, o których mowa w ust. 3.</w:t>
      </w:r>
      <w:r>
        <w:t xml:space="preserve"> </w:t>
      </w:r>
      <w:r>
        <w:t xml:space="preserve">W świetle ust. 6 </w:t>
      </w:r>
      <w:r>
        <w:t>powołanego wyżej przepisu</w:t>
      </w:r>
      <w:r>
        <w:t>,</w:t>
      </w:r>
      <w:r>
        <w:t xml:space="preserve"> </w:t>
      </w:r>
      <w:r w:rsidRPr="00F53AB9">
        <w:t>d</w:t>
      </w:r>
      <w:r w:rsidRPr="00F53AB9">
        <w:t>yrektorowi i wicedyrektorowi szkoły oraz nauczycielowi pełniącemu inne stanowisko kierownicze w szkole, a także nauczycielowi, który obowiązki kierownicze pełni w zastępstwie nauczyciela, któremu powierzono stanowisko kierownicz</w:t>
      </w:r>
      <w:r w:rsidRPr="00F53AB9">
        <w:t>e, obniża się tygodniowy obowiązkowy wymiar godzin zajęć w zależności od wielkości i typu szkoły oraz warunków pracy lub zwalnia się ich od obowiązku realizacji zajęć, o których mowa w ust. 3.</w:t>
      </w:r>
      <w:r>
        <w:t xml:space="preserve"> </w:t>
      </w:r>
      <w:r w:rsidRPr="005E6D46">
        <w:t xml:space="preserve">Z kolei art. 42 </w:t>
      </w:r>
      <w:r>
        <w:t>ust. </w:t>
      </w:r>
      <w:r w:rsidRPr="005E6D46">
        <w:t>3 Karty Nauczyciela</w:t>
      </w:r>
      <w:r>
        <w:t xml:space="preserve"> określa normy, według </w:t>
      </w:r>
      <w:r>
        <w:t>których ustala się t</w:t>
      </w:r>
      <w:r w:rsidRPr="005E6D46">
        <w:t xml:space="preserve">ygodniowy obowiązkowy wymiar godzin zajęć dydaktycznych, wychowawczych i opiekuńczych, prowadzonych bezpośrednio z uczniami lub wychowankami </w:t>
      </w:r>
      <w:r>
        <w:br/>
      </w:r>
      <w:r w:rsidRPr="005E6D46">
        <w:t>albo na ich rzecz, nauczycieli zatrudnionych w pełnym wymiarze zajęć</w:t>
      </w:r>
      <w:r>
        <w:t>.</w:t>
      </w:r>
      <w:r>
        <w:t xml:space="preserve"> </w:t>
      </w:r>
    </w:p>
    <w:p w:rsidR="003D48D8" w:rsidRDefault="00B04E37" w:rsidP="000536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400"/>
        </w:tabs>
        <w:spacing w:line="360" w:lineRule="auto"/>
        <w:ind w:firstLine="709"/>
        <w:jc w:val="both"/>
      </w:pPr>
      <w:r w:rsidRPr="00AD79AF">
        <w:t xml:space="preserve">Zasady udzielania i </w:t>
      </w:r>
      <w:r w:rsidRPr="00AD79AF">
        <w:t>rozmiar zniżek tygodniowego obowiązkowego wymiaru godzin zajęć nauczycielom, którym powierzono stanowiska kierownicze w szkołach i placówkach oświatowych prowadzonych przez Gminę Lesznowola</w:t>
      </w:r>
      <w:r w:rsidRPr="00AD79AF">
        <w:t xml:space="preserve"> zostały określone, zgodnie z brzmieniem § 1 uchwały </w:t>
      </w:r>
      <w:r w:rsidRPr="00AD79AF">
        <w:br/>
        <w:t>Nr 47</w:t>
      </w:r>
      <w:r>
        <w:t>2</w:t>
      </w:r>
      <w:r w:rsidRPr="00AD79AF">
        <w:t>/XLI/20</w:t>
      </w:r>
      <w:r w:rsidRPr="00AD79AF">
        <w:t>21 w</w:t>
      </w:r>
      <w:r w:rsidRPr="00AD79AF">
        <w:t xml:space="preserve"> jej Załączniku.</w:t>
      </w:r>
      <w:r w:rsidRPr="00AD79AF">
        <w:t xml:space="preserve"> </w:t>
      </w:r>
    </w:p>
    <w:p w:rsidR="003D48D8" w:rsidRDefault="00B04E37" w:rsidP="000536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400"/>
        </w:tabs>
        <w:spacing w:line="360" w:lineRule="auto"/>
        <w:ind w:firstLine="709"/>
        <w:jc w:val="both"/>
      </w:pPr>
      <w:r>
        <w:t>W pkt 1 Załącznika do przedmiotowej uchwały zamieszczono tabelę</w:t>
      </w:r>
      <w:r>
        <w:t>,</w:t>
      </w:r>
      <w:r>
        <w:t xml:space="preserve"> w której wyodrębniono stanowiska kierownicze w szkołach i przedszkolach prowadzonych przez Gminę Lesznowola, </w:t>
      </w:r>
      <w:r>
        <w:br/>
      </w:r>
      <w:r>
        <w:t xml:space="preserve">z uwzględnieniem liczby kierowanych przez dyrektorów i </w:t>
      </w:r>
      <w:r>
        <w:t>wicedyrektorów oddziałów placów</w:t>
      </w:r>
      <w:r>
        <w:t>ek</w:t>
      </w:r>
      <w:r>
        <w:t xml:space="preserve"> oświatow</w:t>
      </w:r>
      <w:r>
        <w:t>ych i</w:t>
      </w:r>
      <w:r>
        <w:t xml:space="preserve"> przyporządkowan</w:t>
      </w:r>
      <w:r>
        <w:t>iem</w:t>
      </w:r>
      <w:r>
        <w:t xml:space="preserve"> iloś</w:t>
      </w:r>
      <w:r>
        <w:t xml:space="preserve">ci </w:t>
      </w:r>
      <w:r>
        <w:t>godzin</w:t>
      </w:r>
      <w:r>
        <w:t xml:space="preserve"> </w:t>
      </w:r>
      <w:r>
        <w:t>zajęć</w:t>
      </w:r>
      <w:r>
        <w:t xml:space="preserve"> tzw. tygodniowego obowiązkowego wymiaru zajęć nauczycieli.</w:t>
      </w:r>
      <w:r>
        <w:t xml:space="preserve"> </w:t>
      </w:r>
    </w:p>
    <w:p w:rsidR="00E91E61" w:rsidRPr="00D901F4" w:rsidRDefault="00B04E37" w:rsidP="00F85045">
      <w:pPr>
        <w:spacing w:line="360" w:lineRule="auto"/>
        <w:ind w:firstLine="709"/>
        <w:jc w:val="both"/>
        <w:rPr>
          <w:i/>
        </w:rPr>
      </w:pPr>
      <w:r>
        <w:t xml:space="preserve">W pkt 2 Załącznika do uchwały Rada Gminy postanowiła, że: </w:t>
      </w:r>
      <w:r w:rsidRPr="00605A5B">
        <w:rPr>
          <w:i/>
        </w:rPr>
        <w:t>„Organ prowadzący szkołę, placówkę oświatową może w</w:t>
      </w:r>
      <w:r w:rsidRPr="00605A5B">
        <w:rPr>
          <w:i/>
        </w:rPr>
        <w:t xml:space="preserve"> uzasadnionych przypadkach wynikających ze znacznego zwiększenia obowiązków zawiązanych z pełnieniem funkcji kierowniczej zwolnić dyrektora szkoły, placówki oświatowej z realizacji obowiązkowego wymiaru godzin zajęć określonych</w:t>
      </w:r>
      <w:r w:rsidRPr="00605A5B">
        <w:rPr>
          <w:i/>
        </w:rPr>
        <w:t xml:space="preserve"> w art. 42 ust. 3 ustawy</w:t>
      </w:r>
      <w:r>
        <w:rPr>
          <w:i/>
        </w:rPr>
        <w:br/>
      </w:r>
      <w:r w:rsidRPr="00605A5B">
        <w:rPr>
          <w:i/>
        </w:rPr>
        <w:t>z dn</w:t>
      </w:r>
      <w:r w:rsidRPr="00605A5B">
        <w:rPr>
          <w:i/>
        </w:rPr>
        <w:t>ia 26 stycznia 1982 r. – Karta Nauczyciela</w:t>
      </w:r>
      <w:r w:rsidRPr="00605A5B">
        <w:rPr>
          <w:i/>
        </w:rPr>
        <w:t xml:space="preserve"> bądź na czas określony obniżyć tygodniowy wymiar zajęć określony w pkt. 1.”</w:t>
      </w:r>
      <w:r>
        <w:rPr>
          <w:i/>
        </w:rPr>
        <w:t>.</w:t>
      </w:r>
      <w:r>
        <w:rPr>
          <w:i/>
        </w:rPr>
        <w:t xml:space="preserve"> </w:t>
      </w:r>
      <w:r w:rsidRPr="00053622">
        <w:t>W oceni</w:t>
      </w:r>
      <w:r>
        <w:t>e organu nadzoru cytowane postanowienie Załącznika</w:t>
      </w:r>
      <w:r>
        <w:t xml:space="preserve"> do uchwały</w:t>
      </w:r>
      <w:r>
        <w:t xml:space="preserve"> narusza przepis art. 42 ust. 7 pkt 2 Karty Nauczyciela, gdyż</w:t>
      </w:r>
      <w:r>
        <w:t xml:space="preserve"> to</w:t>
      </w:r>
      <w:r>
        <w:t xml:space="preserve"> z u</w:t>
      </w:r>
      <w:r>
        <w:t>chwały, podjętej</w:t>
      </w:r>
      <w:r>
        <w:t xml:space="preserve"> na podstawie tegoż przepisu winna wynikać regulacja obejmująca</w:t>
      </w:r>
      <w:r>
        <w:t xml:space="preserve"> przypadki, kiedy zwalnia się dyrektora szkoły lub placówki oświatowej z realizacji obowiązkowego wymiaru godzin zajęć, określonych w art. 42 ust. 3 Karty Nauczyciela lub się go</w:t>
      </w:r>
      <w:r>
        <w:t xml:space="preserve"> obniża.</w:t>
      </w:r>
      <w:r>
        <w:t xml:space="preserve"> Natomiast</w:t>
      </w:r>
      <w:r>
        <w:t xml:space="preserve"> </w:t>
      </w:r>
      <w:r>
        <w:t>k</w:t>
      </w:r>
      <w:r>
        <w:t>westionowane postanowienie uchwały sugeruje, że Rada Gminy podejmowałaby uchwały na mocy których przyzna</w:t>
      </w:r>
      <w:r>
        <w:t>wa</w:t>
      </w:r>
      <w:r>
        <w:t>łaby</w:t>
      </w:r>
      <w:r>
        <w:t xml:space="preserve"> jednostkowe</w:t>
      </w:r>
      <w:r>
        <w:t xml:space="preserve"> </w:t>
      </w:r>
      <w:r w:rsidRPr="0049439A">
        <w:t>zwolnieni</w:t>
      </w:r>
      <w:r>
        <w:t>a</w:t>
      </w:r>
      <w:r>
        <w:t xml:space="preserve"> </w:t>
      </w:r>
      <w:r>
        <w:br/>
      </w:r>
      <w:r>
        <w:t>z realizacji obowiązkowego wymiaru godzin zajęć,</w:t>
      </w:r>
      <w:r w:rsidRPr="0049439A">
        <w:t xml:space="preserve"> indywidualn</w:t>
      </w:r>
      <w:r>
        <w:t>i</w:t>
      </w:r>
      <w:r w:rsidRPr="0049439A">
        <w:t>e dyrektorow</w:t>
      </w:r>
      <w:r>
        <w:t>i</w:t>
      </w:r>
      <w:r w:rsidRPr="0049439A">
        <w:t xml:space="preserve"> (wicedyrektorowi) konkretnej placówki</w:t>
      </w:r>
      <w:r>
        <w:t xml:space="preserve"> lub obniż</w:t>
      </w:r>
      <w:r>
        <w:t>a</w:t>
      </w:r>
      <w:r>
        <w:t>łaby jego tygodniowy obowiązkowy wymiar godzin zajęć.</w:t>
      </w:r>
      <w:r>
        <w:t xml:space="preserve"> </w:t>
      </w:r>
      <w:r>
        <w:t xml:space="preserve">W tym </w:t>
      </w:r>
      <w:r>
        <w:lastRenderedPageBreak/>
        <w:t xml:space="preserve">miejscu wskazuję, że </w:t>
      </w:r>
      <w:r>
        <w:t>w świetle orze</w:t>
      </w:r>
      <w:r>
        <w:t>c</w:t>
      </w:r>
      <w:r>
        <w:t>znictwa sądów administracyjnych za niedopuszczalne uznać należy przyznanie</w:t>
      </w:r>
      <w:r w:rsidRPr="0049439A">
        <w:t xml:space="preserve"> </w:t>
      </w:r>
      <w:r>
        <w:t>przez organ prowadzący</w:t>
      </w:r>
      <w:r>
        <w:t xml:space="preserve"> </w:t>
      </w:r>
      <w:r w:rsidRPr="0049439A">
        <w:t>zwolnienia in</w:t>
      </w:r>
      <w:r w:rsidRPr="0049439A">
        <w:t>dywidualnego dyrektorowi (wicedyrektorowi lub nauczycielowi pełniącemu obowiązki kierownicze) konkretnej placówki</w:t>
      </w:r>
      <w:r>
        <w:t xml:space="preserve">. </w:t>
      </w:r>
      <w:r>
        <w:br/>
      </w:r>
      <w:r>
        <w:t>W</w:t>
      </w:r>
      <w:r>
        <w:t xml:space="preserve"> uzasadnieniu</w:t>
      </w:r>
      <w:r>
        <w:t xml:space="preserve"> wyroku z dnia </w:t>
      </w:r>
      <w:r w:rsidRPr="00CF4839">
        <w:t>18 lutego 2020 r.</w:t>
      </w:r>
      <w:r>
        <w:t xml:space="preserve"> sygn. </w:t>
      </w:r>
      <w:r w:rsidRPr="00CF4839">
        <w:t>II SA/Ol 1116/19</w:t>
      </w:r>
      <w:r>
        <w:t xml:space="preserve"> </w:t>
      </w:r>
      <w:r w:rsidRPr="00CF4839">
        <w:t>Wojewód</w:t>
      </w:r>
      <w:r>
        <w:t>zki Sąd Administracyjny w </w:t>
      </w:r>
      <w:r w:rsidRPr="00CF4839">
        <w:t>Olsztynie</w:t>
      </w:r>
      <w:r>
        <w:t xml:space="preserve"> </w:t>
      </w:r>
      <w:r>
        <w:t>stwierdził</w:t>
      </w:r>
      <w:r>
        <w:t>, że: „</w:t>
      </w:r>
      <w:r>
        <w:rPr>
          <w:i/>
        </w:rPr>
        <w:t>Pr</w:t>
      </w:r>
      <w:r w:rsidRPr="00155066">
        <w:rPr>
          <w:i/>
        </w:rPr>
        <w:t>zyznanie</w:t>
      </w:r>
      <w:r w:rsidRPr="00155066">
        <w:rPr>
          <w:i/>
        </w:rPr>
        <w:t xml:space="preserve"> </w:t>
      </w:r>
      <w:r>
        <w:rPr>
          <w:i/>
        </w:rPr>
        <w:t xml:space="preserve">bowiem </w:t>
      </w:r>
      <w:r w:rsidRPr="00155066">
        <w:rPr>
          <w:i/>
        </w:rPr>
        <w:t>zwolnienia dyrektorowi konkretnej placówki stanowiłoby rozstrzygnięcie arbitralne i naruszałoby zasadę równości</w:t>
      </w:r>
      <w:r>
        <w:rPr>
          <w:i/>
        </w:rPr>
        <w:t>.</w:t>
      </w:r>
      <w:r>
        <w:rPr>
          <w:i/>
        </w:rPr>
        <w:t xml:space="preserve"> </w:t>
      </w:r>
      <w:r w:rsidRPr="00D901F4">
        <w:rPr>
          <w:i/>
        </w:rPr>
        <w:t>Mogłoby bowiem dojść do sytuacji, w której pomimo tożsamych warunków pracy, wielkości i typu szkoły w odniesieniu do kilku placówek, ze</w:t>
      </w:r>
      <w:r w:rsidRPr="00D901F4">
        <w:rPr>
          <w:i/>
        </w:rPr>
        <w:t xml:space="preserve"> zwolnienia korzystałby wyłącznie dyrektor jednej z nich. W związku z tym organ winien określić warunki zwolnienia jednakowe dla osób określonych w art. 42 ust. 6 K.n., </w:t>
      </w:r>
      <w:r>
        <w:rPr>
          <w:i/>
        </w:rPr>
        <w:br/>
      </w:r>
      <w:r w:rsidRPr="00D901F4">
        <w:rPr>
          <w:i/>
        </w:rPr>
        <w:t>we wszystkich placówkach spełniających określone kryteria (przy uwzględnieniu wyżej ws</w:t>
      </w:r>
      <w:r w:rsidRPr="00D901F4">
        <w:rPr>
          <w:i/>
        </w:rPr>
        <w:t>kazanych przesłanek ustawowych), dla którego organem prowadzącym jest gmina.</w:t>
      </w:r>
      <w:r w:rsidRPr="00D901F4">
        <w:rPr>
          <w:i/>
        </w:rPr>
        <w:t>”</w:t>
      </w:r>
      <w:r w:rsidRPr="00D901F4">
        <w:rPr>
          <w:i/>
        </w:rPr>
        <w:t xml:space="preserve"> </w:t>
      </w:r>
    </w:p>
    <w:p w:rsidR="00F85045" w:rsidRPr="00121C72" w:rsidRDefault="00B04E37" w:rsidP="00F85045">
      <w:pPr>
        <w:spacing w:line="360" w:lineRule="auto"/>
        <w:ind w:firstLine="709"/>
        <w:jc w:val="both"/>
      </w:pPr>
      <w:r>
        <w:t>Kwestionowane postanowienie Załącznika do uchwały</w:t>
      </w:r>
      <w:r>
        <w:t xml:space="preserve"> </w:t>
      </w:r>
      <w:r>
        <w:t xml:space="preserve"> </w:t>
      </w:r>
      <w:r w:rsidRPr="00AD79AF">
        <w:t>Nr 47</w:t>
      </w:r>
      <w:r>
        <w:t>2</w:t>
      </w:r>
      <w:r w:rsidRPr="00AD79AF">
        <w:t xml:space="preserve">/XLI/2021 </w:t>
      </w:r>
      <w:r>
        <w:t xml:space="preserve">nie określa żadnej </w:t>
      </w:r>
      <w:r>
        <w:t xml:space="preserve">ogólnej </w:t>
      </w:r>
      <w:r>
        <w:t>zasady obniż</w:t>
      </w:r>
      <w:r>
        <w:t>a</w:t>
      </w:r>
      <w:r>
        <w:t xml:space="preserve">nia </w:t>
      </w:r>
      <w:r>
        <w:t xml:space="preserve">tygodniowego obowiązkowego wymiaru godzin zajęć dyrektorów szkół lub placówek oświatowych bądź </w:t>
      </w:r>
      <w:r>
        <w:t>zwalniania z realizacji</w:t>
      </w:r>
      <w:r>
        <w:t xml:space="preserve"> zajęć</w:t>
      </w:r>
      <w:r>
        <w:t>,</w:t>
      </w:r>
      <w:r>
        <w:t xml:space="preserve"> </w:t>
      </w:r>
      <w:r>
        <w:t xml:space="preserve">jest niejasne, </w:t>
      </w:r>
      <w:r>
        <w:t xml:space="preserve">a </w:t>
      </w:r>
      <w:r>
        <w:t xml:space="preserve">w konsekwencji czego </w:t>
      </w:r>
      <w:r>
        <w:t>jest sprzeczn</w:t>
      </w:r>
      <w:r>
        <w:t>e</w:t>
      </w:r>
      <w:r>
        <w:t xml:space="preserve"> z </w:t>
      </w:r>
      <w:r>
        <w:t>przepis</w:t>
      </w:r>
      <w:r>
        <w:t>em</w:t>
      </w:r>
      <w:r>
        <w:t xml:space="preserve"> </w:t>
      </w:r>
      <w:r>
        <w:t>art. 42 ust. 7 pkt 2 ustawy</w:t>
      </w:r>
      <w:r>
        <w:t>.</w:t>
      </w:r>
    </w:p>
    <w:p w:rsidR="00052C49" w:rsidRPr="00F709C9" w:rsidRDefault="00B04E37" w:rsidP="000E2704">
      <w:pPr>
        <w:spacing w:line="360" w:lineRule="auto"/>
        <w:ind w:firstLine="708"/>
        <w:jc w:val="both"/>
      </w:pPr>
      <w:r>
        <w:t>Jednocześnie</w:t>
      </w:r>
      <w:r>
        <w:t xml:space="preserve">, </w:t>
      </w:r>
      <w:r>
        <w:t>w</w:t>
      </w:r>
      <w:r>
        <w:t xml:space="preserve"> § </w:t>
      </w:r>
      <w:r>
        <w:t>4</w:t>
      </w:r>
      <w:r>
        <w:t xml:space="preserve"> uchwały Rada</w:t>
      </w:r>
      <w:r>
        <w:t xml:space="preserve"> Gmi</w:t>
      </w:r>
      <w:r>
        <w:t>ny</w:t>
      </w:r>
      <w:r w:rsidRPr="003F70C7">
        <w:t xml:space="preserve"> </w:t>
      </w:r>
      <w:r>
        <w:t xml:space="preserve">Lesznowola </w:t>
      </w:r>
      <w:r w:rsidRPr="003F70C7">
        <w:t>ustaliła, ż</w:t>
      </w:r>
      <w:r>
        <w:t>e</w:t>
      </w:r>
      <w:r w:rsidRPr="003F70C7">
        <w:t xml:space="preserve"> wchodzi ona w życie </w:t>
      </w:r>
      <w:r>
        <w:br/>
      </w:r>
      <w:r w:rsidRPr="001D7360">
        <w:rPr>
          <w:i/>
        </w:rPr>
        <w:t>„</w:t>
      </w:r>
      <w:r w:rsidRPr="001D7360">
        <w:rPr>
          <w:i/>
        </w:rPr>
        <w:t>z dniem podjęcia</w:t>
      </w:r>
      <w:r w:rsidRPr="001D7360">
        <w:rPr>
          <w:i/>
        </w:rPr>
        <w:t>, z mocą obowiązującą od dnia 1 września 2021 r.</w:t>
      </w:r>
      <w:r w:rsidRPr="001D7360">
        <w:rPr>
          <w:i/>
        </w:rPr>
        <w:t>”</w:t>
      </w:r>
      <w:r>
        <w:t xml:space="preserve">, a </w:t>
      </w:r>
      <w:r>
        <w:t>zatem</w:t>
      </w:r>
      <w:r>
        <w:t xml:space="preserve"> </w:t>
      </w:r>
      <w:r w:rsidRPr="00F709C9">
        <w:t>określając w t</w:t>
      </w:r>
      <w:r>
        <w:t>aki</w:t>
      </w:r>
      <w:r w:rsidRPr="00F709C9">
        <w:t xml:space="preserve"> sposób wejście w życie, potraktowała tę uchwałę, jako akt niebędący aktem prawa miejscowego </w:t>
      </w:r>
      <w:r>
        <w:t>(</w:t>
      </w:r>
      <w:r w:rsidRPr="00F709C9">
        <w:t>akt wewnętrzny</w:t>
      </w:r>
      <w:r>
        <w:t>)</w:t>
      </w:r>
      <w:r w:rsidRPr="00F709C9">
        <w:t>.</w:t>
      </w:r>
    </w:p>
    <w:p w:rsidR="00511863" w:rsidRPr="00F709C9" w:rsidRDefault="00B04E37" w:rsidP="00124D3C">
      <w:pPr>
        <w:spacing w:line="360" w:lineRule="auto"/>
        <w:ind w:firstLine="709"/>
        <w:jc w:val="both"/>
      </w:pPr>
      <w:r>
        <w:t>Post</w:t>
      </w:r>
      <w:r>
        <w:t>anowienie</w:t>
      </w:r>
      <w:r>
        <w:t xml:space="preserve"> przedmiotowej</w:t>
      </w:r>
      <w:r>
        <w:t xml:space="preserve"> uchwały określające tryb wejścia jej w życie istotnie </w:t>
      </w:r>
      <w:r w:rsidRPr="00F709C9">
        <w:t xml:space="preserve">narusza </w:t>
      </w:r>
      <w:r>
        <w:t xml:space="preserve">przepisy </w:t>
      </w:r>
      <w:hyperlink r:id="rId7" w:anchor="/document/16882207?unitId=art(4)ust(1)&amp;cm=DOCUMENT" w:tgtFrame="_blank" w:history="1">
        <w:r w:rsidRPr="00511863">
          <w:rPr>
            <w:rStyle w:val="Hipercze"/>
            <w:color w:val="auto"/>
            <w:u w:val="none"/>
          </w:rPr>
          <w:t>art. 4 ust. 1</w:t>
        </w:r>
      </w:hyperlink>
      <w:r w:rsidRPr="00511863">
        <w:t xml:space="preserve"> i </w:t>
      </w:r>
      <w:hyperlink r:id="rId8" w:anchor="/document/16882207?unitId=art(13)pkt(2)&amp;cm=DOCUMENT" w:tgtFrame="_blank" w:history="1">
        <w:r w:rsidRPr="00511863">
          <w:rPr>
            <w:rStyle w:val="Hipercze"/>
            <w:color w:val="auto"/>
            <w:u w:val="none"/>
          </w:rPr>
          <w:t>art. 13 pkt 2</w:t>
        </w:r>
      </w:hyperlink>
      <w:r w:rsidRPr="00F709C9">
        <w:t xml:space="preserve"> ustawy z dnia 20 lipca 2000 r. ogłaszaniu aktów normatywnych </w:t>
      </w:r>
      <w:r>
        <w:br/>
      </w:r>
      <w:r w:rsidRPr="00F709C9">
        <w:t>i niektórych innych aktów prawny</w:t>
      </w:r>
      <w:r>
        <w:t>ch (Dz. U. z 2019 r. poz. 1461</w:t>
      </w:r>
      <w:r w:rsidRPr="00F709C9">
        <w:t>). Pierwszy z</w:t>
      </w:r>
      <w:r w:rsidRPr="00F709C9">
        <w:t xml:space="preserve"> wymieni</w:t>
      </w:r>
      <w:r>
        <w:t>onych przepisów przewiduje, iż „</w:t>
      </w:r>
      <w:r w:rsidRPr="001C120A">
        <w:rPr>
          <w:i/>
        </w:rPr>
        <w:t>akty normatywne, zawierające przepisy powszechnie obowiązujące, ogłaszane w dziennikach urzędowych wchodzą w życie po upływie czternastu dni od dnia ich ogłoszenia, chyba że dany akt normatywny określi termin dłuższy</w:t>
      </w:r>
      <w:r>
        <w:t>”</w:t>
      </w:r>
      <w:r w:rsidRPr="00F709C9">
        <w:t>.</w:t>
      </w:r>
      <w:r>
        <w:t xml:space="preserve"> </w:t>
      </w:r>
      <w:r w:rsidRPr="00F709C9">
        <w:t xml:space="preserve">Drugi przepis stanowi, </w:t>
      </w:r>
      <w:r>
        <w:br/>
      </w:r>
      <w:r w:rsidRPr="00F709C9">
        <w:t>że ogłaszanie aktów prawa miejscowego następuje w wojewódzkim dzienniku urzędowym.</w:t>
      </w:r>
    </w:p>
    <w:p w:rsidR="008C6788" w:rsidRPr="003F70C7" w:rsidRDefault="00B04E37" w:rsidP="00F23ACB">
      <w:pPr>
        <w:spacing w:line="360" w:lineRule="auto"/>
        <w:ind w:firstLine="708"/>
        <w:jc w:val="both"/>
      </w:pPr>
      <w:r w:rsidRPr="003F70C7">
        <w:t>Zgodnie z art. 87 ust. 2 Konstytucji RP akty prawa miejscowego są źródłami powszechnie obowiązującego prawa na obszarze działania organów, które j</w:t>
      </w:r>
      <w:r w:rsidRPr="003F70C7">
        <w:t xml:space="preserve">e ustanowiły. Ponadto Konstytucja </w:t>
      </w:r>
      <w:r>
        <w:t xml:space="preserve">RP </w:t>
      </w:r>
      <w:r w:rsidRPr="003F70C7">
        <w:t xml:space="preserve">wskazuje również, że organy samorządu terytorialnego ustanawiają akty prawa miejscowego </w:t>
      </w:r>
      <w:r>
        <w:br/>
      </w:r>
      <w:r w:rsidRPr="003F70C7">
        <w:t>na podstawie i w granicach upoważnień zawartych w ustawie. Zaliczenie aktu prawa miejscowego do źródeł prawa powszechnie obowiązuj</w:t>
      </w:r>
      <w:r w:rsidRPr="003F70C7">
        <w:t>ącego skutkuje koniecznością odnoszenia do takiego aktu wszystkich zasad charakteryzujących tworzenie i obowiązywanie systemu źródeł prawa powszechnie obowiązującego.</w:t>
      </w:r>
    </w:p>
    <w:p w:rsidR="008C6788" w:rsidRPr="003F70C7" w:rsidRDefault="00B04E37" w:rsidP="008C6788">
      <w:pPr>
        <w:spacing w:line="360" w:lineRule="auto"/>
        <w:ind w:firstLine="709"/>
        <w:jc w:val="both"/>
      </w:pPr>
      <w:r w:rsidRPr="003F70C7">
        <w:lastRenderedPageBreak/>
        <w:t>Do zasadniczych cech aktów prawa miejscowego zalicza się:</w:t>
      </w:r>
    </w:p>
    <w:p w:rsidR="008C6788" w:rsidRPr="003F70C7" w:rsidRDefault="00B04E37" w:rsidP="008C6788">
      <w:pPr>
        <w:spacing w:line="360" w:lineRule="auto"/>
        <w:ind w:left="284" w:hanging="284"/>
        <w:jc w:val="both"/>
      </w:pPr>
      <w:r>
        <w:t>-</w:t>
      </w:r>
      <w:r>
        <w:tab/>
      </w:r>
      <w:r w:rsidRPr="003F70C7">
        <w:t>terytorialny zasięg aktu praw</w:t>
      </w:r>
      <w:r w:rsidRPr="003F70C7">
        <w:t>a miejscowego. Obowiązują one wyłącznie na obszarze działania</w:t>
      </w:r>
      <w:r>
        <w:t xml:space="preserve"> organów, które je ustanowiły – z </w:t>
      </w:r>
      <w:r w:rsidRPr="003F70C7">
        <w:t>reguły ich zasięg pokrywa się z obszarem danej jednostki samorządu terytorialnego;</w:t>
      </w:r>
    </w:p>
    <w:p w:rsidR="008C6788" w:rsidRPr="003F70C7" w:rsidRDefault="00B04E37" w:rsidP="008C6788">
      <w:pPr>
        <w:spacing w:line="360" w:lineRule="auto"/>
        <w:ind w:left="284" w:hanging="284"/>
        <w:jc w:val="both"/>
      </w:pPr>
      <w:r>
        <w:t>-</w:t>
      </w:r>
      <w:r>
        <w:tab/>
      </w:r>
      <w:r w:rsidRPr="003F70C7">
        <w:t>normatywny charakter</w:t>
      </w:r>
      <w:r>
        <w:t xml:space="preserve"> - z</w:t>
      </w:r>
      <w:r w:rsidRPr="003F70C7">
        <w:t>awierają one sformułowania wyznaczające adresatom ty</w:t>
      </w:r>
      <w:r w:rsidRPr="003F70C7">
        <w:t>ch norm określony sposób zachowania się;</w:t>
      </w:r>
    </w:p>
    <w:p w:rsidR="008C6788" w:rsidRPr="003F70C7" w:rsidRDefault="00B04E37" w:rsidP="008C6788">
      <w:pPr>
        <w:spacing w:line="360" w:lineRule="auto"/>
        <w:ind w:left="284" w:hanging="284"/>
        <w:jc w:val="both"/>
      </w:pPr>
      <w:r>
        <w:t>-</w:t>
      </w:r>
      <w:r>
        <w:tab/>
      </w:r>
      <w:r w:rsidRPr="003F70C7">
        <w:t>generalny i abstrakcyjny charakter norm prawnych zawartych w takich aktach</w:t>
      </w:r>
      <w:r>
        <w:t xml:space="preserve"> - c</w:t>
      </w:r>
      <w:r w:rsidRPr="003F70C7">
        <w:t>harakter generalny mają te normy, które definiują adresata poprzez wskazanie cech, a nie poprzez wymienienie z nazwy. Abstrakcyjność no</w:t>
      </w:r>
      <w:r w:rsidRPr="003F70C7">
        <w:t>rmy wyraża się w tym, że nakazywane, zakazywane lub dozwolone zachowanie ma mieć miejsce w pewnych, z reguły powtarzalnych okolicznościach, nie zaś w jednej konkretnej sytuacji.</w:t>
      </w:r>
    </w:p>
    <w:p w:rsidR="00042C4A" w:rsidRPr="00F709C9" w:rsidRDefault="00B04E37" w:rsidP="001D7360">
      <w:pPr>
        <w:spacing w:line="360" w:lineRule="auto"/>
        <w:ind w:firstLine="708"/>
        <w:jc w:val="both"/>
      </w:pPr>
      <w:r w:rsidRPr="00F709C9">
        <w:t xml:space="preserve">Sama treść delegacji </w:t>
      </w:r>
      <w:r>
        <w:t xml:space="preserve">art. 42 </w:t>
      </w:r>
      <w:hyperlink r:id="rId9" w:anchor="/document/16790821?unitId=art(42)ust(7)pkt(2)&amp;cm=DOCUMENT" w:tgtFrame="_blank" w:history="1">
        <w:r w:rsidRPr="0040695D">
          <w:rPr>
            <w:rStyle w:val="Hipercze"/>
            <w:color w:val="auto"/>
            <w:u w:val="none"/>
          </w:rPr>
          <w:t>ust. 7 pkt 2</w:t>
        </w:r>
      </w:hyperlink>
      <w:r w:rsidRPr="00F709C9">
        <w:t xml:space="preserve"> ustawy Kar</w:t>
      </w:r>
      <w:r>
        <w:t>ta Nauczyciela upoważniająca do </w:t>
      </w:r>
      <w:r w:rsidRPr="00F709C9">
        <w:t>podjęcia przedmiotowej uchwały, ze względu na charakter up</w:t>
      </w:r>
      <w:r>
        <w:t>oważnienia, przesądza o tym, że </w:t>
      </w:r>
      <w:r w:rsidRPr="00F709C9">
        <w:t>uchwała podjęta na podstawie ww. przepis</w:t>
      </w:r>
      <w:r>
        <w:t>u jest ak</w:t>
      </w:r>
      <w:r>
        <w:t xml:space="preserve">tem prawa miejscowego. </w:t>
      </w:r>
    </w:p>
    <w:p w:rsidR="00042C4A" w:rsidRPr="001932E9" w:rsidRDefault="00B04E37" w:rsidP="00EC04E6">
      <w:pPr>
        <w:spacing w:line="360" w:lineRule="auto"/>
        <w:ind w:firstLine="709"/>
        <w:jc w:val="both"/>
      </w:pPr>
      <w:r w:rsidRPr="00F709C9">
        <w:t xml:space="preserve">Ponadto należy wskazać, </w:t>
      </w:r>
      <w:r>
        <w:t>że przedmiotowa</w:t>
      </w:r>
      <w:r w:rsidRPr="00F709C9">
        <w:t xml:space="preserve"> uchwała jest </w:t>
      </w:r>
      <w:r>
        <w:t>podejmowana</w:t>
      </w:r>
      <w:r w:rsidRPr="00F709C9">
        <w:t xml:space="preserve"> przez podmiot niebędący pracodawcą zatrudnionych nauczycieli</w:t>
      </w:r>
      <w:r>
        <w:t xml:space="preserve"> i</w:t>
      </w:r>
      <w:r w:rsidRPr="00F709C9">
        <w:t xml:space="preserve"> dotyczy generalnie i abstrakcyjnie oznaczonych adresatów, usytuowanych poza strukturą or</w:t>
      </w:r>
      <w:r>
        <w:t xml:space="preserve">ganizacyjną organu stanowiącego. Niewątpliwie </w:t>
      </w:r>
      <w:r w:rsidRPr="00F709C9">
        <w:t xml:space="preserve">uzasadnia </w:t>
      </w:r>
      <w:r>
        <w:t xml:space="preserve">to </w:t>
      </w:r>
      <w:r w:rsidRPr="00F709C9">
        <w:t xml:space="preserve">konstatację, że wypełnia ona cechy przepisów prawa miejscowego obowiązujących </w:t>
      </w:r>
      <w:r>
        <w:br/>
      </w:r>
      <w:r w:rsidRPr="00F709C9">
        <w:t>na obszarze jednostki samorządu terytorialnego.</w:t>
      </w:r>
      <w:r>
        <w:t xml:space="preserve"> </w:t>
      </w:r>
      <w:r w:rsidRPr="001932E9">
        <w:t xml:space="preserve">Charakter generalny oznacza, że normy zawarte </w:t>
      </w:r>
      <w:r>
        <w:br/>
      </w:r>
      <w:r w:rsidRPr="001932E9">
        <w:t>w akcie</w:t>
      </w:r>
      <w:r>
        <w:t xml:space="preserve"> prawnym</w:t>
      </w:r>
      <w:r w:rsidRPr="001932E9">
        <w:t xml:space="preserve"> definiują adresata poprzez wskazanie cech, a nie poprzez ich wymienienie z nazwy. Natomiast abstrakcyjność normy wyraża się w tym, że nakazywane, zakazywane lub dozwolone zachowanie ma mieć miejsce w pewnych, z reguły powtarzalnych okolicznościach, nie za</w:t>
      </w:r>
      <w:r w:rsidRPr="001932E9">
        <w:t>ś w jednej konkretnej sytuacji.</w:t>
      </w:r>
    </w:p>
    <w:p w:rsidR="00656DCD" w:rsidRDefault="00B04E37" w:rsidP="00656DCD">
      <w:pPr>
        <w:spacing w:line="360" w:lineRule="auto"/>
        <w:ind w:firstLine="709"/>
        <w:jc w:val="both"/>
      </w:pPr>
      <w:r>
        <w:t xml:space="preserve">Stanowisko  </w:t>
      </w:r>
      <w:r>
        <w:t xml:space="preserve">organu nadzoru, </w:t>
      </w:r>
      <w:r>
        <w:t>zgodnie z którym</w:t>
      </w:r>
      <w:r>
        <w:t xml:space="preserve"> uchwała wydana na podstawie art. 42 ust. 7 Karty Nauczyciela </w:t>
      </w:r>
      <w:r>
        <w:t>stanowi akt</w:t>
      </w:r>
      <w:r>
        <w:t xml:space="preserve"> prawa miejscowego</w:t>
      </w:r>
      <w:r>
        <w:t>,</w:t>
      </w:r>
      <w:r>
        <w:t xml:space="preserve"> znajd</w:t>
      </w:r>
      <w:r>
        <w:t>u</w:t>
      </w:r>
      <w:r>
        <w:t>je potwierdzenie</w:t>
      </w:r>
      <w:r>
        <w:t xml:space="preserve"> również</w:t>
      </w:r>
      <w:r>
        <w:t xml:space="preserve"> w orzecznictwie sądów administracyjnych</w:t>
      </w:r>
      <w:r>
        <w:t>,</w:t>
      </w:r>
      <w:r>
        <w:t xml:space="preserve"> m.in. w </w:t>
      </w:r>
      <w:r>
        <w:t>w</w:t>
      </w:r>
      <w:r w:rsidRPr="00F709C9">
        <w:t>yrok</w:t>
      </w:r>
      <w:r>
        <w:t>u</w:t>
      </w:r>
      <w:r w:rsidRPr="00F709C9">
        <w:t xml:space="preserve"> </w:t>
      </w:r>
      <w:r>
        <w:t>WSA</w:t>
      </w:r>
      <w:r w:rsidRPr="00F709C9">
        <w:t xml:space="preserve"> we Wrocławiu z 19 stycznia 2006 r. sygn.: </w:t>
      </w:r>
      <w:hyperlink r:id="rId10" w:anchor="/document/520313481?cm=DOCUMENT" w:tgtFrame="_blank" w:history="1">
        <w:r w:rsidRPr="00656DCD">
          <w:rPr>
            <w:rStyle w:val="Hipercze"/>
            <w:color w:val="auto"/>
            <w:u w:val="none"/>
          </w:rPr>
          <w:t>IV SA/Wr 385/04</w:t>
        </w:r>
      </w:hyperlink>
      <w:r>
        <w:rPr>
          <w:rStyle w:val="Hipercze"/>
          <w:color w:val="auto"/>
          <w:u w:val="none"/>
        </w:rPr>
        <w:t xml:space="preserve"> </w:t>
      </w:r>
      <w:r>
        <w:rPr>
          <w:rStyle w:val="Hipercze"/>
          <w:color w:val="auto"/>
          <w:u w:val="none"/>
        </w:rPr>
        <w:t xml:space="preserve">i </w:t>
      </w:r>
      <w:r>
        <w:rPr>
          <w:rStyle w:val="Hipercze"/>
          <w:color w:val="auto"/>
          <w:u w:val="none"/>
        </w:rPr>
        <w:t>wyrok</w:t>
      </w:r>
      <w:r>
        <w:rPr>
          <w:rStyle w:val="Hipercze"/>
          <w:color w:val="auto"/>
          <w:u w:val="none"/>
        </w:rPr>
        <w:t>u</w:t>
      </w:r>
      <w:r>
        <w:rPr>
          <w:rStyle w:val="Hipercze"/>
          <w:color w:val="auto"/>
          <w:u w:val="none"/>
        </w:rPr>
        <w:t xml:space="preserve"> </w:t>
      </w:r>
      <w:r>
        <w:rPr>
          <w:rStyle w:val="Hipercze"/>
          <w:color w:val="auto"/>
          <w:u w:val="none"/>
        </w:rPr>
        <w:t>WSA w Opolu z 10 maja 2011 r. sygn</w:t>
      </w:r>
      <w:r>
        <w:rPr>
          <w:rStyle w:val="Hipercze"/>
          <w:color w:val="auto"/>
          <w:u w:val="none"/>
        </w:rPr>
        <w:t>.:</w:t>
      </w:r>
      <w:r>
        <w:rPr>
          <w:rStyle w:val="Hipercze"/>
          <w:color w:val="auto"/>
          <w:u w:val="none"/>
        </w:rPr>
        <w:t xml:space="preserve"> II  SA/Op 82/11</w:t>
      </w:r>
      <w:r>
        <w:rPr>
          <w:rStyle w:val="Hipercze"/>
          <w:color w:val="auto"/>
          <w:u w:val="none"/>
        </w:rPr>
        <w:t>.</w:t>
      </w:r>
    </w:p>
    <w:p w:rsidR="007B2DF2" w:rsidRPr="00656DCD" w:rsidRDefault="00B04E37" w:rsidP="00A46464">
      <w:pPr>
        <w:spacing w:line="360" w:lineRule="auto"/>
        <w:ind w:firstLine="708"/>
        <w:jc w:val="both"/>
      </w:pPr>
      <w:r>
        <w:t>D</w:t>
      </w:r>
      <w:r w:rsidRPr="003F70C7">
        <w:t>la kwalifikacji danego aktu, jako aktu normat</w:t>
      </w:r>
      <w:r w:rsidRPr="003F70C7">
        <w:t xml:space="preserve">ywnego powszechnie obowiązującego, oprócz charakteru norm prawnych i kształtowania przez te normy sytuacji prawnej ich adresatów oraz wydania go przez kompetentny organ, istotne znaczenie ma instytucja publikacji aktu. </w:t>
      </w:r>
      <w:r>
        <w:t>Na podstawie</w:t>
      </w:r>
      <w:r w:rsidRPr="003F70C7">
        <w:t xml:space="preserve"> </w:t>
      </w:r>
      <w:r>
        <w:br/>
      </w:r>
      <w:r w:rsidRPr="003F70C7">
        <w:t>art. 88 ust. 1 Konstytu</w:t>
      </w:r>
      <w:r w:rsidRPr="003F70C7">
        <w:t>cji RP warunkiem wejścia w życie aktu prawa miejscowego jest ich ogłoszenie.</w:t>
      </w:r>
    </w:p>
    <w:p w:rsidR="009A246C" w:rsidRDefault="00B04E37" w:rsidP="002303DE">
      <w:pPr>
        <w:spacing w:line="360" w:lineRule="auto"/>
        <w:ind w:firstLine="709"/>
        <w:jc w:val="both"/>
      </w:pPr>
      <w:r>
        <w:t>Mając na uwadze fakt, że</w:t>
      </w:r>
      <w:r w:rsidRPr="00F709C9">
        <w:t xml:space="preserve"> Rada</w:t>
      </w:r>
      <w:r>
        <w:t xml:space="preserve"> Gminy Lesznowola</w:t>
      </w:r>
      <w:r w:rsidRPr="00F709C9">
        <w:t xml:space="preserve"> </w:t>
      </w:r>
      <w:r>
        <w:t>w § 4</w:t>
      </w:r>
      <w:r w:rsidRPr="00F709C9">
        <w:t xml:space="preserve"> uchwały</w:t>
      </w:r>
      <w:r>
        <w:t xml:space="preserve"> Nr 472/XLI/2021</w:t>
      </w:r>
      <w:r w:rsidRPr="00F709C9">
        <w:t xml:space="preserve"> błędnie określiła datę wejścia w życie przedmiotowej uchwały, </w:t>
      </w:r>
      <w:r>
        <w:t>zasadnym jest stwierdzenie</w:t>
      </w:r>
      <w:r w:rsidRPr="00F709C9">
        <w:t xml:space="preserve"> jej nieważności </w:t>
      </w:r>
      <w:r w:rsidRPr="00F709C9">
        <w:lastRenderedPageBreak/>
        <w:t>w całości.</w:t>
      </w:r>
      <w:r>
        <w:t xml:space="preserve"> </w:t>
      </w:r>
      <w:r>
        <w:t>O</w:t>
      </w:r>
      <w:r w:rsidRPr="00F709C9">
        <w:t xml:space="preserve">kreślenie w sposób sprzeczny z prawem </w:t>
      </w:r>
      <w:r>
        <w:t xml:space="preserve">sposobu i </w:t>
      </w:r>
      <w:r w:rsidRPr="00F709C9">
        <w:t>terminu wejścia w życie uchwały przedkłada się bezpośrednio na ważność całego aktu prawnego.</w:t>
      </w:r>
    </w:p>
    <w:p w:rsidR="00742869" w:rsidRPr="002303DE" w:rsidRDefault="00B04E37" w:rsidP="002303DE">
      <w:pPr>
        <w:spacing w:line="360" w:lineRule="auto"/>
        <w:ind w:firstLine="709"/>
        <w:jc w:val="both"/>
      </w:pPr>
    </w:p>
    <w:p w:rsidR="009A246C" w:rsidRDefault="00B04E37" w:rsidP="001D7360">
      <w:pPr>
        <w:spacing w:line="360" w:lineRule="auto"/>
        <w:ind w:firstLine="708"/>
        <w:jc w:val="both"/>
        <w:rPr>
          <w:rFonts w:eastAsia="MS Mincho"/>
        </w:rPr>
      </w:pPr>
      <w:r w:rsidRPr="00006347">
        <w:rPr>
          <w:rFonts w:eastAsia="MS Mincho"/>
        </w:rPr>
        <w:t>Na niniejsze rozstrzygnięcie nadzorcze Gminie przysługuje skarga do Wojewódzkiego Sąd</w:t>
      </w:r>
      <w:r w:rsidRPr="00006347">
        <w:rPr>
          <w:rFonts w:eastAsia="MS Mincho"/>
        </w:rPr>
        <w:t xml:space="preserve">u Administracyjnego w Warszawie w terminie 30 dni od daty jego doręczenia, wnoszona </w:t>
      </w:r>
      <w:r w:rsidRPr="00006347">
        <w:rPr>
          <w:rFonts w:eastAsia="MS Mincho"/>
        </w:rPr>
        <w:br/>
        <w:t>za pośrednictwem organu, który skarżone orzeczenie wydał.</w:t>
      </w:r>
    </w:p>
    <w:p w:rsidR="002F4510" w:rsidRDefault="00B04E37" w:rsidP="001D7360">
      <w:pPr>
        <w:spacing w:line="360" w:lineRule="auto"/>
        <w:ind w:firstLine="708"/>
        <w:jc w:val="both"/>
        <w:rPr>
          <w:rFonts w:cstheme="minorHAnsi"/>
        </w:rPr>
      </w:pPr>
      <w:r w:rsidRPr="00006347">
        <w:rPr>
          <w:rFonts w:eastAsia="MS Mincho"/>
        </w:rPr>
        <w:t>Informuję, że rozstrzygnięcie nadzorcze wstrzymuje wykonanie uchwał</w:t>
      </w:r>
      <w:r>
        <w:rPr>
          <w:rFonts w:eastAsia="MS Mincho"/>
        </w:rPr>
        <w:t xml:space="preserve">y, </w:t>
      </w:r>
      <w:r w:rsidRPr="002A30B7">
        <w:rPr>
          <w:rFonts w:cstheme="minorHAnsi"/>
        </w:rPr>
        <w:t>z dniem jego doręczenia.</w:t>
      </w:r>
    </w:p>
    <w:p w:rsidR="009A246C" w:rsidRDefault="00B04E37" w:rsidP="009A246C">
      <w:pPr>
        <w:spacing w:line="360" w:lineRule="auto"/>
        <w:jc w:val="both"/>
      </w:pPr>
    </w:p>
    <w:p w:rsidR="009A246C" w:rsidRDefault="00B04E37" w:rsidP="009A246C">
      <w:pPr>
        <w:spacing w:line="360" w:lineRule="auto"/>
        <w:ind w:left="2825" w:firstLine="720"/>
        <w:jc w:val="center"/>
        <w:rPr>
          <w:i/>
        </w:rPr>
      </w:pPr>
    </w:p>
    <w:p w:rsidR="009A246C" w:rsidRDefault="00B04E37" w:rsidP="009A246C">
      <w:pPr>
        <w:spacing w:line="360" w:lineRule="auto"/>
        <w:ind w:left="2825" w:firstLine="720"/>
        <w:jc w:val="center"/>
        <w:rPr>
          <w:i/>
        </w:rPr>
      </w:pPr>
      <w:bookmarkStart w:id="3" w:name="ezdPracownikNazwa"/>
      <w:r>
        <w:rPr>
          <w:i/>
        </w:rPr>
        <w:t>Konstanty Radziw</w:t>
      </w:r>
      <w:r>
        <w:rPr>
          <w:i/>
        </w:rPr>
        <w:t>iłł</w:t>
      </w:r>
      <w:bookmarkEnd w:id="3"/>
    </w:p>
    <w:p w:rsidR="009A246C" w:rsidRDefault="00B04E37" w:rsidP="009A246C">
      <w:pPr>
        <w:spacing w:line="360" w:lineRule="auto"/>
        <w:ind w:left="2825" w:firstLine="720"/>
        <w:jc w:val="center"/>
        <w:rPr>
          <w:i/>
        </w:rPr>
      </w:pPr>
      <w:bookmarkStart w:id="4" w:name="ezdPracownikStanowisko"/>
      <w:r>
        <w:rPr>
          <w:i/>
        </w:rPr>
        <w:t>Wojewoda Mazowiecki</w:t>
      </w:r>
      <w:bookmarkEnd w:id="4"/>
    </w:p>
    <w:p w:rsidR="009A246C" w:rsidRPr="008D53A2" w:rsidRDefault="00B04E37" w:rsidP="009A246C">
      <w:pPr>
        <w:spacing w:line="360" w:lineRule="auto"/>
        <w:rPr>
          <w:i/>
        </w:rPr>
      </w:pPr>
    </w:p>
    <w:p w:rsidR="009A246C" w:rsidRPr="007A371C" w:rsidRDefault="00B04E37" w:rsidP="009A246C">
      <w:pPr>
        <w:spacing w:line="360" w:lineRule="auto"/>
        <w:ind w:left="4963" w:hanging="1561"/>
        <w:jc w:val="center"/>
        <w:rPr>
          <w:sz w:val="20"/>
          <w:szCs w:val="20"/>
        </w:rPr>
      </w:pPr>
      <w:r w:rsidRPr="008D53A2">
        <w:rPr>
          <w:sz w:val="20"/>
          <w:szCs w:val="20"/>
        </w:rPr>
        <w:t>/</w:t>
      </w:r>
      <w:r w:rsidRPr="007A371C">
        <w:rPr>
          <w:sz w:val="20"/>
          <w:szCs w:val="20"/>
        </w:rPr>
        <w:t>podpisano bezpiecznym podpisem elektronicznym</w:t>
      </w:r>
    </w:p>
    <w:p w:rsidR="009A246C" w:rsidRPr="007A371C" w:rsidRDefault="00B04E37" w:rsidP="009A246C">
      <w:pPr>
        <w:spacing w:line="360" w:lineRule="auto"/>
        <w:ind w:left="4963" w:hanging="1561"/>
        <w:jc w:val="center"/>
        <w:rPr>
          <w:sz w:val="20"/>
          <w:szCs w:val="20"/>
        </w:rPr>
      </w:pPr>
      <w:r w:rsidRPr="007A371C">
        <w:rPr>
          <w:sz w:val="20"/>
          <w:szCs w:val="20"/>
        </w:rPr>
        <w:t>weryfikowanym ważn</w:t>
      </w:r>
      <w:r>
        <w:rPr>
          <w:sz w:val="20"/>
          <w:szCs w:val="20"/>
        </w:rPr>
        <w:t>ym</w:t>
      </w:r>
      <w:r w:rsidRPr="007A371C">
        <w:rPr>
          <w:sz w:val="20"/>
          <w:szCs w:val="20"/>
        </w:rPr>
        <w:t xml:space="preserve"> kwalifikowan</w:t>
      </w:r>
      <w:r>
        <w:rPr>
          <w:sz w:val="20"/>
          <w:szCs w:val="20"/>
        </w:rPr>
        <w:t>ym</w:t>
      </w:r>
      <w:r w:rsidRPr="007A371C">
        <w:rPr>
          <w:sz w:val="20"/>
          <w:szCs w:val="20"/>
        </w:rPr>
        <w:t xml:space="preserve"> certyfikat</w:t>
      </w:r>
      <w:r>
        <w:rPr>
          <w:sz w:val="20"/>
          <w:szCs w:val="20"/>
        </w:rPr>
        <w:t>em</w:t>
      </w:r>
      <w:r w:rsidRPr="007A371C">
        <w:rPr>
          <w:sz w:val="20"/>
          <w:szCs w:val="20"/>
        </w:rPr>
        <w:t>/</w:t>
      </w:r>
    </w:p>
    <w:p w:rsidR="009A246C" w:rsidRDefault="00B04E37" w:rsidP="009A246C">
      <w:pPr>
        <w:spacing w:line="360" w:lineRule="auto"/>
      </w:pPr>
    </w:p>
    <w:p w:rsidR="009A246C" w:rsidRDefault="00B04E37" w:rsidP="009A246C"/>
    <w:p w:rsidR="00BB7B7F" w:rsidRDefault="00B04E37"/>
    <w:sectPr w:rsidR="00BB7B7F" w:rsidSect="001D4E87">
      <w:footerReference w:type="default" r:id="rId11"/>
      <w:footerReference w:type="first" r:id="rId12"/>
      <w:pgSz w:w="11906" w:h="16838" w:code="9"/>
      <w:pgMar w:top="1560" w:right="851" w:bottom="1418" w:left="1418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4E37" w:rsidRDefault="00B04E37">
      <w:r>
        <w:separator/>
      </w:r>
    </w:p>
  </w:endnote>
  <w:endnote w:type="continuationSeparator" w:id="0">
    <w:p w:rsidR="00B04E37" w:rsidRDefault="00B04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48873141"/>
      <w:docPartObj>
        <w:docPartGallery w:val="Page Numbers (Bottom of Page)"/>
        <w:docPartUnique/>
      </w:docPartObj>
    </w:sdtPr>
    <w:sdtEndPr/>
    <w:sdtContent>
      <w:p w:rsidR="00B53827" w:rsidRDefault="00B04E3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7FD9">
          <w:rPr>
            <w:noProof/>
          </w:rPr>
          <w:t>3</w:t>
        </w:r>
        <w:r>
          <w:fldChar w:fldCharType="end"/>
        </w:r>
      </w:p>
    </w:sdtContent>
  </w:sdt>
  <w:p w:rsidR="001D4E87" w:rsidRPr="004A1390" w:rsidRDefault="00B04E37" w:rsidP="001D4E87">
    <w:pPr>
      <w:pStyle w:val="Stopka"/>
      <w:jc w:val="center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52193964"/>
      <w:docPartObj>
        <w:docPartGallery w:val="Page Numbers (Bottom of Page)"/>
        <w:docPartUnique/>
      </w:docPartObj>
    </w:sdtPr>
    <w:sdtEndPr/>
    <w:sdtContent>
      <w:p w:rsidR="00472CE8" w:rsidRDefault="00B04E3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7FD9">
          <w:rPr>
            <w:noProof/>
          </w:rPr>
          <w:t>1</w:t>
        </w:r>
        <w:r>
          <w:fldChar w:fldCharType="end"/>
        </w:r>
      </w:p>
    </w:sdtContent>
  </w:sdt>
  <w:p w:rsidR="00A339C5" w:rsidRDefault="00B04E3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4E37" w:rsidRDefault="00B04E37">
      <w:r>
        <w:separator/>
      </w:r>
    </w:p>
  </w:footnote>
  <w:footnote w:type="continuationSeparator" w:id="0">
    <w:p w:rsidR="00B04E37" w:rsidRDefault="00B04E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FD9"/>
    <w:rsid w:val="00B04E37"/>
    <w:rsid w:val="00C57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B4CB18-3CE7-40B5-A589-5609A0DEB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A2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9A24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A246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aliases w:val="Czarny,Interl...,Normalny + 12 pt,Po:  0 pt,Wyrównany do środka"/>
    <w:qFormat/>
    <w:rsid w:val="009A246C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472CE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72CE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042C4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5A1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5A1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sip.lex.pl/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https://sip.lex.pl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sip.lex.pl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1561</Words>
  <Characters>9371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Leszczyńska</dc:creator>
  <cp:lastModifiedBy>Paulina Kolaszyńska</cp:lastModifiedBy>
  <cp:revision>2</cp:revision>
  <dcterms:created xsi:type="dcterms:W3CDTF">2021-08-13T07:22:00Z</dcterms:created>
  <dcterms:modified xsi:type="dcterms:W3CDTF">2021-08-13T07:22:00Z</dcterms:modified>
</cp:coreProperties>
</file>