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BC" w:rsidRDefault="008655BC">
      <w:pPr>
        <w:pStyle w:val="Tekstpodstawowy"/>
        <w:spacing w:before="70"/>
        <w:ind w:left="10878"/>
        <w:rPr>
          <w:spacing w:val="-2"/>
        </w:rPr>
      </w:pPr>
    </w:p>
    <w:p w:rsidR="006F46CF" w:rsidRDefault="008655BC">
      <w:pPr>
        <w:pStyle w:val="Tekstpodstawowy"/>
        <w:spacing w:before="70"/>
        <w:ind w:left="10878"/>
      </w:pPr>
      <w:bookmarkStart w:id="0" w:name="_GoBack"/>
      <w:bookmarkEnd w:id="0"/>
      <w:r>
        <w:rPr>
          <w:spacing w:val="-2"/>
        </w:rPr>
        <w:t>Załącznik</w:t>
      </w:r>
    </w:p>
    <w:p w:rsidR="006F46CF" w:rsidRDefault="008655BC">
      <w:pPr>
        <w:pStyle w:val="Tekstpodstawowy"/>
        <w:ind w:left="10878" w:right="1119"/>
      </w:pPr>
      <w:r>
        <w:t>do</w:t>
      </w:r>
      <w:r>
        <w:rPr>
          <w:spacing w:val="-12"/>
        </w:rPr>
        <w:t xml:space="preserve"> </w:t>
      </w:r>
      <w:r>
        <w:t>zarządzenia</w:t>
      </w:r>
      <w:r>
        <w:rPr>
          <w:spacing w:val="-12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2308/2024 Prezydenta Miasta Łodzi</w:t>
      </w:r>
    </w:p>
    <w:p w:rsidR="006F46CF" w:rsidRDefault="008655BC">
      <w:pPr>
        <w:spacing w:before="230"/>
        <w:ind w:left="121"/>
        <w:jc w:val="center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części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nieruchomości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przeznaczonej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udostępnienia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lokalizację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infrastruktury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przesyłowej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lat.</w:t>
      </w:r>
    </w:p>
    <w:p w:rsidR="006F46CF" w:rsidRDefault="006F46CF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345"/>
        <w:gridCol w:w="1795"/>
        <w:gridCol w:w="1607"/>
        <w:gridCol w:w="5413"/>
        <w:gridCol w:w="3942"/>
      </w:tblGrid>
      <w:tr w:rsidR="006F46CF">
        <w:trPr>
          <w:trHeight w:val="459"/>
        </w:trPr>
        <w:tc>
          <w:tcPr>
            <w:tcW w:w="491" w:type="dxa"/>
          </w:tcPr>
          <w:p w:rsidR="006F46CF" w:rsidRDefault="008655BC">
            <w:pPr>
              <w:pStyle w:val="TableParagraph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345" w:type="dxa"/>
          </w:tcPr>
          <w:p w:rsidR="006F46CF" w:rsidRDefault="008655BC"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Oznaczenie</w:t>
            </w:r>
          </w:p>
          <w:p w:rsidR="006F46CF" w:rsidRDefault="008655BC">
            <w:pPr>
              <w:pStyle w:val="TableParagraph"/>
              <w:spacing w:line="210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1795" w:type="dxa"/>
          </w:tcPr>
          <w:p w:rsidR="006F46CF" w:rsidRDefault="008655BC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Powierzchnia</w:t>
            </w:r>
          </w:p>
          <w:p w:rsidR="006F46CF" w:rsidRDefault="008655BC">
            <w:pPr>
              <w:pStyle w:val="TableParagraph"/>
              <w:spacing w:line="210" w:lineRule="exact"/>
              <w:ind w:left="27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1607" w:type="dxa"/>
          </w:tcPr>
          <w:p w:rsidR="006F46CF" w:rsidRDefault="008655BC">
            <w:pPr>
              <w:pStyle w:val="TableParagraph"/>
              <w:ind w:left="132" w:right="1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Opis</w:t>
            </w:r>
          </w:p>
          <w:p w:rsidR="006F46CF" w:rsidRDefault="008655BC">
            <w:pPr>
              <w:pStyle w:val="TableParagraph"/>
              <w:spacing w:line="210" w:lineRule="exact"/>
              <w:ind w:left="132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5413" w:type="dxa"/>
          </w:tcPr>
          <w:p w:rsidR="006F46CF" w:rsidRDefault="008655BC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nieruchomości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sposób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zagospodarowania</w:t>
            </w:r>
          </w:p>
        </w:tc>
        <w:tc>
          <w:tcPr>
            <w:tcW w:w="3942" w:type="dxa"/>
          </w:tcPr>
          <w:p w:rsidR="006F46CF" w:rsidRDefault="008655BC">
            <w:pPr>
              <w:pStyle w:val="TableParagraph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Stawka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udostępnienie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nieruchomości</w:t>
            </w:r>
          </w:p>
        </w:tc>
      </w:tr>
      <w:tr w:rsidR="006F46CF">
        <w:trPr>
          <w:trHeight w:val="229"/>
        </w:trPr>
        <w:tc>
          <w:tcPr>
            <w:tcW w:w="491" w:type="dxa"/>
          </w:tcPr>
          <w:p w:rsidR="006F46CF" w:rsidRDefault="008655BC">
            <w:pPr>
              <w:pStyle w:val="TableParagraph"/>
              <w:spacing w:line="210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345" w:type="dxa"/>
          </w:tcPr>
          <w:p w:rsidR="006F46CF" w:rsidRDefault="008655BC">
            <w:pPr>
              <w:pStyle w:val="TableParagraph"/>
              <w:spacing w:line="210" w:lineRule="exact"/>
              <w:ind w:left="15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95" w:type="dxa"/>
          </w:tcPr>
          <w:p w:rsidR="006F46CF" w:rsidRDefault="008655BC">
            <w:pPr>
              <w:pStyle w:val="TableParagraph"/>
              <w:spacing w:line="210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07" w:type="dxa"/>
          </w:tcPr>
          <w:p w:rsidR="006F46CF" w:rsidRDefault="008655BC">
            <w:pPr>
              <w:pStyle w:val="TableParagraph"/>
              <w:spacing w:line="210" w:lineRule="exact"/>
              <w:ind w:left="132" w:right="1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413" w:type="dxa"/>
          </w:tcPr>
          <w:p w:rsidR="006F46CF" w:rsidRDefault="008655BC">
            <w:pPr>
              <w:pStyle w:val="TableParagraph"/>
              <w:spacing w:line="210" w:lineRule="exact"/>
              <w:ind w:left="15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942" w:type="dxa"/>
          </w:tcPr>
          <w:p w:rsidR="006F46CF" w:rsidRDefault="008655BC">
            <w:pPr>
              <w:pStyle w:val="TableParagraph"/>
              <w:spacing w:line="210" w:lineRule="exact"/>
              <w:ind w:left="71" w:right="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46CF">
        <w:trPr>
          <w:trHeight w:val="3223"/>
        </w:trPr>
        <w:tc>
          <w:tcPr>
            <w:tcW w:w="491" w:type="dxa"/>
            <w:tcBorders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b/>
                <w:sz w:val="20"/>
              </w:rPr>
            </w:pPr>
          </w:p>
          <w:p w:rsidR="006F46CF" w:rsidRDefault="008655BC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345" w:type="dxa"/>
            <w:tcBorders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b/>
                <w:sz w:val="20"/>
              </w:rPr>
            </w:pPr>
          </w:p>
          <w:p w:rsidR="006F46CF" w:rsidRDefault="008655BC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Łódź,</w:t>
            </w:r>
          </w:p>
          <w:p w:rsidR="006F46CF" w:rsidRDefault="008655BC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Park 1 </w:t>
            </w:r>
            <w:r>
              <w:rPr>
                <w:spacing w:val="-4"/>
                <w:sz w:val="20"/>
              </w:rPr>
              <w:t>Maja</w:t>
            </w:r>
          </w:p>
          <w:p w:rsidR="006F46CF" w:rsidRDefault="008655BC">
            <w:pPr>
              <w:pStyle w:val="TableParagraph"/>
              <w:spacing w:before="230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obręb G-</w:t>
            </w:r>
            <w:r>
              <w:rPr>
                <w:spacing w:val="-5"/>
                <w:sz w:val="20"/>
              </w:rPr>
              <w:t>51</w:t>
            </w:r>
          </w:p>
          <w:p w:rsidR="006F46CF" w:rsidRDefault="008655BC">
            <w:pPr>
              <w:pStyle w:val="TableParagraph"/>
              <w:spacing w:line="480" w:lineRule="auto"/>
              <w:ind w:left="177" w:right="207"/>
              <w:jc w:val="left"/>
              <w:rPr>
                <w:sz w:val="20"/>
              </w:rPr>
            </w:pPr>
            <w:r>
              <w:rPr>
                <w:sz w:val="20"/>
              </w:rPr>
              <w:t>część działki nr 1/37 KW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LD1M/00337182/4</w:t>
            </w:r>
          </w:p>
          <w:p w:rsidR="006F46CF" w:rsidRDefault="008655BC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Właściciel:</w:t>
            </w:r>
          </w:p>
          <w:p w:rsidR="006F46CF" w:rsidRDefault="008655BC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Skarb </w:t>
            </w:r>
            <w:r>
              <w:rPr>
                <w:spacing w:val="-2"/>
                <w:sz w:val="20"/>
              </w:rPr>
              <w:t>Państwa</w:t>
            </w:r>
          </w:p>
        </w:tc>
        <w:tc>
          <w:tcPr>
            <w:tcW w:w="1795" w:type="dxa"/>
            <w:tcBorders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b/>
                <w:sz w:val="20"/>
              </w:rPr>
            </w:pPr>
          </w:p>
          <w:p w:rsidR="006F46CF" w:rsidRDefault="008655BC">
            <w:pPr>
              <w:pStyle w:val="TableParagraph"/>
              <w:ind w:left="17" w:right="2"/>
              <w:rPr>
                <w:sz w:val="20"/>
              </w:rPr>
            </w:pPr>
            <w:r>
              <w:rPr>
                <w:spacing w:val="-2"/>
                <w:sz w:val="20"/>
              </w:rPr>
              <w:t>Powierzchnia</w:t>
            </w:r>
          </w:p>
          <w:p w:rsidR="006F46CF" w:rsidRDefault="008655BC">
            <w:pPr>
              <w:pStyle w:val="TableParagraph"/>
              <w:ind w:left="17" w:right="2"/>
              <w:rPr>
                <w:sz w:val="20"/>
              </w:rPr>
            </w:pPr>
            <w:r>
              <w:rPr>
                <w:spacing w:val="-2"/>
                <w:sz w:val="20"/>
              </w:rPr>
              <w:t>udostępnienia</w:t>
            </w:r>
          </w:p>
          <w:p w:rsidR="006F46CF" w:rsidRDefault="008655BC">
            <w:pPr>
              <w:pStyle w:val="TableParagraph"/>
              <w:spacing w:line="690" w:lineRule="atLeast"/>
              <w:ind w:left="325" w:right="308" w:hanging="1"/>
              <w:rPr>
                <w:sz w:val="20"/>
              </w:rPr>
            </w:pPr>
            <w:r>
              <w:rPr>
                <w:sz w:val="20"/>
              </w:rPr>
              <w:t xml:space="preserve">4,09 m² </w:t>
            </w:r>
            <w:r>
              <w:rPr>
                <w:spacing w:val="-2"/>
                <w:sz w:val="20"/>
              </w:rPr>
              <w:t>(powierzchnia</w:t>
            </w:r>
          </w:p>
          <w:p w:rsidR="006F46CF" w:rsidRDefault="008655BC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całkowita nieruchomości </w:t>
            </w:r>
            <w:r>
              <w:rPr>
                <w:sz w:val="20"/>
              </w:rPr>
              <w:t>5810,00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m²)</w:t>
            </w:r>
          </w:p>
        </w:tc>
        <w:tc>
          <w:tcPr>
            <w:tcW w:w="1607" w:type="dxa"/>
            <w:tcBorders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b/>
                <w:sz w:val="20"/>
              </w:rPr>
            </w:pPr>
          </w:p>
          <w:p w:rsidR="006F46CF" w:rsidRDefault="008655BC">
            <w:pPr>
              <w:pStyle w:val="TableParagraph"/>
              <w:ind w:left="132" w:right="115"/>
              <w:rPr>
                <w:sz w:val="20"/>
              </w:rPr>
            </w:pPr>
            <w:r>
              <w:rPr>
                <w:sz w:val="20"/>
              </w:rPr>
              <w:t>Teren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strefie </w:t>
            </w:r>
            <w:r>
              <w:rPr>
                <w:spacing w:val="-6"/>
                <w:sz w:val="20"/>
              </w:rPr>
              <w:t>IV</w:t>
            </w:r>
          </w:p>
          <w:p w:rsidR="006F46CF" w:rsidRDefault="008655BC">
            <w:pPr>
              <w:pStyle w:val="TableParagraph"/>
              <w:spacing w:before="230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nieruchomość niezabudowana oznaczona </w:t>
            </w:r>
            <w:r>
              <w:rPr>
                <w:sz w:val="20"/>
              </w:rPr>
              <w:t>symbolem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użytku </w:t>
            </w:r>
            <w:r>
              <w:rPr>
                <w:spacing w:val="-2"/>
                <w:sz w:val="20"/>
              </w:rPr>
              <w:t>gruntu</w:t>
            </w:r>
          </w:p>
          <w:p w:rsidR="006F46CF" w:rsidRDefault="008655BC">
            <w:pPr>
              <w:pStyle w:val="TableParagraph"/>
              <w:spacing w:line="230" w:lineRule="atLeast"/>
              <w:ind w:left="175" w:right="158" w:hanging="1"/>
              <w:rPr>
                <w:sz w:val="20"/>
              </w:rPr>
            </w:pPr>
            <w:r>
              <w:rPr>
                <w:sz w:val="20"/>
              </w:rPr>
              <w:t xml:space="preserve">B– tereny </w:t>
            </w:r>
            <w:r>
              <w:rPr>
                <w:spacing w:val="-2"/>
                <w:sz w:val="20"/>
              </w:rPr>
              <w:t xml:space="preserve">mieszkaniowe </w:t>
            </w:r>
            <w:proofErr w:type="spellStart"/>
            <w:r>
              <w:rPr>
                <w:sz w:val="20"/>
              </w:rPr>
              <w:t>Bz</w:t>
            </w:r>
            <w:proofErr w:type="spellEnd"/>
            <w:r>
              <w:rPr>
                <w:sz w:val="20"/>
              </w:rPr>
              <w:t xml:space="preserve"> – terenu </w:t>
            </w:r>
            <w:r>
              <w:rPr>
                <w:spacing w:val="-2"/>
                <w:sz w:val="20"/>
              </w:rPr>
              <w:t>rekreacyjno- wypoczynkowe</w:t>
            </w:r>
          </w:p>
        </w:tc>
        <w:tc>
          <w:tcPr>
            <w:tcW w:w="5413" w:type="dxa"/>
            <w:tcBorders>
              <w:bottom w:val="nil"/>
            </w:tcBorders>
          </w:tcPr>
          <w:p w:rsidR="006F46CF" w:rsidRDefault="008655BC">
            <w:pPr>
              <w:pStyle w:val="TableParagraph"/>
              <w:spacing w:before="214" w:line="230" w:lineRule="atLeast"/>
              <w:ind w:left="69" w:right="336"/>
              <w:jc w:val="both"/>
              <w:rPr>
                <w:sz w:val="20"/>
              </w:rPr>
            </w:pPr>
            <w:r>
              <w:rPr>
                <w:sz w:val="20"/>
              </w:rPr>
              <w:t>Dla przedmiotowej nieruchomości obowiązuje miejscowy plan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przestrzennego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przyjęty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uchwałą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LXVI/1681/18 Rady Miejskiej w Łodzi z dnia 25 stycznia 2018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 w sprawie uchwalenia miejscowego planu zagospodarowania przestrzennego dla części obszaru miasta Łodzi obejmującej dolinę rzeki Ner wraz ze Stawami Stefańskiego oraz dolinę rzeki Gadki, położon</w:t>
            </w:r>
            <w:r>
              <w:rPr>
                <w:sz w:val="20"/>
              </w:rPr>
              <w:t>ej na odcinku od ul. Pabianickiej do południowej granicy Miasta (Dz. Urz. Woj. Łódzkiego poz. 819, z 2021 r. poz. 6835 oraz z 2023 r. poz. 3416), obejmujący działkę o numerze ewidencyjnym 1/37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obrębie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G-51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kwartale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oznaczoną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symbolami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tereny zie</w:t>
            </w:r>
            <w:r>
              <w:rPr>
                <w:sz w:val="20"/>
              </w:rPr>
              <w:t>leni urządzonej publicznej oraz symbolem U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tereny zabudowy usługowej.</w:t>
            </w:r>
          </w:p>
        </w:tc>
        <w:tc>
          <w:tcPr>
            <w:tcW w:w="3942" w:type="dxa"/>
            <w:tcBorders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b/>
                <w:sz w:val="20"/>
              </w:rPr>
            </w:pPr>
          </w:p>
          <w:p w:rsidR="006F46CF" w:rsidRDefault="008655BC">
            <w:pPr>
              <w:pStyle w:val="TableParagraph"/>
              <w:ind w:left="71" w:right="5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pierwszych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rocznie:</w:t>
            </w:r>
          </w:p>
          <w:p w:rsidR="006F46CF" w:rsidRDefault="008655BC">
            <w:pPr>
              <w:pStyle w:val="TableParagraph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100,00 </w:t>
            </w:r>
            <w:r>
              <w:rPr>
                <w:b/>
                <w:spacing w:val="-5"/>
                <w:sz w:val="20"/>
              </w:rPr>
              <w:t>zł</w:t>
            </w:r>
          </w:p>
          <w:p w:rsidR="006F46CF" w:rsidRDefault="008655BC">
            <w:pPr>
              <w:pStyle w:val="TableParagraph"/>
              <w:ind w:left="71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podatek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VAT</w:t>
            </w:r>
          </w:p>
          <w:p w:rsidR="006F46CF" w:rsidRDefault="008655BC">
            <w:pPr>
              <w:pStyle w:val="TableParagraph"/>
              <w:ind w:left="71" w:right="56"/>
              <w:rPr>
                <w:sz w:val="20"/>
              </w:rPr>
            </w:pPr>
            <w:r>
              <w:rPr>
                <w:sz w:val="20"/>
              </w:rPr>
              <w:t>zgodnie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obowiązującymi </w:t>
            </w:r>
            <w:r>
              <w:rPr>
                <w:spacing w:val="-2"/>
                <w:sz w:val="20"/>
              </w:rPr>
              <w:t>przepisami.</w:t>
            </w:r>
          </w:p>
          <w:p w:rsidR="006F46CF" w:rsidRDefault="008655BC">
            <w:pPr>
              <w:pStyle w:val="TableParagraph"/>
              <w:spacing w:before="230"/>
              <w:ind w:left="71" w:right="53"/>
              <w:rPr>
                <w:sz w:val="20"/>
              </w:rPr>
            </w:pPr>
            <w:r>
              <w:rPr>
                <w:sz w:val="20"/>
              </w:rPr>
              <w:t>Opisana roczna stawka płatna będzie jednorazowo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terminie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listopada każdego roku.</w:t>
            </w:r>
          </w:p>
          <w:p w:rsidR="006F46CF" w:rsidRDefault="008655BC">
            <w:pPr>
              <w:pStyle w:val="TableParagraph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Stawka opłaty będzie corocznie waloryzowana średniorocznym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wskaźnikiem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towarów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usług konsumpcyjnych ogłaszanym przez Prezesa Głównego Urzędu Statystycznego.</w:t>
            </w:r>
          </w:p>
        </w:tc>
      </w:tr>
      <w:tr w:rsidR="006F46CF">
        <w:trPr>
          <w:trHeight w:val="1034"/>
        </w:trPr>
        <w:tc>
          <w:tcPr>
            <w:tcW w:w="491" w:type="dxa"/>
            <w:tcBorders>
              <w:top w:val="nil"/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13" w:type="dxa"/>
            <w:tcBorders>
              <w:top w:val="nil"/>
              <w:bottom w:val="nil"/>
            </w:tcBorders>
          </w:tcPr>
          <w:p w:rsidR="006F46CF" w:rsidRDefault="006F46CF">
            <w:pPr>
              <w:pStyle w:val="TableParagraph"/>
              <w:spacing w:before="225"/>
              <w:jc w:val="left"/>
              <w:rPr>
                <w:b/>
                <w:sz w:val="20"/>
              </w:rPr>
            </w:pPr>
          </w:p>
          <w:p w:rsidR="006F46CF" w:rsidRDefault="008655BC">
            <w:pPr>
              <w:pStyle w:val="TableParagraph"/>
              <w:ind w:left="15" w:right="246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zagospodarowania terenu: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tereny zieleni </w:t>
            </w:r>
            <w:r>
              <w:rPr>
                <w:spacing w:val="-2"/>
                <w:sz w:val="20"/>
              </w:rPr>
              <w:t>urządzonej</w:t>
            </w:r>
          </w:p>
          <w:p w:rsidR="006F46CF" w:rsidRDefault="008655BC">
            <w:pPr>
              <w:pStyle w:val="TableParagraph"/>
              <w:ind w:left="15" w:right="246"/>
              <w:rPr>
                <w:sz w:val="20"/>
              </w:rPr>
            </w:pPr>
            <w:r>
              <w:rPr>
                <w:sz w:val="20"/>
              </w:rPr>
              <w:t>publicznej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tereny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zabudowy </w:t>
            </w:r>
            <w:r>
              <w:rPr>
                <w:spacing w:val="-2"/>
                <w:sz w:val="20"/>
              </w:rPr>
              <w:t>usługowej</w:t>
            </w:r>
          </w:p>
        </w:tc>
        <w:tc>
          <w:tcPr>
            <w:tcW w:w="3942" w:type="dxa"/>
            <w:tcBorders>
              <w:top w:val="nil"/>
              <w:bottom w:val="nil"/>
            </w:tcBorders>
          </w:tcPr>
          <w:p w:rsidR="006F46CF" w:rsidRDefault="008655BC">
            <w:pPr>
              <w:pStyle w:val="TableParagraph"/>
              <w:spacing w:line="226" w:lineRule="exact"/>
              <w:ind w:left="71" w:right="56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okresie pierwszych 12 miesięcy </w:t>
            </w:r>
            <w:r>
              <w:rPr>
                <w:spacing w:val="-2"/>
                <w:sz w:val="20"/>
              </w:rPr>
              <w:t>rocznie:</w:t>
            </w:r>
          </w:p>
          <w:p w:rsidR="006F46CF" w:rsidRDefault="008655BC">
            <w:pPr>
              <w:pStyle w:val="TableParagraph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100,00 </w:t>
            </w:r>
            <w:r>
              <w:rPr>
                <w:b/>
                <w:spacing w:val="-5"/>
                <w:sz w:val="20"/>
              </w:rPr>
              <w:t>zł</w:t>
            </w:r>
          </w:p>
          <w:p w:rsidR="006F46CF" w:rsidRDefault="008655BC">
            <w:pPr>
              <w:pStyle w:val="TableParagraph"/>
              <w:ind w:left="71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podatek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VAT</w:t>
            </w:r>
          </w:p>
          <w:p w:rsidR="006F46CF" w:rsidRDefault="008655BC">
            <w:pPr>
              <w:pStyle w:val="TableParagraph"/>
              <w:ind w:left="71" w:right="56"/>
              <w:rPr>
                <w:sz w:val="20"/>
              </w:rPr>
            </w:pPr>
            <w:r>
              <w:rPr>
                <w:sz w:val="20"/>
              </w:rPr>
              <w:t>zgodnie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obowiązującymi </w:t>
            </w:r>
            <w:r>
              <w:rPr>
                <w:spacing w:val="-2"/>
                <w:sz w:val="20"/>
              </w:rPr>
              <w:t>przepisami.</w:t>
            </w:r>
          </w:p>
        </w:tc>
      </w:tr>
      <w:tr w:rsidR="006F46CF">
        <w:trPr>
          <w:trHeight w:val="1720"/>
        </w:trPr>
        <w:tc>
          <w:tcPr>
            <w:tcW w:w="491" w:type="dxa"/>
            <w:tcBorders>
              <w:top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13" w:type="dxa"/>
            <w:tcBorders>
              <w:top w:val="nil"/>
            </w:tcBorders>
          </w:tcPr>
          <w:p w:rsidR="006F46CF" w:rsidRDefault="006F46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42" w:type="dxa"/>
            <w:tcBorders>
              <w:top w:val="nil"/>
            </w:tcBorders>
          </w:tcPr>
          <w:p w:rsidR="006F46CF" w:rsidRDefault="008655BC">
            <w:pPr>
              <w:pStyle w:val="TableParagraph"/>
              <w:spacing w:before="110"/>
              <w:ind w:left="71" w:right="53"/>
              <w:rPr>
                <w:sz w:val="20"/>
              </w:rPr>
            </w:pPr>
            <w:r>
              <w:rPr>
                <w:sz w:val="20"/>
              </w:rPr>
              <w:t>Opisana roczna stawka płatna będzie jednorazowo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terminie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listopada każdego roku.</w:t>
            </w:r>
          </w:p>
          <w:p w:rsidR="006F46CF" w:rsidRDefault="008655BC">
            <w:pPr>
              <w:pStyle w:val="TableParagraph"/>
              <w:spacing w:line="230" w:lineRule="atLeast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Stawka opłaty będzie corocznie waloryzowana średniorocznym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wskaźnikiem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towarów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usług konsumpcyjnych ogłaszanym przez Prezesa Głównego Urzędu Statystycznego.</w:t>
            </w:r>
          </w:p>
        </w:tc>
      </w:tr>
    </w:tbl>
    <w:p w:rsidR="006F46CF" w:rsidRDefault="008655BC">
      <w:pPr>
        <w:spacing w:before="147"/>
        <w:ind w:left="97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niniejszy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podlega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publikacji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poprzez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wywieszenie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wykazu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21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dni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tablicy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ogłoszeń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siedzibie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Urzędu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Miasta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Łodzi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przy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ul.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Piotrkowskiej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 xml:space="preserve">104, </w:t>
      </w:r>
      <w:r>
        <w:rPr>
          <w:b/>
          <w:spacing w:val="-4"/>
          <w:sz w:val="20"/>
        </w:rPr>
        <w:t>zamieszczenie wykazu na stronach internetowych Urzędu Miasta Łodzi oraz na stronie Biuletynu Informacji Publicznej Łódzkiego Urzędu Wojewódzkiego.</w:t>
      </w:r>
    </w:p>
    <w:sectPr w:rsidR="006F46CF">
      <w:pgSz w:w="16840" w:h="11910" w:orient="landscape"/>
      <w:pgMar w:top="740" w:right="5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F1146"/>
    <w:multiLevelType w:val="hybridMultilevel"/>
    <w:tmpl w:val="A4B08FCC"/>
    <w:lvl w:ilvl="0" w:tplc="2466BC02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AE530E">
      <w:numFmt w:val="bullet"/>
      <w:lvlText w:val="•"/>
      <w:lvlJc w:val="left"/>
      <w:pPr>
        <w:ind w:left="1290" w:hanging="260"/>
      </w:pPr>
      <w:rPr>
        <w:rFonts w:hint="default"/>
        <w:lang w:val="pl-PL" w:eastAsia="en-US" w:bidi="ar-SA"/>
      </w:rPr>
    </w:lvl>
    <w:lvl w:ilvl="2" w:tplc="9DF8A08E">
      <w:numFmt w:val="bullet"/>
      <w:lvlText w:val="•"/>
      <w:lvlJc w:val="left"/>
      <w:pPr>
        <w:ind w:left="2181" w:hanging="260"/>
      </w:pPr>
      <w:rPr>
        <w:rFonts w:hint="default"/>
        <w:lang w:val="pl-PL" w:eastAsia="en-US" w:bidi="ar-SA"/>
      </w:rPr>
    </w:lvl>
    <w:lvl w:ilvl="3" w:tplc="1860A372">
      <w:numFmt w:val="bullet"/>
      <w:lvlText w:val="•"/>
      <w:lvlJc w:val="left"/>
      <w:pPr>
        <w:ind w:left="3071" w:hanging="260"/>
      </w:pPr>
      <w:rPr>
        <w:rFonts w:hint="default"/>
        <w:lang w:val="pl-PL" w:eastAsia="en-US" w:bidi="ar-SA"/>
      </w:rPr>
    </w:lvl>
    <w:lvl w:ilvl="4" w:tplc="F3D4CEAC">
      <w:numFmt w:val="bullet"/>
      <w:lvlText w:val="•"/>
      <w:lvlJc w:val="left"/>
      <w:pPr>
        <w:ind w:left="3962" w:hanging="260"/>
      </w:pPr>
      <w:rPr>
        <w:rFonts w:hint="default"/>
        <w:lang w:val="pl-PL" w:eastAsia="en-US" w:bidi="ar-SA"/>
      </w:rPr>
    </w:lvl>
    <w:lvl w:ilvl="5" w:tplc="281E5E30">
      <w:numFmt w:val="bullet"/>
      <w:lvlText w:val="•"/>
      <w:lvlJc w:val="left"/>
      <w:pPr>
        <w:ind w:left="4853" w:hanging="260"/>
      </w:pPr>
      <w:rPr>
        <w:rFonts w:hint="default"/>
        <w:lang w:val="pl-PL" w:eastAsia="en-US" w:bidi="ar-SA"/>
      </w:rPr>
    </w:lvl>
    <w:lvl w:ilvl="6" w:tplc="C0E6BE8A">
      <w:numFmt w:val="bullet"/>
      <w:lvlText w:val="•"/>
      <w:lvlJc w:val="left"/>
      <w:pPr>
        <w:ind w:left="5743" w:hanging="260"/>
      </w:pPr>
      <w:rPr>
        <w:rFonts w:hint="default"/>
        <w:lang w:val="pl-PL" w:eastAsia="en-US" w:bidi="ar-SA"/>
      </w:rPr>
    </w:lvl>
    <w:lvl w:ilvl="7" w:tplc="2B744D94">
      <w:numFmt w:val="bullet"/>
      <w:lvlText w:val="•"/>
      <w:lvlJc w:val="left"/>
      <w:pPr>
        <w:ind w:left="6634" w:hanging="260"/>
      </w:pPr>
      <w:rPr>
        <w:rFonts w:hint="default"/>
        <w:lang w:val="pl-PL" w:eastAsia="en-US" w:bidi="ar-SA"/>
      </w:rPr>
    </w:lvl>
    <w:lvl w:ilvl="8" w:tplc="A9B0659A">
      <w:numFmt w:val="bullet"/>
      <w:lvlText w:val="•"/>
      <w:lvlJc w:val="left"/>
      <w:pPr>
        <w:ind w:left="7524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6CF"/>
    <w:rsid w:val="006F46CF"/>
    <w:rsid w:val="008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6680"/>
  <w15:docId w15:val="{20925F62-808B-43C9-A158-E32719F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77" w:hanging="284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2161</Characters>
  <Application>Microsoft Office Word</Application>
  <DocSecurity>0</DocSecurity>
  <Lines>18</Lines>
  <Paragraphs>5</Paragraphs>
  <ScaleCrop>false</ScaleCrop>
  <Company>Łóddzki Urząd Wojewódzki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/VI/11</dc:title>
  <dc:creator>ADobrucka</dc:creator>
  <cp:lastModifiedBy>Weronika Wrzosek</cp:lastModifiedBy>
  <cp:revision>2</cp:revision>
  <dcterms:created xsi:type="dcterms:W3CDTF">2024-11-05T11:30:00Z</dcterms:created>
  <dcterms:modified xsi:type="dcterms:W3CDTF">2024-11-05T11:35:00Z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2024-11-05T00:00:00Z</vt:filetime>
  </property>
  <property fmtid="{D5CDD505-2E9C-101B-9397-08002B2CF9AE}" pid="5" name="Producer">
    <vt:lpwstr>Aspose.Words for .NET 21.2.0</vt:lpwstr>
  </property>
</Properties>
</file>