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057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3365B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C49B1" w:rsidRPr="005C49B1" w:rsidRDefault="005C49B1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C49B1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DOOŚ-WDŚZIL.420.42.2020.KB/KCz.17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C49B1" w:rsidRPr="005C49B1" w:rsidRDefault="005C49B1" w:rsidP="005C49B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49B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Środowiska, decyzją z dnia 25 stycznia 2022 r., znak: DOOŚ-WDŚZIL.420.42.2020.KB/KCz.l6, uchylił w całości decyzję Regionalnego Dyrektora Ochrony Środowiska w Białymstoku z dnia 16 listopada 2020 r., znak: WOOŚ.420.13.2020.AS, odmawiającą zmiany ostatecznej decyzji Wojewody Podlaskiego z dnia 29 maja 2007 r., znak: ŚR.I.KG.66131/38/06/07, o środowiskowych uwarunkowaniach zgody na realizację przedsięwzięcia polegającego na budowie obwodnicy Zambrowa i Wiśniewa w ciągu drogi krajowej nr 8 na odcinku od km ok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 575+550 do km ok. 586+620 wraz z</w:t>
      </w:r>
      <w:r w:rsidRPr="005C49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przełożeniem</w:t>
      </w:r>
      <w:r w:rsidRPr="005C49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krajowej nr 65 Lompa - Sokołów Podlaski i przekazał sprawę do ponownego rozpatrzenia organowi I instancji.</w:t>
      </w:r>
    </w:p>
    <w:p w:rsidR="005C49B1" w:rsidRPr="005C49B1" w:rsidRDefault="005C49B1" w:rsidP="005C49B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49B1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5C49B1" w:rsidRPr="005C49B1" w:rsidRDefault="005C49B1" w:rsidP="005C49B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49B1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Białymstoku, Urzędzie Miasta Zambrów, Urzędzie Gminy Zambrów oraz Urzędzie Gminy Kołaki Kościelne lub w sposób wskazany w art. 49b § 1 Kpa.</w:t>
      </w:r>
    </w:p>
    <w:p w:rsidR="001B10CD" w:rsidRDefault="005C49B1" w:rsidP="005C49B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49B1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5C49B1" w:rsidRDefault="005C49B1" w:rsidP="001B10C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1B10C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C49B1" w:rsidRPr="005C49B1" w:rsidRDefault="005C49B1" w:rsidP="005C49B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Art. 49 § 1 Kpa Jeżeli</w:t>
      </w:r>
      <w:r w:rsidRPr="005C49B1">
        <w:rPr>
          <w:rFonts w:asciiTheme="minorHAnsi" w:hAnsiTheme="minorHAnsi" w:cstheme="minorHAnsi"/>
          <w:color w:val="000000"/>
        </w:rPr>
        <w:t xml:space="preserve"> przepis szczególny tak stanowi, zawiadomienie stron o decyzjach i innych czynnościach organu administracji publicznej może nastąpić w formie publicznego ob</w:t>
      </w:r>
      <w:r>
        <w:rPr>
          <w:rFonts w:asciiTheme="minorHAnsi" w:hAnsiTheme="minorHAnsi" w:cstheme="minorHAnsi"/>
          <w:color w:val="000000"/>
        </w:rPr>
        <w:t>wieszczenia, w innej formie publi</w:t>
      </w:r>
      <w:r w:rsidRPr="005C49B1">
        <w:rPr>
          <w:rFonts w:asciiTheme="minorHAnsi" w:hAnsiTheme="minorHAnsi" w:cstheme="minorHAnsi"/>
          <w:color w:val="000000"/>
        </w:rPr>
        <w:t>cznego ogłoszenia zwyczajowo przyjętej w danej miejscowości lub przez udostępnienie pi</w:t>
      </w:r>
      <w:r>
        <w:rPr>
          <w:rFonts w:asciiTheme="minorHAnsi" w:hAnsiTheme="minorHAnsi" w:cstheme="minorHAnsi"/>
          <w:color w:val="000000"/>
        </w:rPr>
        <w:t>sma w Biuletynie Informacji Publi</w:t>
      </w:r>
      <w:r w:rsidRPr="005C49B1">
        <w:rPr>
          <w:rFonts w:asciiTheme="minorHAnsi" w:hAnsiTheme="minorHAnsi" w:cstheme="minorHAnsi"/>
          <w:color w:val="000000"/>
        </w:rPr>
        <w:t>cznej na stronie podmiotowej właściwego o</w:t>
      </w:r>
      <w:r>
        <w:rPr>
          <w:rFonts w:asciiTheme="minorHAnsi" w:hAnsiTheme="minorHAnsi" w:cstheme="minorHAnsi"/>
          <w:color w:val="000000"/>
        </w:rPr>
        <w:t>rganu administracji publiczne</w:t>
      </w:r>
      <w:r w:rsidRPr="005C49B1">
        <w:rPr>
          <w:rFonts w:asciiTheme="minorHAnsi" w:hAnsiTheme="minorHAnsi" w:cstheme="minorHAnsi"/>
          <w:color w:val="000000"/>
        </w:rPr>
        <w:t>j.</w:t>
      </w:r>
    </w:p>
    <w:p w:rsidR="005C49B1" w:rsidRPr="005C49B1" w:rsidRDefault="005C49B1" w:rsidP="005C49B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C49B1">
        <w:rPr>
          <w:rFonts w:asciiTheme="minorHAnsi" w:hAnsiTheme="minorHAnsi" w:cstheme="minorHAnsi"/>
          <w:color w:val="000000"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</w:t>
      </w:r>
      <w:r>
        <w:rPr>
          <w:rFonts w:asciiTheme="minorHAnsi" w:hAnsiTheme="minorHAnsi" w:cstheme="minorHAnsi"/>
          <w:color w:val="000000"/>
        </w:rPr>
        <w:t>określonych we wniosku, chyba że</w:t>
      </w:r>
      <w:r w:rsidRPr="005C49B1">
        <w:rPr>
          <w:rFonts w:asciiTheme="minorHAnsi" w:hAnsiTheme="minorHAnsi" w:cstheme="minorHAnsi"/>
          <w:color w:val="000000"/>
        </w:rPr>
        <w:t xml:space="preserve"> środki techniczne, którymi dysponuje organ, nic </w:t>
      </w:r>
      <w:r w:rsidRPr="005C49B1">
        <w:rPr>
          <w:rFonts w:asciiTheme="minorHAnsi" w:hAnsiTheme="minorHAnsi" w:cstheme="minorHAnsi"/>
          <w:color w:val="000000"/>
        </w:rPr>
        <w:t>umawiają</w:t>
      </w:r>
      <w:r w:rsidRPr="005C49B1">
        <w:rPr>
          <w:rFonts w:asciiTheme="minorHAnsi" w:hAnsiTheme="minorHAnsi" w:cstheme="minorHAnsi"/>
          <w:color w:val="000000"/>
        </w:rPr>
        <w:t xml:space="preserve"> udostępnienia w taki sposób lub takiej formie.</w:t>
      </w:r>
    </w:p>
    <w:p w:rsidR="005C49B1" w:rsidRPr="005C49B1" w:rsidRDefault="005C49B1" w:rsidP="005C49B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Art. 74 ust. 3 ustawy ooś Jeżeli li</w:t>
      </w:r>
      <w:r w:rsidRPr="005C49B1">
        <w:rPr>
          <w:rFonts w:asciiTheme="minorHAnsi" w:hAnsiTheme="minorHAnsi" w:cstheme="minorHAnsi"/>
          <w:color w:val="000000"/>
        </w:rPr>
        <w:t>czba stron postępowania w sprawie wydania decyzji o środowiskowych uwarunkowaniach lub innego postępowania dotyczącego tej decyzji przekracza 10, stosuje się art. 49 Kodeksu postępowania administracyjnego.</w:t>
      </w:r>
    </w:p>
    <w:p w:rsidR="005C49B1" w:rsidRPr="00E000E6" w:rsidRDefault="005C49B1" w:rsidP="005C49B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C49B1">
        <w:rPr>
          <w:rFonts w:asciiTheme="minorHAnsi" w:hAnsiTheme="minorHAnsi" w:cstheme="minorHAnsi"/>
          <w:color w:val="000000"/>
        </w:rPr>
        <w:t xml:space="preserve">Art. 85 ust. 3 ustawy ooś Organ właściwy do wydania decyzji o środowiskowych uwarunkowaniach wydanej po przeprowadzeniu oceny oddziaływania przedsięwzięcia na środowisko, niezwłocznie po jej wydaniu, </w:t>
      </w:r>
      <w:r w:rsidRPr="005C49B1">
        <w:rPr>
          <w:rFonts w:asciiTheme="minorHAnsi" w:hAnsiTheme="minorHAnsi" w:cstheme="minorHAnsi"/>
          <w:color w:val="000000"/>
        </w:rPr>
        <w:t>podając</w:t>
      </w:r>
      <w:r>
        <w:rPr>
          <w:rFonts w:asciiTheme="minorHAnsi" w:hAnsiTheme="minorHAnsi" w:cstheme="minorHAnsi"/>
          <w:color w:val="000000"/>
        </w:rPr>
        <w:t xml:space="preserve"> do publi</w:t>
      </w:r>
      <w:r w:rsidRPr="005C49B1">
        <w:rPr>
          <w:rFonts w:asciiTheme="minorHAnsi" w:hAnsiTheme="minorHAnsi" w:cstheme="minorHAnsi"/>
          <w:color w:val="000000"/>
        </w:rPr>
        <w:t xml:space="preserve">cznej wiadomości informacje o wydanej decyzji </w:t>
      </w:r>
      <w:r>
        <w:rPr>
          <w:rFonts w:asciiTheme="minorHAnsi" w:hAnsiTheme="minorHAnsi" w:cstheme="minorHAnsi"/>
          <w:color w:val="000000"/>
        </w:rPr>
        <w:t>i o możli</w:t>
      </w:r>
      <w:r w:rsidRPr="005C49B1">
        <w:rPr>
          <w:rFonts w:asciiTheme="minorHAnsi" w:hAnsiTheme="minorHAnsi" w:cstheme="minorHAnsi"/>
          <w:color w:val="000000"/>
        </w:rPr>
        <w:t xml:space="preserve">wościach zapoznania się z jej treścią oraz z dokumentacją sprawy, w tym z uzgodnieniami i opiniami organów, o których mowa w art. 77 ust. 1, a także udostępnia na okres 14 </w:t>
      </w:r>
      <w:r>
        <w:rPr>
          <w:rFonts w:asciiTheme="minorHAnsi" w:hAnsiTheme="minorHAnsi" w:cstheme="minorHAnsi"/>
          <w:color w:val="000000"/>
        </w:rPr>
        <w:t>dni w Biuletynie Informacji Publi</w:t>
      </w:r>
      <w:r w:rsidRPr="005C49B1">
        <w:rPr>
          <w:rFonts w:asciiTheme="minorHAnsi" w:hAnsiTheme="minorHAnsi" w:cstheme="minorHAnsi"/>
          <w:color w:val="000000"/>
        </w:rPr>
        <w:t>cznej na stronic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C49B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C49B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C49B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C49B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C49B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275FD"/>
    <w:rsid w:val="00D60B77"/>
    <w:rsid w:val="00D8044E"/>
    <w:rsid w:val="00DF0ECA"/>
    <w:rsid w:val="00E000E6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FEB5-6781-423D-9965-F9D9552C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2023-06-30T09:43:00Z</dcterms:created>
  <dcterms:modified xsi:type="dcterms:W3CDTF">2023-06-30T09:43:00Z</dcterms:modified>
</cp:coreProperties>
</file>