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42EC52A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w:t>
      </w:r>
      <w:r w:rsidR="00F309CC">
        <w:rPr>
          <w:rFonts w:ascii="Arial" w:hAnsi="Arial" w:cs="Arial"/>
          <w:b/>
          <w:color w:val="auto"/>
          <w:sz w:val="24"/>
          <w:szCs w:val="24"/>
        </w:rPr>
        <w:t>V</w:t>
      </w:r>
      <w:r w:rsidRPr="002B50C0">
        <w:rPr>
          <w:rFonts w:ascii="Arial" w:hAnsi="Arial" w:cs="Arial"/>
          <w:b/>
          <w:color w:val="auto"/>
          <w:sz w:val="24"/>
          <w:szCs w:val="24"/>
        </w:rPr>
        <w:t xml:space="preserve"> kwartał </w:t>
      </w:r>
      <w:r w:rsidR="003D736C">
        <w:rPr>
          <w:rFonts w:ascii="Arial" w:hAnsi="Arial" w:cs="Arial"/>
          <w:b/>
          <w:color w:val="auto"/>
          <w:sz w:val="24"/>
          <w:szCs w:val="24"/>
        </w:rPr>
        <w:t xml:space="preserve">2019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D53AA76" w:rsidR="005212C8" w:rsidRPr="00490C24" w:rsidRDefault="00B8735C" w:rsidP="00B8735C">
            <w:pPr>
              <w:spacing w:line="276" w:lineRule="auto"/>
              <w:rPr>
                <w:rFonts w:ascii="Arial" w:hAnsi="Arial" w:cs="Arial"/>
                <w:color w:val="0070C0"/>
                <w:sz w:val="18"/>
                <w:szCs w:val="18"/>
              </w:rPr>
            </w:pPr>
            <w:r w:rsidRPr="00490C24">
              <w:rPr>
                <w:rFonts w:ascii="Arial" w:hAnsi="Arial" w:cs="Arial"/>
                <w:sz w:val="18"/>
                <w:szCs w:val="18"/>
              </w:rPr>
              <w:t xml:space="preserve">11 325 421,25 zł  (Po korekcie dokonanej przez CPPC na kwotę </w:t>
            </w:r>
            <w:r w:rsidRPr="00490C24">
              <w:rPr>
                <w:rFonts w:ascii="Arial" w:hAnsi="Arial" w:cs="Arial"/>
                <w:color w:val="000000"/>
                <w:sz w:val="18"/>
                <w:szCs w:val="18"/>
              </w:rPr>
              <w:t xml:space="preserve">23 985,00 zł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0095775A" w:rsidR="003D736C" w:rsidRPr="00141A92" w:rsidRDefault="00AC000C" w:rsidP="00AC000C">
            <w:pPr>
              <w:jc w:val="center"/>
              <w:rPr>
                <w:rFonts w:ascii="Arial" w:hAnsi="Arial" w:cs="Arial"/>
                <w:color w:val="0070C0"/>
                <w:sz w:val="18"/>
                <w:szCs w:val="20"/>
              </w:rPr>
            </w:pPr>
            <w:r>
              <w:rPr>
                <w:rFonts w:ascii="Arial" w:hAnsi="Arial" w:cs="Arial"/>
                <w:color w:val="000000" w:themeColor="text1"/>
                <w:sz w:val="18"/>
                <w:szCs w:val="20"/>
              </w:rPr>
              <w:t>2</w:t>
            </w:r>
            <w:r w:rsidR="003D736C">
              <w:rPr>
                <w:rFonts w:ascii="Arial" w:hAnsi="Arial" w:cs="Arial"/>
                <w:color w:val="000000" w:themeColor="text1"/>
                <w:sz w:val="18"/>
                <w:szCs w:val="20"/>
              </w:rPr>
              <w:t>9,</w:t>
            </w:r>
            <w:r>
              <w:rPr>
                <w:rFonts w:ascii="Arial" w:hAnsi="Arial" w:cs="Arial"/>
                <w:color w:val="000000" w:themeColor="text1"/>
                <w:sz w:val="18"/>
                <w:szCs w:val="20"/>
              </w:rPr>
              <w:t>1</w:t>
            </w:r>
            <w:r w:rsidR="003D736C" w:rsidRPr="00843DC4">
              <w:rPr>
                <w:rFonts w:ascii="Arial" w:hAnsi="Arial" w:cs="Arial"/>
                <w:color w:val="000000" w:themeColor="text1"/>
                <w:sz w:val="18"/>
                <w:szCs w:val="20"/>
              </w:rPr>
              <w:t>%</w:t>
            </w:r>
          </w:p>
        </w:tc>
        <w:tc>
          <w:tcPr>
            <w:tcW w:w="3260" w:type="dxa"/>
            <w:vAlign w:val="center"/>
          </w:tcPr>
          <w:p w14:paraId="547B1781" w14:textId="337BCB49" w:rsidR="003D736C" w:rsidRDefault="00FD06DD" w:rsidP="003D736C">
            <w:pPr>
              <w:jc w:val="center"/>
              <w:rPr>
                <w:rFonts w:ascii="Arial" w:hAnsi="Arial" w:cs="Arial"/>
                <w:color w:val="000000" w:themeColor="text1"/>
                <w:sz w:val="18"/>
                <w:szCs w:val="20"/>
              </w:rPr>
            </w:pPr>
            <w:r>
              <w:rPr>
                <w:rFonts w:ascii="Arial" w:hAnsi="Arial" w:cs="Arial"/>
                <w:color w:val="000000" w:themeColor="text1"/>
                <w:sz w:val="18"/>
                <w:szCs w:val="20"/>
              </w:rPr>
              <w:t>2</w:t>
            </w:r>
            <w:r w:rsidR="003D736C" w:rsidRPr="00843DC4">
              <w:rPr>
                <w:rFonts w:ascii="Arial" w:hAnsi="Arial" w:cs="Arial"/>
                <w:color w:val="000000" w:themeColor="text1"/>
                <w:sz w:val="18"/>
                <w:szCs w:val="20"/>
              </w:rPr>
              <w:t>,2</w:t>
            </w:r>
            <w:r w:rsidR="006B1380">
              <w:rPr>
                <w:rFonts w:ascii="Arial" w:hAnsi="Arial" w:cs="Arial"/>
                <w:color w:val="000000" w:themeColor="text1"/>
                <w:sz w:val="18"/>
                <w:szCs w:val="20"/>
              </w:rPr>
              <w:t>8</w:t>
            </w:r>
            <w:r w:rsidR="003D736C">
              <w:rPr>
                <w:rFonts w:ascii="Arial" w:hAnsi="Arial" w:cs="Arial"/>
                <w:color w:val="000000" w:themeColor="text1"/>
                <w:sz w:val="18"/>
                <w:szCs w:val="20"/>
              </w:rPr>
              <w:t xml:space="preserve"> %</w:t>
            </w:r>
          </w:p>
          <w:p w14:paraId="705AD9A4" w14:textId="0110737E" w:rsidR="005C7352" w:rsidRDefault="005C7352" w:rsidP="003D736C">
            <w:pPr>
              <w:jc w:val="center"/>
              <w:rPr>
                <w:rFonts w:ascii="Arial" w:hAnsi="Arial" w:cs="Arial"/>
                <w:color w:val="000000" w:themeColor="text1"/>
                <w:sz w:val="18"/>
                <w:szCs w:val="20"/>
              </w:rPr>
            </w:pPr>
            <w:r>
              <w:rPr>
                <w:rFonts w:ascii="Arial" w:hAnsi="Arial" w:cs="Arial"/>
                <w:color w:val="000000" w:themeColor="text1"/>
                <w:sz w:val="18"/>
                <w:szCs w:val="20"/>
              </w:rPr>
              <w:t>1,</w:t>
            </w:r>
            <w:r w:rsidR="00EB62F2">
              <w:rPr>
                <w:rFonts w:ascii="Arial" w:hAnsi="Arial" w:cs="Arial"/>
                <w:color w:val="000000" w:themeColor="text1"/>
                <w:sz w:val="18"/>
                <w:szCs w:val="20"/>
              </w:rPr>
              <w:t>06</w:t>
            </w:r>
            <w:r>
              <w:rPr>
                <w:rFonts w:ascii="Arial" w:hAnsi="Arial" w:cs="Arial"/>
                <w:color w:val="000000" w:themeColor="text1"/>
                <w:sz w:val="18"/>
                <w:szCs w:val="20"/>
              </w:rPr>
              <w:t xml:space="preserve"> %</w:t>
            </w:r>
          </w:p>
          <w:p w14:paraId="4929DAC9" w14:textId="2B388CBC" w:rsidR="005C7352" w:rsidRPr="00CE23CF" w:rsidRDefault="00FD06DD" w:rsidP="00F309CC">
            <w:pPr>
              <w:jc w:val="center"/>
              <w:rPr>
                <w:rFonts w:ascii="Arial" w:hAnsi="Arial" w:cs="Arial"/>
                <w:color w:val="000000" w:themeColor="text1"/>
                <w:sz w:val="18"/>
                <w:szCs w:val="20"/>
              </w:rPr>
            </w:pPr>
            <w:r>
              <w:rPr>
                <w:rFonts w:ascii="Arial" w:hAnsi="Arial" w:cs="Arial"/>
                <w:color w:val="000000" w:themeColor="text1"/>
                <w:sz w:val="18"/>
                <w:szCs w:val="20"/>
              </w:rPr>
              <w:t>2</w:t>
            </w:r>
            <w:r w:rsidR="00CE23CF" w:rsidRPr="00CE23CF">
              <w:rPr>
                <w:rFonts w:ascii="Arial" w:hAnsi="Arial" w:cs="Arial"/>
                <w:color w:val="000000" w:themeColor="text1"/>
                <w:sz w:val="18"/>
                <w:szCs w:val="20"/>
              </w:rPr>
              <w:t>,</w:t>
            </w:r>
            <w:r>
              <w:rPr>
                <w:rFonts w:ascii="Arial" w:hAnsi="Arial" w:cs="Arial"/>
                <w:color w:val="000000" w:themeColor="text1"/>
                <w:sz w:val="18"/>
                <w:szCs w:val="20"/>
              </w:rPr>
              <w:t>0</w:t>
            </w:r>
            <w:r w:rsidR="006B1380">
              <w:rPr>
                <w:rFonts w:ascii="Arial" w:hAnsi="Arial" w:cs="Arial"/>
                <w:color w:val="000000" w:themeColor="text1"/>
                <w:sz w:val="18"/>
                <w:szCs w:val="20"/>
              </w:rPr>
              <w:t>7</w:t>
            </w:r>
            <w:r w:rsidR="00CE23CF" w:rsidRPr="00CE23CF">
              <w:rPr>
                <w:rFonts w:ascii="Arial" w:hAnsi="Arial" w:cs="Arial"/>
                <w:color w:val="000000" w:themeColor="text1"/>
                <w:sz w:val="18"/>
                <w:szCs w:val="20"/>
              </w:rPr>
              <w:t xml:space="preserve"> %</w:t>
            </w:r>
          </w:p>
        </w:tc>
        <w:tc>
          <w:tcPr>
            <w:tcW w:w="3402" w:type="dxa"/>
            <w:vAlign w:val="center"/>
          </w:tcPr>
          <w:p w14:paraId="65BB31D3" w14:textId="6D3423C8" w:rsidR="003D736C" w:rsidRPr="00141A92" w:rsidRDefault="00014699" w:rsidP="00B8735C">
            <w:pPr>
              <w:jc w:val="center"/>
              <w:rPr>
                <w:rFonts w:ascii="Arial" w:hAnsi="Arial" w:cs="Arial"/>
                <w:color w:val="0070C0"/>
                <w:sz w:val="18"/>
                <w:szCs w:val="20"/>
              </w:rPr>
            </w:pPr>
            <w:r>
              <w:rPr>
                <w:rFonts w:ascii="Arial" w:hAnsi="Arial" w:cs="Arial"/>
                <w:color w:val="000000" w:themeColor="text1"/>
                <w:sz w:val="18"/>
                <w:szCs w:val="20"/>
              </w:rPr>
              <w:t>8</w:t>
            </w:r>
            <w:r w:rsidR="00EB62F2">
              <w:rPr>
                <w:rFonts w:ascii="Arial" w:hAnsi="Arial" w:cs="Arial"/>
                <w:color w:val="000000" w:themeColor="text1"/>
                <w:sz w:val="18"/>
                <w:szCs w:val="20"/>
              </w:rPr>
              <w:t>5</w:t>
            </w:r>
            <w:r w:rsidR="00CE63B2">
              <w:rPr>
                <w:rFonts w:ascii="Arial" w:hAnsi="Arial" w:cs="Arial"/>
                <w:color w:val="000000" w:themeColor="text1"/>
                <w:sz w:val="18"/>
                <w:szCs w:val="20"/>
              </w:rPr>
              <w:t>,</w:t>
            </w:r>
            <w:r w:rsidR="00EB62F2">
              <w:rPr>
                <w:rFonts w:ascii="Arial" w:hAnsi="Arial" w:cs="Arial"/>
                <w:color w:val="000000" w:themeColor="text1"/>
                <w:sz w:val="18"/>
                <w:szCs w:val="20"/>
              </w:rPr>
              <w:t>78</w:t>
            </w:r>
            <w:r>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32600F61" w:rsidR="003D736C" w:rsidRPr="00A23E05" w:rsidRDefault="003D736C" w:rsidP="003D736C">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77777777" w:rsidR="003D736C" w:rsidRPr="00A23E05" w:rsidRDefault="003D736C" w:rsidP="003D736C">
            <w:pPr>
              <w:pStyle w:val="Akapitzlist"/>
              <w:ind w:left="7"/>
              <w:rPr>
                <w:rFonts w:ascii="Arial" w:hAnsi="Arial" w:cs="Arial"/>
                <w:sz w:val="18"/>
                <w:szCs w:val="18"/>
              </w:rPr>
            </w:pPr>
          </w:p>
        </w:tc>
        <w:tc>
          <w:tcPr>
            <w:tcW w:w="2802" w:type="dxa"/>
          </w:tcPr>
          <w:p w14:paraId="143D18E8" w14:textId="10203462" w:rsidR="00865BD6" w:rsidRPr="00865BD6" w:rsidRDefault="00865BD6" w:rsidP="00865BD6">
            <w:pPr>
              <w:rPr>
                <w:rFonts w:ascii="Arial" w:hAnsi="Arial" w:cs="Arial"/>
                <w:sz w:val="18"/>
                <w:szCs w:val="18"/>
              </w:rPr>
            </w:pPr>
            <w:r w:rsidRPr="00865BD6">
              <w:rPr>
                <w:rFonts w:ascii="Arial" w:hAnsi="Arial" w:cs="Arial"/>
                <w:sz w:val="18"/>
                <w:szCs w:val="18"/>
              </w:rPr>
              <w:t>- planowany</w:t>
            </w:r>
          </w:p>
          <w:p w14:paraId="06F14378" w14:textId="77777777" w:rsidR="00865BD6" w:rsidRPr="00865BD6" w:rsidRDefault="00865BD6" w:rsidP="00865BD6">
            <w:pPr>
              <w:rPr>
                <w:rFonts w:ascii="Arial" w:hAnsi="Arial" w:cs="Arial"/>
                <w:sz w:val="18"/>
                <w:szCs w:val="18"/>
              </w:rPr>
            </w:pPr>
            <w:r w:rsidRPr="00865BD6">
              <w:rPr>
                <w:rFonts w:ascii="Arial" w:hAnsi="Arial" w:cs="Arial"/>
                <w:sz w:val="18"/>
                <w:szCs w:val="18"/>
              </w:rPr>
              <w:t>Postępowanie jest prowadzone przez Centrum Informatyki Resortu Finansów. Opóźnienie spowodowane jest koniecznością przeprowadzenia przez CIRF licznych postępowań o zamówienia publiczne, których termin płatności upływał 2019 r. W przypadku przedłużającego się zakupu, CIRF zapewnił czasowe udostępnienie posiadanych obecnie zasobów.</w:t>
            </w:r>
          </w:p>
          <w:p w14:paraId="6184957A" w14:textId="36C3B06C" w:rsidR="009A7603" w:rsidRPr="00A23E05" w:rsidRDefault="00865BD6" w:rsidP="00B8735C">
            <w:pPr>
              <w:rPr>
                <w:rFonts w:ascii="Arial" w:hAnsi="Arial" w:cs="Arial"/>
                <w:sz w:val="18"/>
                <w:szCs w:val="18"/>
              </w:rPr>
            </w:pPr>
            <w:r w:rsidRPr="00865BD6">
              <w:rPr>
                <w:rFonts w:ascii="Arial" w:hAnsi="Arial" w:cs="Arial"/>
                <w:sz w:val="18"/>
                <w:szCs w:val="18"/>
              </w:rPr>
              <w:t>Dla Kamienia milowego nie został osiągnięty punkt krytyczny określony na 6 marca 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77777777" w:rsidR="003D736C" w:rsidRPr="00A23E05" w:rsidRDefault="003D736C" w:rsidP="003D736C">
            <w:pPr>
              <w:pStyle w:val="Akapitzlist"/>
              <w:ind w:left="7"/>
              <w:rPr>
                <w:rFonts w:ascii="Arial" w:hAnsi="Arial" w:cs="Arial"/>
                <w:sz w:val="18"/>
                <w:szCs w:val="18"/>
              </w:rPr>
            </w:pPr>
          </w:p>
        </w:tc>
        <w:tc>
          <w:tcPr>
            <w:tcW w:w="2802" w:type="dxa"/>
          </w:tcPr>
          <w:p w14:paraId="02CE294F" w14:textId="77777777"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planowany</w:t>
            </w:r>
          </w:p>
          <w:p w14:paraId="3A137060" w14:textId="77777777"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Opóźnienie jest konsekwencją przedłużających się prac nad przygotowaniem SIWZ Ogłoszenie przetargu nastąpiło dopiero w dniu 3 grudnia 2019 r.</w:t>
            </w:r>
          </w:p>
          <w:p w14:paraId="39A4D3A5" w14:textId="3481F2E8" w:rsidR="009A7603" w:rsidRPr="00A23E05" w:rsidRDefault="00865BD6" w:rsidP="003D736C">
            <w:pPr>
              <w:rPr>
                <w:rFonts w:ascii="Arial" w:hAnsi="Arial" w:cs="Arial"/>
                <w:sz w:val="18"/>
                <w:szCs w:val="18"/>
              </w:rPr>
            </w:pPr>
            <w:r w:rsidRPr="00865BD6">
              <w:rPr>
                <w:rFonts w:ascii="Arial" w:hAnsi="Arial" w:cs="Arial"/>
                <w:sz w:val="18"/>
                <w:szCs w:val="18"/>
              </w:rPr>
              <w:lastRenderedPageBreak/>
              <w:t>Dla Kamienia milowego nie został osiągnięty punkt krytyczny określony na 6 marca 2020 r.</w:t>
            </w:r>
          </w:p>
        </w:tc>
      </w:tr>
      <w:tr w:rsidR="003D736C" w:rsidRPr="002B50C0" w14:paraId="672AE021" w14:textId="77777777" w:rsidTr="006B5117">
        <w:tc>
          <w:tcPr>
            <w:tcW w:w="2127" w:type="dxa"/>
          </w:tcPr>
          <w:p w14:paraId="571E7240" w14:textId="72E53856" w:rsidR="003D736C" w:rsidRPr="00A23E05" w:rsidRDefault="003D736C" w:rsidP="003D736C">
            <w:pPr>
              <w:rPr>
                <w:rFonts w:ascii="Arial" w:hAnsi="Arial" w:cs="Arial"/>
                <w:sz w:val="18"/>
                <w:szCs w:val="18"/>
              </w:rPr>
            </w:pPr>
            <w:r w:rsidRPr="00A23E05">
              <w:rPr>
                <w:rFonts w:ascii="Arial" w:hAnsi="Arial" w:cs="Arial"/>
                <w:sz w:val="18"/>
                <w:szCs w:val="18"/>
              </w:rPr>
              <w:lastRenderedPageBreak/>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A23E05" w:rsidRDefault="003D736C" w:rsidP="003D736C">
            <w:pPr>
              <w:rPr>
                <w:rFonts w:ascii="Arial" w:hAnsi="Arial" w:cs="Arial"/>
                <w:color w:val="0070C0"/>
                <w:sz w:val="18"/>
                <w:szCs w:val="18"/>
              </w:rPr>
            </w:pPr>
          </w:p>
        </w:tc>
        <w:tc>
          <w:tcPr>
            <w:tcW w:w="1289" w:type="dxa"/>
          </w:tcPr>
          <w:p w14:paraId="3892B60F" w14:textId="5EAF4017"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6F5F3470" w14:textId="77777777" w:rsidR="003D736C" w:rsidRPr="00A23E05" w:rsidRDefault="003D736C" w:rsidP="003D736C">
            <w:pPr>
              <w:pStyle w:val="Akapitzlist"/>
              <w:ind w:left="7"/>
              <w:rPr>
                <w:rFonts w:ascii="Arial" w:hAnsi="Arial" w:cs="Arial"/>
                <w:sz w:val="18"/>
                <w:szCs w:val="18"/>
              </w:rPr>
            </w:pPr>
          </w:p>
        </w:tc>
        <w:tc>
          <w:tcPr>
            <w:tcW w:w="2802" w:type="dxa"/>
          </w:tcPr>
          <w:p w14:paraId="326BA878" w14:textId="043A8E26"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0F20D8B8" w14:textId="77777777" w:rsidTr="006B5117">
        <w:tc>
          <w:tcPr>
            <w:tcW w:w="2127" w:type="dxa"/>
          </w:tcPr>
          <w:p w14:paraId="5588DD25" w14:textId="7A26D252" w:rsidR="003D736C" w:rsidRPr="00A23E05" w:rsidRDefault="003D736C" w:rsidP="003D736C">
            <w:pPr>
              <w:rPr>
                <w:rFonts w:ascii="Arial" w:hAnsi="Arial" w:cs="Arial"/>
                <w:sz w:val="18"/>
                <w:szCs w:val="18"/>
              </w:rPr>
            </w:pPr>
            <w:r w:rsidRPr="00A23E05">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A23E05" w:rsidRDefault="003D736C" w:rsidP="003D736C">
            <w:pPr>
              <w:rPr>
                <w:rFonts w:ascii="Arial" w:hAnsi="Arial" w:cs="Arial"/>
                <w:color w:val="0070C0"/>
                <w:sz w:val="18"/>
                <w:szCs w:val="18"/>
              </w:rPr>
            </w:pPr>
          </w:p>
        </w:tc>
        <w:tc>
          <w:tcPr>
            <w:tcW w:w="1289" w:type="dxa"/>
          </w:tcPr>
          <w:p w14:paraId="41F8769D" w14:textId="3E5F9EEE"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73EB3D86" w14:textId="77777777" w:rsidR="003D736C" w:rsidRPr="00A23E05" w:rsidRDefault="003D736C" w:rsidP="003D736C">
            <w:pPr>
              <w:pStyle w:val="Akapitzlist"/>
              <w:ind w:left="7"/>
              <w:rPr>
                <w:rFonts w:ascii="Arial" w:hAnsi="Arial" w:cs="Arial"/>
                <w:sz w:val="18"/>
                <w:szCs w:val="18"/>
              </w:rPr>
            </w:pPr>
          </w:p>
        </w:tc>
        <w:tc>
          <w:tcPr>
            <w:tcW w:w="2802" w:type="dxa"/>
          </w:tcPr>
          <w:p w14:paraId="22A42B60" w14:textId="7560F623"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2FA001A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r w:rsidRPr="00A23E05">
              <w:rPr>
                <w:rFonts w:cs="Arial"/>
                <w:sz w:val="18"/>
                <w:szCs w:val="18"/>
              </w:rPr>
              <w:t>szt.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 xml:space="preserve">Liczba pracowników podmiotów wykonujących zadania publiczne nie będących pracownikami IT, objętych </w:t>
            </w:r>
            <w:r w:rsidRPr="00A23E05">
              <w:rPr>
                <w:rFonts w:cs="Arial"/>
                <w:sz w:val="18"/>
                <w:szCs w:val="18"/>
                <w:lang w:val="pl-PL" w:eastAsia="pl-PL"/>
              </w:rPr>
              <w:lastRenderedPageBreak/>
              <w:t>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lastRenderedPageBreak/>
              <w:t>osoby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w:t>
            </w:r>
            <w:r w:rsidRPr="00A23E05">
              <w:rPr>
                <w:rFonts w:ascii="Arial" w:hAnsi="Arial" w:cs="Arial"/>
                <w:sz w:val="18"/>
                <w:szCs w:val="18"/>
              </w:rPr>
              <w:lastRenderedPageBreak/>
              <w:t>masowe) wraz z oprogramowaniem będą zwirtualizowane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(eWIT). System EUREKA w dokumentach znajdujących się w bazie 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Obecna wyszukiwarka SIP zasilana jest z bazy systemu informacji skarbowej SIP. W 2021 r. dane z tej bazy zostaną zmigrowane do bazy EUREKA. Po 2021 </w:t>
            </w:r>
            <w:r w:rsidRPr="00A23E05">
              <w:rPr>
                <w:rFonts w:ascii="Arial" w:hAnsi="Arial" w:cs="Arial"/>
                <w:sz w:val="18"/>
                <w:szCs w:val="18"/>
              </w:rPr>
              <w:lastRenderedPageBreak/>
              <w:t>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A23E05" w:rsidRPr="002B50C0" w14:paraId="3897D7DF" w14:textId="77777777" w:rsidTr="005A4340">
        <w:tc>
          <w:tcPr>
            <w:tcW w:w="3265" w:type="dxa"/>
            <w:vAlign w:val="center"/>
          </w:tcPr>
          <w:p w14:paraId="25374FF2" w14:textId="6DDAD08C" w:rsidR="00A23E05" w:rsidRPr="00A23E05" w:rsidRDefault="00A23E05" w:rsidP="00A23E05">
            <w:pPr>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97" w:type="dxa"/>
            <w:vAlign w:val="center"/>
          </w:tcPr>
          <w:p w14:paraId="5602BE9F" w14:textId="79B9C803"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duża</w:t>
            </w:r>
          </w:p>
        </w:tc>
        <w:tc>
          <w:tcPr>
            <w:tcW w:w="2126" w:type="dxa"/>
            <w:vAlign w:val="center"/>
          </w:tcPr>
          <w:p w14:paraId="593D4C92" w14:textId="62565532"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średnie</w:t>
            </w:r>
          </w:p>
        </w:tc>
        <w:tc>
          <w:tcPr>
            <w:tcW w:w="2410" w:type="dxa"/>
          </w:tcPr>
          <w:p w14:paraId="301812AE" w14:textId="77777777" w:rsidR="00A23E05" w:rsidRDefault="00A23E05" w:rsidP="00A23E05">
            <w:pPr>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73E0455F" w14:textId="77777777" w:rsidR="00764D51" w:rsidRPr="00764D51" w:rsidRDefault="00764D51" w:rsidP="00764D51">
            <w:pPr>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4257AD15" w14:textId="6BBAA8CE" w:rsidR="00784C2A" w:rsidRPr="00A23E05" w:rsidRDefault="00764D51" w:rsidP="00764D51">
            <w:pPr>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A23E05" w:rsidRPr="002B50C0" w14:paraId="6870A4F7" w14:textId="77777777" w:rsidTr="005A4340">
        <w:tc>
          <w:tcPr>
            <w:tcW w:w="3265" w:type="dxa"/>
            <w:vAlign w:val="center"/>
          </w:tcPr>
          <w:p w14:paraId="0F0DEDC5" w14:textId="7DD2483E" w:rsidR="00A23E05" w:rsidRPr="00A23E05" w:rsidRDefault="00A23E05" w:rsidP="00A23E05">
            <w:pPr>
              <w:rPr>
                <w:rFonts w:ascii="Arial" w:hAnsi="Arial" w:cs="Arial"/>
                <w:sz w:val="18"/>
                <w:szCs w:val="18"/>
              </w:rPr>
            </w:pPr>
            <w:r w:rsidRPr="00A23E05">
              <w:rPr>
                <w:rFonts w:ascii="Arial" w:hAnsi="Arial" w:cs="Arial"/>
                <w:sz w:val="18"/>
                <w:szCs w:val="18"/>
              </w:rPr>
              <w:t>Rozwiązanie Porozumienia o dofinansowanie ze względu na niezgodność realizacji projektu z Wnioskiem o dofinansowanie i Studium Wykonalności.</w:t>
            </w:r>
          </w:p>
        </w:tc>
        <w:tc>
          <w:tcPr>
            <w:tcW w:w="1697" w:type="dxa"/>
            <w:vAlign w:val="center"/>
          </w:tcPr>
          <w:p w14:paraId="2467666D" w14:textId="6C6413B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duża</w:t>
            </w:r>
          </w:p>
        </w:tc>
        <w:tc>
          <w:tcPr>
            <w:tcW w:w="2126" w:type="dxa"/>
            <w:vAlign w:val="center"/>
          </w:tcPr>
          <w:p w14:paraId="2DD11E7E" w14:textId="56562555"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niskie</w:t>
            </w:r>
          </w:p>
        </w:tc>
        <w:tc>
          <w:tcPr>
            <w:tcW w:w="2410" w:type="dxa"/>
          </w:tcPr>
          <w:p w14:paraId="41E30878"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4E7599DA" w14:textId="77777777" w:rsid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Informowanie na bieżąco  Instytucji Pośredniczącej o wszelkich zmianach w realizacji projektu wraz z uzasadnieniem oraz konsultacja merytorycznego zakresu projektu z użytkownikiem końcowym.</w:t>
            </w:r>
          </w:p>
          <w:p w14:paraId="76646BF0" w14:textId="77777777" w:rsidR="00764D51"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Spodziewanym efektem będzie realizacja Porozumienia zgodnie z założeniami.</w:t>
            </w:r>
          </w:p>
          <w:p w14:paraId="4A8B98C5" w14:textId="6E822497" w:rsidR="00AB5EB2" w:rsidRPr="00A23E05" w:rsidRDefault="00AB5EB2" w:rsidP="00AB5EB2">
            <w:pPr>
              <w:rPr>
                <w:rFonts w:ascii="Arial" w:hAnsi="Arial" w:cs="Arial"/>
                <w:sz w:val="18"/>
                <w:szCs w:val="18"/>
              </w:rPr>
            </w:pPr>
            <w:r>
              <w:rPr>
                <w:rFonts w:ascii="Arial" w:eastAsia="Times New Roman" w:hAnsi="Arial" w:cs="Arial"/>
                <w:sz w:val="18"/>
                <w:szCs w:val="18"/>
                <w:lang w:eastAsia="pl-PL"/>
              </w:rPr>
              <w:t>Ocena ryzyka  pozostaje na niezmienionym poziomie.</w:t>
            </w:r>
          </w:p>
        </w:tc>
      </w:tr>
      <w:tr w:rsidR="00A23E05" w:rsidRPr="002B50C0" w14:paraId="0BC90FAB" w14:textId="77777777" w:rsidTr="005A4340">
        <w:tc>
          <w:tcPr>
            <w:tcW w:w="3265" w:type="dxa"/>
            <w:vAlign w:val="center"/>
          </w:tcPr>
          <w:p w14:paraId="02ABCAC3" w14:textId="058DCB61" w:rsidR="00A23E05" w:rsidRPr="00A23E05" w:rsidRDefault="00A23E05" w:rsidP="00A23E05">
            <w:pPr>
              <w:rPr>
                <w:rFonts w:ascii="Arial" w:hAnsi="Arial" w:cs="Arial"/>
                <w:sz w:val="18"/>
                <w:szCs w:val="18"/>
              </w:rPr>
            </w:pPr>
            <w:r w:rsidRPr="00A23E05">
              <w:rPr>
                <w:rFonts w:ascii="Arial" w:hAnsi="Arial" w:cs="Arial"/>
                <w:sz w:val="18"/>
                <w:szCs w:val="18"/>
              </w:rPr>
              <w:t>Przedłużające się postępowania o udzielenie zamówienia publicznego</w:t>
            </w:r>
          </w:p>
        </w:tc>
        <w:tc>
          <w:tcPr>
            <w:tcW w:w="1697" w:type="dxa"/>
            <w:vAlign w:val="center"/>
          </w:tcPr>
          <w:p w14:paraId="138E58BC" w14:textId="09B6743E"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126" w:type="dxa"/>
            <w:vAlign w:val="center"/>
          </w:tcPr>
          <w:p w14:paraId="56EED91F" w14:textId="658781F3" w:rsidR="00A23E05" w:rsidRPr="00A23E05"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wysokie</w:t>
            </w:r>
          </w:p>
        </w:tc>
        <w:tc>
          <w:tcPr>
            <w:tcW w:w="2410" w:type="dxa"/>
          </w:tcPr>
          <w:p w14:paraId="146CB9A4"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Nadanie priorytetu postępowaniom prowadzonym w ramach projektu.</w:t>
            </w:r>
          </w:p>
          <w:p w14:paraId="12273C87"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Dostosowanie harmonogramu do stosowanych w ustawie terminów przeprowadzania zamówień publicznych.</w:t>
            </w:r>
          </w:p>
          <w:p w14:paraId="5A601508" w14:textId="77777777" w:rsidR="00AB5EB2" w:rsidRPr="00AB5EB2" w:rsidRDefault="00AB5EB2" w:rsidP="00AB5EB2">
            <w:pPr>
              <w:pStyle w:val="Legenda"/>
              <w:tabs>
                <w:tab w:val="left" w:pos="363"/>
              </w:tabs>
              <w:rPr>
                <w:rFonts w:ascii="Arial" w:eastAsia="Times New Roman" w:hAnsi="Arial" w:cs="Arial"/>
                <w:b w:val="0"/>
                <w:bCs w:val="0"/>
                <w:kern w:val="0"/>
                <w:sz w:val="18"/>
                <w:szCs w:val="18"/>
                <w:lang w:eastAsia="pl-PL"/>
              </w:rPr>
            </w:pPr>
            <w:r w:rsidRPr="00AB5EB2">
              <w:rPr>
                <w:rFonts w:ascii="Arial" w:eastAsia="Times New Roman" w:hAnsi="Arial" w:cs="Arial"/>
                <w:b w:val="0"/>
                <w:bCs w:val="0"/>
                <w:kern w:val="0"/>
                <w:sz w:val="18"/>
                <w:szCs w:val="18"/>
                <w:lang w:eastAsia="pl-PL"/>
              </w:rPr>
              <w:lastRenderedPageBreak/>
              <w:t xml:space="preserve">Spodziewanym efektem jest przeprowadzenie postępowań zgodnie z harmonogramem projektu. </w:t>
            </w:r>
          </w:p>
          <w:p w14:paraId="240C6D47" w14:textId="2A9C707B" w:rsidR="00AB5EB2" w:rsidRPr="00323EE4" w:rsidRDefault="00AB5EB2" w:rsidP="00AB5EB2">
            <w:pPr>
              <w:pStyle w:val="Legenda"/>
              <w:tabs>
                <w:tab w:val="left" w:pos="363"/>
              </w:tabs>
              <w:rPr>
                <w:b w:val="0"/>
                <w:lang w:eastAsia="pl-PL"/>
              </w:rPr>
            </w:pPr>
            <w:r w:rsidRPr="00323EE4">
              <w:rPr>
                <w:rFonts w:ascii="Arial" w:eastAsia="Times New Roman" w:hAnsi="Arial" w:cs="Arial"/>
                <w:b w:val="0"/>
                <w:sz w:val="18"/>
                <w:szCs w:val="18"/>
                <w:lang w:eastAsia="pl-PL"/>
              </w:rPr>
              <w:t>Ocena ryzyka  pozostaje na niezmienionym poziomie.</w:t>
            </w:r>
          </w:p>
        </w:tc>
      </w:tr>
      <w:tr w:rsidR="00A23E05" w:rsidRPr="002B50C0" w14:paraId="411A6F16" w14:textId="77777777" w:rsidTr="005A4340">
        <w:tc>
          <w:tcPr>
            <w:tcW w:w="3265" w:type="dxa"/>
            <w:vAlign w:val="center"/>
          </w:tcPr>
          <w:p w14:paraId="132203B7" w14:textId="3313AAAD" w:rsidR="00A23E05" w:rsidRPr="00A23E05" w:rsidRDefault="00A23E05" w:rsidP="00A23E05">
            <w:pPr>
              <w:rPr>
                <w:rFonts w:ascii="Arial" w:hAnsi="Arial" w:cs="Arial"/>
                <w:sz w:val="18"/>
                <w:szCs w:val="18"/>
              </w:rPr>
            </w:pPr>
            <w:r w:rsidRPr="00A23E05">
              <w:rPr>
                <w:rFonts w:ascii="Arial" w:hAnsi="Arial" w:cs="Arial"/>
                <w:sz w:val="18"/>
                <w:szCs w:val="18"/>
              </w:rPr>
              <w:lastRenderedPageBreak/>
              <w:t>Równolegle prowadzone dwa postępowania na zakup infrastruktury i zakup narzędzia IT</w:t>
            </w:r>
          </w:p>
        </w:tc>
        <w:tc>
          <w:tcPr>
            <w:tcW w:w="1697" w:type="dxa"/>
            <w:vAlign w:val="center"/>
          </w:tcPr>
          <w:p w14:paraId="1AF53443" w14:textId="47E05930"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126" w:type="dxa"/>
            <w:vAlign w:val="center"/>
          </w:tcPr>
          <w:p w14:paraId="4BE2AB55" w14:textId="04CA709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410" w:type="dxa"/>
          </w:tcPr>
          <w:p w14:paraId="654EF945"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760CC5B8"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Dostosowanie harmonogramu do stosowanych w ustawie terminów przeprowadzania zamówień publicznych.</w:t>
            </w:r>
          </w:p>
          <w:p w14:paraId="22915E4F" w14:textId="77777777" w:rsidR="00323EE4" w:rsidRPr="00323EE4" w:rsidRDefault="00323EE4" w:rsidP="00323EE4">
            <w:pPr>
              <w:pStyle w:val="Legenda"/>
              <w:tabs>
                <w:tab w:val="left" w:pos="363"/>
              </w:tabs>
              <w:rPr>
                <w:rFonts w:ascii="Arial" w:eastAsia="Times New Roman" w:hAnsi="Arial" w:cs="Arial"/>
                <w:b w:val="0"/>
                <w:bCs w:val="0"/>
                <w:kern w:val="0"/>
                <w:sz w:val="18"/>
                <w:szCs w:val="18"/>
                <w:lang w:eastAsia="pl-PL"/>
              </w:rPr>
            </w:pPr>
            <w:r w:rsidRPr="00323EE4">
              <w:rPr>
                <w:rFonts w:ascii="Arial" w:eastAsia="Times New Roman" w:hAnsi="Arial" w:cs="Arial"/>
                <w:b w:val="0"/>
                <w:bCs w:val="0"/>
                <w:kern w:val="0"/>
                <w:sz w:val="18"/>
                <w:szCs w:val="18"/>
                <w:lang w:eastAsia="pl-PL"/>
              </w:rPr>
              <w:t xml:space="preserve">Spodziewanym efektem jest przeprowadzenie postępowań zgodnie z harmonogramem projektu. </w:t>
            </w:r>
          </w:p>
          <w:p w14:paraId="51D3B02C" w14:textId="3DDBC05C" w:rsidR="00323EE4" w:rsidRPr="00323EE4" w:rsidRDefault="00323EE4" w:rsidP="00323EE4">
            <w:pPr>
              <w:pStyle w:val="Legenda"/>
              <w:tabs>
                <w:tab w:val="left" w:pos="363"/>
              </w:tabs>
              <w:rPr>
                <w:lang w:eastAsia="pl-PL"/>
              </w:rPr>
            </w:pPr>
            <w:r w:rsidRPr="00323EE4">
              <w:rPr>
                <w:rFonts w:ascii="Arial" w:eastAsia="Times New Roman" w:hAnsi="Arial" w:cs="Arial"/>
                <w:b w:val="0"/>
                <w:bCs w:val="0"/>
                <w:kern w:val="0"/>
                <w:sz w:val="18"/>
                <w:szCs w:val="18"/>
                <w:lang w:eastAsia="pl-PL"/>
              </w:rPr>
              <w:t>Ocena ryzyka  pozostaje na niezmienionym poziomie.</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A23E05" w:rsidRPr="001B6667" w14:paraId="6DCB94C6" w14:textId="77777777" w:rsidTr="00473C47">
        <w:trPr>
          <w:trHeight w:val="724"/>
        </w:trPr>
        <w:tc>
          <w:tcPr>
            <w:tcW w:w="3261" w:type="dxa"/>
            <w:shd w:val="clear" w:color="auto" w:fill="auto"/>
          </w:tcPr>
          <w:p w14:paraId="6B9ADC89" w14:textId="13F4B920" w:rsidR="00A23E05" w:rsidRPr="00A23E05" w:rsidRDefault="00A23E05" w:rsidP="00A23E05">
            <w:pPr>
              <w:rPr>
                <w:rFonts w:ascii="Arial" w:hAnsi="Arial" w:cs="Arial"/>
                <w:color w:val="0070C0"/>
                <w:sz w:val="18"/>
                <w:szCs w:val="18"/>
                <w:lang w:eastAsia="pl-PL"/>
              </w:rPr>
            </w:pPr>
            <w:r w:rsidRPr="00A23E05">
              <w:rPr>
                <w:rFonts w:ascii="Arial" w:hAnsi="Arial" w:cs="Arial"/>
                <w:sz w:val="18"/>
                <w:szCs w:val="18"/>
              </w:rPr>
              <w:t>Brak środków na utrzymanie rezultatów projektu</w:t>
            </w:r>
          </w:p>
        </w:tc>
        <w:tc>
          <w:tcPr>
            <w:tcW w:w="1701" w:type="dxa"/>
            <w:shd w:val="clear" w:color="auto" w:fill="FFFFFF"/>
            <w:vAlign w:val="center"/>
          </w:tcPr>
          <w:p w14:paraId="2F0B777F" w14:textId="68FFEF9B"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65F40333" w14:textId="0A00F228"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średnie</w:t>
            </w:r>
          </w:p>
        </w:tc>
        <w:tc>
          <w:tcPr>
            <w:tcW w:w="2693" w:type="dxa"/>
            <w:shd w:val="clear" w:color="auto" w:fill="FFFFFF"/>
          </w:tcPr>
          <w:p w14:paraId="5D2BA0FB" w14:textId="55550BBF"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Pozyskanie dodatkowych środków na utrzymanie systemu EUREKA w ramach części 19 budżetu państwa.</w:t>
            </w:r>
          </w:p>
        </w:tc>
      </w:tr>
      <w:tr w:rsidR="00A23E05" w:rsidRPr="001B6667" w14:paraId="58F8941C" w14:textId="77777777" w:rsidTr="00473C47">
        <w:trPr>
          <w:trHeight w:val="724"/>
        </w:trPr>
        <w:tc>
          <w:tcPr>
            <w:tcW w:w="3261" w:type="dxa"/>
            <w:shd w:val="clear" w:color="auto" w:fill="auto"/>
          </w:tcPr>
          <w:p w14:paraId="2349C90D" w14:textId="5356EDFB" w:rsidR="00A23E05" w:rsidRPr="00A23E05" w:rsidRDefault="00A23E05" w:rsidP="00A23E05">
            <w:pPr>
              <w:rPr>
                <w:rFonts w:ascii="Arial" w:hAnsi="Arial" w:cs="Arial"/>
                <w:sz w:val="18"/>
                <w:szCs w:val="18"/>
              </w:rPr>
            </w:pPr>
            <w:r w:rsidRPr="00A23E05">
              <w:rPr>
                <w:rFonts w:ascii="Arial" w:hAnsi="Arial" w:cs="Arial"/>
                <w:sz w:val="18"/>
                <w:szCs w:val="18"/>
              </w:rPr>
              <w:t>Brak wykwalifikowanego zespołu do utrzymania systemu</w:t>
            </w:r>
          </w:p>
        </w:tc>
        <w:tc>
          <w:tcPr>
            <w:tcW w:w="1701" w:type="dxa"/>
            <w:shd w:val="clear" w:color="auto" w:fill="FFFFFF"/>
            <w:vAlign w:val="center"/>
          </w:tcPr>
          <w:p w14:paraId="60B2AE58" w14:textId="48F4A108"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41D74FC5" w14:textId="6BD28A7E"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małe</w:t>
            </w:r>
          </w:p>
        </w:tc>
        <w:tc>
          <w:tcPr>
            <w:tcW w:w="2693" w:type="dxa"/>
            <w:shd w:val="clear" w:color="auto" w:fill="FFFFFF"/>
          </w:tcPr>
          <w:p w14:paraId="7C1BFE52" w14:textId="0717F4C5"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Utrzymanie pracowników poprzez zapewnienie rozwoju zawodowego.</w:t>
            </w:r>
          </w:p>
        </w:tc>
      </w:tr>
    </w:tbl>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7DBFFBB0"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Nie dotyczy 2019 r.</w:t>
      </w:r>
    </w:p>
    <w:p w14:paraId="19521D92" w14:textId="74A6A374" w:rsidR="00A23E05" w:rsidRPr="00E741CD" w:rsidRDefault="00BB059E" w:rsidP="00A23E05">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75464274" w14:textId="77777777" w:rsidR="00A92887" w:rsidRPr="00A23E05" w:rsidRDefault="00A92887" w:rsidP="00A23E05">
      <w:pPr>
        <w:pStyle w:val="Akapitzlist"/>
        <w:numPr>
          <w:ilvl w:val="0"/>
          <w:numId w:val="19"/>
        </w:numPr>
        <w:spacing w:before="360"/>
        <w:jc w:val="both"/>
        <w:rPr>
          <w:rFonts w:ascii="Arial" w:hAnsi="Arial" w:cs="Arial"/>
          <w:color w:val="0070C0"/>
        </w:rPr>
      </w:pPr>
    </w:p>
    <w:p w14:paraId="20BF76ED" w14:textId="7BB8A2B0" w:rsidR="00A92887" w:rsidRDefault="00A92887" w:rsidP="00A92887">
      <w:pPr>
        <w:spacing w:after="0"/>
        <w:jc w:val="both"/>
        <w:rPr>
          <w:rFonts w:ascii="Arial" w:hAnsi="Arial" w:cs="Arial"/>
        </w:rPr>
      </w:pPr>
      <w:r w:rsidRPr="00A92887">
        <w:rPr>
          <w:rFonts w:ascii="Arial" w:hAnsi="Arial" w:cs="Arial"/>
        </w:rPr>
        <w:t xml:space="preserve">Załącznik nr 1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D2CA9">
              <w:rPr>
                <w:b/>
                <w:bCs/>
                <w:noProof/>
              </w:rPr>
              <w:t>2</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autoHyphenation/>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4699"/>
    <w:rsid w:val="00043DD9"/>
    <w:rsid w:val="00044D68"/>
    <w:rsid w:val="00047D9D"/>
    <w:rsid w:val="0006403E"/>
    <w:rsid w:val="000657C9"/>
    <w:rsid w:val="00070663"/>
    <w:rsid w:val="00071880"/>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90C24"/>
    <w:rsid w:val="004C1D48"/>
    <w:rsid w:val="004D65CA"/>
    <w:rsid w:val="004E2910"/>
    <w:rsid w:val="004F6E89"/>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7B96"/>
    <w:rsid w:val="00647E09"/>
    <w:rsid w:val="00661A62"/>
    <w:rsid w:val="00663945"/>
    <w:rsid w:val="006731D9"/>
    <w:rsid w:val="006822BC"/>
    <w:rsid w:val="006948D3"/>
    <w:rsid w:val="006A60AA"/>
    <w:rsid w:val="006B034F"/>
    <w:rsid w:val="006B1380"/>
    <w:rsid w:val="006B393F"/>
    <w:rsid w:val="006B5117"/>
    <w:rsid w:val="006C78AE"/>
    <w:rsid w:val="006E04D9"/>
    <w:rsid w:val="006E0CFA"/>
    <w:rsid w:val="006E6205"/>
    <w:rsid w:val="00701800"/>
    <w:rsid w:val="00725708"/>
    <w:rsid w:val="00740A47"/>
    <w:rsid w:val="00746ABD"/>
    <w:rsid w:val="00764D51"/>
    <w:rsid w:val="0077418F"/>
    <w:rsid w:val="00775C44"/>
    <w:rsid w:val="00776802"/>
    <w:rsid w:val="00784C2A"/>
    <w:rsid w:val="007924CE"/>
    <w:rsid w:val="00795AFA"/>
    <w:rsid w:val="007A3481"/>
    <w:rsid w:val="007A4742"/>
    <w:rsid w:val="007B0251"/>
    <w:rsid w:val="007C2F7E"/>
    <w:rsid w:val="007C6235"/>
    <w:rsid w:val="007C70D1"/>
    <w:rsid w:val="007D1990"/>
    <w:rsid w:val="007D2C34"/>
    <w:rsid w:val="007D38BD"/>
    <w:rsid w:val="007D3F21"/>
    <w:rsid w:val="007E1072"/>
    <w:rsid w:val="007E341A"/>
    <w:rsid w:val="007F126F"/>
    <w:rsid w:val="00803FBE"/>
    <w:rsid w:val="00805178"/>
    <w:rsid w:val="00806134"/>
    <w:rsid w:val="00813357"/>
    <w:rsid w:val="00830B70"/>
    <w:rsid w:val="00840749"/>
    <w:rsid w:val="00865BD6"/>
    <w:rsid w:val="0087452F"/>
    <w:rsid w:val="00875528"/>
    <w:rsid w:val="0087770F"/>
    <w:rsid w:val="00884686"/>
    <w:rsid w:val="008A332F"/>
    <w:rsid w:val="008A52F6"/>
    <w:rsid w:val="008B4D9F"/>
    <w:rsid w:val="008B7FC1"/>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A7603"/>
    <w:rsid w:val="009B4423"/>
    <w:rsid w:val="009C6140"/>
    <w:rsid w:val="009D2CA9"/>
    <w:rsid w:val="009D2FA4"/>
    <w:rsid w:val="009D7D8A"/>
    <w:rsid w:val="009E4C67"/>
    <w:rsid w:val="009F09BF"/>
    <w:rsid w:val="009F1DC8"/>
    <w:rsid w:val="009F437E"/>
    <w:rsid w:val="00A11788"/>
    <w:rsid w:val="00A23E05"/>
    <w:rsid w:val="00A30847"/>
    <w:rsid w:val="00A36AE2"/>
    <w:rsid w:val="00A43E49"/>
    <w:rsid w:val="00A44EA2"/>
    <w:rsid w:val="00A56D63"/>
    <w:rsid w:val="00A62DDB"/>
    <w:rsid w:val="00A67685"/>
    <w:rsid w:val="00A728AE"/>
    <w:rsid w:val="00A804AE"/>
    <w:rsid w:val="00A86449"/>
    <w:rsid w:val="00A87C1C"/>
    <w:rsid w:val="00A92887"/>
    <w:rsid w:val="00AA4CAB"/>
    <w:rsid w:val="00AA51AD"/>
    <w:rsid w:val="00AA730D"/>
    <w:rsid w:val="00AB2E01"/>
    <w:rsid w:val="00AB5EB2"/>
    <w:rsid w:val="00AC000C"/>
    <w:rsid w:val="00AC7E26"/>
    <w:rsid w:val="00AD45BB"/>
    <w:rsid w:val="00AE1643"/>
    <w:rsid w:val="00AE3A6C"/>
    <w:rsid w:val="00AF09B8"/>
    <w:rsid w:val="00AF567D"/>
    <w:rsid w:val="00B17709"/>
    <w:rsid w:val="00B23828"/>
    <w:rsid w:val="00B41415"/>
    <w:rsid w:val="00B440C3"/>
    <w:rsid w:val="00B46B7D"/>
    <w:rsid w:val="00B50560"/>
    <w:rsid w:val="00B64B3C"/>
    <w:rsid w:val="00B673C6"/>
    <w:rsid w:val="00B74859"/>
    <w:rsid w:val="00B8735C"/>
    <w:rsid w:val="00B87D3D"/>
    <w:rsid w:val="00B91243"/>
    <w:rsid w:val="00BA481C"/>
    <w:rsid w:val="00BB059E"/>
    <w:rsid w:val="00BB2420"/>
    <w:rsid w:val="00BB3A73"/>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69FD"/>
    <w:rsid w:val="00DC0A8A"/>
    <w:rsid w:val="00DC1705"/>
    <w:rsid w:val="00DC39A9"/>
    <w:rsid w:val="00DC4C79"/>
    <w:rsid w:val="00DE6249"/>
    <w:rsid w:val="00DE731D"/>
    <w:rsid w:val="00E0076D"/>
    <w:rsid w:val="00E06A75"/>
    <w:rsid w:val="00E11B44"/>
    <w:rsid w:val="00E15DEB"/>
    <w:rsid w:val="00E1688D"/>
    <w:rsid w:val="00E203EB"/>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B62F2"/>
    <w:rsid w:val="00EC2AFC"/>
    <w:rsid w:val="00EF6A35"/>
    <w:rsid w:val="00F138F7"/>
    <w:rsid w:val="00F2008A"/>
    <w:rsid w:val="00F21D9E"/>
    <w:rsid w:val="00F25348"/>
    <w:rsid w:val="00F309CC"/>
    <w:rsid w:val="00F45506"/>
    <w:rsid w:val="00F60062"/>
    <w:rsid w:val="00F613CC"/>
    <w:rsid w:val="00F76777"/>
    <w:rsid w:val="00F83F2F"/>
    <w:rsid w:val="00F86555"/>
    <w:rsid w:val="00F86C58"/>
    <w:rsid w:val="00FA76BF"/>
    <w:rsid w:val="00FB3ED5"/>
    <w:rsid w:val="00FC3B03"/>
    <w:rsid w:val="00FD06DD"/>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2.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A64C14-2968-4C14-AFCB-90E7D0000E5B}">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4.xml><?xml version="1.0" encoding="utf-8"?>
<ds:datastoreItem xmlns:ds="http://schemas.openxmlformats.org/officeDocument/2006/customXml" ds:itemID="{067E558F-F154-417F-96DB-0D824E2CC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1612</Words>
  <Characters>9675</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2020-01-23T06:39:00Z</dcterms:created>
  <dcterms:modified xsi:type="dcterms:W3CDTF">2020-01-23T06:39:00Z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