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076B99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>I</w:t>
      </w:r>
      <w:r w:rsidR="00D13A90">
        <w:rPr>
          <w:rFonts w:ascii="Arial" w:hAnsi="Arial" w:cs="Arial"/>
          <w:b/>
          <w:color w:val="auto"/>
          <w:sz w:val="24"/>
          <w:szCs w:val="24"/>
        </w:rPr>
        <w:t>V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00DD8878" w:rsidR="00907F6D" w:rsidRPr="00141A92" w:rsidRDefault="00DE12F8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33,2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25C29825" w:rsidR="006948D3" w:rsidRPr="00215E29" w:rsidRDefault="00C8373E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1. 2</w:t>
            </w:r>
            <w:r w:rsidR="00E4346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71E6AE52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2</w:t>
            </w:r>
            <w:r w:rsidRPr="00215E29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985CCE">
              <w:rPr>
                <w:rFonts w:ascii="Arial" w:hAnsi="Arial" w:cs="Arial"/>
                <w:sz w:val="18"/>
                <w:szCs w:val="20"/>
              </w:rPr>
              <w:t>2</w:t>
            </w:r>
            <w:r w:rsidR="001D550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91EBF3" w14:textId="2E6A18B3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30342C43" w:rsidR="00907F6D" w:rsidRPr="00255186" w:rsidRDefault="00B31260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210B">
              <w:rPr>
                <w:rFonts w:ascii="Arial" w:hAnsi="Arial" w:cs="Arial"/>
                <w:sz w:val="18"/>
                <w:szCs w:val="20"/>
              </w:rPr>
              <w:t>82</w:t>
            </w:r>
            <w:r w:rsidR="0065010F" w:rsidRPr="00DD210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DD21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1741BBCA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4121323A" w:rsidR="003421FC" w:rsidRPr="00141A92" w:rsidRDefault="00656E09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56020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1C833D46" w:rsidR="003421FC" w:rsidRDefault="00F913EB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D57075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6AF3652" w14:textId="01C7BAD1" w:rsidR="009200D6" w:rsidRPr="00141A92" w:rsidRDefault="009200D6" w:rsidP="00CE01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 xml:space="preserve">dłużającej się oceny wniosku o dofinansowanie projektu. Informację o wyniku oceny wniosku oraz przyznanym dofinansowaniu otrzymaliśmy 28 lutego 2020 r. Po przekazaniu niezbędnych załączników, w dniu 27 marca 2020 r. podpisane zostało Porozumienia o dofinansowanie. 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>W dniu 21 paździ</w:t>
            </w:r>
            <w:r w:rsidR="00793E7E">
              <w:rPr>
                <w:rFonts w:ascii="Arial" w:hAnsi="Arial" w:cs="Arial"/>
                <w:sz w:val="18"/>
                <w:szCs w:val="18"/>
              </w:rPr>
              <w:t>ernika 2020 r. Beneficjent wystą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 xml:space="preserve">pił do CPPC z wnioskiem o zmianę w projekcie w zakresie wyznaczenia nowych terminów osiągnięcia Kamieni milowych. </w:t>
            </w:r>
            <w:r w:rsidR="00CE01CA">
              <w:rPr>
                <w:rFonts w:ascii="Arial" w:hAnsi="Arial" w:cs="Arial"/>
                <w:sz w:val="18"/>
                <w:szCs w:val="18"/>
              </w:rPr>
              <w:t>Po otrzymaniu odpowiedzi negatywnej, o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becnie w 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zw. z uwzględnieniem opinii CPPC, w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przygotowaniu jest 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kolejny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wniosek 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>w zakresie wyznaczenia nowych terminów osiągnięcia nowych Kamieni milowych.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>W przypadku akceptacji złożonego wniosku</w:t>
            </w:r>
            <w:r w:rsidR="00047EF9">
              <w:rPr>
                <w:rFonts w:ascii="Arial" w:hAnsi="Arial" w:cs="Arial"/>
                <w:sz w:val="18"/>
                <w:szCs w:val="18"/>
              </w:rPr>
              <w:t>,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 zmiany zostaną uwzględnione w następnym raporcie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8D3B" w14:textId="6862A290" w:rsidR="00656E09" w:rsidRPr="007147D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567E2D91" w14:textId="783E6909" w:rsidR="007147D9" w:rsidRDefault="007147D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>KPI 5 – 66 TB</w:t>
            </w:r>
          </w:p>
          <w:p w14:paraId="44BA71C2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34D20" w14:textId="40CC133F" w:rsidR="003421FC" w:rsidRPr="00D57075" w:rsidRDefault="003421FC" w:rsidP="000A69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9944CD" w:rsidR="003421FC" w:rsidRDefault="00F913E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47C9FFDA" w14:textId="5F4C4308" w:rsidR="00467427" w:rsidRPr="00D57075" w:rsidRDefault="00467427" w:rsidP="002D2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trwająca pandemia COVID-19. Obostrzenia wprowadzone na terenie RP wstrzymały pracę urzędów państwowych, w tym KIO. Czas oczekiwania na rozpatrzenie lub umorzenie sprawy może ulec znacznemu wydłużeniu.</w:t>
            </w:r>
            <w:r w:rsidR="003A0650">
              <w:t xml:space="preserve"> </w:t>
            </w:r>
            <w:r w:rsidR="00385FDC">
              <w:rPr>
                <w:rFonts w:ascii="Arial" w:hAnsi="Arial" w:cs="Arial"/>
                <w:sz w:val="18"/>
                <w:szCs w:val="18"/>
              </w:rPr>
              <w:t>Obecnie trwają prace nad</w:t>
            </w:r>
            <w:r w:rsidR="00005D4C" w:rsidRPr="00005D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730A" w:rsidRPr="002735AF">
              <w:rPr>
                <w:rFonts w:ascii="Arial" w:hAnsi="Arial" w:cs="Arial"/>
                <w:sz w:val="18"/>
                <w:szCs w:val="18"/>
              </w:rPr>
              <w:t>aktualizacją harmonogramu, pozwalającego na terminowe i systematyczne dokonywanie rozliczeń i odbiorów kolejnych KM.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5EEE" w14:textId="634483B9" w:rsidR="00656E09" w:rsidRDefault="00656E09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7147D9" w:rsidRPr="007147D9">
              <w:rPr>
                <w:rFonts w:ascii="Arial" w:hAnsi="Arial" w:cs="Arial"/>
                <w:sz w:val="18"/>
                <w:szCs w:val="18"/>
              </w:rPr>
              <w:t>1 usługa</w:t>
            </w:r>
          </w:p>
          <w:p w14:paraId="26BDB704" w14:textId="77777777" w:rsidR="00656E09" w:rsidRDefault="00656E09" w:rsidP="004B5E7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B3CF9A" w14:textId="0F7D5CD0" w:rsidR="003421FC" w:rsidRPr="007147D9" w:rsidRDefault="003421FC" w:rsidP="004B5E78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DC877AE" w14:textId="50E2EA5D" w:rsidR="003421FC" w:rsidRDefault="00385FD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2C45DB83" w14:textId="24A7F626" w:rsidR="00385FDC" w:rsidRDefault="00385FDC" w:rsidP="00385F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DC">
              <w:rPr>
                <w:rFonts w:ascii="Arial" w:hAnsi="Arial" w:cs="Arial"/>
                <w:sz w:val="18"/>
                <w:szCs w:val="18"/>
              </w:rPr>
              <w:t>Kamień milowy nie z</w:t>
            </w:r>
            <w:r w:rsidR="002D28FE">
              <w:rPr>
                <w:rFonts w:ascii="Arial" w:hAnsi="Arial" w:cs="Arial"/>
                <w:sz w:val="18"/>
                <w:szCs w:val="18"/>
              </w:rPr>
              <w:t>ostał osiągnięty z powodu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opóźnienie w realizacji pierwszego kamienia – Wykonany Projekt Techniczny i drugiego - Wdrożone mechanizmy obsługi słowników broni, ewidencji i zarządzania przedsiębiorstwami potwierdzone pozytywnym wynikiem testów akceptacyjnych</w:t>
            </w:r>
            <w:r w:rsidR="0048440A">
              <w:rPr>
                <w:rFonts w:ascii="Arial" w:hAnsi="Arial" w:cs="Arial"/>
                <w:sz w:val="18"/>
                <w:szCs w:val="18"/>
              </w:rPr>
              <w:t>, wskutek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opóźniającej się procedury przetargowej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4095A" w:rsidRPr="0034095A">
              <w:rPr>
                <w:rFonts w:ascii="Arial" w:hAnsi="Arial" w:cs="Arial"/>
                <w:sz w:val="18"/>
                <w:szCs w:val="18"/>
              </w:rPr>
              <w:t>Brak wyłonienia do tej pory wykonawcy umowy powoduje kolejne przesunięcia założonych terminów Kamieni milowych</w:t>
            </w:r>
            <w:r w:rsidR="0034095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85FDC">
              <w:rPr>
                <w:rFonts w:ascii="Arial" w:hAnsi="Arial" w:cs="Arial"/>
                <w:sz w:val="18"/>
                <w:szCs w:val="18"/>
              </w:rPr>
              <w:t>Obecnie trwa</w:t>
            </w:r>
            <w:r w:rsidR="002D28FE">
              <w:rPr>
                <w:rFonts w:ascii="Arial" w:hAnsi="Arial" w:cs="Arial"/>
                <w:sz w:val="18"/>
                <w:szCs w:val="18"/>
              </w:rPr>
              <w:t xml:space="preserve"> kolejna</w:t>
            </w:r>
            <w:r w:rsidRPr="00385FDC">
              <w:rPr>
                <w:rFonts w:ascii="Arial" w:hAnsi="Arial" w:cs="Arial"/>
                <w:sz w:val="18"/>
                <w:szCs w:val="18"/>
              </w:rPr>
              <w:t xml:space="preserve"> procedura odwoławcza w KIO</w:t>
            </w:r>
            <w:r w:rsidR="002D28FE">
              <w:t xml:space="preserve"> </w:t>
            </w:r>
            <w:r w:rsidR="002D28FE" w:rsidRPr="002D28FE">
              <w:rPr>
                <w:rFonts w:ascii="Arial" w:hAnsi="Arial" w:cs="Arial"/>
                <w:sz w:val="18"/>
                <w:szCs w:val="18"/>
              </w:rPr>
              <w:t>wobec rozstrzygnięcia postę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powania o udzielenie zamówienia </w:t>
            </w:r>
            <w:r w:rsidR="002D28FE" w:rsidRPr="002D28FE">
              <w:rPr>
                <w:rFonts w:ascii="Arial" w:hAnsi="Arial" w:cs="Arial"/>
                <w:sz w:val="18"/>
                <w:szCs w:val="18"/>
              </w:rPr>
              <w:t>publicznego pn. „Zaprojektowanie, budowa i wdrożenie Systemu Rejestracji Broni (SRB)”.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 Mając na względzie zachowanie </w:t>
            </w:r>
            <w:r w:rsidRPr="00385FDC">
              <w:rPr>
                <w:rFonts w:ascii="Arial" w:hAnsi="Arial" w:cs="Arial"/>
                <w:sz w:val="18"/>
                <w:szCs w:val="18"/>
              </w:rPr>
              <w:t xml:space="preserve">bezpieczeństwa  terminowej i prawidłowej realizacji projektu </w:t>
            </w:r>
            <w:r w:rsidR="00CE01CA">
              <w:rPr>
                <w:rFonts w:ascii="Arial" w:hAnsi="Arial" w:cs="Arial"/>
                <w:sz w:val="18"/>
                <w:szCs w:val="18"/>
              </w:rPr>
              <w:t xml:space="preserve">obecnie trwają prace </w:t>
            </w:r>
            <w:r w:rsidRPr="00385FDC">
              <w:rPr>
                <w:rFonts w:ascii="Arial" w:hAnsi="Arial" w:cs="Arial"/>
                <w:sz w:val="18"/>
                <w:szCs w:val="18"/>
              </w:rPr>
              <w:t>w zakresie wyznaczenia nowych terminów osią</w:t>
            </w:r>
            <w:r w:rsidR="002D28FE">
              <w:rPr>
                <w:rFonts w:ascii="Arial" w:hAnsi="Arial" w:cs="Arial"/>
                <w:sz w:val="18"/>
                <w:szCs w:val="18"/>
              </w:rPr>
              <w:t>g</w:t>
            </w:r>
            <w:r w:rsidR="00CE01CA">
              <w:rPr>
                <w:rFonts w:ascii="Arial" w:hAnsi="Arial" w:cs="Arial"/>
                <w:sz w:val="18"/>
                <w:szCs w:val="18"/>
              </w:rPr>
              <w:t>nięcia nowych Kamieni milowych.</w:t>
            </w:r>
          </w:p>
          <w:p w14:paraId="21BB8020" w14:textId="230D3B0D" w:rsidR="00494B65" w:rsidRPr="00D57075" w:rsidRDefault="00494B65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B940" w14:textId="374230D4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7147D9">
              <w:rPr>
                <w:rFonts w:ascii="Arial" w:hAnsi="Arial" w:cs="Arial"/>
                <w:sz w:val="18"/>
                <w:szCs w:val="18"/>
              </w:rPr>
              <w:t>KPI 1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AED4D67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F0D924" w14:textId="3F008C23" w:rsidR="003421FC" w:rsidRPr="007147D9" w:rsidRDefault="003421FC" w:rsidP="003421F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CBF4EB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B29E" w14:textId="77777777" w:rsidR="003421FC" w:rsidRDefault="000A6926" w:rsidP="000A69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3421FC" w:rsidRPr="004B5E7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1 usługa</w:t>
            </w:r>
          </w:p>
          <w:p w14:paraId="1E44B9B7" w14:textId="415D4D3D" w:rsidR="000A6926" w:rsidRPr="00D57075" w:rsidRDefault="000A6926" w:rsidP="000A6926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2 – 1 usługa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7DC460FA" w:rsidR="003421FC" w:rsidRPr="00D57075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63AF" w14:textId="10052F3B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1 – 1 usługa</w:t>
            </w:r>
          </w:p>
          <w:p w14:paraId="09945C68" w14:textId="77777777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E61FD5" w14:textId="3E794AED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1BA9C25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00857F3D" w:rsidR="003421FC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2BC8" w14:textId="77777777" w:rsidR="003421FC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4 – 1 system</w:t>
            </w:r>
          </w:p>
          <w:p w14:paraId="618623F3" w14:textId="77777777" w:rsidR="00656E09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6 – 13 pracowników</w:t>
            </w:r>
          </w:p>
          <w:p w14:paraId="1EAFA6A1" w14:textId="77777777" w:rsidR="00656E09" w:rsidRPr="000A6926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7 – 7 kobiet</w:t>
            </w:r>
          </w:p>
          <w:p w14:paraId="7F434C12" w14:textId="32B431A9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8 – 6 mężczyzn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3983AEA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58F2" w14:textId="559E75D6" w:rsidR="00656E09" w:rsidRDefault="00656E09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KPI 1 – 1 usługa</w:t>
            </w:r>
          </w:p>
          <w:p w14:paraId="3681760C" w14:textId="3D4A0A20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633AE62C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6EDDF2E8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38021780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249C3248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DD6B97">
        <w:tc>
          <w:tcPr>
            <w:tcW w:w="4678" w:type="dxa"/>
          </w:tcPr>
          <w:p w14:paraId="3D171A20" w14:textId="79DFCD85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4.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E618E8D" w14:textId="64EE49B6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D6B97"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258F65F2" w:rsidR="007A006E" w:rsidRPr="000A6926" w:rsidRDefault="008E2B10" w:rsidP="008E2B10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5.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0A6926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0A6926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926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362781">
        <w:tc>
          <w:tcPr>
            <w:tcW w:w="4678" w:type="dxa"/>
          </w:tcPr>
          <w:p w14:paraId="27014635" w14:textId="7AA0A802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76126630" w14:textId="5A879BA4" w:rsidR="007A006E" w:rsidRPr="00362781" w:rsidRDefault="00B42EB2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14485479" w14:textId="77777777" w:rsidTr="00362781">
        <w:tc>
          <w:tcPr>
            <w:tcW w:w="4678" w:type="dxa"/>
          </w:tcPr>
          <w:p w14:paraId="55D47910" w14:textId="4D240DB0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0369FE2A" w14:textId="0A4B3C3F" w:rsidR="007A006E" w:rsidRPr="00362781" w:rsidRDefault="00101A65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A90C47" w:rsidR="007A006E" w:rsidRPr="000A6926" w:rsidRDefault="008E2B10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A69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7A006E" w:rsidRPr="000A69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336D02" w14:textId="11C72C13" w:rsidR="007D38BD" w:rsidRPr="00A2174E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lastRenderedPageBreak/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ozwiązanie teleinformatyczne, w którym zarejestrowane </w:t>
            </w:r>
            <w:r w:rsidR="00BE6616">
              <w:rPr>
                <w:rFonts w:ascii="Arial" w:hAnsi="Arial" w:cs="Arial"/>
                <w:sz w:val="18"/>
                <w:szCs w:val="18"/>
              </w:rPr>
              <w:lastRenderedPageBreak/>
              <w:t>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278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735A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735A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735AF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4A33294E" w:rsidR="00322614" w:rsidRPr="00950FA0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593D4C92" w14:textId="2ED54DB9" w:rsidR="00322614" w:rsidRPr="00950FA0" w:rsidRDefault="002735AF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 w:rsidRPr="00950FA0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950FA0">
              <w:rPr>
                <w:rFonts w:ascii="Arial" w:hAnsi="Arial" w:cs="Arial"/>
                <w:sz w:val="18"/>
                <w:szCs w:val="18"/>
              </w:rPr>
              <w:t>ozyskanie kompetentnych osób do zespołu lub zapewnienie wsparcia przez zewnętrznych ekspertów</w:t>
            </w:r>
            <w:r w:rsidR="000F7ECF" w:rsidRPr="00950FA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3B386" w14:textId="77777777" w:rsidR="006F0B7E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950FA0"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4257AD15" w14:textId="69DFA50F" w:rsidR="00757CC7" w:rsidRPr="00950FA0" w:rsidRDefault="00757CC7" w:rsidP="00D94A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35AF" w:rsidRPr="00950FA0">
              <w:rPr>
                <w:rFonts w:ascii="Arial" w:hAnsi="Arial" w:cs="Arial"/>
                <w:sz w:val="18"/>
                <w:szCs w:val="18"/>
              </w:rPr>
              <w:t xml:space="preserve">zmiana w stosunku do poprzedniego okresu sprawozdawczego – obniżenie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>siły oddziaływania</w:t>
            </w:r>
            <w:r w:rsidR="00215E29" w:rsidRPr="00950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 xml:space="preserve">z dużej na średnią w związku z trwającym naborem na stanowiska ds. SRB a także podniesieniem kwalifikacji członków Zespołu Projektowego poprzez udział w szkoleniu. 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5F4FA3A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  <w:p w14:paraId="45C79FFD" w14:textId="793C4C19" w:rsidR="00757CC7" w:rsidRPr="006F0B7E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60D7E26" w:rsidR="00EF74D3" w:rsidRPr="0054102C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602C0377" w14:textId="77777777" w:rsidR="006F0B7E" w:rsidRDefault="006F0B7E" w:rsidP="00150228">
            <w:pPr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  <w:p w14:paraId="73C12108" w14:textId="472CD612" w:rsidR="00757CC7" w:rsidRPr="00EF74D3" w:rsidRDefault="00757CC7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 xml:space="preserve">Zmiana w zakresie wykazanego 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ryzyka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>zmiana w stosunku do poprzedniego okresu sprawozdawczego – obniżenie siły oddziaływania z dużej na średnią w związku z</w:t>
            </w:r>
            <w:r w:rsidR="003E7BF6" w:rsidRPr="00950FA0">
              <w:rPr>
                <w:rFonts w:ascii="Arial" w:hAnsi="Arial" w:cs="Arial"/>
                <w:sz w:val="18"/>
                <w:szCs w:val="18"/>
              </w:rPr>
              <w:t xml:space="preserve"> brakiem wyboru wykonawcy, a w konsekwencji brakiem zatwierdzonego Projektu Technicznego.</w:t>
            </w:r>
          </w:p>
        </w:tc>
      </w:tr>
      <w:tr w:rsidR="00EF74D3" w:rsidRPr="002B50C0" w14:paraId="14276EE7" w14:textId="77777777" w:rsidTr="00215E29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3E0C2" w14:textId="09664C3C" w:rsidR="002735AF" w:rsidRPr="0054102C" w:rsidRDefault="00215E29" w:rsidP="00215E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8CCA1A2" w14:textId="7777777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17C24D98" w14:textId="10F8D5A8" w:rsidR="00757CC7" w:rsidRPr="006F0B7E" w:rsidRDefault="00757CC7" w:rsidP="00E874D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215E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4DF">
              <w:rPr>
                <w:rFonts w:ascii="Arial" w:hAnsi="Arial" w:cs="Arial"/>
                <w:sz w:val="18"/>
                <w:szCs w:val="18"/>
              </w:rPr>
              <w:t>bez zmian</w:t>
            </w:r>
            <w:r w:rsidR="00D94A4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FB2407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4900B5D4" w14:textId="2B9A13C5" w:rsidR="00757CC7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55F467F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473CF9C0" w14:textId="34CD0135" w:rsidR="00757CC7" w:rsidRPr="00E668C5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1E48A63" w:rsidR="00AF53D7" w:rsidRDefault="00F913EB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AF53D7" w:rsidRPr="00E8114C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E2A352" w14:textId="77777777" w:rsid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  <w:p w14:paraId="5EA0D8FE" w14:textId="70929502" w:rsidR="00757CC7" w:rsidRPr="00AF53D7" w:rsidRDefault="00757CC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7708348D" w:rsidR="00F54BF5" w:rsidRPr="00F913EB" w:rsidRDefault="00F54BF5" w:rsidP="00F913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13EB">
              <w:rPr>
                <w:rFonts w:ascii="Arial" w:hAnsi="Arial" w:cs="Arial"/>
                <w:sz w:val="18"/>
                <w:szCs w:val="18"/>
              </w:rPr>
              <w:lastRenderedPageBreak/>
              <w:t>Opóźniająca się procedura wyłonienia Wykonawcy</w:t>
            </w:r>
            <w:r w:rsidR="00CA352B" w:rsidRPr="00F913EB">
              <w:rPr>
                <w:rFonts w:ascii="Arial" w:hAnsi="Arial" w:cs="Arial"/>
                <w:sz w:val="18"/>
                <w:szCs w:val="18"/>
              </w:rPr>
              <w:t xml:space="preserve"> w ramach postępowania o udzielenie zamówienia publicznego pod nazwą: </w:t>
            </w:r>
            <w:r w:rsidR="00CA352B" w:rsidRPr="00F913EB"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 w:rsidRPr="00F913EB"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4B2F6344" w:rsidR="00F54BF5" w:rsidRPr="00E8114C" w:rsidRDefault="006F1061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F54BF5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35A68DAA" w:rsidR="00B111B3" w:rsidRPr="00F913E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F913EB" w:rsidRPr="00F913E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F913EB">
              <w:rPr>
                <w:rFonts w:ascii="Arial" w:hAnsi="Arial" w:cs="Arial"/>
                <w:sz w:val="18"/>
                <w:szCs w:val="18"/>
              </w:rPr>
              <w:t>i modyfikacja dokumentacji.</w:t>
            </w:r>
          </w:p>
          <w:p w14:paraId="19FDBE01" w14:textId="77777777" w:rsid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1853A215" w14:textId="2FC2669C" w:rsidR="000F03BA" w:rsidRPr="00F54BF5" w:rsidRDefault="000F03BA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73C25AA3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5ACBC9F9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0B1C51DB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67A5602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7A99973E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950FA0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B64D94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0F6CB3CC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7E6BC08A" w:rsidR="00A92887" w:rsidRPr="000F7ECF" w:rsidRDefault="0014179E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Emilian Duda</w:t>
      </w:r>
      <w:r w:rsidR="000B668C">
        <w:rPr>
          <w:rFonts w:ascii="Arial" w:hAnsi="Arial" w:cs="Arial"/>
          <w:sz w:val="20"/>
          <w:szCs w:val="20"/>
        </w:rPr>
        <w:t>,</w:t>
      </w:r>
      <w:r w:rsidR="00785C49" w:rsidRPr="000F7ECF">
        <w:rPr>
          <w:rFonts w:ascii="Arial" w:hAnsi="Arial" w:cs="Arial"/>
          <w:sz w:val="20"/>
          <w:szCs w:val="20"/>
        </w:rPr>
        <w:t xml:space="preserve">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</w:t>
        </w:r>
        <w:r w:rsidRPr="000F7ECF">
          <w:rPr>
            <w:rStyle w:val="Hipercze"/>
            <w:rFonts w:ascii="Arial" w:hAnsi="Arial" w:cs="Arial"/>
            <w:sz w:val="20"/>
            <w:szCs w:val="20"/>
          </w:rPr>
          <w:t>@mswia.gov.pl</w:t>
        </w:r>
      </w:hyperlink>
      <w:r w:rsidR="00785C49" w:rsidRPr="000F7ECF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22 60 121 44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F02BB" w14:textId="77777777" w:rsidR="00935FDA" w:rsidRDefault="00935FDA" w:rsidP="00BB2420">
      <w:pPr>
        <w:spacing w:after="0" w:line="240" w:lineRule="auto"/>
      </w:pPr>
      <w:r>
        <w:separator/>
      </w:r>
    </w:p>
  </w:endnote>
  <w:endnote w:type="continuationSeparator" w:id="0">
    <w:p w14:paraId="6420C4F7" w14:textId="77777777" w:rsidR="00935FDA" w:rsidRDefault="00935FD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E9053D" w:rsidR="007147D9" w:rsidRDefault="007147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74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7147D9" w:rsidRDefault="007147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E52DB" w14:textId="77777777" w:rsidR="00935FDA" w:rsidRDefault="00935FDA" w:rsidP="00BB2420">
      <w:pPr>
        <w:spacing w:after="0" w:line="240" w:lineRule="auto"/>
      </w:pPr>
      <w:r>
        <w:separator/>
      </w:r>
    </w:p>
  </w:footnote>
  <w:footnote w:type="continuationSeparator" w:id="0">
    <w:p w14:paraId="1A314499" w14:textId="77777777" w:rsidR="00935FDA" w:rsidRDefault="00935FDA" w:rsidP="00BB2420">
      <w:pPr>
        <w:spacing w:after="0" w:line="240" w:lineRule="auto"/>
      </w:pPr>
      <w:r>
        <w:continuationSeparator/>
      </w:r>
    </w:p>
  </w:footnote>
  <w:footnote w:id="1">
    <w:p w14:paraId="07C085AB" w14:textId="581C0181" w:rsidR="007147D9" w:rsidRDefault="007147D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6"/>
  </w:num>
  <w:num w:numId="22">
    <w:abstractNumId w:val="14"/>
  </w:num>
  <w:num w:numId="23">
    <w:abstractNumId w:val="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403E"/>
    <w:rsid w:val="00070663"/>
    <w:rsid w:val="00071880"/>
    <w:rsid w:val="0007473B"/>
    <w:rsid w:val="00084E31"/>
    <w:rsid w:val="00084E5B"/>
    <w:rsid w:val="00087231"/>
    <w:rsid w:val="00095944"/>
    <w:rsid w:val="000A1DFB"/>
    <w:rsid w:val="000A2F32"/>
    <w:rsid w:val="000A3938"/>
    <w:rsid w:val="000A6926"/>
    <w:rsid w:val="000A69C2"/>
    <w:rsid w:val="000B3E49"/>
    <w:rsid w:val="000B668C"/>
    <w:rsid w:val="000C5C85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15E29"/>
    <w:rsid w:val="00237279"/>
    <w:rsid w:val="00240D69"/>
    <w:rsid w:val="00241B5E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4115"/>
    <w:rsid w:val="003B5B7A"/>
    <w:rsid w:val="003B7E53"/>
    <w:rsid w:val="003C68A7"/>
    <w:rsid w:val="003C7325"/>
    <w:rsid w:val="003D7DD0"/>
    <w:rsid w:val="003E1197"/>
    <w:rsid w:val="003E3144"/>
    <w:rsid w:val="003E7BF6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8440A"/>
    <w:rsid w:val="00494B65"/>
    <w:rsid w:val="004B5E78"/>
    <w:rsid w:val="004B63AF"/>
    <w:rsid w:val="004C1D48"/>
    <w:rsid w:val="004D65CA"/>
    <w:rsid w:val="004E1072"/>
    <w:rsid w:val="004E1BF4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32D6"/>
    <w:rsid w:val="00536D98"/>
    <w:rsid w:val="0054102C"/>
    <w:rsid w:val="00544DFE"/>
    <w:rsid w:val="005548F2"/>
    <w:rsid w:val="00560F49"/>
    <w:rsid w:val="005627A1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56C4"/>
    <w:rsid w:val="00656E09"/>
    <w:rsid w:val="00661A62"/>
    <w:rsid w:val="00667AEF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5A8C"/>
    <w:rsid w:val="0077418F"/>
    <w:rsid w:val="00775C44"/>
    <w:rsid w:val="00776802"/>
    <w:rsid w:val="00785C49"/>
    <w:rsid w:val="007924CE"/>
    <w:rsid w:val="00793E7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1E6C"/>
    <w:rsid w:val="007D2C34"/>
    <w:rsid w:val="007D38BD"/>
    <w:rsid w:val="007D3F21"/>
    <w:rsid w:val="007D62C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7414A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E1417"/>
    <w:rsid w:val="008E2B10"/>
    <w:rsid w:val="008F2D9B"/>
    <w:rsid w:val="008F67EE"/>
    <w:rsid w:val="00907F6D"/>
    <w:rsid w:val="00911190"/>
    <w:rsid w:val="0091332C"/>
    <w:rsid w:val="009200D6"/>
    <w:rsid w:val="009256F2"/>
    <w:rsid w:val="00927F8A"/>
    <w:rsid w:val="00933BEC"/>
    <w:rsid w:val="009347B8"/>
    <w:rsid w:val="00935FDA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71A40"/>
    <w:rsid w:val="00976434"/>
    <w:rsid w:val="00985CCE"/>
    <w:rsid w:val="00991CCC"/>
    <w:rsid w:val="00992EA3"/>
    <w:rsid w:val="00993382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9F6B81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B745F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31260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5990"/>
    <w:rsid w:val="00B87D3D"/>
    <w:rsid w:val="00B91243"/>
    <w:rsid w:val="00B93EB6"/>
    <w:rsid w:val="00B95799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4DB0"/>
    <w:rsid w:val="00C6751B"/>
    <w:rsid w:val="00C713A6"/>
    <w:rsid w:val="00C8373E"/>
    <w:rsid w:val="00CA352B"/>
    <w:rsid w:val="00CA516B"/>
    <w:rsid w:val="00CB6557"/>
    <w:rsid w:val="00CC7E21"/>
    <w:rsid w:val="00CD1496"/>
    <w:rsid w:val="00CE01CA"/>
    <w:rsid w:val="00CE74F9"/>
    <w:rsid w:val="00CE7777"/>
    <w:rsid w:val="00CF2E64"/>
    <w:rsid w:val="00D02F6D"/>
    <w:rsid w:val="00D06B86"/>
    <w:rsid w:val="00D075F5"/>
    <w:rsid w:val="00D13A90"/>
    <w:rsid w:val="00D22C21"/>
    <w:rsid w:val="00D25CFE"/>
    <w:rsid w:val="00D4607F"/>
    <w:rsid w:val="00D50C43"/>
    <w:rsid w:val="00D57025"/>
    <w:rsid w:val="00D57075"/>
    <w:rsid w:val="00D57765"/>
    <w:rsid w:val="00D60F5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039C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C2AFC"/>
    <w:rsid w:val="00ED336D"/>
    <w:rsid w:val="00ED45DD"/>
    <w:rsid w:val="00EF190B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26DA6-F45E-47CA-AA4C-89227948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2578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2021-02-08T10:48:00Z</dcterms:created>
  <dcterms:modified xsi:type="dcterms:W3CDTF">2021-02-08T10:48:00Z</dcterms:modified>
</cp:coreProperties>
</file>