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14029" w:type="dxa"/>
        <w:tblLook w:val="04A0" w:firstRow="1" w:lastRow="0" w:firstColumn="1" w:lastColumn="0" w:noHBand="0" w:noVBand="1"/>
      </w:tblPr>
      <w:tblGrid>
        <w:gridCol w:w="611"/>
        <w:gridCol w:w="1609"/>
        <w:gridCol w:w="1319"/>
        <w:gridCol w:w="6760"/>
        <w:gridCol w:w="3730"/>
      </w:tblGrid>
      <w:tr w:rsidR="009160B6" w14:paraId="5B23673E" w14:textId="77777777" w:rsidTr="009160B6">
        <w:tc>
          <w:tcPr>
            <w:tcW w:w="611" w:type="dxa"/>
          </w:tcPr>
          <w:p w14:paraId="5EBCC808" w14:textId="77777777" w:rsidR="009160B6" w:rsidRPr="00A84DC1" w:rsidRDefault="009160B6">
            <w:pPr>
              <w:rPr>
                <w:b/>
                <w:bCs/>
              </w:rPr>
            </w:pPr>
            <w:r w:rsidRPr="00A84DC1">
              <w:rPr>
                <w:b/>
                <w:bCs/>
              </w:rPr>
              <w:t xml:space="preserve">L.p. </w:t>
            </w:r>
          </w:p>
        </w:tc>
        <w:tc>
          <w:tcPr>
            <w:tcW w:w="1609" w:type="dxa"/>
          </w:tcPr>
          <w:p w14:paraId="0B52B5B9" w14:textId="77777777" w:rsidR="009160B6" w:rsidRPr="00A84DC1" w:rsidRDefault="009160B6">
            <w:pPr>
              <w:rPr>
                <w:b/>
                <w:bCs/>
              </w:rPr>
            </w:pPr>
            <w:r w:rsidRPr="00A84DC1">
              <w:rPr>
                <w:b/>
                <w:bCs/>
              </w:rPr>
              <w:t xml:space="preserve">Wnioskodawca uwagi </w:t>
            </w:r>
          </w:p>
        </w:tc>
        <w:tc>
          <w:tcPr>
            <w:tcW w:w="1319" w:type="dxa"/>
          </w:tcPr>
          <w:p w14:paraId="7F123360" w14:textId="77777777" w:rsidR="009160B6" w:rsidRPr="00A84DC1" w:rsidRDefault="009160B6">
            <w:pPr>
              <w:rPr>
                <w:b/>
                <w:bCs/>
              </w:rPr>
            </w:pPr>
            <w:r>
              <w:rPr>
                <w:b/>
                <w:bCs/>
              </w:rPr>
              <w:t xml:space="preserve">Jednostka redakcyjna do której wnoszone są uwagi </w:t>
            </w:r>
          </w:p>
        </w:tc>
        <w:tc>
          <w:tcPr>
            <w:tcW w:w="6760" w:type="dxa"/>
          </w:tcPr>
          <w:p w14:paraId="7849DA6A" w14:textId="77777777" w:rsidR="009160B6" w:rsidRPr="00A84DC1" w:rsidRDefault="009160B6">
            <w:pPr>
              <w:rPr>
                <w:b/>
                <w:bCs/>
              </w:rPr>
            </w:pPr>
            <w:r w:rsidRPr="00A84DC1">
              <w:rPr>
                <w:b/>
                <w:bCs/>
              </w:rPr>
              <w:t xml:space="preserve">Treść Uwagi </w:t>
            </w:r>
          </w:p>
        </w:tc>
        <w:tc>
          <w:tcPr>
            <w:tcW w:w="3730" w:type="dxa"/>
          </w:tcPr>
          <w:p w14:paraId="444D0E1E" w14:textId="64C44471" w:rsidR="009160B6" w:rsidRPr="00A84DC1" w:rsidRDefault="009160B6">
            <w:pPr>
              <w:rPr>
                <w:b/>
                <w:bCs/>
              </w:rPr>
            </w:pPr>
            <w:r w:rsidRPr="00A84DC1">
              <w:rPr>
                <w:b/>
                <w:bCs/>
              </w:rPr>
              <w:t xml:space="preserve">Stanowisko </w:t>
            </w:r>
          </w:p>
        </w:tc>
      </w:tr>
      <w:tr w:rsidR="009160B6" w14:paraId="386C7DF1" w14:textId="77777777" w:rsidTr="009160B6">
        <w:tc>
          <w:tcPr>
            <w:tcW w:w="611" w:type="dxa"/>
          </w:tcPr>
          <w:p w14:paraId="783CA743" w14:textId="77777777" w:rsidR="009160B6" w:rsidRDefault="009160B6" w:rsidP="00513437">
            <w:r>
              <w:t>1.</w:t>
            </w:r>
          </w:p>
        </w:tc>
        <w:tc>
          <w:tcPr>
            <w:tcW w:w="1609" w:type="dxa"/>
          </w:tcPr>
          <w:p w14:paraId="49E9AB34" w14:textId="77777777" w:rsidR="009160B6" w:rsidRPr="0042015E" w:rsidRDefault="009160B6" w:rsidP="00513437">
            <w:pPr>
              <w:rPr>
                <w:rFonts w:ascii="Calibri" w:hAnsi="Calibri" w:cs="Calibri"/>
                <w:b/>
              </w:rPr>
            </w:pPr>
            <w:r>
              <w:rPr>
                <w:rFonts w:ascii="Calibri" w:hAnsi="Calibri" w:cs="Calibri"/>
                <w:b/>
              </w:rPr>
              <w:t>PUODO</w:t>
            </w:r>
          </w:p>
        </w:tc>
        <w:tc>
          <w:tcPr>
            <w:tcW w:w="1319" w:type="dxa"/>
          </w:tcPr>
          <w:p w14:paraId="2459B918" w14:textId="77777777" w:rsidR="009160B6" w:rsidRPr="0042015E" w:rsidRDefault="009160B6" w:rsidP="00513437">
            <w:pPr>
              <w:rPr>
                <w:rFonts w:ascii="Calibri" w:hAnsi="Calibri" w:cs="Calibri"/>
              </w:rPr>
            </w:pPr>
          </w:p>
        </w:tc>
        <w:tc>
          <w:tcPr>
            <w:tcW w:w="6760" w:type="dxa"/>
          </w:tcPr>
          <w:p w14:paraId="211E80F9" w14:textId="77777777" w:rsidR="009160B6" w:rsidRDefault="009160B6" w:rsidP="00513437">
            <w:pPr>
              <w:jc w:val="both"/>
            </w:pPr>
            <w:r>
              <w:t>Na wstępie należy podkreślić, że przedmiotowy projekt, tworzy ramy prawne dla funkcjonowania portalu danych, zwanego dalej „Portalem”, czyli systemu teleinformatycznego służącego do udostępniania informacji sektora publicznego, zwanych dalej „danymi”, w celu ponownego wykorzystywania. Na portalu będą przetwarzane na dużą skalę dane osobowe zawarte w informacjach przetwarzanych na podstawie przepisów ustawy z dnia 11 sierpnia 2021 r. o otwartych danych i ponownym wykorzystywaniu informacji sektora publicznego (Dz. U. poz. 1641), dalej: ustawa o otwartych danych.</w:t>
            </w:r>
          </w:p>
          <w:p w14:paraId="2A468D3A" w14:textId="77777777" w:rsidR="009160B6" w:rsidRDefault="009160B6" w:rsidP="00513437">
            <w:pPr>
              <w:jc w:val="both"/>
            </w:pPr>
            <w:r>
              <w:t>Należy w tym miejscu wskazać, że organ nadzorczy w trakcie prac nad projektem ww. ustawy zgłaszał liczne uwagi dotyczące m.in. niedostatecznego uregulowania w art. 6 ust. 2 ustawy o otwartych danych zakresu ograniczenia prawa do ponownego wykorzystywania informacji sektora publicznego ze względu na ochronę danych osobowych. Niestety uwagi te nie zostały uwzględnione przez ustawodawcę</w:t>
            </w:r>
            <w:r>
              <w:rPr>
                <w:rStyle w:val="Odwoanieprzypisudolnego"/>
              </w:rPr>
              <w:footnoteReference w:id="1"/>
            </w:r>
            <w:r>
              <w:t>. Zawarte w projekcie przepisy dotyczące funkcjonowania Portalu tym bardziej wymagają więc dogłębnej analizy projektodawcy pod kątem ochrony danych osobowych i gwarancji dotyczących prawa do prywatności.</w:t>
            </w:r>
          </w:p>
          <w:p w14:paraId="6FA4A975" w14:textId="77777777" w:rsidR="009160B6" w:rsidRDefault="009160B6" w:rsidP="00513437">
            <w:pPr>
              <w:jc w:val="both"/>
              <w:rPr>
                <w:rFonts w:ascii="Calibri" w:hAnsi="Calibri" w:cs="Calibri"/>
              </w:rPr>
            </w:pPr>
            <w:r>
              <w:t xml:space="preserve">Biorąc pod uwagę powyższe, za konieczne należy uznać objęcie projektu testem prywatności wynikającym z rozporządzenia 2016/679. Jako że realizacja przepisów projektu ma dotyczyć szczegółowych warunków przetwarzania i zabezpieczenia danych na portalu , niezbędne jest aby w tworzonych przepisach została uwzględniona ochrona prywatności i danych w fazie projektowania przedmiotowych przepisów prawa (art. 25 </w:t>
            </w:r>
            <w:r>
              <w:lastRenderedPageBreak/>
              <w:t>ust. 1</w:t>
            </w:r>
            <w:r>
              <w:rPr>
                <w:rStyle w:val="Odwoanieprzypisudolnego"/>
              </w:rPr>
              <w:footnoteReference w:id="2"/>
            </w:r>
            <w:r>
              <w:t>), oraz aby przeprowadzona została ocena skutków dla ochrony danych w ramach oceny skutków regulacji w związku z przyjęciem tej podstawy prawnej (art. 35 ust. 1</w:t>
            </w:r>
            <w:r>
              <w:rPr>
                <w:rStyle w:val="Odwoanieprzypisudolnego"/>
              </w:rPr>
              <w:footnoteReference w:id="3"/>
            </w:r>
            <w:r>
              <w:t xml:space="preserve"> i ust. 10</w:t>
            </w:r>
            <w:r>
              <w:rPr>
                <w:rStyle w:val="Odwoanieprzypisudolnego"/>
              </w:rPr>
              <w:footnoteReference w:id="4"/>
            </w:r>
            <w:r>
              <w:t>). Innymi słowy, przeprowadzenie testu prywatności jest uzasadnione charakterem zaproponowanych zmian prawnych</w:t>
            </w:r>
          </w:p>
        </w:tc>
        <w:tc>
          <w:tcPr>
            <w:tcW w:w="3730" w:type="dxa"/>
          </w:tcPr>
          <w:p w14:paraId="1B05E0F9" w14:textId="77777777" w:rsidR="009160B6" w:rsidRPr="009160B6" w:rsidRDefault="009160B6" w:rsidP="009160B6">
            <w:pPr>
              <w:spacing w:after="60"/>
              <w:rPr>
                <w:b/>
                <w:bCs/>
              </w:rPr>
            </w:pPr>
            <w:r w:rsidRPr="009C7788">
              <w:rPr>
                <w:b/>
                <w:bCs/>
              </w:rPr>
              <w:lastRenderedPageBreak/>
              <w:t>Uwaga częściowo uwzględniona.</w:t>
            </w:r>
          </w:p>
          <w:p w14:paraId="4B94607C" w14:textId="233AD5CF" w:rsidR="009160B6" w:rsidRDefault="009160B6" w:rsidP="009C7788">
            <w:r>
              <w:t>Uzupełnione zostanie uzasadnienia do projektu rozporządzenia o rekomendację dla dostawców danych (którzy są ich administratorami) do przeprowa</w:t>
            </w:r>
            <w:r w:rsidR="00727DB5">
              <w:t>dzenia, każdorazowo przed udostę</w:t>
            </w:r>
            <w:r>
              <w:t>pnieniem w portalu</w:t>
            </w:r>
            <w:r w:rsidR="00727DB5">
              <w:t xml:space="preserve"> danych swoich zbiorów danych,</w:t>
            </w:r>
            <w:r>
              <w:t xml:space="preserve"> oceny skutków regulacji dla ochrony danych osobowych.</w:t>
            </w:r>
          </w:p>
          <w:p w14:paraId="16465F73" w14:textId="77777777" w:rsidR="009160B6" w:rsidRDefault="009160B6" w:rsidP="009C7788"/>
          <w:p w14:paraId="24C86F8F" w14:textId="77777777" w:rsidR="009160B6" w:rsidRPr="009C7788" w:rsidRDefault="009160B6" w:rsidP="009C7788">
            <w:r>
              <w:t>Uregulowanie kwestii ochrony prywatności i danych, o których mowa w uwadze, na poziomie przepisów projektu rozporządzenia wychodzi poza wytyczne zawarte w upoważnieniu ustawowym.</w:t>
            </w:r>
          </w:p>
        </w:tc>
      </w:tr>
      <w:tr w:rsidR="009160B6" w14:paraId="2CEE0355" w14:textId="77777777" w:rsidTr="009160B6">
        <w:tc>
          <w:tcPr>
            <w:tcW w:w="611" w:type="dxa"/>
          </w:tcPr>
          <w:p w14:paraId="35285AD9" w14:textId="77777777" w:rsidR="009160B6" w:rsidRDefault="009160B6" w:rsidP="00513437">
            <w:r>
              <w:t>2</w:t>
            </w:r>
          </w:p>
        </w:tc>
        <w:tc>
          <w:tcPr>
            <w:tcW w:w="1609" w:type="dxa"/>
          </w:tcPr>
          <w:p w14:paraId="6831F791" w14:textId="77777777" w:rsidR="009160B6" w:rsidRPr="0042015E" w:rsidRDefault="009160B6" w:rsidP="00513437">
            <w:pPr>
              <w:rPr>
                <w:rFonts w:ascii="Calibri" w:hAnsi="Calibri" w:cs="Calibri"/>
                <w:b/>
              </w:rPr>
            </w:pPr>
            <w:r>
              <w:rPr>
                <w:rFonts w:ascii="Calibri" w:hAnsi="Calibri" w:cs="Calibri"/>
                <w:b/>
              </w:rPr>
              <w:t>PUODO</w:t>
            </w:r>
          </w:p>
        </w:tc>
        <w:tc>
          <w:tcPr>
            <w:tcW w:w="1319" w:type="dxa"/>
          </w:tcPr>
          <w:p w14:paraId="5FF3737B" w14:textId="77777777" w:rsidR="009160B6" w:rsidRPr="0042015E" w:rsidRDefault="009160B6" w:rsidP="00513437">
            <w:pPr>
              <w:rPr>
                <w:rFonts w:ascii="Calibri" w:hAnsi="Calibri" w:cs="Calibri"/>
              </w:rPr>
            </w:pPr>
            <w:r>
              <w:t>Rozdział 2</w:t>
            </w:r>
          </w:p>
        </w:tc>
        <w:tc>
          <w:tcPr>
            <w:tcW w:w="6760" w:type="dxa"/>
          </w:tcPr>
          <w:p w14:paraId="19A20E8D" w14:textId="77777777" w:rsidR="009160B6" w:rsidRDefault="009160B6" w:rsidP="00513437">
            <w:pPr>
              <w:jc w:val="both"/>
            </w:pPr>
            <w:r>
              <w:t xml:space="preserve">W rozdziale 2 projektu zawarto przepisy regulujące sposób przetwarzania i udostępniania danych i metadanych portalu. </w:t>
            </w:r>
          </w:p>
          <w:p w14:paraId="7914FB08" w14:textId="77777777" w:rsidR="009160B6" w:rsidRDefault="009160B6" w:rsidP="00513437">
            <w:pPr>
              <w:jc w:val="both"/>
            </w:pPr>
            <w:r>
              <w:t>Niestety w przedmiotowym rozdziale brak jest jakichkolwiek rozwiązań dedykowanych ochronie danych osobowych pomimo, że zgodnie z § 3 ust. 2 projektu dane lub metadane portalu są przetwarzane w sposób polegający na ich przechowywaniu, weryfikowaniu, przekształceniu ich struktury, udostępnianiu, pobieraniu, przeglądaniu, wykorzystywaniu, rozpowszechnianiu, usuwaniu lub innego rodzaju działaniach na danych służących ich udostępnianiu.</w:t>
            </w:r>
          </w:p>
          <w:p w14:paraId="34EF4A82" w14:textId="77777777" w:rsidR="009160B6" w:rsidRDefault="009160B6" w:rsidP="00513437">
            <w:pPr>
              <w:jc w:val="both"/>
              <w:rPr>
                <w:rFonts w:ascii="Calibri" w:hAnsi="Calibri" w:cs="Calibri"/>
              </w:rPr>
            </w:pPr>
            <w:r w:rsidRPr="00E404B8">
              <w:t xml:space="preserve">Przedmiotowy rozdział 2 projektu powinien więc zostać rozbudowany o rozwiązania gwarantujące prawidłowość, integralność i poufność przetwarzanych w portalu informacji zawierających dane osobowe, zgodnie z zasadą poufności i integralności określoną w art 5 ust. 1 lit. f) </w:t>
            </w:r>
            <w:r w:rsidRPr="00E404B8">
              <w:lastRenderedPageBreak/>
              <w:t>rozporządzenia 2016/679</w:t>
            </w:r>
            <w:r w:rsidRPr="00E404B8">
              <w:rPr>
                <w:rStyle w:val="Odwoanieprzypisudolnego"/>
              </w:rPr>
              <w:footnoteReference w:id="5"/>
            </w:r>
            <w:r w:rsidRPr="00E404B8">
              <w:t>, a także rozwiązania gwarantujące rozliczalność zastosowanych w portalu rozwiązań zgodnie z zasadą określoną w art 5 ust. 2 rozporządzenia 2016/679</w:t>
            </w:r>
            <w:r w:rsidRPr="00E404B8">
              <w:rPr>
                <w:rStyle w:val="Odwoanieprzypisudolnego"/>
              </w:rPr>
              <w:footnoteReference w:id="6"/>
            </w:r>
            <w:r w:rsidRPr="00E404B8">
              <w:t>.</w:t>
            </w:r>
          </w:p>
        </w:tc>
        <w:tc>
          <w:tcPr>
            <w:tcW w:w="3730" w:type="dxa"/>
          </w:tcPr>
          <w:p w14:paraId="5B0A2694" w14:textId="77777777" w:rsidR="009160B6" w:rsidRPr="009160B6" w:rsidRDefault="009160B6" w:rsidP="009160B6">
            <w:pPr>
              <w:spacing w:after="60"/>
              <w:jc w:val="both"/>
              <w:rPr>
                <w:rFonts w:eastAsia="Calibri" w:cstheme="minorHAnsi"/>
                <w:b/>
                <w:bCs/>
              </w:rPr>
            </w:pPr>
            <w:r w:rsidRPr="000119AF">
              <w:rPr>
                <w:rFonts w:eastAsia="Calibri" w:cstheme="minorHAnsi"/>
                <w:b/>
                <w:bCs/>
              </w:rPr>
              <w:lastRenderedPageBreak/>
              <w:t>Wyjaśnienie.</w:t>
            </w:r>
          </w:p>
          <w:p w14:paraId="2F76F54D" w14:textId="0F27FB82" w:rsidR="009160B6" w:rsidRDefault="009160B6" w:rsidP="00604227">
            <w:r w:rsidRPr="00A705A7">
              <w:rPr>
                <w:rFonts w:eastAsia="Calibri" w:cstheme="minorHAnsi"/>
              </w:rPr>
              <w:t xml:space="preserve">Rozdział 2 projektu rozporządzenia </w:t>
            </w:r>
            <w:r>
              <w:rPr>
                <w:rFonts w:eastAsia="Calibri" w:cstheme="minorHAnsi"/>
              </w:rPr>
              <w:t>reguluje sposób</w:t>
            </w:r>
            <w:r w:rsidRPr="00A705A7">
              <w:rPr>
                <w:rFonts w:eastAsia="Calibri" w:cstheme="minorHAnsi"/>
              </w:rPr>
              <w:t xml:space="preserve"> </w:t>
            </w:r>
            <w:r>
              <w:rPr>
                <w:rFonts w:eastAsia="Calibri" w:cstheme="minorHAnsi"/>
              </w:rPr>
              <w:t xml:space="preserve">przetwarzania i udostępniania </w:t>
            </w:r>
            <w:r>
              <w:t>danych</w:t>
            </w:r>
            <w:r w:rsidR="00727DB5">
              <w:t>,</w:t>
            </w:r>
            <w:r>
              <w:t xml:space="preserve"> czyli informacji sektora publicznego w portalu, o których mowa w art. 2 pkt 8 ustawy o otwartych danych i ponownym wykorzystywaniu i</w:t>
            </w:r>
            <w:r w:rsidR="00727DB5">
              <w:t xml:space="preserve">nformacji sektora publicznego. </w:t>
            </w:r>
            <w:r w:rsidRPr="00A705A7">
              <w:t xml:space="preserve">W </w:t>
            </w:r>
            <w:r w:rsidRPr="00A705A7">
              <w:rPr>
                <w:rStyle w:val="Ppogrubienie"/>
                <w:b w:val="0"/>
                <w:bCs/>
              </w:rPr>
              <w:t xml:space="preserve">§ </w:t>
            </w:r>
            <w:r w:rsidRPr="00A705A7">
              <w:t>1 ust. 1</w:t>
            </w:r>
            <w:r>
              <w:t xml:space="preserve"> projektu rozporządzenia</w:t>
            </w:r>
            <w:r w:rsidRPr="00A705A7">
              <w:t xml:space="preserve"> wprowadzono skrót „dane” dla określenia informacji sektora publicznego</w:t>
            </w:r>
            <w:r>
              <w:t xml:space="preserve">. Treść przepisu upoważniającego do wydania niniejszego rozporządzenia wprost odnosi się do przetwarzania informacji </w:t>
            </w:r>
            <w:r>
              <w:lastRenderedPageBreak/>
              <w:t xml:space="preserve">sektora publicznego, a nie danych osobowych.  </w:t>
            </w:r>
          </w:p>
          <w:p w14:paraId="01AD5648" w14:textId="77777777" w:rsidR="009160B6" w:rsidRDefault="009160B6" w:rsidP="00604227"/>
          <w:p w14:paraId="603A0566" w14:textId="2A4AED34" w:rsidR="009160B6" w:rsidRPr="00054870" w:rsidRDefault="009160B6" w:rsidP="000E5ED2">
            <w:r>
              <w:t>Uregulowanie kwestii ochrony prywatności i danych, o których mowa w uwadze, na poziomie przepisów rozporządzenia wychodzi poza wytyczne zawarte w upoważnieniu ustawowym.</w:t>
            </w:r>
          </w:p>
        </w:tc>
      </w:tr>
      <w:tr w:rsidR="009160B6" w14:paraId="2319F889" w14:textId="77777777" w:rsidTr="009160B6">
        <w:tc>
          <w:tcPr>
            <w:tcW w:w="611" w:type="dxa"/>
          </w:tcPr>
          <w:p w14:paraId="42028F39" w14:textId="77777777" w:rsidR="009160B6" w:rsidRDefault="009160B6" w:rsidP="00513437">
            <w:r>
              <w:lastRenderedPageBreak/>
              <w:t>3</w:t>
            </w:r>
          </w:p>
        </w:tc>
        <w:tc>
          <w:tcPr>
            <w:tcW w:w="1609" w:type="dxa"/>
          </w:tcPr>
          <w:p w14:paraId="773D5226" w14:textId="77777777" w:rsidR="009160B6" w:rsidRPr="0042015E" w:rsidRDefault="009160B6" w:rsidP="00513437">
            <w:pPr>
              <w:rPr>
                <w:rFonts w:ascii="Calibri" w:hAnsi="Calibri" w:cs="Calibri"/>
                <w:b/>
              </w:rPr>
            </w:pPr>
            <w:r>
              <w:rPr>
                <w:rFonts w:ascii="Calibri" w:hAnsi="Calibri" w:cs="Calibri"/>
                <w:b/>
              </w:rPr>
              <w:t>PUODO</w:t>
            </w:r>
          </w:p>
        </w:tc>
        <w:tc>
          <w:tcPr>
            <w:tcW w:w="1319" w:type="dxa"/>
          </w:tcPr>
          <w:p w14:paraId="068570D9" w14:textId="77777777" w:rsidR="009160B6" w:rsidRPr="0042015E" w:rsidRDefault="009160B6" w:rsidP="00513437">
            <w:pPr>
              <w:rPr>
                <w:rFonts w:ascii="Calibri" w:hAnsi="Calibri" w:cs="Calibri"/>
              </w:rPr>
            </w:pPr>
            <w:r>
              <w:t>Rozdział 3</w:t>
            </w:r>
          </w:p>
        </w:tc>
        <w:tc>
          <w:tcPr>
            <w:tcW w:w="6760" w:type="dxa"/>
          </w:tcPr>
          <w:p w14:paraId="4846DDD1" w14:textId="77777777" w:rsidR="009160B6" w:rsidRDefault="009160B6" w:rsidP="00513437">
            <w:pPr>
              <w:jc w:val="both"/>
              <w:rPr>
                <w:rFonts w:ascii="Calibri" w:hAnsi="Calibri" w:cs="Calibri"/>
              </w:rPr>
            </w:pPr>
            <w:r>
              <w:t>Wątpliwości organu nadzorczego budzi też zawarta w rozdział 3 projektu procedura tworzenia profilu dostawcy i zakładania konta użytkownika portalu. W szczególności niewłaściwe m.in. pod kątem cyberbezpieczeństwa jest używanie adresu email jako loginu, a także to, że w przepisach nie zostały określone standardy nadawania haseł. Wskazane rozwiązania powinny zostać przez projektodawcę zmienione, tak by gwarantowały prawidłowość, integralność i poufność przetwarzanych danych osobowych zgodnie z zasadą poufności i integralności.</w:t>
            </w:r>
          </w:p>
        </w:tc>
        <w:tc>
          <w:tcPr>
            <w:tcW w:w="3730" w:type="dxa"/>
          </w:tcPr>
          <w:p w14:paraId="61B8827A" w14:textId="77777777" w:rsidR="009160B6" w:rsidRPr="00237C00" w:rsidRDefault="009160B6" w:rsidP="009160B6">
            <w:pPr>
              <w:spacing w:after="60"/>
              <w:jc w:val="both"/>
              <w:rPr>
                <w:rFonts w:eastAsia="Calibri" w:cstheme="minorHAnsi"/>
              </w:rPr>
            </w:pPr>
            <w:r w:rsidRPr="00237C00">
              <w:rPr>
                <w:rFonts w:eastAsia="Calibri" w:cstheme="minorHAnsi"/>
                <w:b/>
                <w:bCs/>
              </w:rPr>
              <w:t>Wyjaśnienie</w:t>
            </w:r>
            <w:r w:rsidRPr="00237C00">
              <w:rPr>
                <w:rFonts w:eastAsia="Calibri" w:cstheme="minorHAnsi"/>
              </w:rPr>
              <w:t>.</w:t>
            </w:r>
          </w:p>
          <w:p w14:paraId="7E725D34" w14:textId="12F72BE5" w:rsidR="009160B6" w:rsidRPr="00962FB1" w:rsidRDefault="009160B6" w:rsidP="00237C00">
            <w:pPr>
              <w:rPr>
                <w:rFonts w:eastAsia="Calibri" w:cstheme="minorHAnsi"/>
                <w:color w:val="538135" w:themeColor="accent6" w:themeShade="BF"/>
              </w:rPr>
            </w:pPr>
            <w:r>
              <w:rPr>
                <w:rFonts w:eastAsia="Calibri" w:cstheme="minorHAnsi"/>
              </w:rPr>
              <w:t>W</w:t>
            </w:r>
            <w:r w:rsidRPr="00237C00">
              <w:rPr>
                <w:rFonts w:eastAsia="Calibri" w:cstheme="minorHAnsi"/>
              </w:rPr>
              <w:t xml:space="preserve"> ramach prac rozwojowych portalu zostało przewidzenie</w:t>
            </w:r>
            <w:r>
              <w:rPr>
                <w:rFonts w:eastAsia="Calibri" w:cstheme="minorHAnsi"/>
              </w:rPr>
              <w:t xml:space="preserve"> wykorzystanie</w:t>
            </w:r>
            <w:r w:rsidRPr="00237C00">
              <w:rPr>
                <w:rFonts w:eastAsia="Calibri" w:cstheme="minorHAnsi"/>
              </w:rPr>
              <w:t xml:space="preserve"> </w:t>
            </w:r>
            <w:r w:rsidR="00727DB5">
              <w:rPr>
                <w:rFonts w:eastAsia="Calibri" w:cstheme="minorHAnsi"/>
              </w:rPr>
              <w:t xml:space="preserve">węzła </w:t>
            </w:r>
            <w:r w:rsidRPr="00237C00">
              <w:rPr>
                <w:rFonts w:eastAsia="Calibri" w:cstheme="minorHAnsi"/>
              </w:rPr>
              <w:t>krajowego identyfikacji elektronicznej dla edytorów publikujących dane w portalu</w:t>
            </w:r>
            <w:r>
              <w:rPr>
                <w:rFonts w:eastAsia="Calibri" w:cstheme="minorHAnsi"/>
              </w:rPr>
              <w:t>.</w:t>
            </w:r>
          </w:p>
          <w:p w14:paraId="046EA0C3" w14:textId="77777777" w:rsidR="009160B6" w:rsidRPr="005948BE" w:rsidRDefault="009160B6" w:rsidP="005948BE">
            <w:pPr>
              <w:rPr>
                <w:rFonts w:eastAsia="Calibri" w:cstheme="minorHAnsi"/>
              </w:rPr>
            </w:pPr>
            <w:r w:rsidRPr="005948BE">
              <w:rPr>
                <w:rFonts w:eastAsia="Calibri" w:cstheme="minorHAnsi"/>
              </w:rPr>
              <w:t xml:space="preserve">Aspekty związane z </w:t>
            </w:r>
            <w:r w:rsidRPr="005948BE">
              <w:rPr>
                <w:rFonts w:cstheme="minorHAnsi"/>
              </w:rPr>
              <w:t>zachowaniem wymagań odnoszących się do sposobu uwierzytelniania użytkowników systemu</w:t>
            </w:r>
            <w:r w:rsidRPr="005948BE">
              <w:rPr>
                <w:rFonts w:eastAsia="Calibri" w:cstheme="minorHAnsi"/>
              </w:rPr>
              <w:t xml:space="preserve"> – reguluje ustawa </w:t>
            </w:r>
            <w:r w:rsidRPr="005948BE">
              <w:rPr>
                <w:rFonts w:cstheme="minorHAnsi"/>
              </w:rPr>
              <w:t>ustawy z dnia 17 lutego 2005 r. o informatyzacji działalności podmiotów realizujących zadania publiczne</w:t>
            </w:r>
            <w:r w:rsidRPr="005948BE">
              <w:rPr>
                <w:rFonts w:cstheme="minorHAnsi"/>
                <w:color w:val="333333"/>
                <w:shd w:val="clear" w:color="auto" w:fill="FFFFFF"/>
              </w:rPr>
              <w:t xml:space="preserve"> oraz ustawa z dnia 5 września 2016 r. o usługach zaufania oraz identyfikacji elektronicznej. </w:t>
            </w:r>
          </w:p>
        </w:tc>
      </w:tr>
      <w:tr w:rsidR="009160B6" w14:paraId="6C7C453D" w14:textId="77777777" w:rsidTr="009160B6">
        <w:tc>
          <w:tcPr>
            <w:tcW w:w="611" w:type="dxa"/>
          </w:tcPr>
          <w:p w14:paraId="3660733E" w14:textId="77777777" w:rsidR="009160B6" w:rsidRDefault="009160B6" w:rsidP="00FA322C">
            <w:r>
              <w:t>4</w:t>
            </w:r>
          </w:p>
        </w:tc>
        <w:tc>
          <w:tcPr>
            <w:tcW w:w="1609" w:type="dxa"/>
          </w:tcPr>
          <w:p w14:paraId="2D31D256" w14:textId="77777777" w:rsidR="009160B6" w:rsidRPr="0042015E" w:rsidRDefault="009160B6" w:rsidP="00FA322C">
            <w:pPr>
              <w:rPr>
                <w:rFonts w:ascii="Calibri" w:hAnsi="Calibri" w:cs="Calibri"/>
                <w:b/>
              </w:rPr>
            </w:pPr>
            <w:r>
              <w:rPr>
                <w:rFonts w:ascii="Calibri" w:hAnsi="Calibri" w:cs="Calibri"/>
                <w:b/>
              </w:rPr>
              <w:t>PUODO</w:t>
            </w:r>
          </w:p>
        </w:tc>
        <w:tc>
          <w:tcPr>
            <w:tcW w:w="1319" w:type="dxa"/>
          </w:tcPr>
          <w:p w14:paraId="6B5F0BA6" w14:textId="77777777" w:rsidR="009160B6" w:rsidRPr="0042015E" w:rsidRDefault="009160B6" w:rsidP="00FA322C">
            <w:pPr>
              <w:rPr>
                <w:rFonts w:ascii="Calibri" w:hAnsi="Calibri" w:cs="Calibri"/>
              </w:rPr>
            </w:pPr>
            <w:r>
              <w:t>§ 6 ust. 3</w:t>
            </w:r>
          </w:p>
        </w:tc>
        <w:tc>
          <w:tcPr>
            <w:tcW w:w="6760" w:type="dxa"/>
          </w:tcPr>
          <w:p w14:paraId="384EDA6A" w14:textId="77777777" w:rsidR="009160B6" w:rsidRDefault="009160B6" w:rsidP="00FA322C">
            <w:pPr>
              <w:jc w:val="both"/>
              <w:rPr>
                <w:rFonts w:ascii="Calibri" w:hAnsi="Calibri" w:cs="Calibri"/>
              </w:rPr>
            </w:pPr>
            <w:r>
              <w:t xml:space="preserve">Podkreślenia wymaga też, że określone przez projektodawcę standardy komunikacji z wykorzystaniem środków komunikacji elektronicznej ( § 6 ust. 3 projektu) powinny zostać rozbudowane o rozwiązania gwarantujące integralność i poufność (art 5 ust. 1 lit. f) rozporządzenia 2016/679), </w:t>
            </w:r>
            <w:r>
              <w:lastRenderedPageBreak/>
              <w:t>rzetelność (art 5 ust. 1 lit. a) rozporządzenia 2016/679</w:t>
            </w:r>
            <w:r>
              <w:rPr>
                <w:rStyle w:val="Odwoanieprzypisudolnego"/>
              </w:rPr>
              <w:footnoteReference w:id="7"/>
            </w:r>
            <w:r>
              <w:t>) i rozliczalność ( art 5 ust. 2 rozporządzenia 2016/679).</w:t>
            </w:r>
          </w:p>
        </w:tc>
        <w:tc>
          <w:tcPr>
            <w:tcW w:w="3730" w:type="dxa"/>
          </w:tcPr>
          <w:p w14:paraId="441DD8C4" w14:textId="1831BCFD" w:rsidR="009160B6" w:rsidRPr="00173BA7" w:rsidRDefault="009160B6" w:rsidP="009160B6">
            <w:pPr>
              <w:spacing w:after="60"/>
              <w:rPr>
                <w:rFonts w:eastAsia="Calibri" w:cstheme="minorHAnsi"/>
                <w:b/>
                <w:bCs/>
              </w:rPr>
            </w:pPr>
            <w:r w:rsidRPr="00237C00">
              <w:rPr>
                <w:rFonts w:eastAsia="Calibri" w:cstheme="minorHAnsi"/>
                <w:b/>
                <w:bCs/>
              </w:rPr>
              <w:lastRenderedPageBreak/>
              <w:t xml:space="preserve">Uwaga </w:t>
            </w:r>
            <w:r w:rsidR="00DE49B8">
              <w:rPr>
                <w:rFonts w:eastAsia="Calibri" w:cstheme="minorHAnsi"/>
                <w:b/>
                <w:bCs/>
              </w:rPr>
              <w:t>nieuwzględniona</w:t>
            </w:r>
            <w:r w:rsidRPr="00237C00">
              <w:rPr>
                <w:rFonts w:eastAsia="Calibri" w:cstheme="minorHAnsi"/>
                <w:b/>
                <w:bCs/>
              </w:rPr>
              <w:t xml:space="preserve">. </w:t>
            </w:r>
          </w:p>
          <w:p w14:paraId="4811C340" w14:textId="77777777" w:rsidR="009160B6" w:rsidRPr="00173BA7" w:rsidRDefault="009160B6" w:rsidP="00173BA7">
            <w:pPr>
              <w:rPr>
                <w:rFonts w:cstheme="minorHAnsi"/>
                <w:color w:val="242424"/>
                <w:shd w:val="clear" w:color="auto" w:fill="FFFFFF"/>
              </w:rPr>
            </w:pPr>
            <w:r w:rsidRPr="00BA51D8">
              <w:rPr>
                <w:rFonts w:cstheme="minorHAnsi"/>
              </w:rPr>
              <w:t xml:space="preserve">Projektodawca </w:t>
            </w:r>
            <w:r w:rsidRPr="00C31FED">
              <w:rPr>
                <w:rFonts w:cstheme="minorHAnsi"/>
                <w:color w:val="242424"/>
                <w:shd w:val="clear" w:color="auto" w:fill="FFFFFF"/>
              </w:rPr>
              <w:t>nie widzi potrzeby rozbudowywania przepis</w:t>
            </w:r>
            <w:r>
              <w:rPr>
                <w:rFonts w:cstheme="minorHAnsi"/>
                <w:color w:val="242424"/>
                <w:shd w:val="clear" w:color="auto" w:fill="FFFFFF"/>
              </w:rPr>
              <w:t xml:space="preserve">ów projektu rozporządzenia, z uwagi na realizację </w:t>
            </w:r>
            <w:r>
              <w:rPr>
                <w:rFonts w:cstheme="minorHAnsi"/>
                <w:color w:val="242424"/>
                <w:shd w:val="clear" w:color="auto" w:fill="FFFFFF"/>
              </w:rPr>
              <w:lastRenderedPageBreak/>
              <w:t xml:space="preserve">wymagań, </w:t>
            </w:r>
            <w:r w:rsidRPr="00C31FED">
              <w:rPr>
                <w:rFonts w:cstheme="minorHAnsi"/>
                <w:color w:val="242424"/>
                <w:shd w:val="clear" w:color="auto" w:fill="FFFFFF"/>
              </w:rPr>
              <w:t>które zostały określone w</w:t>
            </w:r>
            <w:r>
              <w:rPr>
                <w:rFonts w:cstheme="minorHAnsi"/>
                <w:color w:val="242424"/>
                <w:shd w:val="clear" w:color="auto" w:fill="FFFFFF"/>
              </w:rPr>
              <w:t xml:space="preserve"> art. 20</w:t>
            </w:r>
            <w:r w:rsidRPr="00C31FED">
              <w:rPr>
                <w:rFonts w:cstheme="minorHAnsi"/>
                <w:color w:val="242424"/>
                <w:shd w:val="clear" w:color="auto" w:fill="FFFFFF"/>
              </w:rPr>
              <w:t xml:space="preserve"> rozporządzeni</w:t>
            </w:r>
            <w:r>
              <w:rPr>
                <w:rFonts w:cstheme="minorHAnsi"/>
                <w:color w:val="242424"/>
                <w:shd w:val="clear" w:color="auto" w:fill="FFFFFF"/>
              </w:rPr>
              <w:t>a</w:t>
            </w:r>
            <w:r w:rsidRPr="00C31FED">
              <w:rPr>
                <w:rFonts w:cstheme="minorHAnsi"/>
                <w:color w:val="242424"/>
                <w:shd w:val="clear" w:color="auto" w:fill="FFFFFF"/>
              </w:rPr>
              <w:t xml:space="preserve"> Rady Ministrów w sprawie Krajowych Ram Interoperacyjności, minimalnych wymagań dla rejestrów publicznych i wymiany informacji w postaci elektronicznej oraz minimalnych wymagań dla systemów teleinformatycznych</w:t>
            </w:r>
            <w:r>
              <w:rPr>
                <w:rFonts w:cstheme="minorHAnsi"/>
                <w:color w:val="242424"/>
                <w:shd w:val="clear" w:color="auto" w:fill="FFFFFF"/>
              </w:rPr>
              <w:t xml:space="preserve">. </w:t>
            </w:r>
          </w:p>
        </w:tc>
      </w:tr>
      <w:tr w:rsidR="009160B6" w14:paraId="042CDA11" w14:textId="77777777" w:rsidTr="009160B6">
        <w:tc>
          <w:tcPr>
            <w:tcW w:w="611" w:type="dxa"/>
          </w:tcPr>
          <w:p w14:paraId="767930F0" w14:textId="77777777" w:rsidR="009160B6" w:rsidRDefault="009160B6" w:rsidP="00FA322C">
            <w:r>
              <w:lastRenderedPageBreak/>
              <w:t>5</w:t>
            </w:r>
          </w:p>
        </w:tc>
        <w:tc>
          <w:tcPr>
            <w:tcW w:w="1609" w:type="dxa"/>
          </w:tcPr>
          <w:p w14:paraId="22576A17" w14:textId="77777777" w:rsidR="009160B6" w:rsidRPr="0042015E" w:rsidRDefault="009160B6" w:rsidP="00FA322C">
            <w:pPr>
              <w:rPr>
                <w:rFonts w:ascii="Calibri" w:hAnsi="Calibri" w:cs="Calibri"/>
                <w:b/>
              </w:rPr>
            </w:pPr>
            <w:r>
              <w:rPr>
                <w:rFonts w:ascii="Calibri" w:hAnsi="Calibri" w:cs="Calibri"/>
                <w:b/>
              </w:rPr>
              <w:t>PUODO</w:t>
            </w:r>
          </w:p>
        </w:tc>
        <w:tc>
          <w:tcPr>
            <w:tcW w:w="1319" w:type="dxa"/>
          </w:tcPr>
          <w:p w14:paraId="0E8DB46C" w14:textId="77777777" w:rsidR="009160B6" w:rsidRPr="0042015E" w:rsidRDefault="009160B6" w:rsidP="00FA322C">
            <w:pPr>
              <w:rPr>
                <w:rFonts w:ascii="Calibri" w:hAnsi="Calibri" w:cs="Calibri"/>
              </w:rPr>
            </w:pPr>
          </w:p>
        </w:tc>
        <w:tc>
          <w:tcPr>
            <w:tcW w:w="6760" w:type="dxa"/>
          </w:tcPr>
          <w:p w14:paraId="6D4F5252" w14:textId="77777777" w:rsidR="009160B6" w:rsidRDefault="009160B6" w:rsidP="00FA322C">
            <w:pPr>
              <w:jc w:val="both"/>
              <w:rPr>
                <w:rFonts w:ascii="Calibri" w:hAnsi="Calibri" w:cs="Calibri"/>
              </w:rPr>
            </w:pPr>
            <w:r>
              <w:t>Organ nadzorczy wskazuje także, że przedmiotowy projekt nie zawiera rozwiązań dotyczących zasad usuwania danych osobowych z portalu gdy przestaną być niezbędne do celów, w których dane te są przetwarzane. Niezbędne jest więc zaplanowanie retencji przetwarzanych w tym portalu danych osobowych, uwzgledniającej ich kategorię i specyfikę oraz cele przetwarzania danych, tak by nie dochodziło do naruszenia zasady ograniczenia przechowania określonej w art 5 ust. 1 lit. e) rozporządzenia 2016/679</w:t>
            </w:r>
            <w:r>
              <w:rPr>
                <w:rStyle w:val="Odwoanieprzypisudolnego"/>
              </w:rPr>
              <w:footnoteReference w:id="8"/>
            </w:r>
            <w:r>
              <w:t xml:space="preserve">. </w:t>
            </w:r>
          </w:p>
        </w:tc>
        <w:tc>
          <w:tcPr>
            <w:tcW w:w="3730" w:type="dxa"/>
          </w:tcPr>
          <w:p w14:paraId="171611BF" w14:textId="77777777" w:rsidR="009160B6" w:rsidRDefault="009160B6" w:rsidP="009160B6">
            <w:pPr>
              <w:spacing w:after="60"/>
              <w:rPr>
                <w:rFonts w:eastAsia="Calibri" w:cstheme="minorHAnsi"/>
              </w:rPr>
            </w:pPr>
            <w:r w:rsidRPr="005425E7">
              <w:rPr>
                <w:rFonts w:eastAsia="Calibri" w:cstheme="minorHAnsi"/>
                <w:b/>
                <w:bCs/>
              </w:rPr>
              <w:t>Wyjaśnienie</w:t>
            </w:r>
            <w:r>
              <w:rPr>
                <w:rFonts w:eastAsia="Calibri" w:cstheme="minorHAnsi"/>
              </w:rPr>
              <w:t xml:space="preserve">. </w:t>
            </w:r>
          </w:p>
          <w:p w14:paraId="6698E632" w14:textId="1DEE11C1" w:rsidR="009160B6" w:rsidRDefault="009160B6" w:rsidP="007B4436">
            <w:r>
              <w:rPr>
                <w:rFonts w:eastAsia="Calibri" w:cstheme="minorHAnsi"/>
              </w:rPr>
              <w:t>Tematyka r</w:t>
            </w:r>
            <w:r w:rsidRPr="00CF6955">
              <w:rPr>
                <w:rFonts w:eastAsia="Calibri" w:cstheme="minorHAnsi"/>
              </w:rPr>
              <w:t>etencj</w:t>
            </w:r>
            <w:r>
              <w:rPr>
                <w:rFonts w:eastAsia="Calibri" w:cstheme="minorHAnsi"/>
              </w:rPr>
              <w:t xml:space="preserve">i przetwarzania w portalu </w:t>
            </w:r>
            <w:r w:rsidRPr="00CF6955">
              <w:rPr>
                <w:rFonts w:eastAsia="Calibri" w:cstheme="minorHAnsi"/>
              </w:rPr>
              <w:t>danych</w:t>
            </w:r>
            <w:r w:rsidR="00727DB5">
              <w:rPr>
                <w:rFonts w:eastAsia="Calibri" w:cstheme="minorHAnsi"/>
              </w:rPr>
              <w:t xml:space="preserve"> osobowych</w:t>
            </w:r>
            <w:r>
              <w:rPr>
                <w:rFonts w:eastAsia="Calibri" w:cstheme="minorHAnsi"/>
              </w:rPr>
              <w:t xml:space="preserve"> </w:t>
            </w:r>
            <w:r>
              <w:t>wykracza poza upoważnienie ustawowe do wydania aktu wykonawczego</w:t>
            </w:r>
            <w:r w:rsidR="00727DB5">
              <w:t>,</w:t>
            </w:r>
            <w:r>
              <w:t xml:space="preserve"> jakim jest niniejszy projekt rozporządzenia. </w:t>
            </w:r>
          </w:p>
          <w:p w14:paraId="3C9C173D" w14:textId="77777777" w:rsidR="00054870" w:rsidRPr="00054870" w:rsidRDefault="00054870" w:rsidP="007B4436"/>
          <w:p w14:paraId="12C3FF7B" w14:textId="77777777" w:rsidR="009160B6" w:rsidRPr="00EF45C7" w:rsidRDefault="009160B6" w:rsidP="00EF45C7">
            <w:r>
              <w:rPr>
                <w:rFonts w:eastAsia="Calibri" w:cstheme="minorHAnsi"/>
              </w:rPr>
              <w:t>Należy podkreślić również, iż mając na względzie specyfikę portalu z otwartymi danymi, dane historyczne mogą posiadać istotne znaczenie i posłużyć do pono</w:t>
            </w:r>
            <w:r w:rsidR="0062510A">
              <w:rPr>
                <w:rFonts w:eastAsia="Calibri" w:cstheme="minorHAnsi"/>
              </w:rPr>
              <w:t xml:space="preserve">wnego </w:t>
            </w:r>
            <w:r>
              <w:rPr>
                <w:rFonts w:eastAsia="Calibri" w:cstheme="minorHAnsi"/>
              </w:rPr>
              <w:t xml:space="preserve">wykorzystywana np. </w:t>
            </w:r>
            <w:r w:rsidR="0062510A">
              <w:rPr>
                <w:rFonts w:eastAsia="Calibri" w:cstheme="minorHAnsi"/>
              </w:rPr>
              <w:t>w pracach</w:t>
            </w:r>
            <w:r>
              <w:rPr>
                <w:rFonts w:eastAsia="Calibri" w:cstheme="minorHAnsi"/>
              </w:rPr>
              <w:t xml:space="preserve"> analitycznych. </w:t>
            </w:r>
          </w:p>
        </w:tc>
      </w:tr>
      <w:tr w:rsidR="006D43D1" w14:paraId="43B759F7" w14:textId="77777777" w:rsidTr="009160B6">
        <w:tc>
          <w:tcPr>
            <w:tcW w:w="611" w:type="dxa"/>
          </w:tcPr>
          <w:p w14:paraId="47B6837C" w14:textId="77777777" w:rsidR="006D43D1" w:rsidRDefault="00AE3B06" w:rsidP="006D43D1">
            <w:r>
              <w:t>6</w:t>
            </w:r>
          </w:p>
        </w:tc>
        <w:tc>
          <w:tcPr>
            <w:tcW w:w="1609" w:type="dxa"/>
          </w:tcPr>
          <w:p w14:paraId="3FDF0690" w14:textId="77777777" w:rsidR="006D43D1" w:rsidRDefault="006D43D1" w:rsidP="006D43D1">
            <w:pPr>
              <w:rPr>
                <w:rFonts w:ascii="Calibri" w:hAnsi="Calibri" w:cs="Calibri"/>
                <w:b/>
              </w:rPr>
            </w:pPr>
            <w:r w:rsidRPr="00143A7C">
              <w:rPr>
                <w:rFonts w:cstheme="minorHAnsi"/>
                <w:b/>
                <w:lang w:val="en-GB"/>
              </w:rPr>
              <w:t>KWRiST</w:t>
            </w:r>
          </w:p>
        </w:tc>
        <w:tc>
          <w:tcPr>
            <w:tcW w:w="1319" w:type="dxa"/>
          </w:tcPr>
          <w:p w14:paraId="6A0B85F8" w14:textId="77777777" w:rsidR="006D43D1" w:rsidRPr="0042015E" w:rsidRDefault="006D43D1" w:rsidP="006D43D1">
            <w:pPr>
              <w:rPr>
                <w:rFonts w:ascii="Calibri" w:hAnsi="Calibri" w:cs="Calibri"/>
              </w:rPr>
            </w:pPr>
            <w:r w:rsidRPr="00143A7C">
              <w:rPr>
                <w:rFonts w:cstheme="minorHAnsi"/>
              </w:rPr>
              <w:t>Uwaga ogólna</w:t>
            </w:r>
          </w:p>
        </w:tc>
        <w:tc>
          <w:tcPr>
            <w:tcW w:w="6760" w:type="dxa"/>
          </w:tcPr>
          <w:p w14:paraId="571F7C1F" w14:textId="77777777" w:rsidR="006D43D1" w:rsidRPr="00143A7C" w:rsidRDefault="006D43D1" w:rsidP="006D43D1">
            <w:pPr>
              <w:jc w:val="both"/>
              <w:rPr>
                <w:rFonts w:cstheme="minorHAnsi"/>
              </w:rPr>
            </w:pPr>
            <w:r w:rsidRPr="00143A7C">
              <w:rPr>
                <w:rFonts w:cstheme="minorHAnsi"/>
              </w:rPr>
              <w:t xml:space="preserve">Rozporządzanie powinno zawierać procesy weryfikacji danych dostawców danych zgłaszających się do rejestracji. Minister przed zarejestrowaniem </w:t>
            </w:r>
            <w:r w:rsidRPr="00143A7C">
              <w:rPr>
                <w:rFonts w:cstheme="minorHAnsi"/>
              </w:rPr>
              <w:lastRenderedPageBreak/>
              <w:t>dostawcy danych powinien mieć możliwość odmowy rejestracji danego dostawcy.</w:t>
            </w:r>
          </w:p>
          <w:p w14:paraId="6DE982DB" w14:textId="77777777" w:rsidR="006D43D1" w:rsidRPr="00143A7C" w:rsidRDefault="006D43D1" w:rsidP="006D43D1">
            <w:pPr>
              <w:jc w:val="both"/>
              <w:rPr>
                <w:rFonts w:cstheme="minorHAnsi"/>
              </w:rPr>
            </w:pPr>
          </w:p>
          <w:p w14:paraId="324E0458" w14:textId="77777777" w:rsidR="006D43D1" w:rsidRPr="00143A7C" w:rsidRDefault="006D43D1" w:rsidP="006D43D1">
            <w:pPr>
              <w:jc w:val="both"/>
              <w:rPr>
                <w:rFonts w:cstheme="minorHAnsi"/>
              </w:rPr>
            </w:pPr>
            <w:r w:rsidRPr="00143A7C">
              <w:rPr>
                <w:rFonts w:cstheme="minorHAnsi"/>
              </w:rPr>
              <w:t>Uzasadnienie:</w:t>
            </w:r>
          </w:p>
          <w:p w14:paraId="76097650" w14:textId="77777777" w:rsidR="006D43D1" w:rsidRDefault="006D43D1" w:rsidP="006D43D1">
            <w:pPr>
              <w:jc w:val="both"/>
            </w:pPr>
            <w:r w:rsidRPr="00143A7C">
              <w:rPr>
                <w:rFonts w:cstheme="minorHAnsi"/>
              </w:rPr>
              <w:t>Zaproponowane zapisy wskazują, że rejestracja dostawców danych odbywa się niejako automatycznie – na podstawie przesłanych danych zawartych w formularzu zgłoszeniowym. Biorąc pod uwagę procedury bezpieczeństwa portalu, jak i wiarygodności danych – dostawcami danych powinny być tylko realne i wiarygodne podmioty. Sugeruje się, aby użytkownicy, którym nadaje się uprawnienia dostawcy danych logowali się do portalu za pomocą Krajowego Węzła Identyfikacji</w:t>
            </w:r>
          </w:p>
        </w:tc>
        <w:tc>
          <w:tcPr>
            <w:tcW w:w="3730" w:type="dxa"/>
          </w:tcPr>
          <w:p w14:paraId="640CCCCD" w14:textId="77777777" w:rsidR="006D43D1" w:rsidRDefault="006D43D1" w:rsidP="006D43D1">
            <w:pPr>
              <w:spacing w:after="60"/>
              <w:rPr>
                <w:rFonts w:eastAsia="Calibri" w:cstheme="minorHAnsi"/>
              </w:rPr>
            </w:pPr>
            <w:r w:rsidRPr="00000E67">
              <w:rPr>
                <w:rFonts w:eastAsia="Calibri" w:cstheme="minorHAnsi"/>
                <w:b/>
                <w:bCs/>
              </w:rPr>
              <w:lastRenderedPageBreak/>
              <w:t>Wyjaśnienie</w:t>
            </w:r>
            <w:r>
              <w:rPr>
                <w:rFonts w:eastAsia="Calibri" w:cstheme="minorHAnsi"/>
              </w:rPr>
              <w:t xml:space="preserve">. </w:t>
            </w:r>
          </w:p>
          <w:p w14:paraId="5A19CA7C" w14:textId="77777777" w:rsidR="006D43D1" w:rsidRPr="00143A7C" w:rsidRDefault="006D43D1" w:rsidP="006D43D1">
            <w:pPr>
              <w:spacing w:after="60"/>
              <w:rPr>
                <w:rFonts w:eastAsia="Calibri" w:cstheme="minorHAnsi"/>
              </w:rPr>
            </w:pPr>
            <w:r w:rsidRPr="00143A7C">
              <w:rPr>
                <w:rFonts w:eastAsia="Calibri" w:cstheme="minorHAnsi"/>
              </w:rPr>
              <w:lastRenderedPageBreak/>
              <w:t xml:space="preserve">Zakres podmiotów zobowiązanych i mogących udostępniać swoje dane w portalu danych określa ustawa (art. 32 ust 2, 7 oraz art. 35). </w:t>
            </w:r>
          </w:p>
          <w:p w14:paraId="2A79D41C" w14:textId="77777777" w:rsidR="006D43D1" w:rsidRPr="00143A7C" w:rsidRDefault="006D43D1" w:rsidP="006D43D1">
            <w:pPr>
              <w:rPr>
                <w:rFonts w:eastAsia="Calibri" w:cstheme="minorHAnsi"/>
              </w:rPr>
            </w:pPr>
            <w:r w:rsidRPr="00143A7C">
              <w:rPr>
                <w:rFonts w:eastAsia="Calibri" w:cstheme="minorHAnsi"/>
              </w:rPr>
              <w:t xml:space="preserve">Ograniczenie możliwości zakładania profilu dostawcy, a docelowo udostępniania w portalu danych, wykraczałby poza upoważnienie ustawowe. </w:t>
            </w:r>
          </w:p>
          <w:p w14:paraId="1ECB0094" w14:textId="77777777" w:rsidR="006D43D1" w:rsidRPr="00143A7C" w:rsidRDefault="006D43D1" w:rsidP="006D43D1">
            <w:pPr>
              <w:rPr>
                <w:rFonts w:eastAsia="Calibri" w:cstheme="minorHAnsi"/>
                <w:highlight w:val="yellow"/>
              </w:rPr>
            </w:pPr>
          </w:p>
          <w:p w14:paraId="32AA20C1" w14:textId="131092F1" w:rsidR="006D43D1" w:rsidRPr="00054870" w:rsidRDefault="006D43D1" w:rsidP="00727DB5">
            <w:pPr>
              <w:rPr>
                <w:rFonts w:eastAsia="Calibri" w:cstheme="minorHAnsi"/>
              </w:rPr>
            </w:pPr>
            <w:r w:rsidRPr="005961C3">
              <w:rPr>
                <w:rFonts w:eastAsia="Calibri" w:cstheme="minorHAnsi"/>
              </w:rPr>
              <w:t xml:space="preserve">Wykorzystanie </w:t>
            </w:r>
            <w:r w:rsidR="00727DB5" w:rsidRPr="005961C3">
              <w:rPr>
                <w:rFonts w:eastAsia="Calibri" w:cstheme="minorHAnsi"/>
              </w:rPr>
              <w:t xml:space="preserve">węzła </w:t>
            </w:r>
            <w:r w:rsidRPr="005961C3">
              <w:rPr>
                <w:rFonts w:eastAsia="Calibri" w:cstheme="minorHAnsi"/>
              </w:rPr>
              <w:t>krajowego identyfikacji podczas logowania</w:t>
            </w:r>
            <w:r>
              <w:rPr>
                <w:rFonts w:eastAsia="Calibri" w:cstheme="minorHAnsi"/>
              </w:rPr>
              <w:t xml:space="preserve"> </w:t>
            </w:r>
            <w:r w:rsidRPr="005961C3">
              <w:rPr>
                <w:rFonts w:eastAsia="Calibri" w:cstheme="minorHAnsi"/>
              </w:rPr>
              <w:t>edytorów udostępniających dane w portalu jest ujęte w planach. Obecnie toczą się prace nad systemem zgodnie z harmonogramem rozwoju portalu.</w:t>
            </w:r>
            <w:r>
              <w:rPr>
                <w:rFonts w:eastAsia="Calibri" w:cstheme="minorHAnsi"/>
              </w:rPr>
              <w:t xml:space="preserve"> </w:t>
            </w:r>
          </w:p>
        </w:tc>
      </w:tr>
      <w:tr w:rsidR="006D43D1" w14:paraId="787AC3DA" w14:textId="77777777" w:rsidTr="009160B6">
        <w:tc>
          <w:tcPr>
            <w:tcW w:w="611" w:type="dxa"/>
          </w:tcPr>
          <w:p w14:paraId="6C032801" w14:textId="77777777" w:rsidR="006D43D1" w:rsidRDefault="006D43D1" w:rsidP="006D43D1">
            <w:r>
              <w:rPr>
                <w:rFonts w:cstheme="minorHAnsi"/>
              </w:rPr>
              <w:lastRenderedPageBreak/>
              <w:t>7</w:t>
            </w:r>
          </w:p>
        </w:tc>
        <w:tc>
          <w:tcPr>
            <w:tcW w:w="1609" w:type="dxa"/>
          </w:tcPr>
          <w:p w14:paraId="50228EF2" w14:textId="77777777" w:rsidR="006D43D1" w:rsidRDefault="006D43D1" w:rsidP="006D43D1">
            <w:pPr>
              <w:rPr>
                <w:rFonts w:ascii="Calibri" w:hAnsi="Calibri" w:cs="Calibri"/>
                <w:b/>
              </w:rPr>
            </w:pPr>
            <w:r w:rsidRPr="00143A7C">
              <w:rPr>
                <w:rFonts w:cstheme="minorHAnsi"/>
                <w:b/>
              </w:rPr>
              <w:t>NDAP</w:t>
            </w:r>
          </w:p>
        </w:tc>
        <w:tc>
          <w:tcPr>
            <w:tcW w:w="1319" w:type="dxa"/>
          </w:tcPr>
          <w:p w14:paraId="58D2B8FF" w14:textId="77777777" w:rsidR="006D43D1" w:rsidRPr="0042015E" w:rsidRDefault="006D43D1" w:rsidP="006D43D1">
            <w:pPr>
              <w:rPr>
                <w:rFonts w:ascii="Calibri" w:hAnsi="Calibri" w:cs="Calibri"/>
              </w:rPr>
            </w:pPr>
            <w:r w:rsidRPr="00143A7C">
              <w:rPr>
                <w:rFonts w:cstheme="minorHAnsi"/>
              </w:rPr>
              <w:t>§ 3 ust. 2</w:t>
            </w:r>
          </w:p>
        </w:tc>
        <w:tc>
          <w:tcPr>
            <w:tcW w:w="6760" w:type="dxa"/>
          </w:tcPr>
          <w:p w14:paraId="270FFBBC" w14:textId="77777777" w:rsidR="006D43D1" w:rsidRPr="00143A7C" w:rsidRDefault="006D43D1" w:rsidP="006D43D1">
            <w:pPr>
              <w:jc w:val="both"/>
              <w:rPr>
                <w:rFonts w:cstheme="minorHAnsi"/>
              </w:rPr>
            </w:pPr>
            <w:r w:rsidRPr="00143A7C">
              <w:rPr>
                <w:rFonts w:cstheme="minorHAnsi"/>
              </w:rPr>
              <w:t>Katalog czynności uznanych z przetwarzaniem danych wydaje się niepełny, brakuje m.in. zbierania, które pojawia się w Uzasadnieniu do rozporządzenia jako harvesting. Przenoszenie danych z portali specjalistycznych (patrz lp. 3 i 4) do portalu danych jest ich przetwarzaniem</w:t>
            </w:r>
          </w:p>
          <w:p w14:paraId="2B3920C2" w14:textId="77777777" w:rsidR="006D43D1" w:rsidRPr="00143A7C" w:rsidRDefault="006D43D1" w:rsidP="006D43D1">
            <w:pPr>
              <w:jc w:val="both"/>
              <w:rPr>
                <w:rFonts w:cstheme="minorHAnsi"/>
              </w:rPr>
            </w:pPr>
          </w:p>
          <w:p w14:paraId="49AA7490" w14:textId="77777777" w:rsidR="006D43D1" w:rsidRPr="00143A7C" w:rsidRDefault="006D43D1" w:rsidP="006D43D1">
            <w:pPr>
              <w:jc w:val="both"/>
              <w:rPr>
                <w:rFonts w:cstheme="minorHAnsi"/>
              </w:rPr>
            </w:pPr>
            <w:r w:rsidRPr="00143A7C">
              <w:rPr>
                <w:rFonts w:cstheme="minorHAnsi"/>
              </w:rPr>
              <w:t>Propozycja zmian zapisu:</w:t>
            </w:r>
          </w:p>
          <w:p w14:paraId="2B469A18" w14:textId="77777777" w:rsidR="006D43D1" w:rsidRDefault="006D43D1" w:rsidP="006D43D1">
            <w:pPr>
              <w:jc w:val="both"/>
            </w:pPr>
            <w:r w:rsidRPr="00143A7C">
              <w:rPr>
                <w:rFonts w:cstheme="minorHAnsi"/>
              </w:rPr>
              <w:t>Dobry katalog czynności zaliczanych do przetwarzania danych zawarty jest w art. 4 pkt 2 Rozporządzenia Parlamentu Europejskiego i Rady (UE) 2016/679 z dnia 27 kwietnia 2016 r. w sprawie ochrony osób fizycznych w związku z przetwarzaniem danych osobowych i w sprawie swobodnego przepływu takich danych</w:t>
            </w:r>
          </w:p>
        </w:tc>
        <w:tc>
          <w:tcPr>
            <w:tcW w:w="3730" w:type="dxa"/>
          </w:tcPr>
          <w:p w14:paraId="4E926621" w14:textId="08542E73" w:rsidR="006D43D1" w:rsidRPr="006C1EDB" w:rsidRDefault="006D43D1" w:rsidP="006D43D1">
            <w:pPr>
              <w:rPr>
                <w:rFonts w:eastAsia="Calibri" w:cstheme="minorHAnsi"/>
                <w:b/>
                <w:bCs/>
              </w:rPr>
            </w:pPr>
            <w:r w:rsidRPr="00F366FB">
              <w:rPr>
                <w:rFonts w:eastAsia="Calibri" w:cstheme="minorHAnsi"/>
                <w:b/>
                <w:bCs/>
              </w:rPr>
              <w:t xml:space="preserve">Uwaga </w:t>
            </w:r>
            <w:r w:rsidR="00DE49B8">
              <w:rPr>
                <w:rFonts w:eastAsia="Calibri" w:cstheme="minorHAnsi"/>
                <w:b/>
                <w:bCs/>
              </w:rPr>
              <w:t>nieuwzględniona</w:t>
            </w:r>
            <w:r w:rsidRPr="00F366FB">
              <w:rPr>
                <w:rFonts w:eastAsia="Calibri" w:cstheme="minorHAnsi"/>
                <w:b/>
                <w:bCs/>
              </w:rPr>
              <w:t>.</w:t>
            </w:r>
          </w:p>
          <w:p w14:paraId="6164F0E7" w14:textId="4B34504F" w:rsidR="006D43D1" w:rsidRPr="005425E7" w:rsidRDefault="006D43D1" w:rsidP="006D43D1">
            <w:pPr>
              <w:spacing w:after="60"/>
              <w:rPr>
                <w:rFonts w:eastAsia="Calibri" w:cstheme="minorHAnsi"/>
                <w:b/>
                <w:bCs/>
              </w:rPr>
            </w:pPr>
            <w:r w:rsidRPr="00143A7C">
              <w:rPr>
                <w:rFonts w:eastAsia="Calibri" w:cstheme="minorHAnsi"/>
              </w:rPr>
              <w:t>Tzw</w:t>
            </w:r>
            <w:r>
              <w:rPr>
                <w:rFonts w:eastAsia="Calibri" w:cstheme="minorHAnsi"/>
              </w:rPr>
              <w:t>.</w:t>
            </w:r>
            <w:r w:rsidRPr="00143A7C">
              <w:rPr>
                <w:rFonts w:eastAsia="Calibri" w:cstheme="minorHAnsi"/>
              </w:rPr>
              <w:t xml:space="preserve"> „zbieranie” </w:t>
            </w:r>
            <w:r>
              <w:rPr>
                <w:rFonts w:eastAsia="Calibri" w:cstheme="minorHAnsi"/>
              </w:rPr>
              <w:t>czyli</w:t>
            </w:r>
            <w:r w:rsidRPr="00143A7C">
              <w:rPr>
                <w:rFonts w:eastAsia="Calibri" w:cstheme="minorHAnsi"/>
              </w:rPr>
              <w:t xml:space="preserve"> harvest</w:t>
            </w:r>
            <w:r>
              <w:rPr>
                <w:rFonts w:eastAsia="Calibri" w:cstheme="minorHAnsi"/>
              </w:rPr>
              <w:t>r</w:t>
            </w:r>
            <w:r w:rsidRPr="00143A7C">
              <w:rPr>
                <w:rFonts w:eastAsia="Calibri" w:cstheme="minorHAnsi"/>
              </w:rPr>
              <w:t xml:space="preserve">owanie danych/metadanych jest ujęte </w:t>
            </w:r>
            <w:r>
              <w:rPr>
                <w:rFonts w:eastAsia="Calibri" w:cstheme="minorHAnsi"/>
              </w:rPr>
              <w:t xml:space="preserve">w </w:t>
            </w:r>
            <w:r w:rsidRPr="000A732F">
              <w:rPr>
                <w:rFonts w:eastAsia="Calibri" w:cstheme="minorHAnsi"/>
              </w:rPr>
              <w:t>pr. rozporządzenia jako czynność „pobierania” i został</w:t>
            </w:r>
            <w:r>
              <w:rPr>
                <w:rFonts w:eastAsia="Calibri" w:cstheme="minorHAnsi"/>
              </w:rPr>
              <w:t>a</w:t>
            </w:r>
            <w:r w:rsidRPr="000A732F">
              <w:rPr>
                <w:rFonts w:eastAsia="Calibri" w:cstheme="minorHAnsi"/>
              </w:rPr>
              <w:t xml:space="preserve"> uregulowan</w:t>
            </w:r>
            <w:r>
              <w:rPr>
                <w:rFonts w:eastAsia="Calibri" w:cstheme="minorHAnsi"/>
              </w:rPr>
              <w:t>a</w:t>
            </w:r>
            <w:r w:rsidRPr="000A732F">
              <w:rPr>
                <w:rFonts w:eastAsia="Calibri" w:cstheme="minorHAnsi"/>
              </w:rPr>
              <w:t xml:space="preserve"> w paragrafie 10 pkt 3.</w:t>
            </w:r>
            <w:r w:rsidRPr="00143A7C">
              <w:rPr>
                <w:rFonts w:eastAsia="Calibri" w:cstheme="minorHAnsi"/>
              </w:rPr>
              <w:t xml:space="preserve"> </w:t>
            </w:r>
          </w:p>
        </w:tc>
      </w:tr>
      <w:tr w:rsidR="006D43D1" w14:paraId="1EEC9E0A" w14:textId="77777777" w:rsidTr="009160B6">
        <w:tc>
          <w:tcPr>
            <w:tcW w:w="611" w:type="dxa"/>
          </w:tcPr>
          <w:p w14:paraId="18B87EA7" w14:textId="77777777" w:rsidR="006D43D1" w:rsidRDefault="006D43D1" w:rsidP="006D43D1">
            <w:pPr>
              <w:rPr>
                <w:rFonts w:cstheme="minorHAnsi"/>
              </w:rPr>
            </w:pPr>
            <w:r>
              <w:rPr>
                <w:rFonts w:cstheme="minorHAnsi"/>
              </w:rPr>
              <w:t>8</w:t>
            </w:r>
          </w:p>
        </w:tc>
        <w:tc>
          <w:tcPr>
            <w:tcW w:w="1609" w:type="dxa"/>
          </w:tcPr>
          <w:p w14:paraId="78DF9B44" w14:textId="77777777" w:rsidR="006D43D1" w:rsidRPr="00143A7C" w:rsidRDefault="006D43D1" w:rsidP="006D43D1">
            <w:pPr>
              <w:rPr>
                <w:rFonts w:cstheme="minorHAnsi"/>
                <w:b/>
              </w:rPr>
            </w:pPr>
            <w:r w:rsidRPr="00143A7C">
              <w:rPr>
                <w:rFonts w:cstheme="minorHAnsi"/>
                <w:b/>
              </w:rPr>
              <w:t>NDAP</w:t>
            </w:r>
          </w:p>
        </w:tc>
        <w:tc>
          <w:tcPr>
            <w:tcW w:w="1319" w:type="dxa"/>
          </w:tcPr>
          <w:p w14:paraId="35546E4C" w14:textId="77777777" w:rsidR="006D43D1" w:rsidRPr="00143A7C" w:rsidRDefault="006D43D1" w:rsidP="006D43D1">
            <w:pPr>
              <w:rPr>
                <w:rFonts w:cstheme="minorHAnsi"/>
              </w:rPr>
            </w:pPr>
            <w:r w:rsidRPr="00143A7C">
              <w:rPr>
                <w:rFonts w:cstheme="minorHAnsi"/>
              </w:rPr>
              <w:t>§ 8 ust. 1 pkt 1-3</w:t>
            </w:r>
          </w:p>
        </w:tc>
        <w:tc>
          <w:tcPr>
            <w:tcW w:w="6760" w:type="dxa"/>
          </w:tcPr>
          <w:p w14:paraId="03183759" w14:textId="77777777" w:rsidR="006D43D1" w:rsidRPr="00143A7C" w:rsidRDefault="006D43D1" w:rsidP="006D43D1">
            <w:pPr>
              <w:jc w:val="both"/>
              <w:rPr>
                <w:rFonts w:cstheme="minorHAnsi"/>
              </w:rPr>
            </w:pPr>
            <w:r w:rsidRPr="00143A7C">
              <w:rPr>
                <w:rFonts w:cstheme="minorHAnsi"/>
              </w:rPr>
              <w:t>Brakuje jasnego wskazania kto ma uzupełniać metadane portalu dotyczące danych</w:t>
            </w:r>
          </w:p>
          <w:p w14:paraId="53100DB9" w14:textId="77777777" w:rsidR="006D43D1" w:rsidRPr="00143A7C" w:rsidRDefault="006D43D1" w:rsidP="006D43D1">
            <w:pPr>
              <w:jc w:val="both"/>
              <w:rPr>
                <w:rFonts w:cstheme="minorHAnsi"/>
              </w:rPr>
            </w:pPr>
          </w:p>
          <w:p w14:paraId="29EB5B7C" w14:textId="77777777" w:rsidR="006D43D1" w:rsidRPr="00143A7C" w:rsidRDefault="006D43D1" w:rsidP="006D43D1">
            <w:pPr>
              <w:jc w:val="both"/>
              <w:rPr>
                <w:rFonts w:cstheme="minorHAnsi"/>
              </w:rPr>
            </w:pPr>
            <w:r w:rsidRPr="00143A7C">
              <w:rPr>
                <w:rFonts w:cstheme="minorHAnsi"/>
              </w:rPr>
              <w:t>Propozycja zmian zapisu:</w:t>
            </w:r>
          </w:p>
          <w:p w14:paraId="45217665" w14:textId="77777777" w:rsidR="006D43D1" w:rsidRPr="00143A7C" w:rsidRDefault="006D43D1" w:rsidP="006D43D1">
            <w:pPr>
              <w:jc w:val="both"/>
              <w:rPr>
                <w:rFonts w:cstheme="minorHAnsi"/>
              </w:rPr>
            </w:pPr>
            <w:r w:rsidRPr="00143A7C">
              <w:rPr>
                <w:rFonts w:cstheme="minorHAnsi"/>
              </w:rPr>
              <w:lastRenderedPageBreak/>
              <w:t>Należy wskazać czy te metadane uzupełnia dostawca czy są uzupełnianie automatycznie przez portal</w:t>
            </w:r>
          </w:p>
        </w:tc>
        <w:tc>
          <w:tcPr>
            <w:tcW w:w="3730" w:type="dxa"/>
          </w:tcPr>
          <w:p w14:paraId="2FC7CC12" w14:textId="77777777" w:rsidR="006D43D1" w:rsidRPr="00F366FB" w:rsidRDefault="006D43D1" w:rsidP="006D43D1">
            <w:pPr>
              <w:rPr>
                <w:rFonts w:eastAsia="Calibri" w:cstheme="minorHAnsi"/>
                <w:b/>
                <w:bCs/>
              </w:rPr>
            </w:pPr>
            <w:r w:rsidRPr="00CF2B38">
              <w:rPr>
                <w:rFonts w:eastAsia="Calibri" w:cstheme="minorHAnsi"/>
                <w:b/>
                <w:bCs/>
              </w:rPr>
              <w:lastRenderedPageBreak/>
              <w:t>Uwaga</w:t>
            </w:r>
            <w:r w:rsidRPr="00143A7C">
              <w:rPr>
                <w:rFonts w:eastAsia="Calibri" w:cstheme="minorHAnsi"/>
              </w:rPr>
              <w:t xml:space="preserve"> </w:t>
            </w:r>
            <w:r w:rsidRPr="00CF2B38">
              <w:rPr>
                <w:rFonts w:eastAsia="Calibri" w:cstheme="minorHAnsi"/>
                <w:b/>
                <w:bCs/>
              </w:rPr>
              <w:t>uwzględniona</w:t>
            </w:r>
            <w:r>
              <w:rPr>
                <w:rFonts w:eastAsia="Calibri" w:cstheme="minorHAnsi"/>
                <w:b/>
                <w:bCs/>
              </w:rPr>
              <w:t xml:space="preserve">. </w:t>
            </w:r>
          </w:p>
        </w:tc>
      </w:tr>
      <w:tr w:rsidR="006D43D1" w14:paraId="0ACECB3F" w14:textId="77777777" w:rsidTr="009160B6">
        <w:tc>
          <w:tcPr>
            <w:tcW w:w="611" w:type="dxa"/>
          </w:tcPr>
          <w:p w14:paraId="7677B4C1" w14:textId="77777777" w:rsidR="006D43D1" w:rsidRDefault="006D43D1" w:rsidP="006D43D1">
            <w:pPr>
              <w:rPr>
                <w:rFonts w:cstheme="minorHAnsi"/>
              </w:rPr>
            </w:pPr>
            <w:r>
              <w:rPr>
                <w:rFonts w:cstheme="minorHAnsi"/>
              </w:rPr>
              <w:t>9</w:t>
            </w:r>
          </w:p>
        </w:tc>
        <w:tc>
          <w:tcPr>
            <w:tcW w:w="1609" w:type="dxa"/>
          </w:tcPr>
          <w:p w14:paraId="695E491F" w14:textId="77777777" w:rsidR="006D43D1" w:rsidRPr="00143A7C" w:rsidRDefault="006D43D1" w:rsidP="006D43D1">
            <w:pPr>
              <w:rPr>
                <w:rFonts w:cstheme="minorHAnsi"/>
                <w:b/>
              </w:rPr>
            </w:pPr>
            <w:r w:rsidRPr="00143A7C">
              <w:rPr>
                <w:rFonts w:cstheme="minorHAnsi"/>
                <w:b/>
              </w:rPr>
              <w:t>NDAP</w:t>
            </w:r>
          </w:p>
        </w:tc>
        <w:tc>
          <w:tcPr>
            <w:tcW w:w="1319" w:type="dxa"/>
          </w:tcPr>
          <w:p w14:paraId="61281196" w14:textId="77777777" w:rsidR="006D43D1" w:rsidRPr="00143A7C" w:rsidRDefault="006D43D1" w:rsidP="006D43D1">
            <w:pPr>
              <w:rPr>
                <w:rFonts w:cstheme="minorHAnsi"/>
              </w:rPr>
            </w:pPr>
            <w:r w:rsidRPr="00143A7C">
              <w:rPr>
                <w:rFonts w:cstheme="minorHAnsi"/>
              </w:rPr>
              <w:t>§ 9</w:t>
            </w:r>
          </w:p>
        </w:tc>
        <w:tc>
          <w:tcPr>
            <w:tcW w:w="6760" w:type="dxa"/>
          </w:tcPr>
          <w:p w14:paraId="593793D6" w14:textId="77777777" w:rsidR="006D43D1" w:rsidRPr="00143A7C" w:rsidRDefault="006D43D1" w:rsidP="006D43D1">
            <w:pPr>
              <w:jc w:val="both"/>
              <w:rPr>
                <w:rFonts w:cstheme="minorHAnsi"/>
              </w:rPr>
            </w:pPr>
            <w:r w:rsidRPr="00143A7C">
              <w:rPr>
                <w:rFonts w:cstheme="minorHAnsi"/>
              </w:rPr>
              <w:t>Przenoszenie danych ze specjalistycznych portali (np. ZoSIA/szukajwarchiwach.gov.pl) będzie wymagać odpowiedniego przygotowania i zmapowania danych, aby zostały one właściwie przeniesione bez strat dla ich kontekstu.</w:t>
            </w:r>
          </w:p>
          <w:p w14:paraId="442F6B9B" w14:textId="77777777" w:rsidR="006D43D1" w:rsidRPr="00143A7C" w:rsidRDefault="006D43D1" w:rsidP="006D43D1">
            <w:pPr>
              <w:jc w:val="both"/>
              <w:rPr>
                <w:rFonts w:cstheme="minorHAnsi"/>
              </w:rPr>
            </w:pPr>
          </w:p>
          <w:p w14:paraId="6A40049B" w14:textId="77777777" w:rsidR="006D43D1" w:rsidRPr="00143A7C" w:rsidRDefault="006D43D1" w:rsidP="006D43D1">
            <w:pPr>
              <w:jc w:val="both"/>
              <w:rPr>
                <w:rFonts w:cstheme="minorHAnsi"/>
              </w:rPr>
            </w:pPr>
            <w:r w:rsidRPr="00143A7C">
              <w:rPr>
                <w:rFonts w:cstheme="minorHAnsi"/>
              </w:rPr>
              <w:t>Propozycja zmian zapisu:</w:t>
            </w:r>
          </w:p>
          <w:p w14:paraId="34FD8C58" w14:textId="77777777" w:rsidR="006D43D1" w:rsidRPr="00143A7C" w:rsidRDefault="006D43D1" w:rsidP="006D43D1">
            <w:pPr>
              <w:jc w:val="both"/>
              <w:rPr>
                <w:rFonts w:cstheme="minorHAnsi"/>
              </w:rPr>
            </w:pPr>
            <w:r w:rsidRPr="00143A7C">
              <w:rPr>
                <w:rFonts w:cstheme="minorHAnsi"/>
              </w:rPr>
              <w:t>Warto byłoby zobligować właścicieli serwisów teleinformatycznych lub portali do udostępnienia API lub innej metody pozwalającej na migrację danych do portalu danych</w:t>
            </w:r>
          </w:p>
        </w:tc>
        <w:tc>
          <w:tcPr>
            <w:tcW w:w="3730" w:type="dxa"/>
          </w:tcPr>
          <w:p w14:paraId="7DFDE43B" w14:textId="77777777" w:rsidR="006D43D1" w:rsidRPr="00143A7C" w:rsidRDefault="006D43D1" w:rsidP="006D43D1">
            <w:pPr>
              <w:rPr>
                <w:rFonts w:eastAsia="Calibri" w:cstheme="minorHAnsi"/>
              </w:rPr>
            </w:pPr>
            <w:r w:rsidRPr="00143A7C">
              <w:rPr>
                <w:rFonts w:eastAsia="Calibri" w:cstheme="minorHAnsi"/>
                <w:b/>
                <w:bCs/>
              </w:rPr>
              <w:t>Wyjaśnienie</w:t>
            </w:r>
            <w:r w:rsidRPr="00143A7C">
              <w:rPr>
                <w:rFonts w:eastAsia="Calibri" w:cstheme="minorHAnsi"/>
              </w:rPr>
              <w:t>.</w:t>
            </w:r>
          </w:p>
          <w:p w14:paraId="1029AA97" w14:textId="77777777" w:rsidR="006D43D1" w:rsidRPr="00143A7C" w:rsidRDefault="006D43D1" w:rsidP="006D43D1">
            <w:pPr>
              <w:rPr>
                <w:rFonts w:cstheme="minorHAnsi"/>
                <w:lang w:val="cs-CZ" w:eastAsia="ja-JP"/>
              </w:rPr>
            </w:pPr>
            <w:r w:rsidRPr="00143A7C">
              <w:rPr>
                <w:rFonts w:cstheme="minorHAnsi"/>
                <w:lang w:val="cs-CZ" w:eastAsia="ja-JP"/>
              </w:rPr>
              <w:t xml:space="preserve">Ustawa z dnia 11 sierpnia 2021 r. o otwartych danych i ponownym wykorzystywaniu informacji sektora publicznego (art. 32 ust 3 pkt 2), umożliwia przekazywanie przez dostawców do portalu wyłącznie metadanych ‒ w przypadku kiedy </w:t>
            </w:r>
            <w:r w:rsidRPr="00143A7C">
              <w:rPr>
                <w:rFonts w:cstheme="minorHAnsi"/>
                <w:lang w:eastAsia="ja-JP"/>
              </w:rPr>
              <w:t>dane</w:t>
            </w:r>
            <w:r w:rsidRPr="00143A7C">
              <w:rPr>
                <w:rFonts w:cstheme="minorHAnsi"/>
                <w:lang w:val="cs-CZ" w:eastAsia="ja-JP"/>
              </w:rPr>
              <w:t xml:space="preserve"> są umieszczane przez podmioty w zewnętrznych, powszechnie dostępnych systemach teleinformatycznych, </w:t>
            </w:r>
            <w:r w:rsidRPr="00143A7C">
              <w:rPr>
                <w:rFonts w:cstheme="minorHAnsi"/>
                <w:color w:val="333333"/>
                <w:u w:val="single"/>
                <w:shd w:val="clear" w:color="auto" w:fill="FFFFFF"/>
              </w:rPr>
              <w:t>w szczególności umożliwiającym zastosowanie API</w:t>
            </w:r>
            <w:r w:rsidRPr="00143A7C">
              <w:rPr>
                <w:rFonts w:cstheme="minorHAnsi"/>
                <w:lang w:val="cs-CZ" w:eastAsia="ja-JP"/>
              </w:rPr>
              <w:t>. W związku z tym oraz mając na względzie automatyzację procesów, portal dane.gov.pl umożliwi automatycznie pobieranie metadanych z portali i udostępnianie ich w swoim systemie.</w:t>
            </w:r>
          </w:p>
          <w:p w14:paraId="29821FC6" w14:textId="77777777" w:rsidR="006D43D1" w:rsidRPr="00143A7C" w:rsidRDefault="006D43D1" w:rsidP="006D43D1">
            <w:pPr>
              <w:rPr>
                <w:rFonts w:eastAsia="Calibri" w:cstheme="minorHAnsi"/>
                <w:lang w:val="cs-CZ" w:eastAsia="ja-JP"/>
              </w:rPr>
            </w:pPr>
          </w:p>
          <w:p w14:paraId="0009BC43" w14:textId="1E3A5BC8" w:rsidR="006D43D1" w:rsidRPr="00143A7C" w:rsidRDefault="006D43D1" w:rsidP="006D43D1">
            <w:pPr>
              <w:rPr>
                <w:rFonts w:eastAsia="Calibri" w:cstheme="minorHAnsi"/>
              </w:rPr>
            </w:pPr>
            <w:r w:rsidRPr="00143A7C">
              <w:rPr>
                <w:rFonts w:eastAsia="Calibri" w:cstheme="minorHAnsi"/>
              </w:rPr>
              <w:t xml:space="preserve">Zobligowanie </w:t>
            </w:r>
            <w:r w:rsidRPr="00143A7C">
              <w:rPr>
                <w:rFonts w:cstheme="minorHAnsi"/>
              </w:rPr>
              <w:t xml:space="preserve">właścicieli serwisów teleinformatycznych lub portali do udostępnienia API lub innej </w:t>
            </w:r>
            <w:r w:rsidRPr="00917F52">
              <w:rPr>
                <w:rFonts w:cstheme="minorHAnsi"/>
              </w:rPr>
              <w:t>metody pozwalającej na</w:t>
            </w:r>
            <w:r w:rsidRPr="00917F52">
              <w:rPr>
                <w:rFonts w:cstheme="minorHAnsi"/>
                <w:strike/>
              </w:rPr>
              <w:t xml:space="preserve"> </w:t>
            </w:r>
            <w:r w:rsidRPr="00917F52">
              <w:rPr>
                <w:rFonts w:cstheme="minorHAnsi"/>
              </w:rPr>
              <w:t>przekazywanie metadanych do portalu danych byłoby</w:t>
            </w:r>
            <w:r w:rsidRPr="00143A7C">
              <w:rPr>
                <w:rFonts w:cstheme="minorHAnsi"/>
              </w:rPr>
              <w:t xml:space="preserve"> wykroczeniem poza upoważnienie ustawow</w:t>
            </w:r>
            <w:r>
              <w:rPr>
                <w:rFonts w:cstheme="minorHAnsi"/>
              </w:rPr>
              <w:t>e</w:t>
            </w:r>
            <w:r w:rsidRPr="00143A7C">
              <w:rPr>
                <w:rFonts w:cstheme="minorHAnsi"/>
              </w:rPr>
              <w:t xml:space="preserve">. </w:t>
            </w:r>
          </w:p>
          <w:p w14:paraId="1087F4D7" w14:textId="77777777" w:rsidR="006D43D1" w:rsidRPr="00143A7C" w:rsidRDefault="006D43D1" w:rsidP="006D43D1">
            <w:pPr>
              <w:rPr>
                <w:rFonts w:eastAsia="Calibri" w:cstheme="minorHAnsi"/>
              </w:rPr>
            </w:pPr>
          </w:p>
          <w:p w14:paraId="4AC88CCF" w14:textId="77777777" w:rsidR="006D43D1" w:rsidRPr="00F366FB" w:rsidRDefault="006D43D1" w:rsidP="006D43D1">
            <w:pPr>
              <w:rPr>
                <w:rFonts w:eastAsia="Calibri" w:cstheme="minorHAnsi"/>
                <w:b/>
                <w:bCs/>
              </w:rPr>
            </w:pPr>
            <w:r>
              <w:rPr>
                <w:rFonts w:eastAsia="Calibri" w:cstheme="minorHAnsi"/>
              </w:rPr>
              <w:t>Na marginesie, w</w:t>
            </w:r>
            <w:r w:rsidRPr="00143A7C">
              <w:rPr>
                <w:rFonts w:eastAsia="Calibri" w:cstheme="minorHAnsi"/>
              </w:rPr>
              <w:t xml:space="preserve"> przypadku harvestovania metadanych z innych systemów teleinformatycznych, następuje wyłącznie kopiowanie </w:t>
            </w:r>
            <w:r w:rsidRPr="00143A7C">
              <w:rPr>
                <w:rFonts w:eastAsia="Calibri" w:cstheme="minorHAnsi"/>
              </w:rPr>
              <w:lastRenderedPageBreak/>
              <w:t>metadanych</w:t>
            </w:r>
            <w:r w:rsidR="0062510A">
              <w:rPr>
                <w:rFonts w:eastAsia="Calibri" w:cstheme="minorHAnsi"/>
              </w:rPr>
              <w:t>,</w:t>
            </w:r>
            <w:r w:rsidRPr="00143A7C">
              <w:rPr>
                <w:rFonts w:eastAsia="Calibri" w:cstheme="minorHAnsi"/>
              </w:rPr>
              <w:t xml:space="preserve"> a nie przenoszenie danych z lokalnych repozytoriów do portalu dane.gov.pl. </w:t>
            </w:r>
          </w:p>
        </w:tc>
      </w:tr>
      <w:tr w:rsidR="006D43D1" w14:paraId="04801F44" w14:textId="77777777" w:rsidTr="009160B6">
        <w:tc>
          <w:tcPr>
            <w:tcW w:w="611" w:type="dxa"/>
          </w:tcPr>
          <w:p w14:paraId="3A57DC52" w14:textId="77777777" w:rsidR="006D43D1" w:rsidRDefault="00AE3B06" w:rsidP="006D43D1">
            <w:pPr>
              <w:rPr>
                <w:rFonts w:cstheme="minorHAnsi"/>
              </w:rPr>
            </w:pPr>
            <w:r>
              <w:rPr>
                <w:rFonts w:cstheme="minorHAnsi"/>
              </w:rPr>
              <w:lastRenderedPageBreak/>
              <w:t>10</w:t>
            </w:r>
          </w:p>
        </w:tc>
        <w:tc>
          <w:tcPr>
            <w:tcW w:w="1609" w:type="dxa"/>
          </w:tcPr>
          <w:p w14:paraId="57AC049D" w14:textId="77777777" w:rsidR="006D43D1" w:rsidRPr="00143A7C" w:rsidRDefault="006D43D1" w:rsidP="006D43D1">
            <w:pPr>
              <w:rPr>
                <w:rFonts w:cstheme="minorHAnsi"/>
                <w:b/>
              </w:rPr>
            </w:pPr>
            <w:r w:rsidRPr="00143A7C">
              <w:rPr>
                <w:rFonts w:cstheme="minorHAnsi"/>
                <w:b/>
              </w:rPr>
              <w:t>NDAP</w:t>
            </w:r>
          </w:p>
        </w:tc>
        <w:tc>
          <w:tcPr>
            <w:tcW w:w="1319" w:type="dxa"/>
          </w:tcPr>
          <w:p w14:paraId="7D39D82B" w14:textId="77777777" w:rsidR="006D43D1" w:rsidRPr="00143A7C" w:rsidRDefault="006D43D1" w:rsidP="006D43D1">
            <w:pPr>
              <w:rPr>
                <w:rFonts w:cstheme="minorHAnsi"/>
              </w:rPr>
            </w:pPr>
            <w:r w:rsidRPr="00143A7C">
              <w:rPr>
                <w:rFonts w:cstheme="minorHAnsi"/>
              </w:rPr>
              <w:t>§ 9</w:t>
            </w:r>
          </w:p>
        </w:tc>
        <w:tc>
          <w:tcPr>
            <w:tcW w:w="6760" w:type="dxa"/>
          </w:tcPr>
          <w:p w14:paraId="2F26E15C" w14:textId="77777777" w:rsidR="006D43D1" w:rsidRPr="00143A7C" w:rsidRDefault="006D43D1" w:rsidP="006D43D1">
            <w:pPr>
              <w:jc w:val="both"/>
              <w:rPr>
                <w:rFonts w:cstheme="minorHAnsi"/>
              </w:rPr>
            </w:pPr>
            <w:r w:rsidRPr="00143A7C">
              <w:rPr>
                <w:rFonts w:cstheme="minorHAnsi"/>
              </w:rPr>
              <w:t>Np. w przypadku Archiwów Państwowych będzie trzeba ustalić, w jaki sposób udostępnić dane z systemów ZoSIA lub NIKA</w:t>
            </w:r>
          </w:p>
          <w:p w14:paraId="01A04418" w14:textId="77777777" w:rsidR="006D43D1" w:rsidRPr="00143A7C" w:rsidRDefault="006D43D1" w:rsidP="006D43D1">
            <w:pPr>
              <w:jc w:val="both"/>
              <w:rPr>
                <w:rFonts w:cstheme="minorHAnsi"/>
              </w:rPr>
            </w:pPr>
          </w:p>
          <w:p w14:paraId="7C60ECA3" w14:textId="77777777" w:rsidR="006D43D1" w:rsidRPr="00143A7C" w:rsidRDefault="006D43D1" w:rsidP="006D43D1">
            <w:pPr>
              <w:jc w:val="both"/>
              <w:rPr>
                <w:rFonts w:cstheme="minorHAnsi"/>
              </w:rPr>
            </w:pPr>
            <w:r w:rsidRPr="00143A7C">
              <w:rPr>
                <w:rFonts w:cstheme="minorHAnsi"/>
              </w:rPr>
              <w:t>Propozycja zmian zapisu:</w:t>
            </w:r>
          </w:p>
          <w:p w14:paraId="2D631198" w14:textId="77777777" w:rsidR="006D43D1" w:rsidRPr="00143A7C" w:rsidRDefault="006D43D1" w:rsidP="006D43D1">
            <w:pPr>
              <w:jc w:val="both"/>
              <w:rPr>
                <w:rFonts w:cstheme="minorHAnsi"/>
              </w:rPr>
            </w:pPr>
            <w:r w:rsidRPr="005D2BE8">
              <w:rPr>
                <w:rFonts w:cstheme="minorHAnsi"/>
                <w:b/>
                <w:bCs/>
              </w:rPr>
              <w:t>Warto byłoby zamieścić zapisy dotyczące konieczności ustalenia sposobu przekazania danych z portali specjalistycznych do portalu danych pomiędzy administratorem portalu a dostawcą</w:t>
            </w:r>
            <w:r w:rsidRPr="00143A7C">
              <w:rPr>
                <w:rFonts w:cstheme="minorHAnsi"/>
              </w:rPr>
              <w:t xml:space="preserve"> (w tym mapowanie danych i metadanych, częstotliwość aktualizacji itp.)</w:t>
            </w:r>
          </w:p>
        </w:tc>
        <w:tc>
          <w:tcPr>
            <w:tcW w:w="3730" w:type="dxa"/>
          </w:tcPr>
          <w:p w14:paraId="4CA6B448" w14:textId="77777777" w:rsidR="006D43D1" w:rsidRPr="0062510A" w:rsidRDefault="006D43D1" w:rsidP="006D43D1">
            <w:pPr>
              <w:rPr>
                <w:rFonts w:eastAsia="Calibri" w:cstheme="minorHAnsi"/>
                <w:b/>
                <w:bCs/>
              </w:rPr>
            </w:pPr>
            <w:r w:rsidRPr="00143A7C">
              <w:rPr>
                <w:rFonts w:eastAsia="Calibri" w:cstheme="minorHAnsi"/>
                <w:b/>
                <w:bCs/>
              </w:rPr>
              <w:t xml:space="preserve">Wyjaśnienie j. w. </w:t>
            </w:r>
          </w:p>
          <w:p w14:paraId="325F139C" w14:textId="69F78FEF" w:rsidR="006D43D1" w:rsidRPr="00054870" w:rsidRDefault="006D43D1" w:rsidP="006D43D1">
            <w:pPr>
              <w:rPr>
                <w:rFonts w:eastAsia="Calibri" w:cstheme="minorHAnsi"/>
              </w:rPr>
            </w:pPr>
            <w:r>
              <w:rPr>
                <w:rFonts w:eastAsia="Calibri" w:cstheme="minorHAnsi"/>
              </w:rPr>
              <w:t>Ponadto</w:t>
            </w:r>
            <w:r w:rsidR="00054870">
              <w:rPr>
                <w:rFonts w:eastAsia="Calibri" w:cstheme="minorHAnsi"/>
              </w:rPr>
              <w:t xml:space="preserve"> z</w:t>
            </w:r>
            <w:r w:rsidRPr="00143A7C">
              <w:rPr>
                <w:rFonts w:eastAsia="Calibri" w:cstheme="minorHAnsi"/>
              </w:rPr>
              <w:t xml:space="preserve">e względu na różną specyfikę portali z otwartymi danymi, </w:t>
            </w:r>
            <w:r w:rsidR="00054870">
              <w:rPr>
                <w:rFonts w:eastAsia="Calibri" w:cstheme="minorHAnsi"/>
              </w:rPr>
              <w:t xml:space="preserve">nie ma potrzeby regulowania w przepisach prawa zasad udostępniania danych </w:t>
            </w:r>
            <w:r w:rsidR="00054870" w:rsidRPr="00A71796">
              <w:rPr>
                <w:rFonts w:cstheme="minorHAnsi"/>
              </w:rPr>
              <w:t>z portali specjalistycznych</w:t>
            </w:r>
            <w:r w:rsidR="00054870">
              <w:rPr>
                <w:rFonts w:cstheme="minorHAnsi"/>
              </w:rPr>
              <w:t>. Procedury dot.</w:t>
            </w:r>
            <w:r w:rsidRPr="00143A7C">
              <w:rPr>
                <w:rFonts w:eastAsia="Calibri" w:cstheme="minorHAnsi"/>
              </w:rPr>
              <w:t xml:space="preserve"> harvest</w:t>
            </w:r>
            <w:r w:rsidR="00054870">
              <w:rPr>
                <w:rFonts w:eastAsia="Calibri" w:cstheme="minorHAnsi"/>
              </w:rPr>
              <w:t>r</w:t>
            </w:r>
            <w:r w:rsidRPr="00143A7C">
              <w:rPr>
                <w:rFonts w:eastAsia="Calibri" w:cstheme="minorHAnsi"/>
              </w:rPr>
              <w:t>owania danych z zewnętrznych portali</w:t>
            </w:r>
            <w:r>
              <w:rPr>
                <w:rFonts w:eastAsia="Calibri" w:cstheme="minorHAnsi"/>
              </w:rPr>
              <w:t xml:space="preserve"> do portalu dane.gov.pl</w:t>
            </w:r>
            <w:r w:rsidRPr="00143A7C">
              <w:rPr>
                <w:rFonts w:eastAsia="Calibri" w:cstheme="minorHAnsi"/>
              </w:rPr>
              <w:t xml:space="preserve"> są każdorazowo konsultowane z ich administratorami</w:t>
            </w:r>
            <w:r>
              <w:rPr>
                <w:rFonts w:eastAsia="Calibri" w:cstheme="minorHAnsi"/>
              </w:rPr>
              <w:t xml:space="preserve">. </w:t>
            </w:r>
          </w:p>
        </w:tc>
      </w:tr>
      <w:tr w:rsidR="006D43D1" w14:paraId="47C3F462" w14:textId="77777777" w:rsidTr="009160B6">
        <w:tc>
          <w:tcPr>
            <w:tcW w:w="611" w:type="dxa"/>
          </w:tcPr>
          <w:p w14:paraId="423C3424" w14:textId="77777777" w:rsidR="006D43D1" w:rsidRDefault="00AE3B06" w:rsidP="006D43D1">
            <w:pPr>
              <w:rPr>
                <w:rFonts w:cstheme="minorHAnsi"/>
              </w:rPr>
            </w:pPr>
            <w:r>
              <w:rPr>
                <w:rFonts w:cstheme="minorHAnsi"/>
              </w:rPr>
              <w:t>1</w:t>
            </w:r>
            <w:r w:rsidR="006D43D1">
              <w:rPr>
                <w:rFonts w:cstheme="minorHAnsi"/>
              </w:rPr>
              <w:t>1</w:t>
            </w:r>
          </w:p>
        </w:tc>
        <w:tc>
          <w:tcPr>
            <w:tcW w:w="1609" w:type="dxa"/>
          </w:tcPr>
          <w:p w14:paraId="1AA92B03" w14:textId="77777777" w:rsidR="006D43D1" w:rsidRPr="00143A7C" w:rsidRDefault="006D43D1" w:rsidP="006D43D1">
            <w:pPr>
              <w:rPr>
                <w:rFonts w:cstheme="minorHAnsi"/>
                <w:b/>
              </w:rPr>
            </w:pPr>
            <w:r w:rsidRPr="00143A7C">
              <w:rPr>
                <w:rFonts w:cstheme="minorHAnsi"/>
                <w:b/>
              </w:rPr>
              <w:t>NDAP</w:t>
            </w:r>
          </w:p>
        </w:tc>
        <w:tc>
          <w:tcPr>
            <w:tcW w:w="1319" w:type="dxa"/>
          </w:tcPr>
          <w:p w14:paraId="66E3D513" w14:textId="77777777" w:rsidR="006D43D1" w:rsidRPr="00143A7C" w:rsidRDefault="006D43D1" w:rsidP="006D43D1">
            <w:pPr>
              <w:rPr>
                <w:rFonts w:cstheme="minorHAnsi"/>
              </w:rPr>
            </w:pPr>
            <w:r w:rsidRPr="00143A7C">
              <w:rPr>
                <w:rFonts w:cstheme="minorHAnsi"/>
              </w:rPr>
              <w:t>§ 2 pkt 2</w:t>
            </w:r>
          </w:p>
        </w:tc>
        <w:tc>
          <w:tcPr>
            <w:tcW w:w="6760" w:type="dxa"/>
          </w:tcPr>
          <w:p w14:paraId="4D722294" w14:textId="77777777" w:rsidR="006D43D1" w:rsidRPr="00143A7C" w:rsidRDefault="006D43D1" w:rsidP="006D43D1">
            <w:pPr>
              <w:jc w:val="both"/>
              <w:rPr>
                <w:rFonts w:cstheme="minorHAnsi"/>
              </w:rPr>
            </w:pPr>
            <w:r w:rsidRPr="00143A7C">
              <w:rPr>
                <w:rFonts w:cstheme="minorHAnsi"/>
              </w:rPr>
              <w:t>W przypadków instytucji tworzących sieć (np. Archiwa Państwowe) dostawcą będzie organ nadzorujący czy poszczególne podmioty wchodzące w skład sieci?</w:t>
            </w:r>
          </w:p>
          <w:p w14:paraId="2EA55817" w14:textId="77777777" w:rsidR="006D43D1" w:rsidRPr="00143A7C" w:rsidRDefault="006D43D1" w:rsidP="006D43D1">
            <w:pPr>
              <w:jc w:val="both"/>
              <w:rPr>
                <w:rFonts w:cstheme="minorHAnsi"/>
              </w:rPr>
            </w:pPr>
          </w:p>
          <w:p w14:paraId="18313968" w14:textId="77777777" w:rsidR="006D43D1" w:rsidRPr="00143A7C" w:rsidRDefault="006D43D1" w:rsidP="006D43D1">
            <w:pPr>
              <w:jc w:val="both"/>
              <w:rPr>
                <w:rFonts w:cstheme="minorHAnsi"/>
              </w:rPr>
            </w:pPr>
            <w:r w:rsidRPr="00143A7C">
              <w:rPr>
                <w:rFonts w:cstheme="minorHAnsi"/>
              </w:rPr>
              <w:t>Propozycja zmian zapisów:</w:t>
            </w:r>
          </w:p>
          <w:p w14:paraId="33741676" w14:textId="77777777" w:rsidR="006D43D1" w:rsidRPr="00143A7C" w:rsidRDefault="006D43D1" w:rsidP="006D43D1">
            <w:pPr>
              <w:jc w:val="both"/>
              <w:rPr>
                <w:rFonts w:cstheme="minorHAnsi"/>
              </w:rPr>
            </w:pPr>
            <w:r w:rsidRPr="00143A7C">
              <w:rPr>
                <w:rFonts w:cstheme="minorHAnsi"/>
              </w:rPr>
              <w:t>Jeżeli dostawcą ma być podmiot nadzorujący należy rozważyć doprecyzowanie definicji zawartej w § 2 pkt 2 projektu</w:t>
            </w:r>
          </w:p>
        </w:tc>
        <w:tc>
          <w:tcPr>
            <w:tcW w:w="3730" w:type="dxa"/>
          </w:tcPr>
          <w:p w14:paraId="078E71E1" w14:textId="77777777" w:rsidR="006D43D1" w:rsidRPr="00143A7C" w:rsidRDefault="006D43D1" w:rsidP="006D43D1">
            <w:pPr>
              <w:rPr>
                <w:rFonts w:eastAsia="Calibri" w:cstheme="minorHAnsi"/>
              </w:rPr>
            </w:pPr>
            <w:r w:rsidRPr="00143A7C">
              <w:rPr>
                <w:rFonts w:eastAsia="Calibri" w:cstheme="minorHAnsi"/>
                <w:b/>
                <w:bCs/>
              </w:rPr>
              <w:t>Wyjaśnienie</w:t>
            </w:r>
            <w:r w:rsidRPr="00143A7C">
              <w:rPr>
                <w:rFonts w:eastAsia="Calibri" w:cstheme="minorHAnsi"/>
              </w:rPr>
              <w:t>.</w:t>
            </w:r>
          </w:p>
          <w:p w14:paraId="7EB38360" w14:textId="7DE1F0AD" w:rsidR="006D43D1" w:rsidRPr="00F366FB" w:rsidRDefault="006D43D1" w:rsidP="006D43D1">
            <w:pPr>
              <w:rPr>
                <w:rFonts w:eastAsia="Calibri" w:cstheme="minorHAnsi"/>
                <w:b/>
                <w:bCs/>
              </w:rPr>
            </w:pPr>
            <w:r w:rsidRPr="00143A7C">
              <w:rPr>
                <w:rFonts w:eastAsia="Calibri" w:cstheme="minorHAnsi"/>
              </w:rPr>
              <w:t>Sugerowane jest</w:t>
            </w:r>
            <w:r w:rsidR="00727DB5">
              <w:rPr>
                <w:rFonts w:eastAsia="Calibri" w:cstheme="minorHAnsi"/>
              </w:rPr>
              <w:t>,</w:t>
            </w:r>
            <w:r w:rsidRPr="00143A7C">
              <w:rPr>
                <w:rFonts w:eastAsia="Calibri" w:cstheme="minorHAnsi"/>
              </w:rPr>
              <w:t xml:space="preserve"> aby jednostki podległe i nadzorowane przez daną instytucie posiadały osob</w:t>
            </w:r>
            <w:r w:rsidR="00C907F0">
              <w:rPr>
                <w:rFonts w:eastAsia="Calibri" w:cstheme="minorHAnsi"/>
              </w:rPr>
              <w:t>n</w:t>
            </w:r>
            <w:r w:rsidRPr="00143A7C">
              <w:rPr>
                <w:rFonts w:eastAsia="Calibri" w:cstheme="minorHAnsi"/>
              </w:rPr>
              <w:t>y profil dostaw</w:t>
            </w:r>
            <w:r w:rsidR="00C907F0">
              <w:rPr>
                <w:rFonts w:eastAsia="Calibri" w:cstheme="minorHAnsi"/>
              </w:rPr>
              <w:t>c</w:t>
            </w:r>
            <w:r w:rsidRPr="00143A7C">
              <w:rPr>
                <w:rFonts w:eastAsia="Calibri" w:cstheme="minorHAnsi"/>
              </w:rPr>
              <w:t>y</w:t>
            </w:r>
            <w:r>
              <w:rPr>
                <w:rFonts w:eastAsia="Calibri" w:cstheme="minorHAnsi"/>
              </w:rPr>
              <w:t xml:space="preserve"> w portalu</w:t>
            </w:r>
            <w:r w:rsidRPr="00143A7C">
              <w:rPr>
                <w:rFonts w:eastAsia="Calibri" w:cstheme="minorHAnsi"/>
              </w:rPr>
              <w:t>. Np. w przypadku KPRM, KPRM posiada własny profil</w:t>
            </w:r>
            <w:r>
              <w:rPr>
                <w:rFonts w:eastAsia="Calibri" w:cstheme="minorHAnsi"/>
              </w:rPr>
              <w:t xml:space="preserve"> w portalu</w:t>
            </w:r>
            <w:r w:rsidRPr="00143A7C">
              <w:rPr>
                <w:rFonts w:eastAsia="Calibri" w:cstheme="minorHAnsi"/>
              </w:rPr>
              <w:t xml:space="preserve">, </w:t>
            </w:r>
            <w:r>
              <w:rPr>
                <w:rFonts w:eastAsia="Calibri" w:cstheme="minorHAnsi"/>
              </w:rPr>
              <w:t>natomiast</w:t>
            </w:r>
            <w:r w:rsidRPr="00143A7C">
              <w:rPr>
                <w:rFonts w:eastAsia="Calibri" w:cstheme="minorHAnsi"/>
              </w:rPr>
              <w:t xml:space="preserve"> jednostki </w:t>
            </w:r>
            <w:r>
              <w:rPr>
                <w:rFonts w:eastAsia="Calibri" w:cstheme="minorHAnsi"/>
              </w:rPr>
              <w:t xml:space="preserve">jej </w:t>
            </w:r>
            <w:r w:rsidRPr="00143A7C">
              <w:rPr>
                <w:rFonts w:eastAsia="Calibri" w:cstheme="minorHAnsi"/>
              </w:rPr>
              <w:t xml:space="preserve">podległe i nadzorowane posiadają </w:t>
            </w:r>
            <w:r>
              <w:rPr>
                <w:rFonts w:eastAsia="Calibri" w:cstheme="minorHAnsi"/>
              </w:rPr>
              <w:t>swoje</w:t>
            </w:r>
            <w:r w:rsidRPr="00143A7C">
              <w:rPr>
                <w:rFonts w:eastAsia="Calibri" w:cstheme="minorHAnsi"/>
              </w:rPr>
              <w:t xml:space="preserve"> profile – UKE, NASK, IŁ. </w:t>
            </w:r>
          </w:p>
        </w:tc>
      </w:tr>
      <w:tr w:rsidR="000461A3" w14:paraId="57BB5F4A" w14:textId="77777777" w:rsidTr="009160B6">
        <w:tc>
          <w:tcPr>
            <w:tcW w:w="611" w:type="dxa"/>
          </w:tcPr>
          <w:p w14:paraId="43832CD7" w14:textId="77777777" w:rsidR="000461A3" w:rsidRDefault="00AE3B06" w:rsidP="000461A3">
            <w:pPr>
              <w:rPr>
                <w:rFonts w:cstheme="minorHAnsi"/>
              </w:rPr>
            </w:pPr>
            <w:r>
              <w:rPr>
                <w:rFonts w:cstheme="minorHAnsi"/>
              </w:rPr>
              <w:t>1</w:t>
            </w:r>
            <w:r w:rsidR="000461A3">
              <w:rPr>
                <w:rFonts w:cstheme="minorHAnsi"/>
              </w:rPr>
              <w:t>2</w:t>
            </w:r>
          </w:p>
        </w:tc>
        <w:tc>
          <w:tcPr>
            <w:tcW w:w="1609" w:type="dxa"/>
          </w:tcPr>
          <w:p w14:paraId="1A5C1AC3" w14:textId="77777777" w:rsidR="000461A3" w:rsidRPr="00143A7C" w:rsidRDefault="000461A3" w:rsidP="000461A3">
            <w:pPr>
              <w:rPr>
                <w:rFonts w:cstheme="minorHAnsi"/>
                <w:b/>
              </w:rPr>
            </w:pPr>
            <w:r w:rsidRPr="00143A7C">
              <w:rPr>
                <w:rFonts w:cstheme="minorHAnsi"/>
                <w:b/>
              </w:rPr>
              <w:t>GUS</w:t>
            </w:r>
          </w:p>
        </w:tc>
        <w:tc>
          <w:tcPr>
            <w:tcW w:w="1319" w:type="dxa"/>
          </w:tcPr>
          <w:p w14:paraId="5A7B5878" w14:textId="77777777" w:rsidR="000461A3" w:rsidRPr="00143A7C" w:rsidRDefault="000461A3" w:rsidP="000461A3">
            <w:pPr>
              <w:rPr>
                <w:rFonts w:cstheme="minorHAnsi"/>
              </w:rPr>
            </w:pPr>
            <w:r w:rsidRPr="00143A7C">
              <w:rPr>
                <w:rFonts w:cstheme="minorHAnsi"/>
              </w:rPr>
              <w:t>§ 2</w:t>
            </w:r>
          </w:p>
        </w:tc>
        <w:tc>
          <w:tcPr>
            <w:tcW w:w="6760" w:type="dxa"/>
          </w:tcPr>
          <w:p w14:paraId="48FDE52F" w14:textId="77777777" w:rsidR="000461A3" w:rsidRPr="00143A7C" w:rsidRDefault="000461A3" w:rsidP="000461A3">
            <w:pPr>
              <w:jc w:val="both"/>
              <w:rPr>
                <w:rFonts w:cstheme="minorHAnsi"/>
              </w:rPr>
            </w:pPr>
            <w:r w:rsidRPr="00143A7C">
              <w:rPr>
                <w:rFonts w:cstheme="minorHAnsi"/>
              </w:rPr>
              <w:t xml:space="preserve">W § 2: </w:t>
            </w:r>
          </w:p>
          <w:p w14:paraId="4F4E2400" w14:textId="77777777" w:rsidR="000461A3" w:rsidRPr="00143A7C" w:rsidRDefault="000461A3" w:rsidP="000461A3">
            <w:pPr>
              <w:jc w:val="both"/>
              <w:rPr>
                <w:rFonts w:cstheme="minorHAnsi"/>
              </w:rPr>
            </w:pPr>
            <w:r w:rsidRPr="00143A7C">
              <w:rPr>
                <w:rFonts w:cstheme="minorHAnsi"/>
              </w:rPr>
              <w:t xml:space="preserve">a) proponuje się nadanie pkt 2 następującego brzmienia: „2) dostawca – </w:t>
            </w:r>
            <w:r w:rsidRPr="007E0B71">
              <w:rPr>
                <w:rFonts w:cstheme="minorHAnsi"/>
                <w:b/>
                <w:bCs/>
              </w:rPr>
              <w:t>podmiot dostarczający</w:t>
            </w:r>
            <w:r w:rsidRPr="00143A7C">
              <w:rPr>
                <w:rFonts w:cstheme="minorHAnsi"/>
              </w:rPr>
              <w:t xml:space="preserve"> dane lub metadane udostępniane w portalu;”. Proponowana zmiana ma na celu doprecyzowanie definiowanego określenia;</w:t>
            </w:r>
          </w:p>
        </w:tc>
        <w:tc>
          <w:tcPr>
            <w:tcW w:w="3730" w:type="dxa"/>
          </w:tcPr>
          <w:p w14:paraId="279D470C" w14:textId="1F901122" w:rsidR="000461A3" w:rsidRPr="00962FB1" w:rsidRDefault="00962FB1" w:rsidP="000461A3">
            <w:pPr>
              <w:rPr>
                <w:rFonts w:eastAsia="Calibri" w:cstheme="minorHAnsi"/>
              </w:rPr>
            </w:pPr>
            <w:r>
              <w:rPr>
                <w:rFonts w:eastAsia="Calibri" w:cstheme="minorHAnsi"/>
                <w:b/>
                <w:bCs/>
              </w:rPr>
              <w:t xml:space="preserve">Uwaga częściowo uwzględniona, </w:t>
            </w:r>
            <w:r w:rsidRPr="00962FB1">
              <w:rPr>
                <w:rFonts w:eastAsia="Calibri" w:cstheme="minorHAnsi"/>
              </w:rPr>
              <w:t>powiązana</w:t>
            </w:r>
            <w:r>
              <w:rPr>
                <w:rFonts w:eastAsia="Calibri" w:cstheme="minorHAnsi"/>
              </w:rPr>
              <w:t xml:space="preserve"> </w:t>
            </w:r>
            <w:r w:rsidR="000461A3">
              <w:rPr>
                <w:rFonts w:eastAsia="Calibri" w:cstheme="minorHAnsi"/>
              </w:rPr>
              <w:t>z uwagą RCL numer 2a</w:t>
            </w:r>
            <w:r w:rsidR="0062510A">
              <w:rPr>
                <w:rFonts w:eastAsia="Calibri" w:cstheme="minorHAnsi"/>
              </w:rPr>
              <w:t xml:space="preserve"> (tabela uzgodnienia)</w:t>
            </w:r>
            <w:r w:rsidR="000461A3">
              <w:rPr>
                <w:rFonts w:eastAsia="Calibri" w:cstheme="minorHAnsi"/>
              </w:rPr>
              <w:t>.</w:t>
            </w:r>
          </w:p>
        </w:tc>
      </w:tr>
      <w:tr w:rsidR="000461A3" w14:paraId="151CD9F7" w14:textId="77777777" w:rsidTr="009160B6">
        <w:tc>
          <w:tcPr>
            <w:tcW w:w="611" w:type="dxa"/>
          </w:tcPr>
          <w:p w14:paraId="4A43821C" w14:textId="77777777" w:rsidR="000461A3" w:rsidRDefault="00AE3B06" w:rsidP="000461A3">
            <w:pPr>
              <w:rPr>
                <w:rFonts w:cstheme="minorHAnsi"/>
              </w:rPr>
            </w:pPr>
            <w:r>
              <w:rPr>
                <w:rFonts w:cstheme="minorHAnsi"/>
              </w:rPr>
              <w:t>1</w:t>
            </w:r>
            <w:r w:rsidR="000461A3">
              <w:rPr>
                <w:rFonts w:cstheme="minorHAnsi"/>
              </w:rPr>
              <w:t>3</w:t>
            </w:r>
          </w:p>
        </w:tc>
        <w:tc>
          <w:tcPr>
            <w:tcW w:w="1609" w:type="dxa"/>
          </w:tcPr>
          <w:p w14:paraId="1AE3390D" w14:textId="77777777" w:rsidR="000461A3" w:rsidRPr="00143A7C" w:rsidRDefault="000461A3" w:rsidP="000461A3">
            <w:pPr>
              <w:rPr>
                <w:rFonts w:cstheme="minorHAnsi"/>
                <w:b/>
              </w:rPr>
            </w:pPr>
            <w:r w:rsidRPr="00143A7C">
              <w:rPr>
                <w:rFonts w:cstheme="minorHAnsi"/>
                <w:b/>
              </w:rPr>
              <w:t>GUS</w:t>
            </w:r>
          </w:p>
        </w:tc>
        <w:tc>
          <w:tcPr>
            <w:tcW w:w="1319" w:type="dxa"/>
          </w:tcPr>
          <w:p w14:paraId="1A106923" w14:textId="77777777" w:rsidR="000461A3" w:rsidRPr="00143A7C" w:rsidRDefault="000461A3" w:rsidP="000461A3">
            <w:pPr>
              <w:rPr>
                <w:rFonts w:cstheme="minorHAnsi"/>
              </w:rPr>
            </w:pPr>
            <w:r w:rsidRPr="00143A7C">
              <w:rPr>
                <w:rFonts w:cstheme="minorHAnsi"/>
              </w:rPr>
              <w:t>§ 2</w:t>
            </w:r>
          </w:p>
        </w:tc>
        <w:tc>
          <w:tcPr>
            <w:tcW w:w="6760" w:type="dxa"/>
          </w:tcPr>
          <w:p w14:paraId="029E2D26" w14:textId="77777777" w:rsidR="000461A3" w:rsidRPr="00143A7C" w:rsidRDefault="000461A3" w:rsidP="000461A3">
            <w:pPr>
              <w:jc w:val="both"/>
              <w:rPr>
                <w:rFonts w:cstheme="minorHAnsi"/>
              </w:rPr>
            </w:pPr>
            <w:r w:rsidRPr="00143A7C">
              <w:rPr>
                <w:rFonts w:cstheme="minorHAnsi"/>
              </w:rPr>
              <w:t xml:space="preserve">W § 2: </w:t>
            </w:r>
          </w:p>
          <w:p w14:paraId="0936BE95" w14:textId="77777777" w:rsidR="000461A3" w:rsidRPr="00143A7C" w:rsidRDefault="000461A3" w:rsidP="000461A3">
            <w:pPr>
              <w:jc w:val="both"/>
              <w:rPr>
                <w:rFonts w:cstheme="minorHAnsi"/>
              </w:rPr>
            </w:pPr>
            <w:r w:rsidRPr="00143A7C">
              <w:rPr>
                <w:rFonts w:cstheme="minorHAnsi"/>
              </w:rPr>
              <w:t xml:space="preserve">b) w pkt 4 definiowane określenie „metadane portalu” proponuje się zastąpić określeniem „metadane”. Proponowana zmiana ma na celu doprecyzowanie, że pojęcie to nie odnosi się do metadanych samego portalu, lecz metadanych dotyczących zasobów zamieszczonych w </w:t>
            </w:r>
            <w:r w:rsidRPr="00143A7C">
              <w:rPr>
                <w:rFonts w:cstheme="minorHAnsi"/>
              </w:rPr>
              <w:lastRenderedPageBreak/>
              <w:t>portalu. Zmianę tę należy wprowadzić również w przepisach rozdziału 4, w których występuje ww. określenie</w:t>
            </w:r>
          </w:p>
        </w:tc>
        <w:tc>
          <w:tcPr>
            <w:tcW w:w="3730" w:type="dxa"/>
          </w:tcPr>
          <w:p w14:paraId="143A2151" w14:textId="77777777" w:rsidR="000461A3" w:rsidRPr="00F366FB" w:rsidRDefault="000461A3" w:rsidP="000461A3">
            <w:pPr>
              <w:rPr>
                <w:rFonts w:eastAsia="Calibri" w:cstheme="minorHAnsi"/>
                <w:b/>
                <w:bCs/>
              </w:rPr>
            </w:pPr>
            <w:r w:rsidRPr="00143A7C">
              <w:rPr>
                <w:rFonts w:eastAsia="Calibri" w:cstheme="minorHAnsi"/>
                <w:b/>
                <w:bCs/>
              </w:rPr>
              <w:lastRenderedPageBreak/>
              <w:t xml:space="preserve">Uwaga </w:t>
            </w:r>
            <w:r>
              <w:rPr>
                <w:rFonts w:eastAsia="Calibri" w:cstheme="minorHAnsi"/>
                <w:b/>
                <w:bCs/>
              </w:rPr>
              <w:t>przyjęta</w:t>
            </w:r>
            <w:r w:rsidRPr="00143A7C">
              <w:rPr>
                <w:rFonts w:eastAsia="Calibri" w:cstheme="minorHAnsi"/>
                <w:b/>
                <w:bCs/>
              </w:rPr>
              <w:t>,</w:t>
            </w:r>
            <w:r w:rsidRPr="00143A7C">
              <w:rPr>
                <w:rFonts w:eastAsia="Calibri" w:cstheme="minorHAnsi"/>
              </w:rPr>
              <w:t xml:space="preserve"> powiązana z uwagą RCL numer</w:t>
            </w:r>
            <w:r>
              <w:rPr>
                <w:rFonts w:eastAsia="Calibri" w:cstheme="minorHAnsi"/>
              </w:rPr>
              <w:t xml:space="preserve"> 2c</w:t>
            </w:r>
            <w:r w:rsidR="00D56182">
              <w:rPr>
                <w:rFonts w:eastAsia="Calibri" w:cstheme="minorHAnsi"/>
              </w:rPr>
              <w:t xml:space="preserve"> (tabela uzgodnienia). </w:t>
            </w:r>
          </w:p>
        </w:tc>
      </w:tr>
      <w:tr w:rsidR="000461A3" w14:paraId="38026F27" w14:textId="77777777" w:rsidTr="009160B6">
        <w:tc>
          <w:tcPr>
            <w:tcW w:w="611" w:type="dxa"/>
          </w:tcPr>
          <w:p w14:paraId="0EE29025" w14:textId="77777777" w:rsidR="000461A3" w:rsidRDefault="00AE3B06" w:rsidP="000461A3">
            <w:pPr>
              <w:rPr>
                <w:rFonts w:cstheme="minorHAnsi"/>
              </w:rPr>
            </w:pPr>
            <w:r>
              <w:rPr>
                <w:rFonts w:cstheme="minorHAnsi"/>
              </w:rPr>
              <w:t>1</w:t>
            </w:r>
            <w:r w:rsidR="000461A3">
              <w:rPr>
                <w:rFonts w:cstheme="minorHAnsi"/>
              </w:rPr>
              <w:t>4</w:t>
            </w:r>
          </w:p>
        </w:tc>
        <w:tc>
          <w:tcPr>
            <w:tcW w:w="1609" w:type="dxa"/>
          </w:tcPr>
          <w:p w14:paraId="24C08823" w14:textId="77777777" w:rsidR="000461A3" w:rsidRPr="00143A7C" w:rsidRDefault="000461A3" w:rsidP="000461A3">
            <w:pPr>
              <w:rPr>
                <w:rFonts w:cstheme="minorHAnsi"/>
                <w:b/>
              </w:rPr>
            </w:pPr>
            <w:r w:rsidRPr="00143A7C">
              <w:rPr>
                <w:rFonts w:cstheme="minorHAnsi"/>
                <w:b/>
              </w:rPr>
              <w:t>GUS</w:t>
            </w:r>
          </w:p>
        </w:tc>
        <w:tc>
          <w:tcPr>
            <w:tcW w:w="1319" w:type="dxa"/>
          </w:tcPr>
          <w:p w14:paraId="09337AC0" w14:textId="77777777" w:rsidR="000461A3" w:rsidRPr="00143A7C" w:rsidRDefault="000461A3" w:rsidP="000461A3">
            <w:pPr>
              <w:rPr>
                <w:rFonts w:cstheme="minorHAnsi"/>
              </w:rPr>
            </w:pPr>
            <w:r w:rsidRPr="00143A7C">
              <w:rPr>
                <w:rFonts w:cstheme="minorHAnsi"/>
              </w:rPr>
              <w:t>§ 2</w:t>
            </w:r>
          </w:p>
        </w:tc>
        <w:tc>
          <w:tcPr>
            <w:tcW w:w="6760" w:type="dxa"/>
          </w:tcPr>
          <w:p w14:paraId="16F8D349" w14:textId="77777777" w:rsidR="000461A3" w:rsidRPr="00143A7C" w:rsidRDefault="000461A3" w:rsidP="000461A3">
            <w:pPr>
              <w:jc w:val="both"/>
              <w:rPr>
                <w:rFonts w:cstheme="minorHAnsi"/>
              </w:rPr>
            </w:pPr>
            <w:r w:rsidRPr="00143A7C">
              <w:rPr>
                <w:rFonts w:cstheme="minorHAnsi"/>
              </w:rPr>
              <w:t xml:space="preserve">W § 2: </w:t>
            </w:r>
          </w:p>
          <w:p w14:paraId="62CE43D6" w14:textId="77777777" w:rsidR="000461A3" w:rsidRPr="00143A7C" w:rsidRDefault="000461A3" w:rsidP="000461A3">
            <w:pPr>
              <w:jc w:val="both"/>
              <w:rPr>
                <w:rFonts w:cstheme="minorHAnsi"/>
              </w:rPr>
            </w:pPr>
            <w:r w:rsidRPr="00143A7C">
              <w:rPr>
                <w:rFonts w:cstheme="minorHAnsi"/>
              </w:rPr>
              <w:t>c) w pkt 9 i 10 wątpliwości budzi kwestia, czy zarejestrowany użytkownik to wyłącznie ten, który działa w imieniu dostawcy danych, czy też wśród faktycznych użytkowników danych publikowanych na portalu także istnieje podział na zarejestrowanych (tych, którzy założyli konto) i niezarejestrowanych. Jeżeli użytkownik zarejestrowany to wyłącznie ten, który reprezentuje dostawcę, należałoby rozważyć określenie go jako „osoba zarządzająca danymi dostawcy”</w:t>
            </w:r>
          </w:p>
        </w:tc>
        <w:tc>
          <w:tcPr>
            <w:tcW w:w="3730" w:type="dxa"/>
          </w:tcPr>
          <w:p w14:paraId="1E0D66A9" w14:textId="77777777" w:rsidR="000461A3" w:rsidRPr="00143A7C" w:rsidRDefault="000461A3" w:rsidP="000461A3">
            <w:pPr>
              <w:rPr>
                <w:rFonts w:eastAsia="Calibri" w:cstheme="minorHAnsi"/>
              </w:rPr>
            </w:pPr>
            <w:r w:rsidRPr="00143A7C">
              <w:rPr>
                <w:rFonts w:eastAsia="Calibri" w:cstheme="minorHAnsi"/>
                <w:b/>
                <w:bCs/>
              </w:rPr>
              <w:t>Wyjaśnienie</w:t>
            </w:r>
            <w:r w:rsidRPr="00143A7C">
              <w:rPr>
                <w:rFonts w:eastAsia="Calibri" w:cstheme="minorHAnsi"/>
              </w:rPr>
              <w:t>.</w:t>
            </w:r>
          </w:p>
          <w:p w14:paraId="03283192" w14:textId="3B117C18" w:rsidR="000461A3" w:rsidRPr="00F366FB" w:rsidRDefault="000461A3" w:rsidP="000461A3">
            <w:pPr>
              <w:rPr>
                <w:rFonts w:eastAsia="Calibri" w:cstheme="minorHAnsi"/>
                <w:b/>
                <w:bCs/>
              </w:rPr>
            </w:pPr>
            <w:r>
              <w:rPr>
                <w:rFonts w:eastAsia="Calibri" w:cstheme="minorHAnsi"/>
              </w:rPr>
              <w:t>Uwaga powiązana z uwagą RCL, pojęcie „zarejestrowa</w:t>
            </w:r>
            <w:r w:rsidR="00727DB5">
              <w:rPr>
                <w:rFonts w:eastAsia="Calibri" w:cstheme="minorHAnsi"/>
              </w:rPr>
              <w:t>ny użytkownik” zostanie usunięte z projektu</w:t>
            </w:r>
            <w:r>
              <w:rPr>
                <w:rFonts w:eastAsia="Calibri" w:cstheme="minorHAnsi"/>
              </w:rPr>
              <w:t xml:space="preserve"> rozporządzenia. </w:t>
            </w:r>
          </w:p>
        </w:tc>
      </w:tr>
      <w:tr w:rsidR="000461A3" w14:paraId="7C73E180" w14:textId="77777777" w:rsidTr="009160B6">
        <w:tc>
          <w:tcPr>
            <w:tcW w:w="611" w:type="dxa"/>
          </w:tcPr>
          <w:p w14:paraId="506EFF17" w14:textId="77777777" w:rsidR="000461A3" w:rsidRDefault="00AE3B06" w:rsidP="000461A3">
            <w:pPr>
              <w:rPr>
                <w:rFonts w:cstheme="minorHAnsi"/>
              </w:rPr>
            </w:pPr>
            <w:r>
              <w:rPr>
                <w:rFonts w:cstheme="minorHAnsi"/>
              </w:rPr>
              <w:t>1</w:t>
            </w:r>
            <w:r w:rsidR="000461A3">
              <w:rPr>
                <w:rFonts w:cstheme="minorHAnsi"/>
              </w:rPr>
              <w:t>5</w:t>
            </w:r>
          </w:p>
        </w:tc>
        <w:tc>
          <w:tcPr>
            <w:tcW w:w="1609" w:type="dxa"/>
          </w:tcPr>
          <w:p w14:paraId="4D3CF09E" w14:textId="77777777" w:rsidR="000461A3" w:rsidRPr="00143A7C" w:rsidRDefault="000461A3" w:rsidP="000461A3">
            <w:pPr>
              <w:rPr>
                <w:rFonts w:cstheme="minorHAnsi"/>
                <w:b/>
              </w:rPr>
            </w:pPr>
            <w:r w:rsidRPr="00143A7C">
              <w:rPr>
                <w:rFonts w:cstheme="minorHAnsi"/>
                <w:b/>
              </w:rPr>
              <w:t>GUS</w:t>
            </w:r>
          </w:p>
        </w:tc>
        <w:tc>
          <w:tcPr>
            <w:tcW w:w="1319" w:type="dxa"/>
          </w:tcPr>
          <w:p w14:paraId="35E7C061" w14:textId="77777777" w:rsidR="000461A3" w:rsidRPr="00143A7C" w:rsidRDefault="000461A3" w:rsidP="000461A3">
            <w:pPr>
              <w:rPr>
                <w:rFonts w:cstheme="minorHAnsi"/>
              </w:rPr>
            </w:pPr>
            <w:r w:rsidRPr="00143A7C">
              <w:rPr>
                <w:rFonts w:cstheme="minorHAnsi"/>
              </w:rPr>
              <w:t>§ 7</w:t>
            </w:r>
          </w:p>
        </w:tc>
        <w:tc>
          <w:tcPr>
            <w:tcW w:w="6760" w:type="dxa"/>
          </w:tcPr>
          <w:p w14:paraId="16CC210F" w14:textId="77777777" w:rsidR="000461A3" w:rsidRPr="00143A7C" w:rsidRDefault="000461A3" w:rsidP="000461A3">
            <w:pPr>
              <w:jc w:val="both"/>
              <w:rPr>
                <w:rFonts w:cstheme="minorHAnsi"/>
              </w:rPr>
            </w:pPr>
            <w:r w:rsidRPr="00143A7C">
              <w:rPr>
                <w:rFonts w:cstheme="minorHAnsi"/>
              </w:rPr>
              <w:t xml:space="preserve">W § 7 w ust. 1 użycie w pkt 9-11 wyrazów </w:t>
            </w:r>
            <w:r w:rsidRPr="00A9089F">
              <w:rPr>
                <w:rFonts w:cstheme="minorHAnsi"/>
                <w:b/>
                <w:bCs/>
              </w:rPr>
              <w:t>„określenia kategorii danych”</w:t>
            </w:r>
            <w:r w:rsidRPr="00143A7C">
              <w:rPr>
                <w:rFonts w:cstheme="minorHAnsi"/>
              </w:rPr>
              <w:t xml:space="preserve"> sugeruje, że w ramach danych badawczych, danych dynamicznych czy danych o wysokiej wartości, wskazanych w ustawie z dnia 11 sierpnia 2021 r. o otwartych danych i ponownym wykorzystywaniu informacji sektora publicznego, b</w:t>
            </w:r>
            <w:r w:rsidRPr="00A9089F">
              <w:rPr>
                <w:rFonts w:cstheme="minorHAnsi"/>
                <w:b/>
                <w:bCs/>
              </w:rPr>
              <w:t>ędą wybierane różne kategorie tych typów danych</w:t>
            </w:r>
            <w:r w:rsidRPr="00143A7C">
              <w:rPr>
                <w:rFonts w:cstheme="minorHAnsi"/>
              </w:rPr>
              <w:t xml:space="preserve">. Jeśli jednak nie będzie to miało miejsca proponuje się zmianę polegającą na: </w:t>
            </w:r>
          </w:p>
          <w:p w14:paraId="301CEB6E" w14:textId="77777777" w:rsidR="000461A3" w:rsidRPr="00143A7C" w:rsidRDefault="000461A3" w:rsidP="000461A3">
            <w:pPr>
              <w:jc w:val="both"/>
              <w:rPr>
                <w:rFonts w:cstheme="minorHAnsi"/>
              </w:rPr>
            </w:pPr>
            <w:r w:rsidRPr="00143A7C">
              <w:rPr>
                <w:rFonts w:cstheme="minorHAnsi"/>
              </w:rPr>
              <w:t xml:space="preserve">• nadaniu pkt 9 brzmienia: „9) oznaczenia danych badawczych, danych dynamicznych i danych o wysokiej wartości – wskazania odpowiedniego typu danych, zgodnie art. 2 pkt 2-4 ustawy.”, </w:t>
            </w:r>
          </w:p>
          <w:p w14:paraId="6080B087" w14:textId="77777777" w:rsidR="000461A3" w:rsidRPr="00143A7C" w:rsidRDefault="000461A3" w:rsidP="000461A3">
            <w:pPr>
              <w:jc w:val="both"/>
              <w:rPr>
                <w:rFonts w:cstheme="minorHAnsi"/>
              </w:rPr>
            </w:pPr>
            <w:r w:rsidRPr="00143A7C">
              <w:rPr>
                <w:rFonts w:cstheme="minorHAnsi"/>
              </w:rPr>
              <w:t xml:space="preserve">• skreśleniu pkt 10 i 11. </w:t>
            </w:r>
          </w:p>
          <w:p w14:paraId="44011584" w14:textId="77777777" w:rsidR="000461A3" w:rsidRPr="00143A7C" w:rsidRDefault="000461A3" w:rsidP="000461A3">
            <w:pPr>
              <w:jc w:val="both"/>
              <w:rPr>
                <w:rFonts w:cstheme="minorHAnsi"/>
              </w:rPr>
            </w:pPr>
            <w:r w:rsidRPr="009C00EE">
              <w:rPr>
                <w:rFonts w:cstheme="minorHAnsi"/>
                <w:b/>
                <w:bCs/>
              </w:rPr>
              <w:t>Proponowane brzmienie pkt 9 pozwoli także na zapobieżenie sprzeczności z treścią § 7 pkt 5, gdzie również mowa o kategorii,</w:t>
            </w:r>
            <w:r w:rsidRPr="00143A7C">
              <w:rPr>
                <w:rFonts w:cstheme="minorHAnsi"/>
              </w:rPr>
              <w:t xml:space="preserve"> ale informacja ta dotyczy innego wymiaru opisu danych.</w:t>
            </w:r>
          </w:p>
        </w:tc>
        <w:tc>
          <w:tcPr>
            <w:tcW w:w="3730" w:type="dxa"/>
          </w:tcPr>
          <w:p w14:paraId="78A3470F" w14:textId="3880B0A5" w:rsidR="000461A3" w:rsidRPr="007C5A38" w:rsidRDefault="000461A3" w:rsidP="000461A3">
            <w:pPr>
              <w:rPr>
                <w:rFonts w:eastAsia="Calibri" w:cstheme="minorHAnsi"/>
              </w:rPr>
            </w:pPr>
            <w:r w:rsidRPr="00143A7C">
              <w:rPr>
                <w:rFonts w:eastAsia="Calibri" w:cstheme="minorHAnsi"/>
                <w:b/>
                <w:bCs/>
              </w:rPr>
              <w:t>Uwaga częściowo uwzględniona</w:t>
            </w:r>
            <w:r w:rsidRPr="00143A7C">
              <w:rPr>
                <w:rFonts w:eastAsia="Calibri" w:cstheme="minorHAnsi"/>
              </w:rPr>
              <w:t>. Proponuje</w:t>
            </w:r>
            <w:r>
              <w:rPr>
                <w:rFonts w:eastAsia="Calibri" w:cstheme="minorHAnsi"/>
              </w:rPr>
              <w:t xml:space="preserve"> się</w:t>
            </w:r>
            <w:r w:rsidRPr="00143A7C">
              <w:rPr>
                <w:rFonts w:eastAsia="Calibri" w:cstheme="minorHAnsi"/>
              </w:rPr>
              <w:t xml:space="preserve"> nowe brzemiennie </w:t>
            </w:r>
            <w:r w:rsidR="009609F3">
              <w:rPr>
                <w:rFonts w:cstheme="minorHAnsi"/>
              </w:rPr>
              <w:t>§ 6</w:t>
            </w:r>
            <w:r w:rsidR="009970AD">
              <w:rPr>
                <w:rFonts w:cstheme="minorHAnsi"/>
              </w:rPr>
              <w:t xml:space="preserve"> ust. 1 pkt</w:t>
            </w:r>
            <w:r w:rsidRPr="00143A7C">
              <w:rPr>
                <w:rFonts w:eastAsia="Calibri" w:cstheme="minorHAnsi"/>
              </w:rPr>
              <w:t xml:space="preserve"> 9-11</w:t>
            </w:r>
            <w:r>
              <w:rPr>
                <w:rFonts w:eastAsia="Calibri" w:cstheme="minorHAnsi"/>
              </w:rPr>
              <w:t>:</w:t>
            </w:r>
          </w:p>
          <w:p w14:paraId="2AEA100C" w14:textId="77777777" w:rsidR="000461A3" w:rsidRPr="007C5A38" w:rsidRDefault="000461A3" w:rsidP="00C61AED">
            <w:pPr>
              <w:tabs>
                <w:tab w:val="left" w:pos="363"/>
              </w:tabs>
              <w:rPr>
                <w:rFonts w:cstheme="minorHAnsi"/>
              </w:rPr>
            </w:pPr>
            <w:r>
              <w:rPr>
                <w:rFonts w:cstheme="minorHAnsi"/>
              </w:rPr>
              <w:t xml:space="preserve">„ </w:t>
            </w:r>
            <w:r w:rsidRPr="007C5A38">
              <w:rPr>
                <w:rFonts w:cstheme="minorHAnsi"/>
              </w:rPr>
              <w:t>9)</w:t>
            </w:r>
            <w:r w:rsidRPr="007C5A38">
              <w:rPr>
                <w:rFonts w:cstheme="minorHAnsi"/>
              </w:rPr>
              <w:tab/>
              <w:t>oznaczenia danych badawczych –</w:t>
            </w:r>
            <w:r>
              <w:rPr>
                <w:rFonts w:cstheme="minorHAnsi"/>
              </w:rPr>
              <w:t xml:space="preserve"> </w:t>
            </w:r>
            <w:bookmarkStart w:id="0" w:name="_Hlk108144776"/>
            <w:r>
              <w:rPr>
                <w:rFonts w:cstheme="minorHAnsi"/>
              </w:rPr>
              <w:t>przypisanie danym cech określonych w</w:t>
            </w:r>
            <w:r w:rsidRPr="007C5A38">
              <w:rPr>
                <w:rFonts w:cstheme="minorHAnsi"/>
              </w:rPr>
              <w:t xml:space="preserve"> </w:t>
            </w:r>
            <w:bookmarkEnd w:id="0"/>
            <w:r w:rsidRPr="007C5A38">
              <w:rPr>
                <w:rFonts w:cstheme="minorHAnsi"/>
              </w:rPr>
              <w:t>art. 2 pkt 2 ustawy;</w:t>
            </w:r>
          </w:p>
          <w:p w14:paraId="7076711A" w14:textId="77777777" w:rsidR="000461A3" w:rsidRPr="007C5A38" w:rsidRDefault="000461A3" w:rsidP="000461A3">
            <w:pPr>
              <w:tabs>
                <w:tab w:val="left" w:pos="314"/>
              </w:tabs>
              <w:rPr>
                <w:rFonts w:cstheme="minorHAnsi"/>
              </w:rPr>
            </w:pPr>
            <w:r w:rsidRPr="007C5A38">
              <w:rPr>
                <w:rFonts w:cstheme="minorHAnsi"/>
              </w:rPr>
              <w:t>10)</w:t>
            </w:r>
            <w:r w:rsidRPr="007C5A38">
              <w:rPr>
                <w:rFonts w:cstheme="minorHAnsi"/>
              </w:rPr>
              <w:tab/>
              <w:t xml:space="preserve">oznaczenia danych dynamicznych – </w:t>
            </w:r>
            <w:r>
              <w:rPr>
                <w:rFonts w:cstheme="minorHAnsi"/>
              </w:rPr>
              <w:t>przypisanie danym cech określonych w</w:t>
            </w:r>
            <w:r w:rsidRPr="007C5A38">
              <w:rPr>
                <w:rFonts w:cstheme="minorHAnsi"/>
              </w:rPr>
              <w:t xml:space="preserve"> art. 2 pkt 3 ustawy;</w:t>
            </w:r>
          </w:p>
          <w:p w14:paraId="0ADDDCFF" w14:textId="77777777" w:rsidR="000461A3" w:rsidRPr="00F366FB" w:rsidRDefault="000461A3" w:rsidP="00C61AED">
            <w:pPr>
              <w:tabs>
                <w:tab w:val="left" w:pos="363"/>
              </w:tabs>
              <w:rPr>
                <w:rFonts w:eastAsia="Calibri" w:cstheme="minorHAnsi"/>
                <w:b/>
                <w:bCs/>
              </w:rPr>
            </w:pPr>
            <w:r w:rsidRPr="007C5A38">
              <w:rPr>
                <w:rFonts w:cstheme="minorHAnsi"/>
              </w:rPr>
              <w:t>11)</w:t>
            </w:r>
            <w:r w:rsidRPr="007C5A38">
              <w:rPr>
                <w:rFonts w:cstheme="minorHAnsi"/>
              </w:rPr>
              <w:tab/>
              <w:t xml:space="preserve">oznaczenia danych o wysokiej wartości – </w:t>
            </w:r>
            <w:r>
              <w:rPr>
                <w:rFonts w:cstheme="minorHAnsi"/>
              </w:rPr>
              <w:t>przypisanie danym cech określonych w</w:t>
            </w:r>
            <w:r w:rsidRPr="007C5A38">
              <w:rPr>
                <w:rFonts w:cstheme="minorHAnsi"/>
              </w:rPr>
              <w:t xml:space="preserve"> art. 2 pkt 4 ustawy.</w:t>
            </w:r>
            <w:r>
              <w:rPr>
                <w:rFonts w:cstheme="minorHAnsi"/>
              </w:rPr>
              <w:t>”.</w:t>
            </w:r>
          </w:p>
        </w:tc>
      </w:tr>
      <w:tr w:rsidR="000461A3" w14:paraId="4FF3D664" w14:textId="77777777" w:rsidTr="009160B6">
        <w:tc>
          <w:tcPr>
            <w:tcW w:w="611" w:type="dxa"/>
          </w:tcPr>
          <w:p w14:paraId="049ED48E" w14:textId="77777777" w:rsidR="000461A3" w:rsidRDefault="00AE3B06" w:rsidP="000461A3">
            <w:pPr>
              <w:rPr>
                <w:rFonts w:cstheme="minorHAnsi"/>
              </w:rPr>
            </w:pPr>
            <w:r>
              <w:rPr>
                <w:rFonts w:cstheme="minorHAnsi"/>
              </w:rPr>
              <w:t>1</w:t>
            </w:r>
            <w:r w:rsidR="000461A3">
              <w:rPr>
                <w:rFonts w:cstheme="minorHAnsi"/>
              </w:rPr>
              <w:t>6</w:t>
            </w:r>
          </w:p>
        </w:tc>
        <w:tc>
          <w:tcPr>
            <w:tcW w:w="1609" w:type="dxa"/>
          </w:tcPr>
          <w:p w14:paraId="5C4CF22C" w14:textId="77777777" w:rsidR="000461A3" w:rsidRPr="00143A7C" w:rsidRDefault="000461A3" w:rsidP="000461A3">
            <w:pPr>
              <w:rPr>
                <w:rFonts w:cstheme="minorHAnsi"/>
                <w:b/>
              </w:rPr>
            </w:pPr>
            <w:r w:rsidRPr="00143A7C">
              <w:rPr>
                <w:rFonts w:cstheme="minorHAnsi"/>
                <w:b/>
              </w:rPr>
              <w:t>GUS</w:t>
            </w:r>
          </w:p>
        </w:tc>
        <w:tc>
          <w:tcPr>
            <w:tcW w:w="1319" w:type="dxa"/>
          </w:tcPr>
          <w:p w14:paraId="0EF370BB" w14:textId="77777777" w:rsidR="000461A3" w:rsidRPr="00143A7C" w:rsidRDefault="000461A3" w:rsidP="000461A3">
            <w:pPr>
              <w:rPr>
                <w:rFonts w:cstheme="minorHAnsi"/>
              </w:rPr>
            </w:pPr>
            <w:r w:rsidRPr="00143A7C">
              <w:rPr>
                <w:rFonts w:cstheme="minorHAnsi"/>
              </w:rPr>
              <w:t>§ 8</w:t>
            </w:r>
          </w:p>
        </w:tc>
        <w:tc>
          <w:tcPr>
            <w:tcW w:w="6760" w:type="dxa"/>
          </w:tcPr>
          <w:p w14:paraId="2C387B3E" w14:textId="77777777" w:rsidR="000461A3" w:rsidRPr="00143A7C" w:rsidRDefault="000461A3" w:rsidP="000461A3">
            <w:pPr>
              <w:jc w:val="both"/>
              <w:rPr>
                <w:rFonts w:cstheme="minorHAnsi"/>
              </w:rPr>
            </w:pPr>
            <w:r w:rsidRPr="00143A7C">
              <w:rPr>
                <w:rFonts w:cstheme="minorHAnsi"/>
              </w:rPr>
              <w:t xml:space="preserve">W § 8 w ust. 1: </w:t>
            </w:r>
          </w:p>
          <w:p w14:paraId="0DDCD40A" w14:textId="77777777" w:rsidR="000461A3" w:rsidRPr="00143A7C" w:rsidRDefault="000461A3" w:rsidP="000461A3">
            <w:pPr>
              <w:jc w:val="both"/>
              <w:rPr>
                <w:rFonts w:cstheme="minorHAnsi"/>
              </w:rPr>
            </w:pPr>
            <w:r w:rsidRPr="00143A7C">
              <w:rPr>
                <w:rFonts w:cstheme="minorHAnsi"/>
              </w:rPr>
              <w:t xml:space="preserve">a) w pkt 2 wskazano obowiązek prowadzenia streszczenia lub krótkiego określenia zawartości danych. </w:t>
            </w:r>
            <w:r w:rsidRPr="009C00EE">
              <w:rPr>
                <w:rFonts w:cstheme="minorHAnsi"/>
                <w:b/>
                <w:bCs/>
              </w:rPr>
              <w:t>Należy zakładać, że w wersji bez słowników takie działanie będzie powodować problemy z wyszukiwaniem danych przez użytkowników;</w:t>
            </w:r>
          </w:p>
        </w:tc>
        <w:tc>
          <w:tcPr>
            <w:tcW w:w="3730" w:type="dxa"/>
          </w:tcPr>
          <w:p w14:paraId="6BBF474A" w14:textId="77777777" w:rsidR="000461A3" w:rsidRPr="00143A7C" w:rsidRDefault="000461A3" w:rsidP="000461A3">
            <w:pPr>
              <w:rPr>
                <w:rFonts w:eastAsia="Calibri" w:cstheme="minorHAnsi"/>
              </w:rPr>
            </w:pPr>
            <w:r w:rsidRPr="00B01999">
              <w:rPr>
                <w:rFonts w:eastAsia="Calibri" w:cstheme="minorHAnsi"/>
                <w:b/>
                <w:bCs/>
              </w:rPr>
              <w:t>Wyjaśnienie</w:t>
            </w:r>
            <w:r w:rsidRPr="00143A7C">
              <w:rPr>
                <w:rFonts w:eastAsia="Calibri" w:cstheme="minorHAnsi"/>
              </w:rPr>
              <w:t>.</w:t>
            </w:r>
          </w:p>
          <w:p w14:paraId="241EE2E9" w14:textId="77777777" w:rsidR="000461A3" w:rsidRPr="00F366FB" w:rsidRDefault="000461A3" w:rsidP="000461A3">
            <w:pPr>
              <w:rPr>
                <w:rFonts w:eastAsia="Calibri" w:cstheme="minorHAnsi"/>
                <w:b/>
                <w:bCs/>
              </w:rPr>
            </w:pPr>
            <w:r>
              <w:rPr>
                <w:rFonts w:eastAsia="Calibri" w:cstheme="minorHAnsi"/>
              </w:rPr>
              <w:t>Kwestie stosowania słowników w portalu wykraczają poza zakres upoważnienia ustawowego.</w:t>
            </w:r>
          </w:p>
        </w:tc>
      </w:tr>
      <w:tr w:rsidR="000461A3" w14:paraId="56142115" w14:textId="77777777" w:rsidTr="000461A3">
        <w:trPr>
          <w:trHeight w:val="2790"/>
        </w:trPr>
        <w:tc>
          <w:tcPr>
            <w:tcW w:w="611" w:type="dxa"/>
          </w:tcPr>
          <w:p w14:paraId="58749AAF" w14:textId="77777777" w:rsidR="000461A3" w:rsidRDefault="00AE3B06" w:rsidP="000461A3">
            <w:pPr>
              <w:rPr>
                <w:rFonts w:cstheme="minorHAnsi"/>
              </w:rPr>
            </w:pPr>
            <w:r>
              <w:rPr>
                <w:rFonts w:cstheme="minorHAnsi"/>
              </w:rPr>
              <w:lastRenderedPageBreak/>
              <w:t>1</w:t>
            </w:r>
            <w:r w:rsidR="000461A3">
              <w:rPr>
                <w:rFonts w:cstheme="minorHAnsi"/>
              </w:rPr>
              <w:t>7</w:t>
            </w:r>
          </w:p>
        </w:tc>
        <w:tc>
          <w:tcPr>
            <w:tcW w:w="1609" w:type="dxa"/>
          </w:tcPr>
          <w:p w14:paraId="0C5F1C0C" w14:textId="77777777" w:rsidR="000461A3" w:rsidRPr="00143A7C" w:rsidRDefault="000461A3" w:rsidP="000461A3">
            <w:pPr>
              <w:rPr>
                <w:rFonts w:cstheme="minorHAnsi"/>
                <w:b/>
              </w:rPr>
            </w:pPr>
            <w:r w:rsidRPr="00143A7C">
              <w:rPr>
                <w:rFonts w:cstheme="minorHAnsi"/>
                <w:b/>
              </w:rPr>
              <w:t>GUS</w:t>
            </w:r>
          </w:p>
        </w:tc>
        <w:tc>
          <w:tcPr>
            <w:tcW w:w="1319" w:type="dxa"/>
          </w:tcPr>
          <w:p w14:paraId="37C39E20" w14:textId="77777777" w:rsidR="000461A3" w:rsidRPr="00143A7C" w:rsidRDefault="000461A3" w:rsidP="000461A3">
            <w:pPr>
              <w:rPr>
                <w:rFonts w:cstheme="minorHAnsi"/>
              </w:rPr>
            </w:pPr>
            <w:r w:rsidRPr="00143A7C">
              <w:rPr>
                <w:rFonts w:cstheme="minorHAnsi"/>
              </w:rPr>
              <w:t>§ 8</w:t>
            </w:r>
          </w:p>
        </w:tc>
        <w:tc>
          <w:tcPr>
            <w:tcW w:w="6760" w:type="dxa"/>
          </w:tcPr>
          <w:p w14:paraId="6695FA14" w14:textId="77777777" w:rsidR="000461A3" w:rsidRPr="00143A7C" w:rsidRDefault="000461A3" w:rsidP="000461A3">
            <w:pPr>
              <w:jc w:val="both"/>
              <w:rPr>
                <w:rFonts w:cstheme="minorHAnsi"/>
              </w:rPr>
            </w:pPr>
            <w:r w:rsidRPr="00143A7C">
              <w:rPr>
                <w:rFonts w:cstheme="minorHAnsi"/>
              </w:rPr>
              <w:t xml:space="preserve">W § 8 w ust. 1: </w:t>
            </w:r>
          </w:p>
          <w:p w14:paraId="22A7C3E8" w14:textId="77777777" w:rsidR="000461A3" w:rsidRPr="00143A7C" w:rsidRDefault="000461A3" w:rsidP="000461A3">
            <w:pPr>
              <w:jc w:val="both"/>
              <w:rPr>
                <w:rFonts w:cstheme="minorHAnsi"/>
              </w:rPr>
            </w:pPr>
            <w:r w:rsidRPr="00143A7C">
              <w:rPr>
                <w:rFonts w:cstheme="minorHAnsi"/>
              </w:rPr>
              <w:t xml:space="preserve">b) w pkt 3 proponuje się wskazanie „daty stanu obowiązywania danych”. </w:t>
            </w:r>
            <w:r w:rsidRPr="0017602C">
              <w:rPr>
                <w:rFonts w:cstheme="minorHAnsi"/>
                <w:b/>
                <w:bCs/>
              </w:rPr>
              <w:t>Należy zauważyć, że dane mogą być też „za okres” a nie koniecznie „na dzień”</w:t>
            </w:r>
            <w:r w:rsidRPr="00143A7C">
              <w:rPr>
                <w:rFonts w:cstheme="minorHAnsi"/>
              </w:rPr>
              <w:t xml:space="preserve"> (np. „przychody za pierwszy kwartał … roku”, ale „stan zapasów na dzień 31 grudnia … roku), </w:t>
            </w:r>
            <w:r w:rsidRPr="0017602C">
              <w:rPr>
                <w:rFonts w:cstheme="minorHAnsi"/>
                <w:b/>
                <w:bCs/>
              </w:rPr>
              <w:t>stąd obecny zapis jest błędny (zbyt mało ogólny)</w:t>
            </w:r>
            <w:r w:rsidRPr="00143A7C">
              <w:rPr>
                <w:rFonts w:cstheme="minorHAnsi"/>
              </w:rPr>
              <w:t>. Ponadto należy rozważyć, czy w pkt 3 powinna być mowa o „dacie wytworzenia danych”, czy raczej o stanie, na jaki dane obowiązują (dane mogą być np. wg stanu na dzień 31 grudnia, a zbiór zostanie wytworzony później);</w:t>
            </w:r>
          </w:p>
        </w:tc>
        <w:tc>
          <w:tcPr>
            <w:tcW w:w="3730" w:type="dxa"/>
          </w:tcPr>
          <w:p w14:paraId="191371AD" w14:textId="77777777" w:rsidR="000461A3" w:rsidRPr="002C0BD5" w:rsidRDefault="000461A3" w:rsidP="000461A3">
            <w:pPr>
              <w:rPr>
                <w:rFonts w:eastAsia="Calibri" w:cstheme="minorHAnsi"/>
                <w:b/>
                <w:bCs/>
              </w:rPr>
            </w:pPr>
            <w:r w:rsidRPr="002C0BD5">
              <w:rPr>
                <w:rFonts w:eastAsia="Calibri" w:cstheme="minorHAnsi"/>
                <w:b/>
                <w:bCs/>
              </w:rPr>
              <w:t xml:space="preserve">Uwaga </w:t>
            </w:r>
            <w:r>
              <w:rPr>
                <w:rFonts w:eastAsia="Calibri" w:cstheme="minorHAnsi"/>
                <w:b/>
                <w:bCs/>
              </w:rPr>
              <w:t>uwzględniona częściowo</w:t>
            </w:r>
            <w:r w:rsidRPr="002C0BD5">
              <w:rPr>
                <w:rFonts w:eastAsia="Calibri" w:cstheme="minorHAnsi"/>
                <w:b/>
                <w:bCs/>
              </w:rPr>
              <w:t>.</w:t>
            </w:r>
          </w:p>
          <w:p w14:paraId="19FCBDE3" w14:textId="6B152E63" w:rsidR="000461A3" w:rsidRPr="002C0BD5" w:rsidRDefault="000461A3" w:rsidP="000461A3">
            <w:pPr>
              <w:rPr>
                <w:rFonts w:eastAsia="Calibri" w:cstheme="minorHAnsi"/>
                <w:b/>
                <w:bCs/>
              </w:rPr>
            </w:pPr>
            <w:r w:rsidRPr="00422B63">
              <w:rPr>
                <w:rFonts w:eastAsia="Calibri" w:cstheme="minorHAnsi"/>
              </w:rPr>
              <w:t xml:space="preserve">Proponuje się nowe brzmienie </w:t>
            </w:r>
            <w:r w:rsidRPr="00422B63">
              <w:rPr>
                <w:rFonts w:cstheme="minorHAnsi"/>
              </w:rPr>
              <w:t>§</w:t>
            </w:r>
            <w:r w:rsidR="00FB7EA4">
              <w:rPr>
                <w:rFonts w:cstheme="minorHAnsi"/>
              </w:rPr>
              <w:t xml:space="preserve"> 7</w:t>
            </w:r>
            <w:r w:rsidRPr="00143A7C">
              <w:rPr>
                <w:rFonts w:cstheme="minorHAnsi"/>
              </w:rPr>
              <w:t xml:space="preserve"> w ust. 1</w:t>
            </w:r>
            <w:r>
              <w:rPr>
                <w:rFonts w:cstheme="minorHAnsi"/>
              </w:rPr>
              <w:t xml:space="preserve"> pkt 3:</w:t>
            </w:r>
          </w:p>
          <w:p w14:paraId="100D5E3F" w14:textId="77777777" w:rsidR="000461A3" w:rsidRDefault="000461A3" w:rsidP="000461A3">
            <w:pPr>
              <w:rPr>
                <w:rFonts w:eastAsia="Calibri" w:cstheme="minorHAnsi"/>
              </w:rPr>
            </w:pPr>
            <w:r w:rsidRPr="00422B63">
              <w:rPr>
                <w:rFonts w:eastAsia="Calibri" w:cstheme="minorHAnsi"/>
              </w:rPr>
              <w:t xml:space="preserve">„3. </w:t>
            </w:r>
            <w:r>
              <w:rPr>
                <w:rFonts w:eastAsia="Calibri" w:cstheme="minorHAnsi"/>
              </w:rPr>
              <w:t>d</w:t>
            </w:r>
            <w:r w:rsidRPr="00422B63">
              <w:rPr>
                <w:rFonts w:eastAsia="Calibri" w:cstheme="minorHAnsi"/>
              </w:rPr>
              <w:t>an</w:t>
            </w:r>
            <w:r>
              <w:rPr>
                <w:rFonts w:eastAsia="Calibri" w:cstheme="minorHAnsi"/>
              </w:rPr>
              <w:t xml:space="preserve">ych </w:t>
            </w:r>
            <w:r w:rsidRPr="00422B63">
              <w:rPr>
                <w:rFonts w:eastAsia="Calibri" w:cstheme="minorHAnsi"/>
              </w:rPr>
              <w:t>na dzień -</w:t>
            </w:r>
            <w:r>
              <w:rPr>
                <w:rFonts w:eastAsia="Calibri" w:cstheme="minorHAnsi"/>
              </w:rPr>
              <w:t xml:space="preserve"> </w:t>
            </w:r>
            <w:r w:rsidRPr="00652304">
              <w:t>informacji o dacie</w:t>
            </w:r>
            <w:r w:rsidRPr="00422B63">
              <w:rPr>
                <w:rFonts w:eastAsia="Calibri" w:cstheme="minorHAnsi"/>
              </w:rPr>
              <w:t xml:space="preserve"> stanu obowiązywania danych.”.</w:t>
            </w:r>
          </w:p>
          <w:p w14:paraId="6BE553E0" w14:textId="77777777" w:rsidR="000461A3" w:rsidRPr="00422B63" w:rsidRDefault="000461A3" w:rsidP="000461A3">
            <w:pPr>
              <w:rPr>
                <w:rFonts w:eastAsia="Calibri" w:cstheme="minorHAnsi"/>
              </w:rPr>
            </w:pPr>
          </w:p>
          <w:p w14:paraId="57CFB308" w14:textId="77777777" w:rsidR="000461A3" w:rsidRPr="00F366FB" w:rsidRDefault="000461A3" w:rsidP="000461A3">
            <w:pPr>
              <w:rPr>
                <w:rFonts w:eastAsia="Calibri" w:cstheme="minorHAnsi"/>
                <w:b/>
                <w:bCs/>
              </w:rPr>
            </w:pPr>
            <w:r w:rsidRPr="000D5419">
              <w:t>Proponuj</w:t>
            </w:r>
            <w:r>
              <w:t>e się</w:t>
            </w:r>
            <w:r w:rsidRPr="000D5419">
              <w:t xml:space="preserve"> pozostawienie obecne</w:t>
            </w:r>
            <w:r>
              <w:t>j nazwy metadanej, wydaje się ona najbardziej oddająca istotę omawianego pojęcia.</w:t>
            </w:r>
          </w:p>
        </w:tc>
      </w:tr>
      <w:tr w:rsidR="000461A3" w14:paraId="549DA499" w14:textId="77777777" w:rsidTr="00C61AED">
        <w:trPr>
          <w:trHeight w:val="2117"/>
        </w:trPr>
        <w:tc>
          <w:tcPr>
            <w:tcW w:w="611" w:type="dxa"/>
          </w:tcPr>
          <w:p w14:paraId="5D460109" w14:textId="77777777" w:rsidR="000461A3" w:rsidRDefault="00AE3B06" w:rsidP="000461A3">
            <w:pPr>
              <w:rPr>
                <w:rFonts w:cstheme="minorHAnsi"/>
              </w:rPr>
            </w:pPr>
            <w:r>
              <w:rPr>
                <w:rFonts w:cstheme="minorHAnsi"/>
              </w:rPr>
              <w:t>1</w:t>
            </w:r>
            <w:r w:rsidR="000461A3">
              <w:rPr>
                <w:rFonts w:cstheme="minorHAnsi"/>
              </w:rPr>
              <w:t>8</w:t>
            </w:r>
          </w:p>
        </w:tc>
        <w:tc>
          <w:tcPr>
            <w:tcW w:w="1609" w:type="dxa"/>
          </w:tcPr>
          <w:p w14:paraId="61A2B160" w14:textId="77777777" w:rsidR="000461A3" w:rsidRPr="00143A7C" w:rsidRDefault="000461A3" w:rsidP="000461A3">
            <w:pPr>
              <w:rPr>
                <w:rFonts w:cstheme="minorHAnsi"/>
                <w:b/>
              </w:rPr>
            </w:pPr>
            <w:r w:rsidRPr="00143A7C">
              <w:rPr>
                <w:rFonts w:cstheme="minorHAnsi"/>
                <w:b/>
              </w:rPr>
              <w:t>GUS</w:t>
            </w:r>
          </w:p>
        </w:tc>
        <w:tc>
          <w:tcPr>
            <w:tcW w:w="1319" w:type="dxa"/>
          </w:tcPr>
          <w:p w14:paraId="397B9A6C" w14:textId="77777777" w:rsidR="000461A3" w:rsidRPr="00143A7C" w:rsidRDefault="000461A3" w:rsidP="000461A3">
            <w:pPr>
              <w:rPr>
                <w:rFonts w:cstheme="minorHAnsi"/>
              </w:rPr>
            </w:pPr>
            <w:r w:rsidRPr="00143A7C">
              <w:rPr>
                <w:rFonts w:cstheme="minorHAnsi"/>
              </w:rPr>
              <w:t>§ 8</w:t>
            </w:r>
          </w:p>
        </w:tc>
        <w:tc>
          <w:tcPr>
            <w:tcW w:w="6760" w:type="dxa"/>
          </w:tcPr>
          <w:p w14:paraId="55E00650" w14:textId="77777777" w:rsidR="000461A3" w:rsidRPr="00143A7C" w:rsidRDefault="000461A3" w:rsidP="000461A3">
            <w:pPr>
              <w:jc w:val="both"/>
              <w:rPr>
                <w:rFonts w:cstheme="minorHAnsi"/>
              </w:rPr>
            </w:pPr>
            <w:r w:rsidRPr="00143A7C">
              <w:rPr>
                <w:rFonts w:cstheme="minorHAnsi"/>
              </w:rPr>
              <w:t xml:space="preserve">W § 8 w ust. 1: </w:t>
            </w:r>
          </w:p>
          <w:p w14:paraId="0E5F062E" w14:textId="77777777" w:rsidR="000461A3" w:rsidRPr="00143A7C" w:rsidRDefault="000461A3" w:rsidP="000461A3">
            <w:pPr>
              <w:jc w:val="both"/>
              <w:rPr>
                <w:rFonts w:cstheme="minorHAnsi"/>
              </w:rPr>
            </w:pPr>
            <w:r w:rsidRPr="00143A7C">
              <w:rPr>
                <w:rFonts w:cstheme="minorHAnsi"/>
              </w:rPr>
              <w:t>c) w pkt 5 wyrazy „lokalizacji danych” proponuje sia zastąpić wyrazami „zakresu terytorialnego danych”. Pojęcie „lokalizacja danych” wskazywałaby na miejsce posadowienia (przechowywania) zbioru danych, natomiast inny jest cel tego przepisu.</w:t>
            </w:r>
          </w:p>
        </w:tc>
        <w:tc>
          <w:tcPr>
            <w:tcW w:w="3730" w:type="dxa"/>
          </w:tcPr>
          <w:p w14:paraId="6E7CC164" w14:textId="3456CC2E" w:rsidR="000461A3" w:rsidRPr="00143A7C" w:rsidRDefault="000461A3" w:rsidP="000461A3">
            <w:pPr>
              <w:rPr>
                <w:rFonts w:eastAsia="Calibri" w:cstheme="minorHAnsi"/>
              </w:rPr>
            </w:pPr>
            <w:r w:rsidRPr="003D0B4D">
              <w:rPr>
                <w:rFonts w:eastAsia="Calibri" w:cstheme="minorHAnsi"/>
                <w:b/>
                <w:bCs/>
              </w:rPr>
              <w:t>Uwaga</w:t>
            </w:r>
            <w:r w:rsidR="00DE49B8">
              <w:rPr>
                <w:rFonts w:eastAsia="Calibri" w:cstheme="minorHAnsi"/>
                <w:b/>
                <w:bCs/>
              </w:rPr>
              <w:t xml:space="preserve"> nieuwzględniona</w:t>
            </w:r>
            <w:r w:rsidRPr="00143A7C">
              <w:rPr>
                <w:rFonts w:eastAsia="Calibri" w:cstheme="minorHAnsi"/>
              </w:rPr>
              <w:t>.</w:t>
            </w:r>
          </w:p>
          <w:p w14:paraId="4313F963" w14:textId="77777777" w:rsidR="000461A3" w:rsidRDefault="000461A3" w:rsidP="000461A3">
            <w:pPr>
              <w:rPr>
                <w:rFonts w:eastAsia="Calibri" w:cstheme="minorHAnsi"/>
              </w:rPr>
            </w:pPr>
            <w:r w:rsidRPr="00A94B52">
              <w:rPr>
                <w:rFonts w:eastAsia="Calibri" w:cstheme="minorHAnsi"/>
              </w:rPr>
              <w:t xml:space="preserve">Charakterystyka metadanej została wystarczająco wyjaśniona w definiensie, wskazując na zasięg terytorialny danych. </w:t>
            </w:r>
          </w:p>
          <w:p w14:paraId="70531FB5" w14:textId="77777777" w:rsidR="000461A3" w:rsidRDefault="000461A3" w:rsidP="000461A3">
            <w:pPr>
              <w:rPr>
                <w:rFonts w:eastAsia="Calibri" w:cstheme="minorHAnsi"/>
              </w:rPr>
            </w:pPr>
          </w:p>
          <w:p w14:paraId="3FF44D4D" w14:textId="77777777" w:rsidR="000461A3" w:rsidRDefault="000461A3" w:rsidP="000461A3">
            <w:pPr>
              <w:rPr>
                <w:rFonts w:eastAsia="Calibri" w:cstheme="minorHAnsi"/>
              </w:rPr>
            </w:pPr>
            <w:r>
              <w:rPr>
                <w:rFonts w:eastAsia="Calibri" w:cstheme="minorHAnsi"/>
              </w:rPr>
              <w:t xml:space="preserve">Według projektodawcy, nazwa metadanej jest adekwatna do intencji właściwości metadanej. </w:t>
            </w:r>
          </w:p>
          <w:p w14:paraId="1A466834" w14:textId="77777777" w:rsidR="000461A3" w:rsidRDefault="000461A3" w:rsidP="000461A3">
            <w:pPr>
              <w:rPr>
                <w:rFonts w:eastAsia="Calibri" w:cstheme="minorHAnsi"/>
              </w:rPr>
            </w:pPr>
          </w:p>
          <w:p w14:paraId="06CF2A7D" w14:textId="7C3A9037" w:rsidR="000461A3" w:rsidRPr="00D56182" w:rsidRDefault="000461A3" w:rsidP="000461A3">
            <w:pPr>
              <w:rPr>
                <w:rFonts w:eastAsia="Calibri" w:cstheme="minorHAnsi"/>
              </w:rPr>
            </w:pPr>
            <w:r>
              <w:rPr>
                <w:rFonts w:eastAsia="Calibri" w:cstheme="minorHAnsi"/>
              </w:rPr>
              <w:t>Dotychczas nie zgłoszono uwag od użytkowników, w zakresie niejasności przedmiotowe</w:t>
            </w:r>
            <w:r w:rsidR="009970AD">
              <w:rPr>
                <w:rFonts w:eastAsia="Calibri" w:cstheme="minorHAnsi"/>
              </w:rPr>
              <w:t>j</w:t>
            </w:r>
            <w:r>
              <w:rPr>
                <w:rFonts w:eastAsia="Calibri" w:cstheme="minorHAnsi"/>
              </w:rPr>
              <w:t xml:space="preserve"> metadanej.</w:t>
            </w:r>
            <w:r w:rsidR="009970AD">
              <w:rPr>
                <w:rFonts w:eastAsia="Calibri" w:cstheme="minorHAnsi"/>
              </w:rPr>
              <w:t xml:space="preserve"> </w:t>
            </w:r>
            <w:r>
              <w:rPr>
                <w:rFonts w:eastAsia="Calibri" w:cstheme="minorHAnsi"/>
              </w:rPr>
              <w:t xml:space="preserve">Ponadto, </w:t>
            </w:r>
            <w:r w:rsidR="009970AD">
              <w:rPr>
                <w:rFonts w:eastAsia="Calibri" w:cstheme="minorHAnsi"/>
              </w:rPr>
              <w:t>w</w:t>
            </w:r>
            <w:r>
              <w:rPr>
                <w:rFonts w:eastAsia="Calibri" w:cstheme="minorHAnsi"/>
              </w:rPr>
              <w:t xml:space="preserve"> portalu znajdują się „podpowiedzi” objaśniające użytkownikom istotę metadanej.</w:t>
            </w:r>
          </w:p>
        </w:tc>
      </w:tr>
      <w:tr w:rsidR="000461A3" w14:paraId="4B822039" w14:textId="77777777" w:rsidTr="000461A3">
        <w:trPr>
          <w:trHeight w:val="694"/>
        </w:trPr>
        <w:tc>
          <w:tcPr>
            <w:tcW w:w="611" w:type="dxa"/>
          </w:tcPr>
          <w:p w14:paraId="3EC05B59" w14:textId="77777777" w:rsidR="000461A3" w:rsidRDefault="00AE3B06" w:rsidP="000461A3">
            <w:pPr>
              <w:rPr>
                <w:rFonts w:cstheme="minorHAnsi"/>
              </w:rPr>
            </w:pPr>
            <w:r>
              <w:rPr>
                <w:rFonts w:cstheme="minorHAnsi"/>
              </w:rPr>
              <w:t>1</w:t>
            </w:r>
            <w:r w:rsidR="000461A3">
              <w:rPr>
                <w:rFonts w:cstheme="minorHAnsi"/>
              </w:rPr>
              <w:t>9</w:t>
            </w:r>
          </w:p>
        </w:tc>
        <w:tc>
          <w:tcPr>
            <w:tcW w:w="1609" w:type="dxa"/>
          </w:tcPr>
          <w:p w14:paraId="747D3008" w14:textId="77777777" w:rsidR="000461A3" w:rsidRPr="00143A7C" w:rsidRDefault="000461A3" w:rsidP="000461A3">
            <w:pPr>
              <w:rPr>
                <w:rFonts w:cstheme="minorHAnsi"/>
                <w:b/>
              </w:rPr>
            </w:pPr>
            <w:r w:rsidRPr="00143A7C">
              <w:rPr>
                <w:rFonts w:cstheme="minorHAnsi"/>
                <w:b/>
              </w:rPr>
              <w:t>GUS</w:t>
            </w:r>
          </w:p>
        </w:tc>
        <w:tc>
          <w:tcPr>
            <w:tcW w:w="1319" w:type="dxa"/>
          </w:tcPr>
          <w:p w14:paraId="01A8A6C9" w14:textId="77777777" w:rsidR="000461A3" w:rsidRPr="00143A7C" w:rsidRDefault="000461A3" w:rsidP="000461A3">
            <w:pPr>
              <w:rPr>
                <w:rFonts w:cstheme="minorHAnsi"/>
              </w:rPr>
            </w:pPr>
          </w:p>
        </w:tc>
        <w:tc>
          <w:tcPr>
            <w:tcW w:w="6760" w:type="dxa"/>
          </w:tcPr>
          <w:p w14:paraId="3E131482" w14:textId="77777777" w:rsidR="000461A3" w:rsidRPr="00143A7C" w:rsidRDefault="000461A3" w:rsidP="000461A3">
            <w:pPr>
              <w:jc w:val="both"/>
              <w:rPr>
                <w:rFonts w:cstheme="minorHAnsi"/>
              </w:rPr>
            </w:pPr>
            <w:r w:rsidRPr="00143A7C">
              <w:rPr>
                <w:rFonts w:cstheme="minorHAnsi"/>
              </w:rPr>
              <w:t xml:space="preserve">Mając na uwadze zakres metadanych, jakie wymieniono w § 8 ust. 1, </w:t>
            </w:r>
            <w:r w:rsidRPr="0017602C">
              <w:rPr>
                <w:rFonts w:cstheme="minorHAnsi"/>
                <w:b/>
                <w:bCs/>
              </w:rPr>
              <w:t>niezrozumiałe jest rozróżnienie na „metadane dla zbioru danych”</w:t>
            </w:r>
            <w:r w:rsidRPr="00143A7C">
              <w:rPr>
                <w:rFonts w:cstheme="minorHAnsi"/>
              </w:rPr>
              <w:t xml:space="preserve"> (opisane w § 7) i „metadane opisujące dane” (opisane w § 8). </w:t>
            </w:r>
            <w:r w:rsidRPr="00BA3BE8">
              <w:rPr>
                <w:rFonts w:cstheme="minorHAnsi"/>
                <w:b/>
                <w:bCs/>
              </w:rPr>
              <w:t>Zarówno metadane ujęte w § 7, jak i § 8 dotyczą de facto całego zbioru danych, a nie konkretnych jego zmiennych</w:t>
            </w:r>
            <w:r w:rsidRPr="00143A7C">
              <w:rPr>
                <w:rFonts w:cstheme="minorHAnsi"/>
              </w:rPr>
              <w:t xml:space="preserve">. Sytuacja byłaby inna, gdyby w § 8 ust. 1 wymieniono takie metadane, jak np.: „jednostka miary” (właściwa dla konkretnej zmiennej w zbiorze, ale nie dla całego zbioru), „nazwa </w:t>
            </w:r>
            <w:r w:rsidRPr="00143A7C">
              <w:rPr>
                <w:rFonts w:cstheme="minorHAnsi"/>
              </w:rPr>
              <w:lastRenderedPageBreak/>
              <w:t>zmiennej” (konkretnej zmiennej w zbiorze, a nie całego zbioru), „definicja zmiennej”</w:t>
            </w:r>
          </w:p>
        </w:tc>
        <w:tc>
          <w:tcPr>
            <w:tcW w:w="3730" w:type="dxa"/>
          </w:tcPr>
          <w:p w14:paraId="7D068E80" w14:textId="6E6810B0" w:rsidR="000461A3" w:rsidRPr="00143A7C" w:rsidRDefault="000461A3" w:rsidP="000461A3">
            <w:pPr>
              <w:rPr>
                <w:rFonts w:eastAsia="Calibri" w:cstheme="minorHAnsi"/>
              </w:rPr>
            </w:pPr>
            <w:r w:rsidRPr="004B4165">
              <w:rPr>
                <w:rFonts w:eastAsia="Calibri" w:cstheme="minorHAnsi"/>
                <w:b/>
                <w:bCs/>
              </w:rPr>
              <w:lastRenderedPageBreak/>
              <w:t xml:space="preserve">Uwaga </w:t>
            </w:r>
            <w:r w:rsidR="00DE49B8">
              <w:rPr>
                <w:rFonts w:eastAsia="Calibri" w:cstheme="minorHAnsi"/>
                <w:b/>
                <w:bCs/>
              </w:rPr>
              <w:t>nieuwzględniona</w:t>
            </w:r>
            <w:r w:rsidRPr="004B4165">
              <w:rPr>
                <w:rFonts w:eastAsia="Calibri" w:cstheme="minorHAnsi"/>
                <w:b/>
                <w:bCs/>
              </w:rPr>
              <w:t>.</w:t>
            </w:r>
          </w:p>
          <w:p w14:paraId="7F95B08B" w14:textId="0E3F6812" w:rsidR="000461A3" w:rsidRPr="00143A7C" w:rsidRDefault="000461A3" w:rsidP="000461A3">
            <w:pPr>
              <w:rPr>
                <w:rFonts w:eastAsia="Calibri" w:cstheme="minorHAnsi"/>
              </w:rPr>
            </w:pPr>
            <w:r w:rsidRPr="00143A7C">
              <w:rPr>
                <w:rFonts w:eastAsia="Calibri" w:cstheme="minorHAnsi"/>
              </w:rPr>
              <w:t xml:space="preserve">Podział </w:t>
            </w:r>
            <w:r w:rsidR="00D56182">
              <w:rPr>
                <w:rFonts w:eastAsia="Calibri" w:cstheme="minorHAnsi"/>
              </w:rPr>
              <w:t>m</w:t>
            </w:r>
            <w:r w:rsidRPr="00143A7C">
              <w:rPr>
                <w:rFonts w:eastAsia="Calibri" w:cstheme="minorHAnsi"/>
              </w:rPr>
              <w:t>etadan</w:t>
            </w:r>
            <w:r w:rsidR="00D56182">
              <w:rPr>
                <w:rFonts w:eastAsia="Calibri" w:cstheme="minorHAnsi"/>
              </w:rPr>
              <w:t>ych</w:t>
            </w:r>
            <w:r w:rsidRPr="00143A7C">
              <w:rPr>
                <w:rFonts w:eastAsia="Calibri" w:cstheme="minorHAnsi"/>
              </w:rPr>
              <w:t xml:space="preserve"> </w:t>
            </w:r>
            <w:r>
              <w:rPr>
                <w:rFonts w:eastAsia="Calibri" w:cstheme="minorHAnsi"/>
              </w:rPr>
              <w:t>ujęty w pr</w:t>
            </w:r>
            <w:r w:rsidR="00727DB5">
              <w:rPr>
                <w:rFonts w:eastAsia="Calibri" w:cstheme="minorHAnsi"/>
              </w:rPr>
              <w:t xml:space="preserve">ojekcie </w:t>
            </w:r>
            <w:r>
              <w:rPr>
                <w:rFonts w:eastAsia="Calibri" w:cstheme="minorHAnsi"/>
              </w:rPr>
              <w:t xml:space="preserve">rozporządzenia </w:t>
            </w:r>
            <w:r w:rsidRPr="00143A7C">
              <w:rPr>
                <w:rFonts w:eastAsia="Calibri" w:cstheme="minorHAnsi"/>
              </w:rPr>
              <w:t>już obowiązuj</w:t>
            </w:r>
            <w:r>
              <w:rPr>
                <w:rFonts w:eastAsia="Calibri" w:cstheme="minorHAnsi"/>
              </w:rPr>
              <w:t xml:space="preserve">e w portalu </w:t>
            </w:r>
            <w:r w:rsidR="009970AD">
              <w:rPr>
                <w:rFonts w:eastAsia="Calibri" w:cstheme="minorHAnsi"/>
              </w:rPr>
              <w:t xml:space="preserve">Dane.gov.pl, </w:t>
            </w:r>
            <w:r>
              <w:rPr>
                <w:rFonts w:eastAsia="Calibri" w:cstheme="minorHAnsi"/>
              </w:rPr>
              <w:t xml:space="preserve">jak i jest zbieżny z podziałem uregulowanym w obowiązujący rozporządzeniu </w:t>
            </w:r>
            <w:r w:rsidR="009970AD">
              <w:rPr>
                <w:rFonts w:eastAsia="Calibri" w:cstheme="minorHAnsi"/>
              </w:rPr>
              <w:t xml:space="preserve">Rady </w:t>
            </w:r>
            <w:r w:rsidR="009970AD">
              <w:rPr>
                <w:rFonts w:eastAsia="Calibri" w:cstheme="minorHAnsi"/>
              </w:rPr>
              <w:lastRenderedPageBreak/>
              <w:t xml:space="preserve">Ministrów </w:t>
            </w:r>
            <w:r>
              <w:rPr>
                <w:rFonts w:eastAsia="Calibri" w:cstheme="minorHAnsi"/>
              </w:rPr>
              <w:t>w spr</w:t>
            </w:r>
            <w:r w:rsidR="009970AD">
              <w:rPr>
                <w:rFonts w:eastAsia="Calibri" w:cstheme="minorHAnsi"/>
              </w:rPr>
              <w:t>awie</w:t>
            </w:r>
            <w:r>
              <w:rPr>
                <w:rFonts w:eastAsia="Calibri" w:cstheme="minorHAnsi"/>
              </w:rPr>
              <w:t xml:space="preserve"> </w:t>
            </w:r>
            <w:r w:rsidR="009970AD">
              <w:rPr>
                <w:rFonts w:eastAsia="Calibri" w:cstheme="minorHAnsi"/>
              </w:rPr>
              <w:t>centralnego repozytorium informacji publicznej</w:t>
            </w:r>
            <w:r>
              <w:rPr>
                <w:rFonts w:eastAsia="Calibri" w:cstheme="minorHAnsi"/>
              </w:rPr>
              <w:t xml:space="preserve">. </w:t>
            </w:r>
          </w:p>
          <w:p w14:paraId="2CA2C201" w14:textId="77777777" w:rsidR="000461A3" w:rsidRPr="00143A7C" w:rsidRDefault="000461A3" w:rsidP="000461A3">
            <w:pPr>
              <w:rPr>
                <w:rFonts w:eastAsia="Calibri" w:cstheme="minorHAnsi"/>
              </w:rPr>
            </w:pPr>
          </w:p>
          <w:p w14:paraId="7AF95D6D" w14:textId="53FD7739" w:rsidR="000461A3" w:rsidRPr="002C0BD5" w:rsidRDefault="000461A3" w:rsidP="000461A3">
            <w:pPr>
              <w:rPr>
                <w:rFonts w:eastAsia="Calibri" w:cstheme="minorHAnsi"/>
                <w:b/>
                <w:bCs/>
              </w:rPr>
            </w:pPr>
            <w:r w:rsidRPr="009C1FFB">
              <w:rPr>
                <w:rFonts w:eastAsia="Calibri" w:cstheme="minorHAnsi"/>
              </w:rPr>
              <w:t xml:space="preserve">Przykłady </w:t>
            </w:r>
            <w:r w:rsidR="009970AD">
              <w:rPr>
                <w:rFonts w:eastAsia="Calibri" w:cstheme="minorHAnsi"/>
              </w:rPr>
              <w:t>danych</w:t>
            </w:r>
            <w:r w:rsidRPr="009C1FFB">
              <w:rPr>
                <w:rFonts w:eastAsia="Calibri" w:cstheme="minorHAnsi"/>
              </w:rPr>
              <w:t xml:space="preserve"> i zbiorów</w:t>
            </w:r>
            <w:r w:rsidR="009970AD">
              <w:rPr>
                <w:rFonts w:eastAsia="Calibri" w:cstheme="minorHAnsi"/>
              </w:rPr>
              <w:t xml:space="preserve"> danych</w:t>
            </w:r>
            <w:r w:rsidRPr="009C1FFB">
              <w:rPr>
                <w:rFonts w:eastAsia="Calibri" w:cstheme="minorHAnsi"/>
              </w:rPr>
              <w:t xml:space="preserve"> publikowanych, pokazuj</w:t>
            </w:r>
            <w:r>
              <w:rPr>
                <w:rFonts w:eastAsia="Calibri" w:cstheme="minorHAnsi"/>
              </w:rPr>
              <w:t xml:space="preserve">ą </w:t>
            </w:r>
            <w:r w:rsidR="009970AD">
              <w:rPr>
                <w:rFonts w:eastAsia="Calibri" w:cstheme="minorHAnsi"/>
              </w:rPr>
              <w:t>ż</w:t>
            </w:r>
            <w:r w:rsidR="00727DB5">
              <w:rPr>
                <w:rFonts w:eastAsia="Calibri" w:cstheme="minorHAnsi"/>
              </w:rPr>
              <w:t>e rozróżnienie jest konieczne.</w:t>
            </w:r>
            <w:r w:rsidRPr="009C1FFB">
              <w:rPr>
                <w:rFonts w:eastAsia="Calibri" w:cstheme="minorHAnsi"/>
              </w:rPr>
              <w:t xml:space="preserve"> Zbiór </w:t>
            </w:r>
            <w:r w:rsidR="009970AD">
              <w:rPr>
                <w:rFonts w:eastAsia="Calibri" w:cstheme="minorHAnsi"/>
              </w:rPr>
              <w:t xml:space="preserve">danych </w:t>
            </w:r>
            <w:r w:rsidRPr="009C1FFB">
              <w:rPr>
                <w:rFonts w:eastAsia="Calibri" w:cstheme="minorHAnsi"/>
              </w:rPr>
              <w:t xml:space="preserve">jest </w:t>
            </w:r>
            <w:r w:rsidR="009970AD" w:rsidRPr="009C1FFB">
              <w:rPr>
                <w:rFonts w:eastAsia="Calibri" w:cstheme="minorHAnsi"/>
              </w:rPr>
              <w:t>zestawem,</w:t>
            </w:r>
            <w:r w:rsidRPr="009C1FFB">
              <w:rPr>
                <w:rFonts w:eastAsia="Calibri" w:cstheme="minorHAnsi"/>
              </w:rPr>
              <w:t xml:space="preserve"> w ramach którego może mieścić się wiele</w:t>
            </w:r>
            <w:r w:rsidR="009970AD">
              <w:rPr>
                <w:rFonts w:eastAsia="Calibri" w:cstheme="minorHAnsi"/>
              </w:rPr>
              <w:t xml:space="preserve"> </w:t>
            </w:r>
            <w:r>
              <w:rPr>
                <w:rFonts w:eastAsia="Calibri" w:cstheme="minorHAnsi"/>
              </w:rPr>
              <w:t>danych)</w:t>
            </w:r>
            <w:r w:rsidRPr="009C1FFB">
              <w:rPr>
                <w:rFonts w:eastAsia="Calibri" w:cstheme="minorHAnsi"/>
              </w:rPr>
              <w:t xml:space="preserve"> w podziale np. na okresy, płeć, regiony, wiek.</w:t>
            </w:r>
            <w:r>
              <w:rPr>
                <w:rFonts w:eastAsia="Calibri" w:cstheme="minorHAnsi"/>
              </w:rPr>
              <w:t xml:space="preserve"> </w:t>
            </w:r>
            <w:r w:rsidRPr="009C1FFB">
              <w:rPr>
                <w:rFonts w:eastAsia="Calibri" w:cstheme="minorHAnsi"/>
              </w:rPr>
              <w:t>I każd</w:t>
            </w:r>
            <w:r w:rsidR="009970AD">
              <w:rPr>
                <w:rFonts w:eastAsia="Calibri" w:cstheme="minorHAnsi"/>
              </w:rPr>
              <w:t xml:space="preserve">a </w:t>
            </w:r>
            <w:r>
              <w:rPr>
                <w:rFonts w:eastAsia="Calibri" w:cstheme="minorHAnsi"/>
              </w:rPr>
              <w:t>dan</w:t>
            </w:r>
            <w:r w:rsidR="009970AD">
              <w:rPr>
                <w:rFonts w:eastAsia="Calibri" w:cstheme="minorHAnsi"/>
              </w:rPr>
              <w:t>a w ramach zbioru</w:t>
            </w:r>
            <w:r w:rsidRPr="009C1FFB">
              <w:rPr>
                <w:rFonts w:eastAsia="Calibri" w:cstheme="minorHAnsi"/>
              </w:rPr>
              <w:t xml:space="preserve"> </w:t>
            </w:r>
            <w:r w:rsidR="009970AD">
              <w:rPr>
                <w:rFonts w:eastAsia="Calibri" w:cstheme="minorHAnsi"/>
              </w:rPr>
              <w:t>może p</w:t>
            </w:r>
            <w:r w:rsidRPr="009C1FFB">
              <w:rPr>
                <w:rFonts w:eastAsia="Calibri" w:cstheme="minorHAnsi"/>
              </w:rPr>
              <w:t>osiadać inną metadaną</w:t>
            </w:r>
            <w:r>
              <w:rPr>
                <w:rFonts w:eastAsia="Calibri" w:cstheme="minorHAnsi"/>
              </w:rPr>
              <w:t xml:space="preserve"> jak np. typ, data na dzień.  </w:t>
            </w:r>
          </w:p>
        </w:tc>
      </w:tr>
      <w:tr w:rsidR="00AE3B06" w14:paraId="3A8A0F67" w14:textId="77777777" w:rsidTr="00AE3B06">
        <w:trPr>
          <w:trHeight w:val="2121"/>
        </w:trPr>
        <w:tc>
          <w:tcPr>
            <w:tcW w:w="611" w:type="dxa"/>
          </w:tcPr>
          <w:p w14:paraId="5A1B0DD6" w14:textId="77777777" w:rsidR="00AE3B06" w:rsidRDefault="00AE3B06" w:rsidP="00AE3B06">
            <w:pPr>
              <w:rPr>
                <w:rFonts w:cstheme="minorHAnsi"/>
              </w:rPr>
            </w:pPr>
            <w:r>
              <w:rPr>
                <w:rFonts w:cstheme="minorHAnsi"/>
              </w:rPr>
              <w:lastRenderedPageBreak/>
              <w:t>20</w:t>
            </w:r>
          </w:p>
        </w:tc>
        <w:tc>
          <w:tcPr>
            <w:tcW w:w="1609" w:type="dxa"/>
          </w:tcPr>
          <w:p w14:paraId="5AEEB07E" w14:textId="77777777" w:rsidR="00AE3B06" w:rsidRPr="00143A7C" w:rsidRDefault="00AE3B06" w:rsidP="00AE3B06">
            <w:pPr>
              <w:rPr>
                <w:rFonts w:cstheme="minorHAnsi"/>
                <w:b/>
              </w:rPr>
            </w:pPr>
            <w:r w:rsidRPr="00143A7C">
              <w:rPr>
                <w:rFonts w:cstheme="minorHAnsi"/>
                <w:b/>
              </w:rPr>
              <w:t>GUS</w:t>
            </w:r>
          </w:p>
        </w:tc>
        <w:tc>
          <w:tcPr>
            <w:tcW w:w="1319" w:type="dxa"/>
          </w:tcPr>
          <w:p w14:paraId="11F5C53E" w14:textId="77777777" w:rsidR="00AE3B06" w:rsidRPr="00143A7C" w:rsidRDefault="00AE3B06" w:rsidP="00AE3B06">
            <w:pPr>
              <w:rPr>
                <w:rFonts w:cstheme="minorHAnsi"/>
              </w:rPr>
            </w:pPr>
          </w:p>
        </w:tc>
        <w:tc>
          <w:tcPr>
            <w:tcW w:w="6760" w:type="dxa"/>
          </w:tcPr>
          <w:p w14:paraId="1C9C8B7B" w14:textId="77777777" w:rsidR="00AE3B06" w:rsidRPr="00143A7C" w:rsidRDefault="00AE3B06" w:rsidP="00AE3B06">
            <w:pPr>
              <w:jc w:val="both"/>
              <w:rPr>
                <w:rFonts w:cstheme="minorHAnsi"/>
              </w:rPr>
            </w:pPr>
            <w:r w:rsidRPr="00143A7C">
              <w:rPr>
                <w:rFonts w:cstheme="minorHAnsi"/>
              </w:rPr>
              <w:t xml:space="preserve">W uzasadnieniu projektu (str. 9) wskazano, że: „Na wniosek dostawcy, istnieje możliwość zmiany użytkownika portalu uprawnionego do dodawania, aktualizowania i usuwania danych oraz metadanych portalu (§ 6 ust. 6 projektu rozporządzenia).”. W związku z tym do rozstrzygnięcia pozostaje kwestia, </w:t>
            </w:r>
            <w:r w:rsidRPr="003F0649">
              <w:rPr>
                <w:rFonts w:cstheme="minorHAnsi"/>
                <w:b/>
                <w:bCs/>
              </w:rPr>
              <w:t>czy wniosek dostawcy powinien mieć jakąś formalną postać oraz czy będzie możliwe usuwanie kont użytkowników</w:t>
            </w:r>
          </w:p>
        </w:tc>
        <w:tc>
          <w:tcPr>
            <w:tcW w:w="3730" w:type="dxa"/>
          </w:tcPr>
          <w:p w14:paraId="3C9FAAC0" w14:textId="77777777" w:rsidR="00AE3B06" w:rsidRPr="00143A7C" w:rsidRDefault="00AE3B06" w:rsidP="00AE3B06">
            <w:pPr>
              <w:rPr>
                <w:rFonts w:eastAsia="Calibri" w:cstheme="minorHAnsi"/>
                <w:b/>
                <w:bCs/>
              </w:rPr>
            </w:pPr>
            <w:r w:rsidRPr="00143A7C">
              <w:rPr>
                <w:rFonts w:eastAsia="Calibri" w:cstheme="minorHAnsi"/>
                <w:b/>
                <w:bCs/>
              </w:rPr>
              <w:t xml:space="preserve">Uwaga uwzględniona. </w:t>
            </w:r>
          </w:p>
          <w:p w14:paraId="54666303" w14:textId="265E2C79" w:rsidR="00AE3B06" w:rsidRDefault="00AE3B06" w:rsidP="00AE3B06">
            <w:pPr>
              <w:rPr>
                <w:rFonts w:eastAsia="Calibri" w:cstheme="minorHAnsi"/>
              </w:rPr>
            </w:pPr>
            <w:r w:rsidRPr="00143A7C">
              <w:rPr>
                <w:rFonts w:eastAsia="Calibri" w:cstheme="minorHAnsi"/>
              </w:rPr>
              <w:t xml:space="preserve">Uzasadnienie </w:t>
            </w:r>
            <w:r>
              <w:rPr>
                <w:rFonts w:eastAsia="Calibri" w:cstheme="minorHAnsi"/>
              </w:rPr>
              <w:t xml:space="preserve">do projektu </w:t>
            </w:r>
            <w:r w:rsidR="00727DB5">
              <w:rPr>
                <w:rFonts w:eastAsia="Calibri" w:cstheme="minorHAnsi"/>
              </w:rPr>
              <w:t>zostało</w:t>
            </w:r>
            <w:r w:rsidRPr="00143A7C">
              <w:rPr>
                <w:rFonts w:eastAsia="Calibri" w:cstheme="minorHAnsi"/>
              </w:rPr>
              <w:t xml:space="preserve"> zmodyfikowane. </w:t>
            </w:r>
          </w:p>
          <w:p w14:paraId="76F14D11" w14:textId="77777777" w:rsidR="00AE3B06" w:rsidRDefault="00AE3B06" w:rsidP="00AE3B06">
            <w:pPr>
              <w:rPr>
                <w:rFonts w:eastAsia="Calibri" w:cstheme="minorHAnsi"/>
              </w:rPr>
            </w:pPr>
          </w:p>
          <w:p w14:paraId="2226835B" w14:textId="77777777" w:rsidR="00AE3B06" w:rsidRPr="004B4165" w:rsidRDefault="00AE3B06" w:rsidP="00AE3B06">
            <w:pPr>
              <w:rPr>
                <w:rFonts w:eastAsia="Calibri" w:cstheme="minorHAnsi"/>
                <w:b/>
                <w:bCs/>
              </w:rPr>
            </w:pPr>
            <w:r>
              <w:rPr>
                <w:rFonts w:eastAsia="Calibri" w:cstheme="minorHAnsi"/>
              </w:rPr>
              <w:t xml:space="preserve">Odnosząc się do drugiej części uwagi, jest możliwe usuwanie kont użytkowników. </w:t>
            </w:r>
          </w:p>
        </w:tc>
      </w:tr>
      <w:tr w:rsidR="00AE3B06" w14:paraId="591AD096" w14:textId="77777777" w:rsidTr="00AE3B06">
        <w:trPr>
          <w:trHeight w:val="2109"/>
        </w:trPr>
        <w:tc>
          <w:tcPr>
            <w:tcW w:w="611" w:type="dxa"/>
          </w:tcPr>
          <w:p w14:paraId="5D7DB7FC" w14:textId="77777777" w:rsidR="00AE3B06" w:rsidRDefault="00AE3B06" w:rsidP="00AE3B06">
            <w:pPr>
              <w:rPr>
                <w:rFonts w:cstheme="minorHAnsi"/>
              </w:rPr>
            </w:pPr>
            <w:r>
              <w:rPr>
                <w:rFonts w:cstheme="minorHAnsi"/>
              </w:rPr>
              <w:t>21</w:t>
            </w:r>
          </w:p>
        </w:tc>
        <w:tc>
          <w:tcPr>
            <w:tcW w:w="1609" w:type="dxa"/>
          </w:tcPr>
          <w:p w14:paraId="3B082905" w14:textId="77777777" w:rsidR="00AE3B06" w:rsidRPr="00143A7C" w:rsidRDefault="00AE3B06" w:rsidP="00AE3B06">
            <w:pPr>
              <w:rPr>
                <w:rFonts w:cstheme="minorHAnsi"/>
                <w:b/>
              </w:rPr>
            </w:pPr>
            <w:r w:rsidRPr="00143A7C">
              <w:rPr>
                <w:rFonts w:cstheme="minorHAnsi"/>
                <w:b/>
              </w:rPr>
              <w:t>GUS</w:t>
            </w:r>
          </w:p>
        </w:tc>
        <w:tc>
          <w:tcPr>
            <w:tcW w:w="1319" w:type="dxa"/>
          </w:tcPr>
          <w:p w14:paraId="431A82ED" w14:textId="77777777" w:rsidR="00AE3B06" w:rsidRPr="00143A7C" w:rsidRDefault="00AE3B06" w:rsidP="00AE3B06">
            <w:pPr>
              <w:rPr>
                <w:rFonts w:cstheme="minorHAnsi"/>
              </w:rPr>
            </w:pPr>
          </w:p>
        </w:tc>
        <w:tc>
          <w:tcPr>
            <w:tcW w:w="6760" w:type="dxa"/>
          </w:tcPr>
          <w:p w14:paraId="6B1D9D54" w14:textId="77777777" w:rsidR="00AE3B06" w:rsidRPr="00143A7C" w:rsidRDefault="00AE3B06" w:rsidP="00AE3B06">
            <w:pPr>
              <w:jc w:val="both"/>
              <w:rPr>
                <w:rFonts w:cstheme="minorHAnsi"/>
              </w:rPr>
            </w:pPr>
            <w:r w:rsidRPr="00143A7C">
              <w:rPr>
                <w:rFonts w:cstheme="minorHAnsi"/>
              </w:rPr>
              <w:t>W Ocenie Skutków Regulacji w pkt 4 „Podmioty, na które oddziałuje projekt” zostały podane nieaktualne dane dotyczące liczby jednostek administracji samorządowej (tj. wg stanu na dzień 01.01.2020 r.). Aktualne dane (wg stanu na dzień 01.01.2022 r.) to: 2873 [16 województw, 314 powiatów i 66 miast na prawach powiatu, 2477 gmin (w tym 302 gminy miejskie, 662 gminy miejsko-wiejskie i 1513 gminy wiejskie)]</w:t>
            </w:r>
          </w:p>
        </w:tc>
        <w:tc>
          <w:tcPr>
            <w:tcW w:w="3730" w:type="dxa"/>
          </w:tcPr>
          <w:p w14:paraId="6A299A8C" w14:textId="77777777" w:rsidR="00AE3B06" w:rsidRPr="004B4165" w:rsidRDefault="00AE3B06" w:rsidP="00AE3B06">
            <w:pPr>
              <w:rPr>
                <w:rFonts w:eastAsia="Calibri" w:cstheme="minorHAnsi"/>
                <w:b/>
                <w:bCs/>
              </w:rPr>
            </w:pPr>
            <w:r w:rsidRPr="00FF4E15">
              <w:rPr>
                <w:rFonts w:eastAsia="Calibri" w:cstheme="minorHAnsi"/>
                <w:b/>
                <w:bCs/>
              </w:rPr>
              <w:t xml:space="preserve">Uwaga uwzględniona. </w:t>
            </w:r>
          </w:p>
        </w:tc>
      </w:tr>
      <w:tr w:rsidR="00AE3B06" w14:paraId="60B2431C" w14:textId="77777777" w:rsidTr="000461A3">
        <w:trPr>
          <w:trHeight w:val="2790"/>
        </w:trPr>
        <w:tc>
          <w:tcPr>
            <w:tcW w:w="611" w:type="dxa"/>
          </w:tcPr>
          <w:p w14:paraId="74C101A0" w14:textId="77777777" w:rsidR="00AE3B06" w:rsidRDefault="00AE3B06" w:rsidP="00AE3B06">
            <w:pPr>
              <w:rPr>
                <w:rFonts w:cstheme="minorHAnsi"/>
              </w:rPr>
            </w:pPr>
            <w:r>
              <w:rPr>
                <w:rFonts w:cstheme="minorHAnsi"/>
              </w:rPr>
              <w:lastRenderedPageBreak/>
              <w:t>22</w:t>
            </w:r>
          </w:p>
        </w:tc>
        <w:tc>
          <w:tcPr>
            <w:tcW w:w="1609" w:type="dxa"/>
          </w:tcPr>
          <w:p w14:paraId="2B684FFC" w14:textId="77777777" w:rsidR="00AE3B06" w:rsidRPr="00143A7C" w:rsidRDefault="00AE3B06" w:rsidP="00AE3B06">
            <w:pPr>
              <w:rPr>
                <w:rFonts w:cstheme="minorHAnsi"/>
                <w:b/>
              </w:rPr>
            </w:pPr>
            <w:r w:rsidRPr="00143A7C">
              <w:rPr>
                <w:rFonts w:cstheme="minorHAnsi"/>
                <w:b/>
              </w:rPr>
              <w:t>PAN</w:t>
            </w:r>
          </w:p>
        </w:tc>
        <w:tc>
          <w:tcPr>
            <w:tcW w:w="1319" w:type="dxa"/>
          </w:tcPr>
          <w:p w14:paraId="5BD14FEF" w14:textId="77777777" w:rsidR="00AE3B06" w:rsidRPr="00143A7C" w:rsidRDefault="00AE3B06" w:rsidP="00AE3B06">
            <w:pPr>
              <w:rPr>
                <w:rFonts w:cstheme="minorHAnsi"/>
              </w:rPr>
            </w:pPr>
          </w:p>
        </w:tc>
        <w:tc>
          <w:tcPr>
            <w:tcW w:w="6760" w:type="dxa"/>
          </w:tcPr>
          <w:p w14:paraId="07F4786B" w14:textId="77777777" w:rsidR="00AE3B06" w:rsidRPr="0017602C" w:rsidRDefault="00AE3B06" w:rsidP="00AE3B06">
            <w:pPr>
              <w:autoSpaceDE w:val="0"/>
              <w:autoSpaceDN w:val="0"/>
              <w:adjustRightInd w:val="0"/>
              <w:rPr>
                <w:rFonts w:cstheme="minorHAnsi"/>
                <w:color w:val="000000"/>
              </w:rPr>
            </w:pPr>
            <w:r w:rsidRPr="0017602C">
              <w:rPr>
                <w:rFonts w:cstheme="minorHAnsi"/>
                <w:color w:val="000000"/>
              </w:rPr>
              <w:t>Celem głównym Programu Otwierania Danych Publicznych na lata 2021-2027 (PODP) jest „poprawa jakości danych dostępnych w portalu Dane.gov.pl. Wynika to z faktu, iż jakość i informacja o jakości danych decydują o przydatności zbiorów do ponownego wykorzystania i możliwości zaufania danym przez użytkowników określonych przez PODP.</w:t>
            </w:r>
          </w:p>
          <w:p w14:paraId="48BC4643" w14:textId="77777777" w:rsidR="00AE3B06" w:rsidRPr="0017602C" w:rsidRDefault="00AE3B06" w:rsidP="00AE3B06">
            <w:pPr>
              <w:autoSpaceDE w:val="0"/>
              <w:autoSpaceDN w:val="0"/>
              <w:adjustRightInd w:val="0"/>
              <w:rPr>
                <w:rFonts w:cstheme="minorHAnsi"/>
                <w:color w:val="000000"/>
              </w:rPr>
            </w:pPr>
            <w:r w:rsidRPr="0017602C">
              <w:rPr>
                <w:rFonts w:cstheme="minorHAnsi"/>
                <w:color w:val="000000"/>
              </w:rPr>
              <w:t xml:space="preserve">Zgodnie z kluczowymi dokumentami europejskimi i krajowymi, </w:t>
            </w:r>
            <w:r w:rsidRPr="0017602C">
              <w:rPr>
                <w:rFonts w:cstheme="minorHAnsi"/>
                <w:b/>
                <w:bCs/>
                <w:color w:val="000000"/>
              </w:rPr>
              <w:t xml:space="preserve">udostępnianie otwartych danych bez informacji o ich jakości stanowi istotną barierę ograniczającą skalę ponownego wykorzystywania. </w:t>
            </w:r>
            <w:r w:rsidRPr="0017602C">
              <w:rPr>
                <w:rFonts w:cstheme="minorHAnsi"/>
                <w:color w:val="000000"/>
              </w:rPr>
              <w:t>Barierę tę należy eliminować poprzez u</w:t>
            </w:r>
            <w:r w:rsidRPr="0017602C">
              <w:rPr>
                <w:rFonts w:cstheme="minorHAnsi"/>
                <w:b/>
                <w:bCs/>
                <w:color w:val="000000"/>
              </w:rPr>
              <w:t xml:space="preserve">możliwienie dostawcom danych, opatrywanie zmieszanych na portalu Dane.gov.pl - zbiorów danych - metadanymi z informacją o ich jakości. </w:t>
            </w:r>
            <w:r w:rsidRPr="0017602C">
              <w:rPr>
                <w:rFonts w:cstheme="minorHAnsi"/>
                <w:color w:val="000000"/>
              </w:rPr>
              <w:t xml:space="preserve">W tym celu konieczne jest uzupełnienie projektowanego rozporządzenia w rozdziale czwartym: „Metadane Portalu” o kluczową informację określającą jakość udostępnianego zbioru danych (metodę pomiaru i wyniku pomiaru) i </w:t>
            </w:r>
            <w:r w:rsidRPr="0017602C">
              <w:rPr>
                <w:rFonts w:cstheme="minorHAnsi"/>
                <w:b/>
                <w:bCs/>
                <w:color w:val="000000"/>
              </w:rPr>
              <w:t>proponuje się w § 7 ust. 1 dodać pkt 12 w brzmieniu:</w:t>
            </w:r>
            <w:r w:rsidRPr="0017602C">
              <w:rPr>
                <w:rFonts w:cstheme="minorHAnsi"/>
                <w:color w:val="000000"/>
              </w:rPr>
              <w:t xml:space="preserve"> </w:t>
            </w:r>
          </w:p>
          <w:p w14:paraId="79E04450" w14:textId="77777777" w:rsidR="00AE3B06" w:rsidRPr="0017602C" w:rsidRDefault="00AE3B06" w:rsidP="00AE3B06">
            <w:pPr>
              <w:autoSpaceDE w:val="0"/>
              <w:autoSpaceDN w:val="0"/>
              <w:adjustRightInd w:val="0"/>
              <w:rPr>
                <w:rFonts w:cstheme="minorHAnsi"/>
                <w:color w:val="000000"/>
              </w:rPr>
            </w:pPr>
            <w:r w:rsidRPr="0017602C">
              <w:rPr>
                <w:rFonts w:cstheme="minorHAnsi"/>
                <w:color w:val="000000"/>
              </w:rPr>
              <w:t>„12) informacji o jakości danych”.</w:t>
            </w:r>
          </w:p>
          <w:p w14:paraId="2BA9B84F" w14:textId="77777777" w:rsidR="00AE3B06" w:rsidRPr="0017602C" w:rsidRDefault="00AE3B06" w:rsidP="00AE3B06">
            <w:pPr>
              <w:autoSpaceDE w:val="0"/>
              <w:autoSpaceDN w:val="0"/>
              <w:adjustRightInd w:val="0"/>
              <w:rPr>
                <w:rFonts w:cstheme="minorHAnsi"/>
                <w:color w:val="000000"/>
              </w:rPr>
            </w:pPr>
          </w:p>
          <w:p w14:paraId="2910834C" w14:textId="77777777" w:rsidR="00AE3B06" w:rsidRPr="0017602C" w:rsidRDefault="00AE3B06" w:rsidP="00AE3B06">
            <w:pPr>
              <w:autoSpaceDE w:val="0"/>
              <w:autoSpaceDN w:val="0"/>
              <w:adjustRightInd w:val="0"/>
              <w:rPr>
                <w:rFonts w:cstheme="minorHAnsi"/>
                <w:color w:val="000000"/>
              </w:rPr>
            </w:pPr>
            <w:r w:rsidRPr="0017602C">
              <w:rPr>
                <w:rFonts w:cstheme="minorHAnsi"/>
                <w:color w:val="000000"/>
              </w:rPr>
              <w:t>Przykład wartości: „ODQM:3:4:5:5:5” gdzie ODQM oznacza metodę, a wartości liczbowe określają jakość danych ODQM w poszczególnych klasach.</w:t>
            </w:r>
          </w:p>
          <w:p w14:paraId="7989B0DB" w14:textId="77777777" w:rsidR="00AE3B06" w:rsidRPr="0017602C" w:rsidRDefault="00AE3B06" w:rsidP="00AE3B06">
            <w:pPr>
              <w:autoSpaceDE w:val="0"/>
              <w:autoSpaceDN w:val="0"/>
              <w:adjustRightInd w:val="0"/>
              <w:rPr>
                <w:rFonts w:cstheme="minorHAnsi"/>
                <w:color w:val="000000"/>
              </w:rPr>
            </w:pPr>
          </w:p>
          <w:p w14:paraId="3252AEE1" w14:textId="77777777" w:rsidR="00AE3B06" w:rsidRPr="0017602C" w:rsidRDefault="00AE3B06" w:rsidP="00AE3B06">
            <w:pPr>
              <w:autoSpaceDE w:val="0"/>
              <w:autoSpaceDN w:val="0"/>
              <w:adjustRightInd w:val="0"/>
              <w:rPr>
                <w:rFonts w:cstheme="minorHAnsi"/>
                <w:color w:val="000000"/>
                <w:sz w:val="24"/>
                <w:szCs w:val="24"/>
              </w:rPr>
            </w:pPr>
            <w:r w:rsidRPr="0017602C">
              <w:rPr>
                <w:rFonts w:cstheme="minorHAnsi"/>
                <w:color w:val="000000"/>
              </w:rPr>
              <w:t>Włączenie metadanej zawierającej informacje o jakości nie tylko wyeliminuje kluczową barierę ponownego wykorzystania otwartych danych, ale też umożliwi śledzenie progresu w podnoszeniu jakości danych</w:t>
            </w:r>
            <w:r w:rsidRPr="0017602C">
              <w:rPr>
                <w:rFonts w:cstheme="minorHAnsi"/>
                <w:color w:val="000000"/>
                <w:sz w:val="24"/>
                <w:szCs w:val="24"/>
              </w:rPr>
              <w:t xml:space="preserve"> udostępnianych przez dostawców, co znacznie przyczyni się do realizacji celu głównego Programu Otwierania Danych Publicznych na lata 2021-2027.</w:t>
            </w:r>
          </w:p>
          <w:p w14:paraId="290BC82E" w14:textId="77777777" w:rsidR="00AE3B06" w:rsidRPr="00143A7C" w:rsidRDefault="00AE3B06" w:rsidP="00AE3B06">
            <w:pPr>
              <w:jc w:val="both"/>
              <w:rPr>
                <w:rFonts w:cstheme="minorHAnsi"/>
              </w:rPr>
            </w:pPr>
          </w:p>
        </w:tc>
        <w:tc>
          <w:tcPr>
            <w:tcW w:w="3730" w:type="dxa"/>
          </w:tcPr>
          <w:p w14:paraId="440B4967" w14:textId="0A6BAA34" w:rsidR="00AE3B06" w:rsidRDefault="00AE3B06" w:rsidP="00AE3B06">
            <w:pPr>
              <w:rPr>
                <w:rFonts w:eastAsia="Calibri" w:cstheme="minorHAnsi"/>
              </w:rPr>
            </w:pPr>
            <w:r>
              <w:rPr>
                <w:rFonts w:eastAsia="Calibri" w:cstheme="minorHAnsi"/>
                <w:b/>
                <w:bCs/>
              </w:rPr>
              <w:t xml:space="preserve">Uwaga </w:t>
            </w:r>
            <w:r w:rsidR="00DE49B8">
              <w:rPr>
                <w:rFonts w:eastAsia="Calibri" w:cstheme="minorHAnsi"/>
                <w:b/>
                <w:bCs/>
              </w:rPr>
              <w:t>nieuwzględniona</w:t>
            </w:r>
            <w:r>
              <w:rPr>
                <w:rFonts w:eastAsia="Calibri" w:cstheme="minorHAnsi"/>
                <w:b/>
                <w:bCs/>
              </w:rPr>
              <w:t>.</w:t>
            </w:r>
          </w:p>
          <w:p w14:paraId="000BD335" w14:textId="394FEF98" w:rsidR="00AE3B06" w:rsidRPr="004B4165" w:rsidRDefault="00AE3B06" w:rsidP="00FB7EA4">
            <w:pPr>
              <w:rPr>
                <w:rFonts w:eastAsia="Calibri" w:cstheme="minorHAnsi"/>
                <w:b/>
                <w:bCs/>
              </w:rPr>
            </w:pPr>
            <w:r>
              <w:rPr>
                <w:rFonts w:eastAsia="Calibri" w:cstheme="minorHAnsi"/>
              </w:rPr>
              <w:t xml:space="preserve">Projekt rozporządzenia reguluje kwestie jakości danych </w:t>
            </w:r>
            <w:r w:rsidRPr="002A01DF">
              <w:rPr>
                <w:rFonts w:eastAsia="Calibri" w:cstheme="minorHAnsi"/>
              </w:rPr>
              <w:t>w</w:t>
            </w:r>
            <w:r w:rsidRPr="002A01DF">
              <w:rPr>
                <w:rFonts w:eastAsia="Calibri" w:cstheme="minorHAnsi"/>
                <w:b/>
                <w:bCs/>
              </w:rPr>
              <w:t xml:space="preserve"> </w:t>
            </w:r>
            <w:r w:rsidR="00FB7EA4">
              <w:rPr>
                <w:rStyle w:val="Ppogrubienie"/>
                <w:b w:val="0"/>
              </w:rPr>
              <w:t>§ 7 ust. 3 pkt</w:t>
            </w:r>
            <w:r w:rsidRPr="00D56182">
              <w:rPr>
                <w:rStyle w:val="Ppogrubienie"/>
                <w:b w:val="0"/>
              </w:rPr>
              <w:t xml:space="preserve"> 6,</w:t>
            </w:r>
            <w:r w:rsidRPr="00D56182">
              <w:rPr>
                <w:rFonts w:eastAsia="Calibri" w:cstheme="minorHAnsi"/>
                <w:b/>
              </w:rPr>
              <w:t xml:space="preserve"> </w:t>
            </w:r>
            <w:r w:rsidRPr="00D56182">
              <w:rPr>
                <w:rFonts w:eastAsia="Calibri" w:cstheme="minorHAnsi"/>
                <w:bCs/>
              </w:rPr>
              <w:t>określając format i poziom</w:t>
            </w:r>
            <w:r>
              <w:rPr>
                <w:rFonts w:eastAsia="Calibri" w:cstheme="minorHAnsi"/>
              </w:rPr>
              <w:t xml:space="preserve"> otwartości danych opublikowanych w portalu. Dodatkowo, w portalu zaimplementowane są filtry ułatwiające przeszukiwanie danych z zakresu ww. metadanych. </w:t>
            </w:r>
          </w:p>
        </w:tc>
      </w:tr>
      <w:tr w:rsidR="0047655A" w14:paraId="4F098305" w14:textId="77777777" w:rsidTr="0047655A">
        <w:trPr>
          <w:trHeight w:val="978"/>
        </w:trPr>
        <w:tc>
          <w:tcPr>
            <w:tcW w:w="611" w:type="dxa"/>
          </w:tcPr>
          <w:p w14:paraId="31C5857B" w14:textId="77777777" w:rsidR="0047655A" w:rsidRDefault="0047655A" w:rsidP="0047655A">
            <w:pPr>
              <w:rPr>
                <w:rFonts w:cstheme="minorHAnsi"/>
              </w:rPr>
            </w:pPr>
            <w:r>
              <w:rPr>
                <w:rFonts w:cstheme="minorHAnsi"/>
              </w:rPr>
              <w:t>23</w:t>
            </w:r>
          </w:p>
        </w:tc>
        <w:tc>
          <w:tcPr>
            <w:tcW w:w="1609" w:type="dxa"/>
          </w:tcPr>
          <w:p w14:paraId="019E8DEA" w14:textId="77777777" w:rsidR="0047655A" w:rsidRPr="00143A7C" w:rsidRDefault="0047655A" w:rsidP="0047655A">
            <w:pPr>
              <w:rPr>
                <w:rFonts w:cstheme="minorHAnsi"/>
                <w:b/>
              </w:rPr>
            </w:pPr>
            <w:r w:rsidRPr="00143A7C">
              <w:rPr>
                <w:rFonts w:cstheme="minorHAnsi"/>
                <w:b/>
              </w:rPr>
              <w:t>Konfederacja</w:t>
            </w:r>
            <w:r w:rsidRPr="00143A7C">
              <w:rPr>
                <w:rFonts w:cstheme="minorHAnsi"/>
              </w:rPr>
              <w:t xml:space="preserve"> </w:t>
            </w:r>
            <w:r w:rsidRPr="00143A7C">
              <w:rPr>
                <w:rFonts w:cstheme="minorHAnsi"/>
                <w:b/>
                <w:bCs/>
              </w:rPr>
              <w:t>Lewiatan</w:t>
            </w:r>
          </w:p>
        </w:tc>
        <w:tc>
          <w:tcPr>
            <w:tcW w:w="1319" w:type="dxa"/>
          </w:tcPr>
          <w:p w14:paraId="3AB6EF66" w14:textId="77777777" w:rsidR="0047655A" w:rsidRPr="00143A7C" w:rsidRDefault="0047655A" w:rsidP="0047655A">
            <w:pPr>
              <w:rPr>
                <w:rFonts w:cstheme="minorHAnsi"/>
              </w:rPr>
            </w:pPr>
            <w:r w:rsidRPr="00143A7C">
              <w:rPr>
                <w:rFonts w:cstheme="minorHAnsi"/>
              </w:rPr>
              <w:t>§ 5</w:t>
            </w:r>
          </w:p>
        </w:tc>
        <w:tc>
          <w:tcPr>
            <w:tcW w:w="6760" w:type="dxa"/>
          </w:tcPr>
          <w:p w14:paraId="170AE809" w14:textId="77777777" w:rsidR="0047655A" w:rsidRPr="00143A7C" w:rsidRDefault="0047655A" w:rsidP="0047655A">
            <w:pPr>
              <w:jc w:val="both"/>
              <w:rPr>
                <w:rFonts w:cstheme="minorHAnsi"/>
              </w:rPr>
            </w:pPr>
            <w:r w:rsidRPr="00143A7C">
              <w:rPr>
                <w:rFonts w:cstheme="minorHAnsi"/>
              </w:rPr>
              <w:t xml:space="preserve">Odnośnie par. 5 projektu rozporządzenia: </w:t>
            </w:r>
          </w:p>
          <w:p w14:paraId="18746741" w14:textId="77777777" w:rsidR="0047655A" w:rsidRPr="00143A7C" w:rsidRDefault="0047655A" w:rsidP="0047655A">
            <w:pPr>
              <w:jc w:val="both"/>
              <w:rPr>
                <w:rFonts w:cstheme="minorHAnsi"/>
              </w:rPr>
            </w:pPr>
            <w:r w:rsidRPr="00143A7C">
              <w:rPr>
                <w:rFonts w:cstheme="minorHAnsi"/>
              </w:rPr>
              <w:t xml:space="preserve">Propozycja: </w:t>
            </w:r>
          </w:p>
          <w:p w14:paraId="44A9F51D" w14:textId="77777777" w:rsidR="0047655A" w:rsidRPr="00143A7C" w:rsidRDefault="0047655A" w:rsidP="0047655A">
            <w:pPr>
              <w:jc w:val="both"/>
              <w:rPr>
                <w:rFonts w:cstheme="minorHAnsi"/>
              </w:rPr>
            </w:pPr>
            <w:r w:rsidRPr="00143A7C">
              <w:rPr>
                <w:rFonts w:cstheme="minorHAnsi"/>
              </w:rPr>
              <w:t xml:space="preserve">„Przy zakładaniu i wykorzystywaniu konta użytkownika portalu stosuje się </w:t>
            </w:r>
            <w:r w:rsidRPr="00A372B2">
              <w:rPr>
                <w:rFonts w:cstheme="minorHAnsi"/>
                <w:b/>
                <w:bCs/>
              </w:rPr>
              <w:t xml:space="preserve">metody bezpiecznego uwierzytelniania” </w:t>
            </w:r>
          </w:p>
          <w:p w14:paraId="472D44D5" w14:textId="77777777" w:rsidR="0047655A" w:rsidRPr="00143A7C" w:rsidRDefault="0047655A" w:rsidP="0047655A">
            <w:pPr>
              <w:jc w:val="both"/>
              <w:rPr>
                <w:rFonts w:cstheme="minorHAnsi"/>
              </w:rPr>
            </w:pPr>
            <w:r w:rsidRPr="00143A7C">
              <w:rPr>
                <w:rFonts w:cstheme="minorHAnsi"/>
              </w:rPr>
              <w:lastRenderedPageBreak/>
              <w:t>Opcjonalnie:</w:t>
            </w:r>
          </w:p>
          <w:p w14:paraId="2EB67D6A" w14:textId="77777777" w:rsidR="0047655A" w:rsidRPr="00143A7C" w:rsidRDefault="0047655A" w:rsidP="0047655A">
            <w:pPr>
              <w:jc w:val="both"/>
              <w:rPr>
                <w:rFonts w:cstheme="minorHAnsi"/>
              </w:rPr>
            </w:pPr>
            <w:r w:rsidRPr="00143A7C">
              <w:rPr>
                <w:rFonts w:cstheme="minorHAnsi"/>
              </w:rPr>
              <w:t xml:space="preserve"> „Przy zakładaniu i wykorzystywaniu konta użytkownika portalu stosuje się metody bezpiecznego wieloskładnikowego uwierzytelniania”</w:t>
            </w:r>
          </w:p>
          <w:p w14:paraId="29F623C6" w14:textId="77777777" w:rsidR="0047655A" w:rsidRPr="00143A7C" w:rsidRDefault="0047655A" w:rsidP="0047655A">
            <w:pPr>
              <w:jc w:val="both"/>
              <w:rPr>
                <w:rFonts w:cstheme="minorHAnsi"/>
              </w:rPr>
            </w:pPr>
          </w:p>
          <w:p w14:paraId="62C73BB8" w14:textId="77777777" w:rsidR="0047655A" w:rsidRPr="00143A7C" w:rsidRDefault="0047655A" w:rsidP="0047655A">
            <w:pPr>
              <w:jc w:val="both"/>
              <w:rPr>
                <w:rFonts w:cstheme="minorHAnsi"/>
              </w:rPr>
            </w:pPr>
            <w:r w:rsidRPr="00143A7C">
              <w:rPr>
                <w:rFonts w:cstheme="minorHAnsi"/>
              </w:rPr>
              <w:t xml:space="preserve">Uzasadnienie: </w:t>
            </w:r>
            <w:r w:rsidRPr="00AA10EE">
              <w:rPr>
                <w:rFonts w:cstheme="minorHAnsi"/>
                <w:b/>
                <w:bCs/>
              </w:rPr>
              <w:t>Podany proces nie spełnia aktualnych wymagań cyberbezpieczeństwa i jest praktycznie najłatwiejszym sposobem do przejęcia tożsamości użytkownika.</w:t>
            </w:r>
            <w:r w:rsidRPr="00143A7C">
              <w:rPr>
                <w:rFonts w:cstheme="minorHAnsi"/>
              </w:rPr>
              <w:t xml:space="preserve"> Jeśli przyjmiemy, że adres poczty elektronicznej jest łatwy do odgadnięcia np. imie.nazwisko@instytucja.gov.pl to w zasadzie połowa zadania jest już wykonana. Warto przy tym przypomnieć, że brak wieloskładnikowego uwierzytelnienia był przyczyną wielu problemów np. wycieków mail z poczty elektronicznej, a także podstawą do nakładania kar przez Prezesa UODO. </w:t>
            </w:r>
            <w:r w:rsidRPr="00AA10EE">
              <w:rPr>
                <w:rFonts w:cstheme="minorHAnsi"/>
                <w:b/>
                <w:bCs/>
              </w:rPr>
              <w:t>Proponowany zapis nie definiuje w jakisposób ma nastąpić uwierzytelnienie, jednak wskazuje, że ma to być proces bezpieczny.</w:t>
            </w:r>
            <w:r w:rsidRPr="00143A7C">
              <w:rPr>
                <w:rFonts w:cstheme="minorHAnsi"/>
              </w:rPr>
              <w:t xml:space="preserve"> Chcemy podkreślić, że proces bezpiecznego uwierzytelnienia użytkownika powinien być stosowany nie tylko przy zakładaniu, ale także dalszej eksploatacji konta.</w:t>
            </w:r>
          </w:p>
        </w:tc>
        <w:tc>
          <w:tcPr>
            <w:tcW w:w="3730" w:type="dxa"/>
          </w:tcPr>
          <w:p w14:paraId="2441EA15" w14:textId="2269F9D5" w:rsidR="0047655A" w:rsidRDefault="0047655A" w:rsidP="0047655A">
            <w:pPr>
              <w:rPr>
                <w:rFonts w:eastAsia="Calibri" w:cstheme="minorHAnsi"/>
              </w:rPr>
            </w:pPr>
            <w:r w:rsidRPr="00371B9C">
              <w:rPr>
                <w:rFonts w:eastAsia="Calibri" w:cstheme="minorHAnsi"/>
                <w:b/>
                <w:bCs/>
              </w:rPr>
              <w:lastRenderedPageBreak/>
              <w:t>Wyjaśnienie</w:t>
            </w:r>
            <w:r>
              <w:rPr>
                <w:rFonts w:eastAsia="Calibri" w:cstheme="minorHAnsi"/>
              </w:rPr>
              <w:t>.</w:t>
            </w:r>
          </w:p>
          <w:p w14:paraId="0FBDF09D" w14:textId="4CC7A74C" w:rsidR="0047655A" w:rsidRDefault="0047655A" w:rsidP="0047655A">
            <w:pPr>
              <w:rPr>
                <w:rFonts w:eastAsia="Calibri" w:cstheme="minorHAnsi"/>
              </w:rPr>
            </w:pPr>
            <w:r>
              <w:rPr>
                <w:rFonts w:eastAsia="Calibri" w:cstheme="minorHAnsi"/>
              </w:rPr>
              <w:t>Zaproponowana m</w:t>
            </w:r>
            <w:r w:rsidRPr="00143A7C">
              <w:rPr>
                <w:rFonts w:eastAsia="Calibri" w:cstheme="minorHAnsi"/>
              </w:rPr>
              <w:t xml:space="preserve">odyfikacja </w:t>
            </w:r>
            <w:r w:rsidR="006D33B8" w:rsidRPr="00143A7C">
              <w:rPr>
                <w:rFonts w:cstheme="minorHAnsi"/>
              </w:rPr>
              <w:t>§</w:t>
            </w:r>
            <w:r w:rsidR="006D33B8">
              <w:rPr>
                <w:rFonts w:cstheme="minorHAnsi"/>
              </w:rPr>
              <w:t xml:space="preserve"> </w:t>
            </w:r>
            <w:r>
              <w:rPr>
                <w:rFonts w:eastAsia="Calibri" w:cstheme="minorHAnsi"/>
              </w:rPr>
              <w:t>5</w:t>
            </w:r>
            <w:r w:rsidR="006D33B8">
              <w:rPr>
                <w:rFonts w:eastAsia="Calibri" w:cstheme="minorHAnsi"/>
              </w:rPr>
              <w:t xml:space="preserve"> projektu rozporządzenia</w:t>
            </w:r>
            <w:r>
              <w:rPr>
                <w:rFonts w:eastAsia="Calibri" w:cstheme="minorHAnsi"/>
              </w:rPr>
              <w:t xml:space="preserve"> </w:t>
            </w:r>
            <w:r w:rsidRPr="00143A7C">
              <w:rPr>
                <w:rFonts w:eastAsia="Calibri" w:cstheme="minorHAnsi"/>
              </w:rPr>
              <w:t>wychodzi poza upoważnienie.</w:t>
            </w:r>
            <w:r>
              <w:rPr>
                <w:rFonts w:eastAsia="Calibri" w:cstheme="minorHAnsi"/>
              </w:rPr>
              <w:t xml:space="preserve"> </w:t>
            </w:r>
          </w:p>
          <w:p w14:paraId="7DBE3AB1" w14:textId="14049FF5" w:rsidR="0047655A" w:rsidRDefault="0047655A" w:rsidP="0047655A">
            <w:pPr>
              <w:rPr>
                <w:rFonts w:eastAsia="Calibri" w:cstheme="minorHAnsi"/>
              </w:rPr>
            </w:pPr>
            <w:r w:rsidRPr="005961C3">
              <w:rPr>
                <w:rFonts w:eastAsia="Calibri" w:cstheme="minorHAnsi"/>
              </w:rPr>
              <w:lastRenderedPageBreak/>
              <w:t xml:space="preserve">Wykorzystanie </w:t>
            </w:r>
            <w:r w:rsidR="00727DB5" w:rsidRPr="005961C3">
              <w:rPr>
                <w:rFonts w:eastAsia="Calibri" w:cstheme="minorHAnsi"/>
              </w:rPr>
              <w:t xml:space="preserve">węzła </w:t>
            </w:r>
            <w:r w:rsidRPr="005961C3">
              <w:rPr>
                <w:rFonts w:eastAsia="Calibri" w:cstheme="minorHAnsi"/>
              </w:rPr>
              <w:t xml:space="preserve">krajowego identyfikacji </w:t>
            </w:r>
            <w:r w:rsidR="00727DB5">
              <w:rPr>
                <w:rFonts w:eastAsia="Calibri" w:cstheme="minorHAnsi"/>
              </w:rPr>
              <w:t xml:space="preserve">elektronicznej </w:t>
            </w:r>
            <w:r w:rsidRPr="005961C3">
              <w:rPr>
                <w:rFonts w:eastAsia="Calibri" w:cstheme="minorHAnsi"/>
              </w:rPr>
              <w:t>podczas logowania</w:t>
            </w:r>
            <w:r>
              <w:rPr>
                <w:rFonts w:eastAsia="Calibri" w:cstheme="minorHAnsi"/>
              </w:rPr>
              <w:t xml:space="preserve"> </w:t>
            </w:r>
            <w:r w:rsidRPr="005961C3">
              <w:rPr>
                <w:rFonts w:eastAsia="Calibri" w:cstheme="minorHAnsi"/>
              </w:rPr>
              <w:t>edytorów udostępniających dane w portalu jest ujęte w planach. Obecnie toczą się prace nad systemem zgodnie z harmonogramem rozwoju portalu.</w:t>
            </w:r>
            <w:r>
              <w:rPr>
                <w:rFonts w:eastAsia="Calibri" w:cstheme="minorHAnsi"/>
              </w:rPr>
              <w:t xml:space="preserve"> </w:t>
            </w:r>
          </w:p>
          <w:p w14:paraId="05DE8553" w14:textId="77777777" w:rsidR="0047655A" w:rsidRDefault="0047655A" w:rsidP="0047655A">
            <w:pPr>
              <w:rPr>
                <w:rFonts w:eastAsia="Calibri" w:cstheme="minorHAnsi"/>
              </w:rPr>
            </w:pPr>
          </w:p>
          <w:p w14:paraId="44AD7FB8" w14:textId="77777777" w:rsidR="0047655A" w:rsidRPr="0047655A" w:rsidRDefault="0047655A" w:rsidP="0047655A">
            <w:pPr>
              <w:rPr>
                <w:rFonts w:eastAsia="Calibri" w:cstheme="minorHAnsi"/>
              </w:rPr>
            </w:pPr>
            <w:r w:rsidRPr="005948BE">
              <w:rPr>
                <w:rFonts w:eastAsia="Calibri" w:cstheme="minorHAnsi"/>
              </w:rPr>
              <w:t xml:space="preserve">Aspekty związane z </w:t>
            </w:r>
            <w:r w:rsidRPr="005948BE">
              <w:rPr>
                <w:rFonts w:cstheme="minorHAnsi"/>
              </w:rPr>
              <w:t>zachowaniem wymagań odnoszących się do sposobu uwierzytelniania użytkowników systemu</w:t>
            </w:r>
            <w:r w:rsidRPr="005948BE">
              <w:rPr>
                <w:rFonts w:eastAsia="Calibri" w:cstheme="minorHAnsi"/>
              </w:rPr>
              <w:t xml:space="preserve"> – reguluje ustawa </w:t>
            </w:r>
            <w:r w:rsidRPr="005948BE">
              <w:rPr>
                <w:rFonts w:cstheme="minorHAnsi"/>
              </w:rPr>
              <w:t>ustawy z dnia 17 lutego 2005 r. o informatyzacji działalności podmiotów realizujących zadania publiczne</w:t>
            </w:r>
            <w:r w:rsidRPr="005948BE">
              <w:rPr>
                <w:rFonts w:cstheme="minorHAnsi"/>
                <w:color w:val="333333"/>
                <w:shd w:val="clear" w:color="auto" w:fill="FFFFFF"/>
              </w:rPr>
              <w:t xml:space="preserve"> oraz ustawa z dnia 5 września 2016 r. o usługach zaufania oraz identyfikacji elektronicznej.</w:t>
            </w:r>
          </w:p>
        </w:tc>
      </w:tr>
      <w:tr w:rsidR="0047655A" w14:paraId="128F4F83" w14:textId="77777777" w:rsidTr="00AE3B06">
        <w:trPr>
          <w:trHeight w:val="837"/>
        </w:trPr>
        <w:tc>
          <w:tcPr>
            <w:tcW w:w="611" w:type="dxa"/>
          </w:tcPr>
          <w:p w14:paraId="3AF4341A" w14:textId="77777777" w:rsidR="0047655A" w:rsidRDefault="0047655A" w:rsidP="0047655A">
            <w:pPr>
              <w:rPr>
                <w:rFonts w:cstheme="minorHAnsi"/>
              </w:rPr>
            </w:pPr>
            <w:r>
              <w:rPr>
                <w:rFonts w:cstheme="minorHAnsi"/>
              </w:rPr>
              <w:lastRenderedPageBreak/>
              <w:t>24</w:t>
            </w:r>
          </w:p>
        </w:tc>
        <w:tc>
          <w:tcPr>
            <w:tcW w:w="1609" w:type="dxa"/>
          </w:tcPr>
          <w:p w14:paraId="457FA8C1" w14:textId="77777777" w:rsidR="0047655A" w:rsidRPr="00143A7C" w:rsidRDefault="0047655A" w:rsidP="0047655A">
            <w:pPr>
              <w:rPr>
                <w:rFonts w:cstheme="minorHAnsi"/>
                <w:b/>
              </w:rPr>
            </w:pPr>
            <w:r w:rsidRPr="00143A7C">
              <w:rPr>
                <w:rFonts w:cstheme="minorHAnsi"/>
                <w:b/>
              </w:rPr>
              <w:t>Konfederacja</w:t>
            </w:r>
            <w:r w:rsidRPr="00143A7C">
              <w:rPr>
                <w:rFonts w:cstheme="minorHAnsi"/>
              </w:rPr>
              <w:t xml:space="preserve"> </w:t>
            </w:r>
            <w:r w:rsidRPr="00143A7C">
              <w:rPr>
                <w:rFonts w:cstheme="minorHAnsi"/>
                <w:b/>
                <w:bCs/>
              </w:rPr>
              <w:t>Lewiatan</w:t>
            </w:r>
          </w:p>
        </w:tc>
        <w:tc>
          <w:tcPr>
            <w:tcW w:w="1319" w:type="dxa"/>
          </w:tcPr>
          <w:p w14:paraId="4D79CFC0" w14:textId="77777777" w:rsidR="0047655A" w:rsidRPr="00143A7C" w:rsidRDefault="0047655A" w:rsidP="0047655A">
            <w:pPr>
              <w:rPr>
                <w:rFonts w:cstheme="minorHAnsi"/>
              </w:rPr>
            </w:pPr>
            <w:r w:rsidRPr="00143A7C">
              <w:rPr>
                <w:rFonts w:cstheme="minorHAnsi"/>
              </w:rPr>
              <w:t>§ 6</w:t>
            </w:r>
          </w:p>
        </w:tc>
        <w:tc>
          <w:tcPr>
            <w:tcW w:w="6760" w:type="dxa"/>
          </w:tcPr>
          <w:p w14:paraId="5523D835" w14:textId="77777777" w:rsidR="0047655A" w:rsidRPr="00143A7C" w:rsidRDefault="0047655A" w:rsidP="0047655A">
            <w:pPr>
              <w:jc w:val="both"/>
              <w:rPr>
                <w:rFonts w:cstheme="minorHAnsi"/>
              </w:rPr>
            </w:pPr>
            <w:r w:rsidRPr="00143A7C">
              <w:rPr>
                <w:rFonts w:cstheme="minorHAnsi"/>
              </w:rPr>
              <w:t xml:space="preserve">Odnośnie par. 6 projektu rozporządzenia: </w:t>
            </w:r>
            <w:r w:rsidRPr="00643C26">
              <w:rPr>
                <w:rFonts w:cstheme="minorHAnsi"/>
                <w:b/>
                <w:bCs/>
              </w:rPr>
              <w:t>Paragraf ten wymaga znacznych zmian ze względów bezpieczeństwa, aby dane jakie na nim się znajdują były prawdziwe i niepodważalne</w:t>
            </w:r>
          </w:p>
          <w:p w14:paraId="5B2A52D4" w14:textId="77777777" w:rsidR="0047655A" w:rsidRPr="00143A7C" w:rsidRDefault="0047655A" w:rsidP="0047655A">
            <w:pPr>
              <w:jc w:val="both"/>
              <w:rPr>
                <w:rFonts w:cstheme="minorHAnsi"/>
              </w:rPr>
            </w:pPr>
          </w:p>
          <w:p w14:paraId="01B8663C" w14:textId="77777777" w:rsidR="0047655A" w:rsidRPr="00143A7C" w:rsidRDefault="0047655A" w:rsidP="0047655A">
            <w:pPr>
              <w:jc w:val="both"/>
              <w:rPr>
                <w:rFonts w:cstheme="minorHAnsi"/>
              </w:rPr>
            </w:pPr>
            <w:r w:rsidRPr="00143A7C">
              <w:rPr>
                <w:rFonts w:cstheme="minorHAnsi"/>
              </w:rPr>
              <w:t>Uzasadnienie zmiany: Przyjmujemy, że otwarte dane znajdujące się na portalu mogą być wykorzystywane dla różnych celów, w tym także związanych z prowadzeniem działalności gospodarczej, mające znaczenie prawne, a nawet mające znaczenie dla bezpieczeństwa państwa. Przykładem takich danych mogą być ogłaszane przez NBP kursy walut lub informacja o stopniach zasilania ogłaszana przez KSE. Wykorzystanie takich danych znajdujących się na portalu może mieć później znaczenie prawne, np. podczas rozliczeń lub ze względu na podejmowane decyzje i odpowiedzialność z tym związaną.</w:t>
            </w:r>
          </w:p>
          <w:p w14:paraId="1A36CFC2" w14:textId="77777777" w:rsidR="0047655A" w:rsidRPr="00143A7C" w:rsidRDefault="0047655A" w:rsidP="0047655A">
            <w:pPr>
              <w:jc w:val="both"/>
              <w:rPr>
                <w:rFonts w:cstheme="minorHAnsi"/>
              </w:rPr>
            </w:pPr>
            <w:r w:rsidRPr="00143A7C">
              <w:rPr>
                <w:rFonts w:cstheme="minorHAnsi"/>
              </w:rPr>
              <w:t xml:space="preserve">Jak wykazaliśmy powyżej (par. 5) niezbędne jest </w:t>
            </w:r>
            <w:r w:rsidRPr="00643C26">
              <w:rPr>
                <w:rFonts w:cstheme="minorHAnsi"/>
                <w:b/>
                <w:bCs/>
              </w:rPr>
              <w:t>bezpieczne uwierzytelnienie użytkownika, który w imieniu dostawcy będzie dokonywał czynności na danych.</w:t>
            </w:r>
            <w:r w:rsidRPr="00143A7C">
              <w:rPr>
                <w:rFonts w:cstheme="minorHAnsi"/>
              </w:rPr>
              <w:t xml:space="preserve"> Jednak to nie jest wystarczające. Dla </w:t>
            </w:r>
            <w:r w:rsidRPr="00143A7C">
              <w:rPr>
                <w:rFonts w:cstheme="minorHAnsi"/>
              </w:rPr>
              <w:lastRenderedPageBreak/>
              <w:t xml:space="preserve">zapewnienia prawidłowości powinny być wprowadzone mechanizmy nakazujące np. </w:t>
            </w:r>
            <w:r w:rsidRPr="00643C26">
              <w:rPr>
                <w:rFonts w:cstheme="minorHAnsi"/>
                <w:b/>
                <w:bCs/>
              </w:rPr>
              <w:t>wspólne działanie przynajmniej trzech użytkowników po stronie dostawcy</w:t>
            </w:r>
            <w:r w:rsidRPr="00143A7C">
              <w:rPr>
                <w:rFonts w:cstheme="minorHAnsi"/>
              </w:rPr>
              <w:t xml:space="preserve"> tj. użytkownika dokonującego czynności na danych, użytkownika sprawdzającego prawidłowość tych czynności oraz użytkownika zatwierdzającego te czynności. Oczywiście dopuszczalne są inne mechanizmy weryfikacji (dlatego także nie proponujemy nowego brzmienia tego paragrafu), ale wymagają one, aby złamanie jednej tożsamości nie niosło za sobą dalszych konsekwencji.</w:t>
            </w:r>
          </w:p>
          <w:p w14:paraId="43CD15A7" w14:textId="77777777" w:rsidR="0047655A" w:rsidRPr="00143A7C" w:rsidRDefault="0047655A" w:rsidP="0047655A">
            <w:pPr>
              <w:jc w:val="both"/>
              <w:rPr>
                <w:rFonts w:cstheme="minorHAnsi"/>
              </w:rPr>
            </w:pPr>
          </w:p>
          <w:p w14:paraId="2DC47FC9" w14:textId="77777777" w:rsidR="0047655A" w:rsidRPr="00143A7C" w:rsidRDefault="0047655A" w:rsidP="0047655A">
            <w:pPr>
              <w:jc w:val="both"/>
              <w:rPr>
                <w:rFonts w:cstheme="minorHAnsi"/>
              </w:rPr>
            </w:pPr>
            <w:r w:rsidRPr="00143A7C">
              <w:rPr>
                <w:rFonts w:cstheme="minorHAnsi"/>
              </w:rPr>
              <w:t>Chcemy także zwrócić na konieczność modyfikacji ust. 3 w tymże paragrafie przez wskazanie na konieczność zabezpieczenia danych podczas przekazywania danych do portalu.</w:t>
            </w:r>
          </w:p>
        </w:tc>
        <w:tc>
          <w:tcPr>
            <w:tcW w:w="3730" w:type="dxa"/>
          </w:tcPr>
          <w:p w14:paraId="66670CDF" w14:textId="77777777" w:rsidR="0047655A" w:rsidRDefault="0047655A" w:rsidP="0047655A">
            <w:pPr>
              <w:rPr>
                <w:rFonts w:eastAsia="Calibri" w:cstheme="minorHAnsi"/>
              </w:rPr>
            </w:pPr>
            <w:r>
              <w:rPr>
                <w:rFonts w:eastAsia="Calibri" w:cstheme="minorHAnsi"/>
              </w:rPr>
              <w:lastRenderedPageBreak/>
              <w:t xml:space="preserve">Uwaga dot. bezpiecznego uwierzytelniania edytorów – j.w. </w:t>
            </w:r>
          </w:p>
          <w:p w14:paraId="1A65B276" w14:textId="77777777" w:rsidR="0047655A" w:rsidRDefault="0047655A" w:rsidP="0047655A">
            <w:pPr>
              <w:rPr>
                <w:rFonts w:eastAsia="Calibri" w:cstheme="minorHAnsi"/>
              </w:rPr>
            </w:pPr>
          </w:p>
          <w:p w14:paraId="4A7C1E7A" w14:textId="77777777" w:rsidR="0047655A" w:rsidRPr="00143A7C" w:rsidRDefault="0047655A" w:rsidP="0047655A">
            <w:pPr>
              <w:rPr>
                <w:rFonts w:eastAsia="Calibri" w:cstheme="minorHAnsi"/>
              </w:rPr>
            </w:pPr>
            <w:r>
              <w:rPr>
                <w:rFonts w:eastAsia="Calibri" w:cstheme="minorHAnsi"/>
              </w:rPr>
              <w:t xml:space="preserve">Uwaga dot. zaangażowania </w:t>
            </w:r>
            <w:r w:rsidRPr="00143A7C">
              <w:rPr>
                <w:rFonts w:cstheme="minorHAnsi"/>
              </w:rPr>
              <w:t>przynajmniej trzech użytkowników po stronie dos</w:t>
            </w:r>
            <w:bookmarkStart w:id="1" w:name="_GoBack"/>
            <w:bookmarkEnd w:id="1"/>
            <w:r w:rsidRPr="00143A7C">
              <w:rPr>
                <w:rFonts w:cstheme="minorHAnsi"/>
              </w:rPr>
              <w:t>tawcy</w:t>
            </w:r>
            <w:r>
              <w:rPr>
                <w:rFonts w:cstheme="minorHAnsi"/>
              </w:rPr>
              <w:t xml:space="preserve"> – znajduje się poza upoważnieniem ustawowym. </w:t>
            </w:r>
          </w:p>
          <w:p w14:paraId="16A9FE59" w14:textId="77777777" w:rsidR="0047655A" w:rsidRPr="004B4165" w:rsidRDefault="0047655A" w:rsidP="0047655A">
            <w:pPr>
              <w:rPr>
                <w:rFonts w:eastAsia="Calibri" w:cstheme="minorHAnsi"/>
                <w:b/>
                <w:bCs/>
              </w:rPr>
            </w:pPr>
            <w:r w:rsidRPr="00143A7C">
              <w:rPr>
                <w:rFonts w:eastAsia="Calibri" w:cstheme="minorHAnsi"/>
              </w:rPr>
              <w:t xml:space="preserve"> </w:t>
            </w:r>
          </w:p>
        </w:tc>
      </w:tr>
    </w:tbl>
    <w:p w14:paraId="1EEA0A64" w14:textId="77777777" w:rsidR="001352FD" w:rsidRDefault="001352FD" w:rsidP="009160B6"/>
    <w:sectPr w:rsidR="001352FD" w:rsidSect="00A84DC1">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07041" w14:textId="77777777" w:rsidR="00296BBB" w:rsidRDefault="00296BBB" w:rsidP="00B03B47">
      <w:pPr>
        <w:spacing w:after="0" w:line="240" w:lineRule="auto"/>
      </w:pPr>
      <w:r>
        <w:separator/>
      </w:r>
    </w:p>
  </w:endnote>
  <w:endnote w:type="continuationSeparator" w:id="0">
    <w:p w14:paraId="216E8CC8" w14:textId="77777777" w:rsidR="00296BBB" w:rsidRDefault="00296BBB" w:rsidP="00B03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159E4" w14:textId="77777777" w:rsidR="00296BBB" w:rsidRDefault="00296BBB" w:rsidP="00B03B47">
      <w:pPr>
        <w:spacing w:after="0" w:line="240" w:lineRule="auto"/>
      </w:pPr>
      <w:r>
        <w:separator/>
      </w:r>
    </w:p>
  </w:footnote>
  <w:footnote w:type="continuationSeparator" w:id="0">
    <w:p w14:paraId="3A5CDD8E" w14:textId="77777777" w:rsidR="00296BBB" w:rsidRDefault="00296BBB" w:rsidP="00B03B47">
      <w:pPr>
        <w:spacing w:after="0" w:line="240" w:lineRule="auto"/>
      </w:pPr>
      <w:r>
        <w:continuationSeparator/>
      </w:r>
    </w:p>
  </w:footnote>
  <w:footnote w:id="1">
    <w:p w14:paraId="4246D629" w14:textId="77777777" w:rsidR="009160B6" w:rsidRDefault="009160B6">
      <w:pPr>
        <w:pStyle w:val="Tekstprzypisudolnego"/>
      </w:pPr>
      <w:r>
        <w:rPr>
          <w:rStyle w:val="Odwoanieprzypisudolnego"/>
        </w:rPr>
        <w:footnoteRef/>
      </w:r>
      <w:r>
        <w:t xml:space="preserve"> Uwagi organu nadzorczego były zgłaszane do projektu ustawy o otwartych danych zarówno na rządowym etapie prac legislacyjnych jak i po przekazaniu projektu do Sejmu RP i Senatu RP. Pisma: z dnia 16 września 2020 r., z dnia 11 stycznia 2021 r., z dnia 11 marca 2021 r., z dnia 21 kwietnia 2021 r, z dnia 12 maja 2021 r., z dnia 14 czerwca 2021 r., z dnia 15 czerwca 2021 r., z dnia 13 lipca 2021 r., z dnia 2 sierpnia 2021 r. (znak: DOL.401.398.2020.WL.OJ)</w:t>
      </w:r>
    </w:p>
  </w:footnote>
  <w:footnote w:id="2">
    <w:p w14:paraId="3292C175" w14:textId="77777777" w:rsidR="009160B6" w:rsidRDefault="009160B6">
      <w:pPr>
        <w:pStyle w:val="Tekstprzypisudolnego"/>
      </w:pPr>
      <w:r>
        <w:rPr>
          <w:rStyle w:val="Odwoanieprzypisudolnego"/>
        </w:rPr>
        <w:footnoteRef/>
      </w:r>
      <w:r>
        <w:t xml:space="preserve"> Zgodnie z art 25 ust. 1 rozporządzenia 2016/679 uwzględniając stan wiedzy technicznej, koszt wdrażania oraz charakter, zakres, kontekst i cele przetwarzania oraz ryzyko naruszenia praw lub wolności osób fizycznych o różnym prawdopodobieństwie wystąpienia i wadze wynikające z przetwarzania, administrator – zarówno przy określaniu sposobów przetwarzania, jak i w czasie samego przetwarzania – wdraża odpowiednie środki techniczne i organizacyjne, takie jak pseudonimizacja, zaprojektowane w celu skutecznej realizacji zasad ochrony danych, takich jak minimalizacja danych, oraz w celu nadania przetwarzaniu niezbędnych zabezpieczeń, tak by spełnić wymogi niniejszego rozporządzenia oraz chronić prawa osób, których dane dotyczą.</w:t>
      </w:r>
    </w:p>
  </w:footnote>
  <w:footnote w:id="3">
    <w:p w14:paraId="431461D2" w14:textId="77777777" w:rsidR="009160B6" w:rsidRDefault="009160B6">
      <w:pPr>
        <w:pStyle w:val="Tekstprzypisudolnego"/>
      </w:pPr>
      <w:r>
        <w:rPr>
          <w:rStyle w:val="Odwoanieprzypisudolnego"/>
        </w:rPr>
        <w:footnoteRef/>
      </w:r>
      <w:r>
        <w:t xml:space="preserve"> Zgodnie z art 35 ust. 1 rozporządzenia 2016/679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Dla podobnych operacji przetwarzania danych wiążących się z podobnym wysokim ryzykiem można przeprowadzić pojedynczą ocenę.</w:t>
      </w:r>
    </w:p>
  </w:footnote>
  <w:footnote w:id="4">
    <w:p w14:paraId="7FF99797" w14:textId="77777777" w:rsidR="009160B6" w:rsidRDefault="009160B6">
      <w:pPr>
        <w:pStyle w:val="Tekstprzypisudolnego"/>
      </w:pPr>
      <w:r>
        <w:rPr>
          <w:rStyle w:val="Odwoanieprzypisudolnego"/>
        </w:rPr>
        <w:footnoteRef/>
      </w:r>
      <w:r>
        <w:t xml:space="preserve"> Zgodnie z art 35 ust. 10 rozporządzenia 2016/679 ust. 1-7 nie mają zastosowania, jeżeli przetwarzanie na mocy art. 6 ust. 1 lit. c) lub e) ma podstawę prawną w prawie Unii lub w prawie państwa członkowskiego, któremu podlega administrator, i prawo takie reguluje daną operację przetwarzania lub zestaw operacji, a oceny skutków dla ochrony danych dokonano już w ramach oceny skutków regulacji w związku z przyjęciem tej podstawy prawnej - chyba że państwa członkowskie uznają za niezbędne, by przed podjęciem czynności przetwarzania dokonać oceny skutków dla ochrony danych</w:t>
      </w:r>
    </w:p>
  </w:footnote>
  <w:footnote w:id="5">
    <w:p w14:paraId="2539880C" w14:textId="77777777" w:rsidR="009160B6" w:rsidRDefault="009160B6">
      <w:pPr>
        <w:pStyle w:val="Tekstprzypisudolnego"/>
      </w:pPr>
      <w:r>
        <w:rPr>
          <w:rStyle w:val="Odwoanieprzypisudolnego"/>
        </w:rPr>
        <w:footnoteRef/>
      </w:r>
      <w:r>
        <w:t xml:space="preserve"> Zgodnie z art 5 ust. 1 lit. f) rozporządzenia 2016/679 dane osobowe muszą być przetwarzane w sposób zapewniający odpowiednie bezpieczeństwo danych osobowych, w tym ochronę przed niedozwolonym lub niezgodnym z prawem przetwarzaniem oraz przypadkową utratą, zniszczeniem lub uszkodzeniem, za pomocą odpowiednich środków technicznych lub organizacyjnych.</w:t>
      </w:r>
    </w:p>
  </w:footnote>
  <w:footnote w:id="6">
    <w:p w14:paraId="2B250881" w14:textId="77777777" w:rsidR="009160B6" w:rsidRPr="00987190" w:rsidRDefault="009160B6">
      <w:pPr>
        <w:pStyle w:val="Tekstprzypisudolnego"/>
        <w:rPr>
          <w:b/>
          <w:bCs/>
        </w:rPr>
      </w:pPr>
      <w:r>
        <w:rPr>
          <w:rStyle w:val="Odwoanieprzypisudolnego"/>
        </w:rPr>
        <w:footnoteRef/>
      </w:r>
      <w:r>
        <w:t xml:space="preserve"> Zgodnie z art 5 ust. 2 rozporządzenia 2016/679 administrator jest odpowiedzialny za przestrzeganie przepisów ust. 1 i musi być w stanie wykazać ich przestrzeganie.</w:t>
      </w:r>
    </w:p>
  </w:footnote>
  <w:footnote w:id="7">
    <w:p w14:paraId="46C41607" w14:textId="77777777" w:rsidR="009160B6" w:rsidRDefault="009160B6">
      <w:pPr>
        <w:pStyle w:val="Tekstprzypisudolnego"/>
      </w:pPr>
      <w:r>
        <w:rPr>
          <w:rStyle w:val="Odwoanieprzypisudolnego"/>
        </w:rPr>
        <w:footnoteRef/>
      </w:r>
      <w:r>
        <w:t xml:space="preserve"> Zgodnie z art 5 ust. 1 lit. a) rozporządzenia 2016/679 dane osobowe muszą być przetwarzane zgodnie z prawem, rzetelnie i w sposób przejrzysty dla osoby, której dane dotyczą („zgodność z prawem, rzetelność i przejrzystość”).</w:t>
      </w:r>
    </w:p>
  </w:footnote>
  <w:footnote w:id="8">
    <w:p w14:paraId="6B8DEA39" w14:textId="77777777" w:rsidR="009160B6" w:rsidRDefault="009160B6">
      <w:pPr>
        <w:pStyle w:val="Tekstprzypisudolnego"/>
      </w:pPr>
      <w:r>
        <w:rPr>
          <w:rStyle w:val="Odwoanieprzypisudolnego"/>
        </w:rPr>
        <w:footnoteRef/>
      </w:r>
      <w:r>
        <w:t xml:space="preserve"> Zgodnie z art 5 ust. 1 lit. e) rozporządzenia 2016/679 dane osobowe muszą być przechowywane w formie umożliwiającej identyfikację osoby, której dane dotyczą, przez okres nie dłuższy, niż jest to niezbędne do celów, w których dane te są przetwarzane; dane osobowe można przechowywać przez okres dłuższy, o ile będą one przetwarzane wyłącznie do celów archiwalnych w interesie publicznym, do celów badań naukowych lub historycznych lub do celów statystycznych na mocy art. 89 ust. 1, z zastrzeżeniem że wdrożone zostaną odpowiednie środki techniczne i organizacyjne wymagane na mocy niniejszego rozporządzenia w celu ochrony praw i wolności osób, których dane dotyczą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EB02B" w14:textId="098F6AF2" w:rsidR="00305320" w:rsidRDefault="00305320" w:rsidP="00305320">
    <w:pPr>
      <w:pStyle w:val="Nagwek"/>
      <w:jc w:val="right"/>
    </w:pPr>
    <w:r>
      <w:t xml:space="preserve">Załącznik do raportu z konsultacji </w:t>
    </w:r>
    <w:r w:rsidR="00D67109">
      <w:t>i opiniowania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C2B02"/>
    <w:multiLevelType w:val="hybridMultilevel"/>
    <w:tmpl w:val="50E863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CE46BE9"/>
    <w:multiLevelType w:val="hybridMultilevel"/>
    <w:tmpl w:val="372E42A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DDF7693"/>
    <w:multiLevelType w:val="hybridMultilevel"/>
    <w:tmpl w:val="1AB616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F43"/>
    <w:rsid w:val="00001431"/>
    <w:rsid w:val="0000669B"/>
    <w:rsid w:val="000116CD"/>
    <w:rsid w:val="000119AF"/>
    <w:rsid w:val="000461A3"/>
    <w:rsid w:val="00054870"/>
    <w:rsid w:val="00056747"/>
    <w:rsid w:val="000712CF"/>
    <w:rsid w:val="00081E50"/>
    <w:rsid w:val="000A0B97"/>
    <w:rsid w:val="000B1ED2"/>
    <w:rsid w:val="000C4BC9"/>
    <w:rsid w:val="000D1575"/>
    <w:rsid w:val="000D6ACA"/>
    <w:rsid w:val="000E5ED2"/>
    <w:rsid w:val="000E69E1"/>
    <w:rsid w:val="001352FD"/>
    <w:rsid w:val="00135432"/>
    <w:rsid w:val="00145396"/>
    <w:rsid w:val="00173BA7"/>
    <w:rsid w:val="001939F7"/>
    <w:rsid w:val="001A4CF1"/>
    <w:rsid w:val="001A669C"/>
    <w:rsid w:val="001C54D2"/>
    <w:rsid w:val="001C7091"/>
    <w:rsid w:val="001D5EBF"/>
    <w:rsid w:val="001E122F"/>
    <w:rsid w:val="001F3F31"/>
    <w:rsid w:val="00205493"/>
    <w:rsid w:val="00237C00"/>
    <w:rsid w:val="0024186B"/>
    <w:rsid w:val="00287D7A"/>
    <w:rsid w:val="00292F29"/>
    <w:rsid w:val="00296BBB"/>
    <w:rsid w:val="002D3D0E"/>
    <w:rsid w:val="002D74B6"/>
    <w:rsid w:val="002F3553"/>
    <w:rsid w:val="0030377B"/>
    <w:rsid w:val="00305320"/>
    <w:rsid w:val="00305691"/>
    <w:rsid w:val="00323EBC"/>
    <w:rsid w:val="003643EB"/>
    <w:rsid w:val="00365FC8"/>
    <w:rsid w:val="003767F6"/>
    <w:rsid w:val="003A1576"/>
    <w:rsid w:val="003A684D"/>
    <w:rsid w:val="003C21CD"/>
    <w:rsid w:val="003C6166"/>
    <w:rsid w:val="003C7D81"/>
    <w:rsid w:val="003D5A20"/>
    <w:rsid w:val="003D62C4"/>
    <w:rsid w:val="003E5E30"/>
    <w:rsid w:val="003F08A0"/>
    <w:rsid w:val="003F321F"/>
    <w:rsid w:val="0041169B"/>
    <w:rsid w:val="0042015E"/>
    <w:rsid w:val="00447A0B"/>
    <w:rsid w:val="004501DA"/>
    <w:rsid w:val="00464C5F"/>
    <w:rsid w:val="004718B6"/>
    <w:rsid w:val="00473426"/>
    <w:rsid w:val="0047629B"/>
    <w:rsid w:val="0047655A"/>
    <w:rsid w:val="00482B4D"/>
    <w:rsid w:val="00483446"/>
    <w:rsid w:val="004A041E"/>
    <w:rsid w:val="004D1BC3"/>
    <w:rsid w:val="004E3D81"/>
    <w:rsid w:val="005023FA"/>
    <w:rsid w:val="005038FB"/>
    <w:rsid w:val="00513437"/>
    <w:rsid w:val="00523206"/>
    <w:rsid w:val="005425E7"/>
    <w:rsid w:val="00543D5B"/>
    <w:rsid w:val="0054429A"/>
    <w:rsid w:val="0054513A"/>
    <w:rsid w:val="0055083E"/>
    <w:rsid w:val="00551AD2"/>
    <w:rsid w:val="0055301E"/>
    <w:rsid w:val="00557D4C"/>
    <w:rsid w:val="0058013F"/>
    <w:rsid w:val="0058486D"/>
    <w:rsid w:val="005927C8"/>
    <w:rsid w:val="005948BE"/>
    <w:rsid w:val="005F0A50"/>
    <w:rsid w:val="00604227"/>
    <w:rsid w:val="00604F88"/>
    <w:rsid w:val="00610969"/>
    <w:rsid w:val="0062510A"/>
    <w:rsid w:val="006372FE"/>
    <w:rsid w:val="006420EC"/>
    <w:rsid w:val="00644170"/>
    <w:rsid w:val="00654B46"/>
    <w:rsid w:val="006623D9"/>
    <w:rsid w:val="0066560E"/>
    <w:rsid w:val="00684593"/>
    <w:rsid w:val="00685C5A"/>
    <w:rsid w:val="006A5315"/>
    <w:rsid w:val="006D1A2C"/>
    <w:rsid w:val="006D33B8"/>
    <w:rsid w:val="006D43D1"/>
    <w:rsid w:val="006E3F72"/>
    <w:rsid w:val="006E45CA"/>
    <w:rsid w:val="006E4CAD"/>
    <w:rsid w:val="006E65B8"/>
    <w:rsid w:val="006E7DDB"/>
    <w:rsid w:val="006F34B4"/>
    <w:rsid w:val="0070224F"/>
    <w:rsid w:val="00713D4E"/>
    <w:rsid w:val="00722142"/>
    <w:rsid w:val="00727DB5"/>
    <w:rsid w:val="00766F99"/>
    <w:rsid w:val="0077419B"/>
    <w:rsid w:val="0079759B"/>
    <w:rsid w:val="007A336B"/>
    <w:rsid w:val="007B4436"/>
    <w:rsid w:val="007C68F4"/>
    <w:rsid w:val="007F09CB"/>
    <w:rsid w:val="00816CA4"/>
    <w:rsid w:val="00830CA1"/>
    <w:rsid w:val="00844658"/>
    <w:rsid w:val="0085197B"/>
    <w:rsid w:val="00880C66"/>
    <w:rsid w:val="0088688E"/>
    <w:rsid w:val="008B32AF"/>
    <w:rsid w:val="008C2A6A"/>
    <w:rsid w:val="009160B6"/>
    <w:rsid w:val="009204F9"/>
    <w:rsid w:val="00930B87"/>
    <w:rsid w:val="009316D6"/>
    <w:rsid w:val="00951C6A"/>
    <w:rsid w:val="009609F3"/>
    <w:rsid w:val="00962FB1"/>
    <w:rsid w:val="00987190"/>
    <w:rsid w:val="00990972"/>
    <w:rsid w:val="009970AD"/>
    <w:rsid w:val="009B7F16"/>
    <w:rsid w:val="009C4A7B"/>
    <w:rsid w:val="009C7788"/>
    <w:rsid w:val="009E68E8"/>
    <w:rsid w:val="00A01879"/>
    <w:rsid w:val="00A12265"/>
    <w:rsid w:val="00A42AA7"/>
    <w:rsid w:val="00A43CA0"/>
    <w:rsid w:val="00A60182"/>
    <w:rsid w:val="00A631E0"/>
    <w:rsid w:val="00A705A7"/>
    <w:rsid w:val="00A7624D"/>
    <w:rsid w:val="00A843F2"/>
    <w:rsid w:val="00A84DC1"/>
    <w:rsid w:val="00A9720D"/>
    <w:rsid w:val="00AC600A"/>
    <w:rsid w:val="00AE3B06"/>
    <w:rsid w:val="00B03B47"/>
    <w:rsid w:val="00B10994"/>
    <w:rsid w:val="00B24953"/>
    <w:rsid w:val="00B27001"/>
    <w:rsid w:val="00B3052A"/>
    <w:rsid w:val="00B41038"/>
    <w:rsid w:val="00B43C04"/>
    <w:rsid w:val="00B6260C"/>
    <w:rsid w:val="00B85AD5"/>
    <w:rsid w:val="00B94837"/>
    <w:rsid w:val="00BA179C"/>
    <w:rsid w:val="00BA42B4"/>
    <w:rsid w:val="00BA51D8"/>
    <w:rsid w:val="00BB0F91"/>
    <w:rsid w:val="00BB4CB0"/>
    <w:rsid w:val="00BE7F3D"/>
    <w:rsid w:val="00C227DF"/>
    <w:rsid w:val="00C22D78"/>
    <w:rsid w:val="00C31FED"/>
    <w:rsid w:val="00C54F39"/>
    <w:rsid w:val="00C61AED"/>
    <w:rsid w:val="00C61F43"/>
    <w:rsid w:val="00C65497"/>
    <w:rsid w:val="00C907F0"/>
    <w:rsid w:val="00C91DB6"/>
    <w:rsid w:val="00C97451"/>
    <w:rsid w:val="00CB753D"/>
    <w:rsid w:val="00CC7FB3"/>
    <w:rsid w:val="00CD1C07"/>
    <w:rsid w:val="00CD457D"/>
    <w:rsid w:val="00CD7E97"/>
    <w:rsid w:val="00CE6359"/>
    <w:rsid w:val="00CF6955"/>
    <w:rsid w:val="00D205F2"/>
    <w:rsid w:val="00D349EA"/>
    <w:rsid w:val="00D36C04"/>
    <w:rsid w:val="00D4281A"/>
    <w:rsid w:val="00D47E07"/>
    <w:rsid w:val="00D50C4B"/>
    <w:rsid w:val="00D56182"/>
    <w:rsid w:val="00D56AD4"/>
    <w:rsid w:val="00D67109"/>
    <w:rsid w:val="00D86582"/>
    <w:rsid w:val="00DC0A76"/>
    <w:rsid w:val="00DC0B56"/>
    <w:rsid w:val="00DD3538"/>
    <w:rsid w:val="00DE0380"/>
    <w:rsid w:val="00DE49B8"/>
    <w:rsid w:val="00DF0B2D"/>
    <w:rsid w:val="00DF31A3"/>
    <w:rsid w:val="00DF6BD0"/>
    <w:rsid w:val="00E01EF0"/>
    <w:rsid w:val="00E404B8"/>
    <w:rsid w:val="00E42A73"/>
    <w:rsid w:val="00E67B5B"/>
    <w:rsid w:val="00E71522"/>
    <w:rsid w:val="00EC2485"/>
    <w:rsid w:val="00ED0D04"/>
    <w:rsid w:val="00EE4037"/>
    <w:rsid w:val="00EE6461"/>
    <w:rsid w:val="00EE735F"/>
    <w:rsid w:val="00EF45C7"/>
    <w:rsid w:val="00EF5A22"/>
    <w:rsid w:val="00F117AE"/>
    <w:rsid w:val="00F74F0E"/>
    <w:rsid w:val="00F76066"/>
    <w:rsid w:val="00F76EF6"/>
    <w:rsid w:val="00F8035D"/>
    <w:rsid w:val="00F8322B"/>
    <w:rsid w:val="00FA322C"/>
    <w:rsid w:val="00FB7EA4"/>
    <w:rsid w:val="00FF4899"/>
    <w:rsid w:val="00FF6F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5B155"/>
  <w15:chartTrackingRefBased/>
  <w15:docId w15:val="{D929C3E7-9B93-4AE2-B391-1DB85CCF5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84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basedOn w:val="Domylnaczcionkaakapitu"/>
    <w:uiPriority w:val="99"/>
    <w:rsid w:val="0055301E"/>
    <w:rPr>
      <w:rFonts w:ascii="Times New Roman" w:hAnsi="Times New Roman" w:cs="Times New Roman" w:hint="default"/>
    </w:rPr>
  </w:style>
  <w:style w:type="paragraph" w:styleId="Akapitzlist">
    <w:name w:val="List Paragraph"/>
    <w:basedOn w:val="Normalny"/>
    <w:uiPriority w:val="34"/>
    <w:qFormat/>
    <w:rsid w:val="00F117AE"/>
    <w:pPr>
      <w:ind w:left="720"/>
      <w:contextualSpacing/>
    </w:pPr>
  </w:style>
  <w:style w:type="paragraph" w:styleId="Tekstprzypisukocowego">
    <w:name w:val="endnote text"/>
    <w:basedOn w:val="Normalny"/>
    <w:link w:val="TekstprzypisukocowegoZnak"/>
    <w:uiPriority w:val="99"/>
    <w:semiHidden/>
    <w:unhideWhenUsed/>
    <w:rsid w:val="00B03B4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03B47"/>
    <w:rPr>
      <w:sz w:val="20"/>
      <w:szCs w:val="20"/>
    </w:rPr>
  </w:style>
  <w:style w:type="character" w:styleId="Odwoanieprzypisukocowego">
    <w:name w:val="endnote reference"/>
    <w:basedOn w:val="Domylnaczcionkaakapitu"/>
    <w:uiPriority w:val="99"/>
    <w:semiHidden/>
    <w:unhideWhenUsed/>
    <w:rsid w:val="00B03B47"/>
    <w:rPr>
      <w:vertAlign w:val="superscript"/>
    </w:rPr>
  </w:style>
  <w:style w:type="paragraph" w:customStyle="1" w:styleId="PKTpunkt">
    <w:name w:val="PKT – punkt"/>
    <w:uiPriority w:val="13"/>
    <w:qFormat/>
    <w:rsid w:val="00830CA1"/>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A705A7"/>
    <w:rPr>
      <w:b/>
    </w:rPr>
  </w:style>
  <w:style w:type="paragraph" w:styleId="Tekstprzypisudolnego">
    <w:name w:val="footnote text"/>
    <w:basedOn w:val="Normalny"/>
    <w:link w:val="TekstprzypisudolnegoZnak"/>
    <w:uiPriority w:val="99"/>
    <w:semiHidden/>
    <w:unhideWhenUsed/>
    <w:rsid w:val="0098719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87190"/>
    <w:rPr>
      <w:sz w:val="20"/>
      <w:szCs w:val="20"/>
    </w:rPr>
  </w:style>
  <w:style w:type="character" w:styleId="Odwoanieprzypisudolnego">
    <w:name w:val="footnote reference"/>
    <w:basedOn w:val="Domylnaczcionkaakapitu"/>
    <w:uiPriority w:val="99"/>
    <w:semiHidden/>
    <w:unhideWhenUsed/>
    <w:rsid w:val="00987190"/>
    <w:rPr>
      <w:vertAlign w:val="superscript"/>
    </w:rPr>
  </w:style>
  <w:style w:type="paragraph" w:styleId="Tekstdymka">
    <w:name w:val="Balloon Text"/>
    <w:basedOn w:val="Normalny"/>
    <w:link w:val="TekstdymkaZnak"/>
    <w:uiPriority w:val="99"/>
    <w:semiHidden/>
    <w:unhideWhenUsed/>
    <w:rsid w:val="00713D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3D4E"/>
    <w:rPr>
      <w:rFonts w:ascii="Segoe UI" w:hAnsi="Segoe UI" w:cs="Segoe UI"/>
      <w:sz w:val="18"/>
      <w:szCs w:val="18"/>
    </w:rPr>
  </w:style>
  <w:style w:type="paragraph" w:styleId="Tekstkomentarza">
    <w:name w:val="annotation text"/>
    <w:basedOn w:val="Normalny"/>
    <w:link w:val="TekstkomentarzaZnak"/>
    <w:uiPriority w:val="99"/>
    <w:semiHidden/>
    <w:rsid w:val="006D43D1"/>
    <w:pPr>
      <w:widowControl w:val="0"/>
      <w:autoSpaceDE w:val="0"/>
      <w:autoSpaceDN w:val="0"/>
      <w:adjustRightInd w:val="0"/>
      <w:spacing w:after="0" w:line="40" w:lineRule="atLeast"/>
      <w:jc w:val="both"/>
    </w:pPr>
    <w:rPr>
      <w:rFonts w:ascii="Times" w:eastAsia="Times New Roman" w:hAnsi="Times" w:cs="Times New Roman"/>
      <w:color w:val="000000"/>
      <w:sz w:val="18"/>
      <w:szCs w:val="24"/>
      <w:lang w:eastAsia="pl-PL"/>
    </w:rPr>
  </w:style>
  <w:style w:type="character" w:customStyle="1" w:styleId="TekstkomentarzaZnak">
    <w:name w:val="Tekst komentarza Znak"/>
    <w:basedOn w:val="Domylnaczcionkaakapitu"/>
    <w:link w:val="Tekstkomentarza"/>
    <w:uiPriority w:val="99"/>
    <w:semiHidden/>
    <w:rsid w:val="006D43D1"/>
    <w:rPr>
      <w:rFonts w:ascii="Times" w:eastAsia="Times New Roman" w:hAnsi="Times" w:cs="Times New Roman"/>
      <w:color w:val="000000"/>
      <w:sz w:val="18"/>
      <w:szCs w:val="24"/>
      <w:lang w:eastAsia="pl-PL"/>
    </w:rPr>
  </w:style>
  <w:style w:type="character" w:styleId="Odwoaniedokomentarza">
    <w:name w:val="annotation reference"/>
    <w:basedOn w:val="Domylnaczcionkaakapitu"/>
    <w:uiPriority w:val="99"/>
    <w:semiHidden/>
    <w:unhideWhenUsed/>
    <w:rsid w:val="006D43D1"/>
    <w:rPr>
      <w:sz w:val="16"/>
      <w:szCs w:val="16"/>
    </w:rPr>
  </w:style>
  <w:style w:type="paragraph" w:styleId="Tematkomentarza">
    <w:name w:val="annotation subject"/>
    <w:basedOn w:val="Tekstkomentarza"/>
    <w:next w:val="Tekstkomentarza"/>
    <w:link w:val="TematkomentarzaZnak"/>
    <w:uiPriority w:val="99"/>
    <w:semiHidden/>
    <w:unhideWhenUsed/>
    <w:rsid w:val="0062510A"/>
    <w:pPr>
      <w:widowControl/>
      <w:autoSpaceDE/>
      <w:autoSpaceDN/>
      <w:adjustRightInd/>
      <w:spacing w:after="160" w:line="240" w:lineRule="auto"/>
      <w:jc w:val="left"/>
    </w:pPr>
    <w:rPr>
      <w:rFonts w:asciiTheme="minorHAnsi" w:eastAsiaTheme="minorHAnsi" w:hAnsiTheme="minorHAnsi" w:cstheme="minorBidi"/>
      <w:b/>
      <w:bCs/>
      <w:color w:val="auto"/>
      <w:sz w:val="20"/>
      <w:szCs w:val="20"/>
      <w:lang w:eastAsia="en-US"/>
    </w:rPr>
  </w:style>
  <w:style w:type="character" w:customStyle="1" w:styleId="TematkomentarzaZnak">
    <w:name w:val="Temat komentarza Znak"/>
    <w:basedOn w:val="TekstkomentarzaZnak"/>
    <w:link w:val="Tematkomentarza"/>
    <w:uiPriority w:val="99"/>
    <w:semiHidden/>
    <w:rsid w:val="0062510A"/>
    <w:rPr>
      <w:rFonts w:ascii="Times" w:eastAsia="Times New Roman" w:hAnsi="Times" w:cs="Times New Roman"/>
      <w:b/>
      <w:bCs/>
      <w:color w:val="000000"/>
      <w:sz w:val="20"/>
      <w:szCs w:val="20"/>
      <w:lang w:eastAsia="pl-PL"/>
    </w:rPr>
  </w:style>
  <w:style w:type="paragraph" w:styleId="Nagwek">
    <w:name w:val="header"/>
    <w:basedOn w:val="Normalny"/>
    <w:link w:val="NagwekZnak"/>
    <w:uiPriority w:val="99"/>
    <w:unhideWhenUsed/>
    <w:rsid w:val="003053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5320"/>
  </w:style>
  <w:style w:type="paragraph" w:styleId="Stopka">
    <w:name w:val="footer"/>
    <w:basedOn w:val="Normalny"/>
    <w:link w:val="StopkaZnak"/>
    <w:uiPriority w:val="99"/>
    <w:unhideWhenUsed/>
    <w:rsid w:val="003053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5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2755">
      <w:bodyDiv w:val="1"/>
      <w:marLeft w:val="0"/>
      <w:marRight w:val="0"/>
      <w:marTop w:val="0"/>
      <w:marBottom w:val="0"/>
      <w:divBdr>
        <w:top w:val="none" w:sz="0" w:space="0" w:color="auto"/>
        <w:left w:val="none" w:sz="0" w:space="0" w:color="auto"/>
        <w:bottom w:val="none" w:sz="0" w:space="0" w:color="auto"/>
        <w:right w:val="none" w:sz="0" w:space="0" w:color="auto"/>
      </w:divBdr>
    </w:div>
    <w:div w:id="42677460">
      <w:bodyDiv w:val="1"/>
      <w:marLeft w:val="0"/>
      <w:marRight w:val="0"/>
      <w:marTop w:val="0"/>
      <w:marBottom w:val="0"/>
      <w:divBdr>
        <w:top w:val="none" w:sz="0" w:space="0" w:color="auto"/>
        <w:left w:val="none" w:sz="0" w:space="0" w:color="auto"/>
        <w:bottom w:val="none" w:sz="0" w:space="0" w:color="auto"/>
        <w:right w:val="none" w:sz="0" w:space="0" w:color="auto"/>
      </w:divBdr>
    </w:div>
    <w:div w:id="996229468">
      <w:bodyDiv w:val="1"/>
      <w:marLeft w:val="0"/>
      <w:marRight w:val="0"/>
      <w:marTop w:val="0"/>
      <w:marBottom w:val="0"/>
      <w:divBdr>
        <w:top w:val="none" w:sz="0" w:space="0" w:color="auto"/>
        <w:left w:val="none" w:sz="0" w:space="0" w:color="auto"/>
        <w:bottom w:val="none" w:sz="0" w:space="0" w:color="auto"/>
        <w:right w:val="none" w:sz="0" w:space="0" w:color="auto"/>
      </w:divBdr>
    </w:div>
    <w:div w:id="186721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760C9-0149-44E1-BF57-C4E7EC9B6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3404</Words>
  <Characters>20426</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23783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Pichlak-Pawlak Sylwia</dc:creator>
  <cp:keywords/>
  <dc:description/>
  <cp:lastModifiedBy>Witkowska-Krzymowska Magdalena</cp:lastModifiedBy>
  <cp:revision>6</cp:revision>
  <dcterms:created xsi:type="dcterms:W3CDTF">2022-09-14T10:19:00Z</dcterms:created>
  <dcterms:modified xsi:type="dcterms:W3CDTF">2022-09-21T17:06:00Z</dcterms:modified>
</cp:coreProperties>
</file>