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DEADC" w14:textId="77777777" w:rsidR="00EF2AE1" w:rsidRPr="007541BD" w:rsidRDefault="00EF2AE1" w:rsidP="00EF2AE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6437DD6D" w14:textId="77777777" w:rsidR="00EF2AE1" w:rsidRPr="007541BD" w:rsidRDefault="00EF2AE1" w:rsidP="00EF2AE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E3680D4" w14:textId="77777777" w:rsidR="00EF2AE1" w:rsidRPr="007541BD" w:rsidRDefault="00EF2AE1" w:rsidP="00EF2AE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BF923E1" w14:textId="77777777" w:rsidR="00EF2AE1" w:rsidRDefault="00EF2AE1" w:rsidP="00EF2AE1">
      <w:pPr>
        <w:pStyle w:val="Nagwek1"/>
        <w:suppressAutoHyphens/>
        <w:spacing w:before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FE22091" w14:textId="77777777" w:rsidR="00EF2AE1" w:rsidRDefault="00EF2AE1" w:rsidP="00EF2AE1">
      <w:pPr>
        <w:spacing w:after="0" w:line="240" w:lineRule="auto"/>
      </w:pPr>
    </w:p>
    <w:p w14:paraId="61082C7F" w14:textId="77777777" w:rsidR="00EF2AE1" w:rsidRPr="007535ED" w:rsidRDefault="00EF2AE1" w:rsidP="00EF2AE1">
      <w:pPr>
        <w:spacing w:after="0" w:line="240" w:lineRule="auto"/>
      </w:pPr>
    </w:p>
    <w:p w14:paraId="119FEB77" w14:textId="77777777" w:rsidR="00EF2AE1" w:rsidRDefault="00EF2AE1" w:rsidP="00EF2AE1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F18FA37" w14:textId="77777777" w:rsidR="00EF2AE1" w:rsidRDefault="00EF2AE1" w:rsidP="00EF2AE1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3C43DC7C" w14:textId="77777777" w:rsidR="00EF2AE1" w:rsidRPr="002B50C0" w:rsidRDefault="00EF2AE1" w:rsidP="00EF2AE1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F2AE1" w:rsidRPr="002B50C0" w14:paraId="5733189C" w14:textId="77777777" w:rsidTr="009A1AD8">
        <w:trPr>
          <w:trHeight w:val="68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6E45FC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F8C38" w14:textId="77777777" w:rsidR="00EF2AE1" w:rsidRPr="003916E6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3916E6">
              <w:rPr>
                <w:rFonts w:ascii="Arial" w:hAnsi="Arial" w:cs="Arial"/>
              </w:rPr>
              <w:t xml:space="preserve">EZD RP – elektroniczne zarządzanie dokumentacją </w:t>
            </w:r>
            <w:r w:rsidRPr="003916E6">
              <w:rPr>
                <w:rFonts w:ascii="Arial" w:hAnsi="Arial" w:cs="Arial"/>
              </w:rPr>
              <w:br/>
              <w:t>w administracji publicznej</w:t>
            </w:r>
          </w:p>
        </w:tc>
      </w:tr>
      <w:tr w:rsidR="00EF2AE1" w:rsidRPr="002B50C0" w14:paraId="7A1BE242" w14:textId="77777777" w:rsidTr="009A1AD8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43F176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931F12" w14:textId="77777777" w:rsidR="00EF2AE1" w:rsidRPr="003916E6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Minister Cyfryzacji</w:t>
            </w:r>
          </w:p>
        </w:tc>
      </w:tr>
      <w:tr w:rsidR="00EF2AE1" w:rsidRPr="0030196F" w14:paraId="19174D5B" w14:textId="77777777" w:rsidTr="009A1AD8">
        <w:trPr>
          <w:trHeight w:val="68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C3ED66" w14:textId="77777777" w:rsidR="00EF2AE1" w:rsidRPr="00725708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7196D" w14:textId="77777777" w:rsidR="00EF2AE1" w:rsidRPr="003916E6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Naukowa i Akademicka Sieć Komputerowa – Państwowy Instytut Badawczy</w:t>
            </w:r>
          </w:p>
        </w:tc>
      </w:tr>
      <w:tr w:rsidR="00EF2AE1" w:rsidRPr="002B50C0" w14:paraId="31E259EB" w14:textId="77777777" w:rsidTr="009A1AD8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FF5EF9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B31CD" w14:textId="77777777" w:rsidR="00EF2AE1" w:rsidRPr="003916E6" w:rsidRDefault="00EF2AE1" w:rsidP="009A1AD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Podlaski Urząd Wojewódzki w Białymstoku</w:t>
            </w:r>
          </w:p>
        </w:tc>
      </w:tr>
      <w:tr w:rsidR="00EF2AE1" w:rsidRPr="002B50C0" w14:paraId="2340BC72" w14:textId="77777777" w:rsidTr="009A1AD8">
        <w:trPr>
          <w:trHeight w:val="18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05B0C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1AA8F" w14:textId="77777777" w:rsidR="00EF2AE1" w:rsidRPr="003916E6" w:rsidRDefault="00EF2AE1" w:rsidP="00EF2AE1">
            <w:pPr>
              <w:pStyle w:val="Akapitzlist"/>
              <w:numPr>
                <w:ilvl w:val="0"/>
                <w:numId w:val="21"/>
              </w:numPr>
              <w:suppressAutoHyphens/>
              <w:spacing w:after="60" w:line="240" w:lineRule="auto"/>
              <w:ind w:left="314" w:hanging="284"/>
              <w:contextualSpacing w:val="0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Budżet państwa: część budżetowa 27 – </w:t>
            </w:r>
            <w:r w:rsidRPr="003916E6">
              <w:rPr>
                <w:rFonts w:ascii="Arial" w:hAnsi="Arial" w:cs="Arial"/>
                <w:iCs/>
              </w:rPr>
              <w:t>Informatyzacja</w:t>
            </w:r>
          </w:p>
          <w:p w14:paraId="0B890991" w14:textId="77777777" w:rsidR="00EF2AE1" w:rsidRPr="003916E6" w:rsidRDefault="00EF2AE1" w:rsidP="00EF2AE1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14" w:hanging="284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Środki UE: Program Operacyjny Polska Cyfrowa </w:t>
            </w:r>
            <w:r w:rsidRPr="003916E6">
              <w:rPr>
                <w:rFonts w:ascii="Arial" w:hAnsi="Arial" w:cs="Arial"/>
              </w:rPr>
              <w:br/>
              <w:t xml:space="preserve">na lata 2014-2020, II oś priorytetowa „E-administracja </w:t>
            </w:r>
            <w:r w:rsidRPr="003916E6">
              <w:rPr>
                <w:rFonts w:ascii="Arial" w:hAnsi="Arial" w:cs="Arial"/>
              </w:rPr>
              <w:br/>
              <w:t xml:space="preserve">i otwarty rząd”, Działanie 2.2 „Cyfryzacja procesów </w:t>
            </w:r>
            <w:proofErr w:type="spellStart"/>
            <w:r w:rsidRPr="003916E6">
              <w:rPr>
                <w:rFonts w:ascii="Arial" w:hAnsi="Arial" w:cs="Arial"/>
              </w:rPr>
              <w:t>back-office</w:t>
            </w:r>
            <w:proofErr w:type="spellEnd"/>
            <w:r w:rsidRPr="003916E6">
              <w:rPr>
                <w:rFonts w:ascii="Arial" w:hAnsi="Arial" w:cs="Arial"/>
              </w:rPr>
              <w:t xml:space="preserve"> w administracji rządowej” – środki pochodzące </w:t>
            </w:r>
            <w:r w:rsidRPr="003916E6">
              <w:rPr>
                <w:rFonts w:ascii="Arial" w:hAnsi="Arial" w:cs="Arial"/>
              </w:rPr>
              <w:br/>
              <w:t>z Europejskiego Funduszu Rozwoju Regionalnego</w:t>
            </w:r>
          </w:p>
        </w:tc>
      </w:tr>
      <w:tr w:rsidR="00EF2AE1" w:rsidRPr="002B50C0" w14:paraId="4683944B" w14:textId="77777777" w:rsidTr="009A1AD8">
        <w:trPr>
          <w:trHeight w:val="7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8A20CF" w14:textId="77777777" w:rsidR="00EF2AE1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F194BF1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830C82" w14:textId="77777777" w:rsidR="00EF2AE1" w:rsidRPr="003916E6" w:rsidRDefault="00EF2AE1" w:rsidP="009A1AD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45 113 838,48 zł brutto</w:t>
            </w:r>
          </w:p>
        </w:tc>
      </w:tr>
      <w:tr w:rsidR="00EF2AE1" w:rsidRPr="002B50C0" w14:paraId="639FAB11" w14:textId="77777777" w:rsidTr="009A1AD8">
        <w:trPr>
          <w:trHeight w:val="7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DCDC82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44A34" w14:textId="77777777" w:rsidR="00EF2AE1" w:rsidRPr="003916E6" w:rsidRDefault="00EF2AE1" w:rsidP="009A1AD8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0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45 113 838,48 zł brutto</w:t>
            </w:r>
          </w:p>
        </w:tc>
      </w:tr>
      <w:tr w:rsidR="00EF2AE1" w:rsidRPr="002B50C0" w14:paraId="5363797A" w14:textId="77777777" w:rsidTr="009A1AD8">
        <w:trPr>
          <w:trHeight w:val="85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72A6E1" w14:textId="77777777" w:rsidR="00EF2AE1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C7901AB" w14:textId="77777777" w:rsidR="00EF2AE1" w:rsidRPr="008A332F" w:rsidRDefault="00EF2AE1" w:rsidP="009A1AD8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41E7BE" w14:textId="77777777" w:rsidR="00EF2AE1" w:rsidRPr="003916E6" w:rsidRDefault="00EF2AE1" w:rsidP="009A1AD8">
            <w:pPr>
              <w:pStyle w:val="Akapitzlist"/>
              <w:numPr>
                <w:ilvl w:val="0"/>
                <w:numId w:val="12"/>
              </w:numPr>
              <w:suppressAutoHyphens/>
              <w:spacing w:after="60" w:line="240" w:lineRule="auto"/>
              <w:ind w:left="312" w:hanging="284"/>
              <w:contextualSpacing w:val="0"/>
              <w:rPr>
                <w:rFonts w:ascii="Arial" w:hAnsi="Arial" w:cs="Arial"/>
              </w:rPr>
            </w:pPr>
            <w:r w:rsidRPr="003916E6">
              <w:rPr>
                <w:rFonts w:ascii="Arial" w:hAnsi="Arial" w:cs="Arial"/>
              </w:rPr>
              <w:t>Data rozpoczęcia realizacji projektu: 01.01.2019 r.</w:t>
            </w:r>
          </w:p>
          <w:p w14:paraId="70645024" w14:textId="77777777" w:rsidR="00EF2AE1" w:rsidRPr="003916E6" w:rsidRDefault="00EF2AE1" w:rsidP="009A1AD8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314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Data zakończenia realizacji projektu: 31.12.2021</w:t>
            </w:r>
            <w:r>
              <w:rPr>
                <w:rFonts w:ascii="Arial" w:hAnsi="Arial" w:cs="Arial"/>
              </w:rPr>
              <w:t xml:space="preserve"> </w:t>
            </w:r>
            <w:r w:rsidRPr="003916E6">
              <w:rPr>
                <w:rFonts w:ascii="Arial" w:hAnsi="Arial" w:cs="Arial"/>
              </w:rPr>
              <w:t>r.</w:t>
            </w:r>
          </w:p>
        </w:tc>
      </w:tr>
    </w:tbl>
    <w:p w14:paraId="2A3815AA" w14:textId="77777777" w:rsidR="00EF2AE1" w:rsidRPr="00141A92" w:rsidRDefault="00EF2AE1" w:rsidP="00EF2AE1">
      <w:pPr>
        <w:pStyle w:val="Nagwek2"/>
        <w:numPr>
          <w:ilvl w:val="0"/>
          <w:numId w:val="19"/>
        </w:numPr>
        <w:suppressAutoHyphens/>
        <w:spacing w:before="360" w:after="120"/>
        <w:ind w:left="426" w:right="284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44A3D427" w14:textId="77777777" w:rsidR="00EF2AE1" w:rsidRPr="00E13683" w:rsidRDefault="00EF2AE1" w:rsidP="00EF2AE1">
      <w:pPr>
        <w:suppressAutoHyphens/>
        <w:jc w:val="both"/>
        <w:rPr>
          <w:rFonts w:ascii="Arial" w:eastAsiaTheme="majorEastAsia" w:hAnsi="Arial" w:cs="Arial"/>
          <w:sz w:val="20"/>
        </w:rPr>
      </w:pPr>
      <w:r w:rsidRPr="00E13683">
        <w:rPr>
          <w:rFonts w:ascii="Arial" w:eastAsiaTheme="majorEastAsia" w:hAnsi="Arial" w:cs="Arial"/>
          <w:sz w:val="20"/>
        </w:rPr>
        <w:t>W okresie sprawozdawczym nie nastąpiła modyfikacja stanu prawnego w</w:t>
      </w:r>
      <w:r>
        <w:rPr>
          <w:rFonts w:ascii="Arial" w:eastAsiaTheme="majorEastAsia" w:hAnsi="Arial" w:cs="Arial"/>
          <w:sz w:val="20"/>
        </w:rPr>
        <w:t xml:space="preserve"> </w:t>
      </w:r>
      <w:r w:rsidRPr="00E13683">
        <w:rPr>
          <w:rFonts w:ascii="Arial" w:eastAsiaTheme="majorEastAsia" w:hAnsi="Arial" w:cs="Arial"/>
          <w:sz w:val="20"/>
        </w:rPr>
        <w:t>zakresie realizowanego projektu. Projekt może zostać zrealizowany w obecnym stanie prawnym.</w:t>
      </w:r>
    </w:p>
    <w:p w14:paraId="5C0EBB40" w14:textId="77777777" w:rsidR="00EF2AE1" w:rsidRPr="00F65532" w:rsidRDefault="00EF2AE1" w:rsidP="00EF2AE1">
      <w:pPr>
        <w:pStyle w:val="Nagwek2"/>
        <w:numPr>
          <w:ilvl w:val="0"/>
          <w:numId w:val="19"/>
        </w:numPr>
        <w:suppressAutoHyphens/>
        <w:spacing w:after="12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114"/>
        <w:gridCol w:w="3260"/>
        <w:gridCol w:w="3260"/>
      </w:tblGrid>
      <w:tr w:rsidR="00EF2AE1" w:rsidRPr="002B50C0" w14:paraId="74CC984F" w14:textId="77777777" w:rsidTr="009A1AD8">
        <w:trPr>
          <w:tblHeader/>
        </w:trPr>
        <w:tc>
          <w:tcPr>
            <w:tcW w:w="3114" w:type="dxa"/>
            <w:shd w:val="clear" w:color="auto" w:fill="D0CECE" w:themeFill="background2" w:themeFillShade="E6"/>
            <w:vAlign w:val="center"/>
          </w:tcPr>
          <w:p w14:paraId="3C327359" w14:textId="77777777" w:rsidR="00EF2AE1" w:rsidRPr="00141A92" w:rsidRDefault="00EF2AE1" w:rsidP="009A1AD8">
            <w:pPr>
              <w:suppressAutoHyphens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5883271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67FE2CA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32C47D6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2AE1" w:rsidRPr="002B50C0" w14:paraId="5EA2C382" w14:textId="77777777" w:rsidTr="009A1AD8">
        <w:trPr>
          <w:trHeight w:val="374"/>
        </w:trPr>
        <w:tc>
          <w:tcPr>
            <w:tcW w:w="3114" w:type="dxa"/>
          </w:tcPr>
          <w:p w14:paraId="67FBF80C" w14:textId="77777777" w:rsidR="00EF2AE1" w:rsidRPr="005D54A3" w:rsidRDefault="00EF2AE1" w:rsidP="009A1AD8">
            <w:pPr>
              <w:suppressAutoHyphens/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  <w:r w:rsidRPr="005D7F9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867CD2F" w14:textId="77777777" w:rsidR="00EF2AE1" w:rsidRDefault="00EF2AE1" w:rsidP="00EF2AE1">
            <w:pPr>
              <w:pStyle w:val="Akapitzlist"/>
              <w:numPr>
                <w:ilvl w:val="0"/>
                <w:numId w:val="22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6,60</w:t>
            </w:r>
            <w:r w:rsidRPr="007535ED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51376255" w14:textId="77777777" w:rsidR="00EF2AE1" w:rsidRDefault="00EF2AE1" w:rsidP="00EF2AE1">
            <w:pPr>
              <w:pStyle w:val="Akapitzlist"/>
              <w:numPr>
                <w:ilvl w:val="0"/>
                <w:numId w:val="22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4,76%</w:t>
            </w:r>
          </w:p>
          <w:p w14:paraId="54C4440C" w14:textId="77777777" w:rsidR="00EF2AE1" w:rsidRPr="007535ED" w:rsidRDefault="00EF2AE1" w:rsidP="00EF2AE1">
            <w:pPr>
              <w:pStyle w:val="Akapitzlist"/>
              <w:numPr>
                <w:ilvl w:val="0"/>
                <w:numId w:val="22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557A1D">
              <w:rPr>
                <w:rFonts w:ascii="Arial" w:hAnsi="Arial" w:cs="Arial"/>
                <w:sz w:val="18"/>
                <w:szCs w:val="18"/>
              </w:rPr>
              <w:t>w projekcie nie ma wydatków niekwalifikowanych</w:t>
            </w:r>
          </w:p>
          <w:p w14:paraId="08737327" w14:textId="77777777" w:rsidR="00EF2AE1" w:rsidRPr="005D7F90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50155D22" w14:textId="77777777" w:rsidR="00EF2AE1" w:rsidRPr="005D7F90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27,61</w:t>
            </w:r>
            <w:r w:rsidRPr="005D7F90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25332A1F" w14:textId="77777777" w:rsidR="00EF2AE1" w:rsidRPr="007535ED" w:rsidRDefault="00EF2AE1" w:rsidP="00EF2AE1">
      <w:bookmarkStart w:id="1" w:name="_Hlk5883285"/>
      <w:bookmarkEnd w:id="0"/>
    </w:p>
    <w:bookmarkEnd w:id="1"/>
    <w:p w14:paraId="36E39D36" w14:textId="77777777" w:rsidR="00EF2AE1" w:rsidRPr="002B50C0" w:rsidRDefault="00EF2AE1" w:rsidP="00EF2AE1">
      <w:pPr>
        <w:pStyle w:val="Nagwek3"/>
        <w:numPr>
          <w:ilvl w:val="0"/>
          <w:numId w:val="19"/>
        </w:numPr>
        <w:suppressAutoHyphens/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</w:p>
    <w:p w14:paraId="5512F210" w14:textId="77777777" w:rsidR="00EF2AE1" w:rsidRPr="00141A92" w:rsidRDefault="00EF2AE1" w:rsidP="00EF2AE1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835"/>
        <w:gridCol w:w="1701"/>
        <w:gridCol w:w="1418"/>
        <w:gridCol w:w="1417"/>
        <w:gridCol w:w="2268"/>
      </w:tblGrid>
      <w:tr w:rsidR="00EF2AE1" w:rsidRPr="002B50C0" w14:paraId="67E17C5F" w14:textId="77777777" w:rsidTr="009A1AD8">
        <w:trPr>
          <w:trHeight w:val="729"/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52DD3AA9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C203FFC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C43712D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59A1E4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3A479CC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F2AE1" w:rsidRPr="002B50C0" w14:paraId="69878873" w14:textId="77777777" w:rsidTr="009A1AD8">
        <w:trPr>
          <w:trHeight w:val="526"/>
        </w:trPr>
        <w:tc>
          <w:tcPr>
            <w:tcW w:w="2835" w:type="dxa"/>
          </w:tcPr>
          <w:p w14:paraId="506D2C9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Zamknięta lista funkcjonalności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76A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4B5A28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417" w:type="dxa"/>
          </w:tcPr>
          <w:p w14:paraId="772A2322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268" w:type="dxa"/>
          </w:tcPr>
          <w:p w14:paraId="2692D1C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EF2AE1" w:rsidRPr="002B50C0" w14:paraId="1DF320E6" w14:textId="77777777" w:rsidTr="009A1AD8">
        <w:trPr>
          <w:trHeight w:val="579"/>
        </w:trPr>
        <w:tc>
          <w:tcPr>
            <w:tcW w:w="2835" w:type="dxa"/>
          </w:tcPr>
          <w:p w14:paraId="0F8AA1F6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pierwsza wersja prototypu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0959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9770E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417" w:type="dxa"/>
          </w:tcPr>
          <w:p w14:paraId="06D31208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2268" w:type="dxa"/>
          </w:tcPr>
          <w:p w14:paraId="6A6774A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EF2AE1" w:rsidRPr="002B50C0" w14:paraId="68F7621C" w14:textId="77777777" w:rsidTr="009A1AD8">
        <w:trPr>
          <w:trHeight w:val="575"/>
        </w:trPr>
        <w:tc>
          <w:tcPr>
            <w:tcW w:w="2835" w:type="dxa"/>
          </w:tcPr>
          <w:p w14:paraId="1341D3E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Przygotowany i przetestowany prototyp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F451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ECEAD4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59D96AAE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4DE8DED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4D2E98CA" w14:textId="77777777" w:rsidTr="009A1AD8">
        <w:trPr>
          <w:trHeight w:val="713"/>
        </w:trPr>
        <w:tc>
          <w:tcPr>
            <w:tcW w:w="2835" w:type="dxa"/>
          </w:tcPr>
          <w:p w14:paraId="757BC20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infrastruktura sprzętowo-programowa chmury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A265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95CF56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053FFD7F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2ECB02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2BF66DBA" w14:textId="77777777" w:rsidTr="009A1AD8">
        <w:trPr>
          <w:trHeight w:val="546"/>
        </w:trPr>
        <w:tc>
          <w:tcPr>
            <w:tcW w:w="2835" w:type="dxa"/>
          </w:tcPr>
          <w:p w14:paraId="0FA8685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Zakończony pilotaż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0E5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415E4FF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7" w:type="dxa"/>
          </w:tcPr>
          <w:p w14:paraId="66FEE260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B3F719D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4F6042D0" w14:textId="77777777" w:rsidTr="009A1AD8">
        <w:trPr>
          <w:trHeight w:val="795"/>
        </w:trPr>
        <w:tc>
          <w:tcPr>
            <w:tcW w:w="2835" w:type="dxa"/>
          </w:tcPr>
          <w:p w14:paraId="27DC3C4F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 xml:space="preserve">Zatwierdzony raport z pilotażu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67C42">
              <w:rPr>
                <w:rFonts w:ascii="Arial" w:hAnsi="Arial" w:cs="Arial"/>
                <w:sz w:val="18"/>
                <w:szCs w:val="18"/>
              </w:rPr>
              <w:t>i zmian wprowadzonych do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5DF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DBC092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7" w:type="dxa"/>
          </w:tcPr>
          <w:p w14:paraId="497773D6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6A3A792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76F982EE" w14:textId="77777777" w:rsidTr="009A1AD8">
        <w:trPr>
          <w:trHeight w:val="707"/>
        </w:trPr>
        <w:tc>
          <w:tcPr>
            <w:tcW w:w="2835" w:type="dxa"/>
          </w:tcPr>
          <w:p w14:paraId="3AEFF6EF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docelowa wersja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12B5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F97621A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5D9B49B3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9673218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75F9D8E2" w14:textId="77777777" w:rsidTr="009A1AD8">
        <w:trPr>
          <w:trHeight w:val="567"/>
        </w:trPr>
        <w:tc>
          <w:tcPr>
            <w:tcW w:w="2835" w:type="dxa"/>
          </w:tcPr>
          <w:p w14:paraId="5D20D7D9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Uruchomiona infrastruktura sprzętowo-programowa SaaS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958B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146DD0D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169AF040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0FF8764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3F542B0E" w14:textId="77777777" w:rsidTr="009A1AD8">
        <w:trPr>
          <w:trHeight w:val="1370"/>
        </w:trPr>
        <w:tc>
          <w:tcPr>
            <w:tcW w:w="2835" w:type="dxa"/>
          </w:tcPr>
          <w:p w14:paraId="0D025EA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Zakończona realizacja warsztatów i szkoleń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D1C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KPI3 – 3,00</w:t>
            </w:r>
          </w:p>
          <w:p w14:paraId="01218FBA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KPI4 – 1,00</w:t>
            </w:r>
          </w:p>
          <w:p w14:paraId="7F937569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 – 2,00</w:t>
            </w:r>
          </w:p>
          <w:p w14:paraId="570C28B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KPI6 – 261,00</w:t>
            </w:r>
          </w:p>
          <w:p w14:paraId="0883E01C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KPI7 – 183,00</w:t>
            </w:r>
          </w:p>
          <w:p w14:paraId="463958E7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KPI8 – 78,00</w:t>
            </w:r>
          </w:p>
        </w:tc>
        <w:tc>
          <w:tcPr>
            <w:tcW w:w="1418" w:type="dxa"/>
          </w:tcPr>
          <w:p w14:paraId="211481BE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2AC2181D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323CBF3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F2AE1" w:rsidRPr="002B50C0" w14:paraId="4B6863B8" w14:textId="77777777" w:rsidTr="009A1AD8">
        <w:trPr>
          <w:trHeight w:val="979"/>
        </w:trPr>
        <w:tc>
          <w:tcPr>
            <w:tcW w:w="2835" w:type="dxa"/>
          </w:tcPr>
          <w:p w14:paraId="1B0482A4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Uruchomiony system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9D28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1,00</w:t>
            </w:r>
          </w:p>
          <w:p w14:paraId="0CDDB74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1,00 </w:t>
            </w:r>
          </w:p>
          <w:p w14:paraId="30CC53D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KPI9 – 1,00</w:t>
            </w:r>
          </w:p>
          <w:p w14:paraId="29BA2CEA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KPI10 – 16,00</w:t>
            </w:r>
          </w:p>
        </w:tc>
        <w:tc>
          <w:tcPr>
            <w:tcW w:w="1418" w:type="dxa"/>
          </w:tcPr>
          <w:p w14:paraId="6659C880" w14:textId="77777777" w:rsidR="00EF2AE1" w:rsidRPr="00567C42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1D6DB8E2" w14:textId="77777777" w:rsidR="00EF2AE1" w:rsidRPr="00567C42" w:rsidRDefault="00EF2AE1" w:rsidP="009A1AD8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55A7C89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7EC65C69" w14:textId="77777777" w:rsidR="00EF2AE1" w:rsidRPr="00141A92" w:rsidRDefault="00EF2AE1" w:rsidP="00EF2AE1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248"/>
        <w:gridCol w:w="992"/>
        <w:gridCol w:w="1134"/>
        <w:gridCol w:w="1276"/>
        <w:gridCol w:w="1984"/>
      </w:tblGrid>
      <w:tr w:rsidR="00EF2AE1" w:rsidRPr="002B50C0" w14:paraId="1D358305" w14:textId="77777777" w:rsidTr="009A1AD8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1AD42ECB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913E4F5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Jedn.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B436238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 xml:space="preserve">Wartość </w:t>
            </w:r>
          </w:p>
          <w:p w14:paraId="131BE8AC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0B9B85F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FE2DC97" w14:textId="77777777" w:rsidR="00EF2AE1" w:rsidRPr="00A16E9D" w:rsidRDefault="00EF2AE1" w:rsidP="009A1AD8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Wartość osiągnięta od początku realizacji projektu (narastająco)</w:t>
            </w:r>
          </w:p>
        </w:tc>
      </w:tr>
      <w:tr w:rsidR="00EF2AE1" w:rsidRPr="002B50C0" w14:paraId="586E46D4" w14:textId="77777777" w:rsidTr="009A1AD8">
        <w:trPr>
          <w:trHeight w:val="481"/>
        </w:trPr>
        <w:tc>
          <w:tcPr>
            <w:tcW w:w="4248" w:type="dxa"/>
          </w:tcPr>
          <w:p w14:paraId="28F01B74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urzędów, które wdrożyły katalog</w:t>
            </w:r>
          </w:p>
          <w:p w14:paraId="1E59F34E" w14:textId="77777777" w:rsidR="00EF2AE1" w:rsidRPr="00AD0735" w:rsidRDefault="00EF2AE1" w:rsidP="009A1AD8">
            <w:pPr>
              <w:pStyle w:val="Tekstpodstawowy2"/>
              <w:suppressAutoHyphen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rekomendacji dotyczących awansu cyfrowego</w:t>
            </w:r>
          </w:p>
        </w:tc>
        <w:tc>
          <w:tcPr>
            <w:tcW w:w="992" w:type="dxa"/>
          </w:tcPr>
          <w:p w14:paraId="7BD7B9B8" w14:textId="77777777" w:rsidR="00EF2AE1" w:rsidRPr="00AD0735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DFCC580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05318A82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89B49E2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D073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EF2AE1" w:rsidRPr="002B50C0" w14:paraId="655EB606" w14:textId="77777777" w:rsidTr="009A1AD8">
        <w:trPr>
          <w:trHeight w:val="689"/>
        </w:trPr>
        <w:tc>
          <w:tcPr>
            <w:tcW w:w="4248" w:type="dxa"/>
          </w:tcPr>
          <w:p w14:paraId="19A02A27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uruchomionych systemów</w:t>
            </w:r>
          </w:p>
          <w:p w14:paraId="307DECAA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teleinformatycznych w podmiotach wykonujących zadania publiczne</w:t>
            </w:r>
          </w:p>
        </w:tc>
        <w:tc>
          <w:tcPr>
            <w:tcW w:w="992" w:type="dxa"/>
          </w:tcPr>
          <w:p w14:paraId="69ED0F12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szt.</w:t>
            </w:r>
          </w:p>
        </w:tc>
        <w:tc>
          <w:tcPr>
            <w:tcW w:w="1134" w:type="dxa"/>
          </w:tcPr>
          <w:p w14:paraId="46681329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21B3DBC5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0C02E02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6ABBDCB1" w14:textId="77777777" w:rsidTr="009A1AD8">
        <w:trPr>
          <w:trHeight w:val="699"/>
        </w:trPr>
        <w:tc>
          <w:tcPr>
            <w:tcW w:w="4248" w:type="dxa"/>
          </w:tcPr>
          <w:p w14:paraId="7D79ED4D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992" w:type="dxa"/>
          </w:tcPr>
          <w:p w14:paraId="49919D1B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7244F1A4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276" w:type="dxa"/>
          </w:tcPr>
          <w:p w14:paraId="59F722CD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78FF06F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4AA5A84C" w14:textId="77777777" w:rsidTr="009A1AD8">
        <w:trPr>
          <w:trHeight w:val="711"/>
        </w:trPr>
        <w:tc>
          <w:tcPr>
            <w:tcW w:w="4248" w:type="dxa"/>
          </w:tcPr>
          <w:p w14:paraId="440E68EA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kobiety</w:t>
            </w:r>
          </w:p>
        </w:tc>
        <w:tc>
          <w:tcPr>
            <w:tcW w:w="992" w:type="dxa"/>
          </w:tcPr>
          <w:p w14:paraId="77DBA116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3FBFBF28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3A15263E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868E1A7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2E32000E" w14:textId="77777777" w:rsidTr="009A1AD8">
        <w:trPr>
          <w:trHeight w:val="693"/>
        </w:trPr>
        <w:tc>
          <w:tcPr>
            <w:tcW w:w="4248" w:type="dxa"/>
          </w:tcPr>
          <w:p w14:paraId="50364346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5.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mężczyźni</w:t>
            </w:r>
          </w:p>
        </w:tc>
        <w:tc>
          <w:tcPr>
            <w:tcW w:w="992" w:type="dxa"/>
          </w:tcPr>
          <w:p w14:paraId="4CBFC233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7389FC56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276" w:type="dxa"/>
          </w:tcPr>
          <w:p w14:paraId="0FA258F8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623BE0F5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1C0F784F" w14:textId="77777777" w:rsidTr="009A1AD8">
        <w:trPr>
          <w:trHeight w:val="697"/>
        </w:trPr>
        <w:tc>
          <w:tcPr>
            <w:tcW w:w="4248" w:type="dxa"/>
          </w:tcPr>
          <w:p w14:paraId="4F38E5E3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6.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992" w:type="dxa"/>
          </w:tcPr>
          <w:p w14:paraId="54D81645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00DB48F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261,00</w:t>
            </w:r>
          </w:p>
        </w:tc>
        <w:tc>
          <w:tcPr>
            <w:tcW w:w="1276" w:type="dxa"/>
          </w:tcPr>
          <w:p w14:paraId="778B9EF2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425D9AFB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5B504957" w14:textId="77777777" w:rsidTr="009A1AD8">
        <w:trPr>
          <w:trHeight w:val="708"/>
        </w:trPr>
        <w:tc>
          <w:tcPr>
            <w:tcW w:w="4248" w:type="dxa"/>
          </w:tcPr>
          <w:p w14:paraId="18874279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7.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992" w:type="dxa"/>
          </w:tcPr>
          <w:p w14:paraId="180DD248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6548E214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183,00</w:t>
            </w:r>
          </w:p>
        </w:tc>
        <w:tc>
          <w:tcPr>
            <w:tcW w:w="1276" w:type="dxa"/>
          </w:tcPr>
          <w:p w14:paraId="381615DF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4251E879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2ABAF299" w14:textId="77777777" w:rsidTr="009A1AD8">
        <w:trPr>
          <w:trHeight w:val="689"/>
        </w:trPr>
        <w:tc>
          <w:tcPr>
            <w:tcW w:w="4248" w:type="dxa"/>
          </w:tcPr>
          <w:p w14:paraId="321A7136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8.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992" w:type="dxa"/>
          </w:tcPr>
          <w:p w14:paraId="3B75FFF5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38E91D97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78,00</w:t>
            </w:r>
          </w:p>
        </w:tc>
        <w:tc>
          <w:tcPr>
            <w:tcW w:w="1276" w:type="dxa"/>
          </w:tcPr>
          <w:p w14:paraId="6220FD8C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26ABDFF1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090F8BE6" w14:textId="77777777" w:rsidTr="009A1AD8">
        <w:trPr>
          <w:trHeight w:val="699"/>
        </w:trPr>
        <w:tc>
          <w:tcPr>
            <w:tcW w:w="4248" w:type="dxa"/>
          </w:tcPr>
          <w:p w14:paraId="60F9AD73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9.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657FF4C2" w14:textId="77777777" w:rsidR="00EF2AE1" w:rsidRPr="00AD0735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78DDAA76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6AE177F6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66C40563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F2AE1" w:rsidRPr="002B50C0" w14:paraId="62031338" w14:textId="77777777" w:rsidTr="009A1AD8">
        <w:trPr>
          <w:trHeight w:val="530"/>
        </w:trPr>
        <w:tc>
          <w:tcPr>
            <w:tcW w:w="4248" w:type="dxa"/>
          </w:tcPr>
          <w:p w14:paraId="34769D5E" w14:textId="77777777" w:rsidR="00EF2AE1" w:rsidRPr="00AD0735" w:rsidRDefault="00EF2AE1" w:rsidP="009A1AD8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10. </w:t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 xml:space="preserve">Liczba urzędów korzystających z systemu </w:t>
            </w:r>
            <w:r>
              <w:rPr>
                <w:rFonts w:cs="Arial"/>
                <w:sz w:val="18"/>
                <w:szCs w:val="18"/>
                <w:lang w:val="pl-PL" w:eastAsia="pl-PL"/>
              </w:rPr>
              <w:br/>
            </w:r>
            <w:r w:rsidRPr="00AD0735">
              <w:rPr>
                <w:rFonts w:cs="Arial"/>
                <w:sz w:val="18"/>
                <w:szCs w:val="18"/>
                <w:lang w:val="pl-PL" w:eastAsia="pl-PL"/>
              </w:rPr>
              <w:t>EZD RP</w:t>
            </w:r>
          </w:p>
        </w:tc>
        <w:tc>
          <w:tcPr>
            <w:tcW w:w="992" w:type="dxa"/>
          </w:tcPr>
          <w:p w14:paraId="457FFC6F" w14:textId="77777777" w:rsidR="00EF2AE1" w:rsidRDefault="00EF2AE1" w:rsidP="009A1AD8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5A040DA2" w14:textId="77777777" w:rsidR="00EF2AE1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276" w:type="dxa"/>
          </w:tcPr>
          <w:p w14:paraId="688BDB7D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87029DE" w14:textId="77777777" w:rsidR="00EF2AE1" w:rsidRPr="00AD0735" w:rsidRDefault="00EF2AE1" w:rsidP="009A1AD8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2B0548ED" w14:textId="77777777" w:rsidR="00EF2AE1" w:rsidRPr="002B50C0" w:rsidRDefault="00EF2AE1" w:rsidP="00EF2AE1">
      <w:pPr>
        <w:pStyle w:val="Nagwek2"/>
        <w:numPr>
          <w:ilvl w:val="0"/>
          <w:numId w:val="19"/>
        </w:numPr>
        <w:suppressAutoHyphens/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3"/>
        <w:gridCol w:w="1261"/>
        <w:gridCol w:w="1395"/>
        <w:gridCol w:w="4165"/>
      </w:tblGrid>
      <w:tr w:rsidR="00EF2AE1" w:rsidRPr="002B50C0" w14:paraId="13EA8FE4" w14:textId="77777777" w:rsidTr="009A1AD8">
        <w:trPr>
          <w:tblHeader/>
        </w:trPr>
        <w:tc>
          <w:tcPr>
            <w:tcW w:w="2813" w:type="dxa"/>
            <w:shd w:val="clear" w:color="auto" w:fill="D0CECE" w:themeFill="background2" w:themeFillShade="E6"/>
            <w:vAlign w:val="center"/>
          </w:tcPr>
          <w:p w14:paraId="04CB7010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B96BFA0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421E3D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5" w:type="dxa"/>
            <w:shd w:val="clear" w:color="auto" w:fill="D0CECE" w:themeFill="background2" w:themeFillShade="E6"/>
            <w:vAlign w:val="center"/>
          </w:tcPr>
          <w:p w14:paraId="508EDE14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F2AE1" w:rsidRPr="002B50C0" w14:paraId="1BA0000C" w14:textId="77777777" w:rsidTr="009A1AD8">
        <w:tc>
          <w:tcPr>
            <w:tcW w:w="2813" w:type="dxa"/>
          </w:tcPr>
          <w:p w14:paraId="289EE383" w14:textId="77777777" w:rsidR="00EF2AE1" w:rsidRPr="004E33E3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28AEF94" w14:textId="77777777" w:rsidR="00EF2AE1" w:rsidRPr="004E33E3" w:rsidRDefault="00EF2AE1" w:rsidP="009A1AD8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1395" w:type="dxa"/>
          </w:tcPr>
          <w:p w14:paraId="5715FC8C" w14:textId="77777777" w:rsidR="00EF2AE1" w:rsidRPr="004E33E3" w:rsidRDefault="00EF2AE1" w:rsidP="009A1AD8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4165" w:type="dxa"/>
          </w:tcPr>
          <w:p w14:paraId="01866366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42E847B" w14:textId="77777777" w:rsidR="00EF2AE1" w:rsidRPr="002B50C0" w:rsidRDefault="00EF2AE1" w:rsidP="00EF2AE1">
      <w:pPr>
        <w:pStyle w:val="Nagwek2"/>
        <w:numPr>
          <w:ilvl w:val="0"/>
          <w:numId w:val="19"/>
        </w:numPr>
        <w:suppressAutoHyphens/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EF2AE1" w:rsidRPr="002B50C0" w14:paraId="3C4CA55C" w14:textId="77777777" w:rsidTr="009A1AD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79D49E5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828CB3B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00965A1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38CD178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F2AE1" w:rsidRPr="002B50C0" w14:paraId="2AAA1225" w14:textId="77777777" w:rsidTr="009A1AD8">
        <w:trPr>
          <w:trHeight w:val="356"/>
        </w:trPr>
        <w:tc>
          <w:tcPr>
            <w:tcW w:w="2937" w:type="dxa"/>
          </w:tcPr>
          <w:p w14:paraId="6370A02C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2BDAB72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1673118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ED34927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986D907" w14:textId="77777777" w:rsidR="00EF2AE1" w:rsidRPr="00F25348" w:rsidRDefault="00EF2AE1" w:rsidP="00EF2AE1">
      <w:pPr>
        <w:pStyle w:val="Nagwek3"/>
        <w:numPr>
          <w:ilvl w:val="0"/>
          <w:numId w:val="19"/>
        </w:numPr>
        <w:suppressAutoHyphens/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418"/>
        <w:gridCol w:w="4110"/>
      </w:tblGrid>
      <w:tr w:rsidR="00EF2AE1" w:rsidRPr="002B50C0" w14:paraId="71BFF866" w14:textId="77777777" w:rsidTr="009A1AD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540B53D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E75BAE1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58F1BC9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1E29C3E4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34CBB73" w14:textId="77777777" w:rsidR="00EF2AE1" w:rsidRPr="00141A92" w:rsidRDefault="00EF2AE1" w:rsidP="009A1AD8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2AE1" w:rsidRPr="002B50C0" w14:paraId="495E639F" w14:textId="77777777" w:rsidTr="009A1AD8">
        <w:trPr>
          <w:trHeight w:val="2860"/>
        </w:trPr>
        <w:tc>
          <w:tcPr>
            <w:tcW w:w="2547" w:type="dxa"/>
          </w:tcPr>
          <w:p w14:paraId="6CA96826" w14:textId="77777777" w:rsidR="00EF2AE1" w:rsidRPr="00427635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>System EZD RP (z aplikacją migracyjną)</w:t>
            </w:r>
          </w:p>
        </w:tc>
        <w:tc>
          <w:tcPr>
            <w:tcW w:w="1559" w:type="dxa"/>
          </w:tcPr>
          <w:p w14:paraId="3A0D66D3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2F2E9195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2893CE4F" w14:textId="77777777" w:rsidR="00EF2AE1" w:rsidRPr="000B6B29" w:rsidRDefault="00EF2AE1" w:rsidP="009A1AD8">
            <w:p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B6B29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lanowana</w:t>
            </w:r>
            <w:r w:rsidRPr="000B6B29">
              <w:rPr>
                <w:rFonts w:ascii="Arial" w:hAnsi="Arial" w:cs="Arial"/>
                <w:sz w:val="18"/>
                <w:szCs w:val="18"/>
              </w:rPr>
              <w:t xml:space="preserve"> jest integracja EZD RP </w:t>
            </w:r>
            <w:r w:rsidRPr="000B6B29">
              <w:rPr>
                <w:rFonts w:ascii="Arial" w:hAnsi="Arial" w:cs="Arial"/>
                <w:sz w:val="18"/>
                <w:szCs w:val="18"/>
              </w:rPr>
              <w:br/>
              <w:t xml:space="preserve">z następującymi istniejącymi i planowanymi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B6B29">
              <w:rPr>
                <w:rFonts w:ascii="Arial" w:hAnsi="Arial" w:cs="Arial"/>
                <w:sz w:val="18"/>
                <w:szCs w:val="18"/>
              </w:rPr>
              <w:t>do realizacji systemami i platformami referencyjnymi: Krajowy Węzeł Identyfikacji Elektronicznej, Profil Zaufany (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eGO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 xml:space="preserve">, LDAP, 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eDoręczenia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>, Efaktura.gov.pl, Platforma Zamówień Publicznych, platformy ERP, F-K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oraz </w:t>
            </w:r>
            <w:r w:rsidRPr="000B6B29">
              <w:rPr>
                <w:rFonts w:ascii="Arial" w:hAnsi="Arial" w:cs="Arial"/>
                <w:sz w:val="18"/>
                <w:szCs w:val="18"/>
              </w:rPr>
              <w:t>K-P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widok.gov.pl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>
              <w:rPr>
                <w:rFonts w:cs="Arial"/>
                <w:sz w:val="18"/>
                <w:szCs w:val="18"/>
              </w:rPr>
              <w:t>i</w:t>
            </w:r>
            <w:r w:rsidRPr="000B6B29">
              <w:rPr>
                <w:rFonts w:ascii="Arial" w:hAnsi="Arial" w:cs="Arial"/>
                <w:sz w:val="18"/>
                <w:szCs w:val="18"/>
              </w:rPr>
              <w:t xml:space="preserve">nne systemy, których zastosowanie wynika ze specyfiki pracy różnych urzędów (np. platformy regionalne, </w:t>
            </w:r>
            <w:proofErr w:type="spellStart"/>
            <w:r w:rsidRPr="000B6B29">
              <w:rPr>
                <w:rFonts w:ascii="Arial" w:hAnsi="Arial" w:cs="Arial"/>
                <w:sz w:val="18"/>
                <w:szCs w:val="18"/>
              </w:rPr>
              <w:t>eNadawca</w:t>
            </w:r>
            <w:proofErr w:type="spellEnd"/>
            <w:r w:rsidRPr="000B6B29">
              <w:rPr>
                <w:rFonts w:ascii="Arial" w:hAnsi="Arial" w:cs="Arial"/>
                <w:sz w:val="18"/>
                <w:szCs w:val="18"/>
              </w:rPr>
              <w:t>, Źródło) oraz wynikających z AIP.</w:t>
            </w:r>
          </w:p>
        </w:tc>
      </w:tr>
      <w:tr w:rsidR="00EF2AE1" w:rsidRPr="002B50C0" w14:paraId="6652106F" w14:textId="77777777" w:rsidTr="009A1AD8">
        <w:trPr>
          <w:trHeight w:val="1129"/>
        </w:trPr>
        <w:tc>
          <w:tcPr>
            <w:tcW w:w="2547" w:type="dxa"/>
          </w:tcPr>
          <w:p w14:paraId="4520AA12" w14:textId="77777777" w:rsidR="00EF2AE1" w:rsidRPr="00427635" w:rsidRDefault="00EF2AE1" w:rsidP="009A1AD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 xml:space="preserve">Infrastruktura chmurowa, udostępniająca EZD RP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27635">
              <w:rPr>
                <w:rFonts w:ascii="Arial" w:hAnsi="Arial" w:cs="Arial"/>
                <w:sz w:val="18"/>
                <w:szCs w:val="18"/>
              </w:rPr>
              <w:t>(w modelu SaaS)</w:t>
            </w:r>
          </w:p>
        </w:tc>
        <w:tc>
          <w:tcPr>
            <w:tcW w:w="1559" w:type="dxa"/>
          </w:tcPr>
          <w:p w14:paraId="1129502E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78F5ADCE" w14:textId="77777777" w:rsidR="00EF2AE1" w:rsidRPr="001B6667" w:rsidRDefault="00EF2AE1" w:rsidP="009A1AD8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419A16A" w14:textId="77777777" w:rsidR="00EF2AE1" w:rsidRDefault="00EF2AE1" w:rsidP="009A1AD8">
            <w:pPr>
              <w:suppressAutoHyphens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54D639D" w14:textId="77777777" w:rsidR="00EF2AE1" w:rsidRPr="002B50C0" w:rsidRDefault="00EF2AE1" w:rsidP="00EF2AE1">
      <w:pPr>
        <w:pStyle w:val="Nagwek3"/>
        <w:numPr>
          <w:ilvl w:val="0"/>
          <w:numId w:val="19"/>
        </w:numPr>
        <w:suppressAutoHyphens/>
        <w:spacing w:before="36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</w:p>
    <w:p w14:paraId="34F37074" w14:textId="77777777" w:rsidR="00EF2AE1" w:rsidRPr="00141A92" w:rsidRDefault="00EF2AE1" w:rsidP="00EF2AE1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6"/>
        <w:gridCol w:w="1701"/>
        <w:gridCol w:w="2294"/>
        <w:gridCol w:w="3377"/>
      </w:tblGrid>
      <w:tr w:rsidR="00EF2AE1" w:rsidRPr="002B50C0" w14:paraId="57A033D7" w14:textId="77777777" w:rsidTr="009A1AD8">
        <w:trPr>
          <w:tblHeader/>
        </w:trPr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A2DD3B3" w14:textId="77777777" w:rsidR="00EF2AE1" w:rsidRPr="00141A92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1F77C2" w14:textId="77777777" w:rsidR="00EF2AE1" w:rsidRPr="00141A92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11421F87" w14:textId="77777777" w:rsidR="00EF2AE1" w:rsidRPr="002D7ADA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377" w:type="dxa"/>
            <w:shd w:val="clear" w:color="auto" w:fill="D0CECE" w:themeFill="background2" w:themeFillShade="E6"/>
            <w:vAlign w:val="center"/>
          </w:tcPr>
          <w:p w14:paraId="30C02D8C" w14:textId="77777777" w:rsidR="00EF2AE1" w:rsidRPr="002D7ADA" w:rsidRDefault="00EF2AE1" w:rsidP="009A1AD8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F2AE1" w:rsidRPr="00606269" w14:paraId="0E53256C" w14:textId="77777777" w:rsidTr="009A1AD8">
        <w:trPr>
          <w:trHeight w:val="1808"/>
        </w:trPr>
        <w:tc>
          <w:tcPr>
            <w:tcW w:w="2126" w:type="dxa"/>
          </w:tcPr>
          <w:p w14:paraId="37F1B318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Problemy z integracją systemu EZD RP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 xml:space="preserve">z innymi systemami </w:t>
            </w:r>
          </w:p>
        </w:tc>
        <w:tc>
          <w:tcPr>
            <w:tcW w:w="1701" w:type="dxa"/>
          </w:tcPr>
          <w:p w14:paraId="4E708073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4CFCA8B9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13E19F18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Przygotowanie i udostępnienie dokumentacji technicznej EZD RP niezbędnej do integracji z innymi systemami. Zapewnienie zgodności EZD z ustawą o informatyzacji (w tym rozporządzeniem KRI). Współpraca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z resortami i urzędami centralnymi, dysponentami tych systemów.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3E02A93" w14:textId="77777777" w:rsidR="00E80017" w:rsidRDefault="00E80017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1A1260C" w14:textId="44D87DBE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Powyższe działania pozwolą na redukowanie ryzyka lub też jego współdzielenie – system będzie posiadał odpowiedni zestaw API umożliwiający integrację z innymi systemami bez udziału twórcy systemu. </w:t>
            </w:r>
          </w:p>
          <w:p w14:paraId="2E3D7B65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07B38DCA" w14:textId="77777777" w:rsidR="00EF2AE1" w:rsidRPr="009D42C9" w:rsidRDefault="00EF2AE1" w:rsidP="009A1AD8">
            <w:pPr>
              <w:suppressAutoHyphens/>
              <w:rPr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68123BFE" w14:textId="77777777" w:rsidTr="009A1AD8">
        <w:trPr>
          <w:trHeight w:val="1820"/>
        </w:trPr>
        <w:tc>
          <w:tcPr>
            <w:tcW w:w="2126" w:type="dxa"/>
          </w:tcPr>
          <w:p w14:paraId="26CF6C1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Rotacja personelu uczestniczącego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w projekcie</w:t>
            </w:r>
          </w:p>
        </w:tc>
        <w:tc>
          <w:tcPr>
            <w:tcW w:w="1701" w:type="dxa"/>
          </w:tcPr>
          <w:p w14:paraId="7E7174C1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6199133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4883E03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Zapewnienie odpowiedniej liczby pracowników wnioskodawcy zaangażowanych w realizację projektu. Zabezpieczenie w budżecie projektu odpowiednich wydatków na wynagrodzenia osób zaangażowanych w projekt. Odpowiednia motywacja pracowników.</w:t>
            </w:r>
          </w:p>
          <w:p w14:paraId="063D0AF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6ED9E0D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Spodziewanym efektem działań jest zmniejszenia prawdopodobieństwa wystąpienia zjawiska rotacji lub zmniejszenie wpływu poprzez  długookresowe i trwałe zaangażowanie pracowników przy realizacji zadań w projekcie oraz  dostosowywanie poziomu zatrudnienia oraz dopasowywanie czynników motywacyjnych do bieżącej sytuacji.</w:t>
            </w:r>
          </w:p>
          <w:p w14:paraId="3794A7A0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CEF6C15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2D7F3599" w14:textId="77777777" w:rsidTr="009A1AD8">
        <w:trPr>
          <w:trHeight w:val="581"/>
        </w:trPr>
        <w:tc>
          <w:tcPr>
            <w:tcW w:w="2126" w:type="dxa"/>
          </w:tcPr>
          <w:p w14:paraId="1E945B5D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Zmiany w otoczeniu prawnym</w:t>
            </w:r>
          </w:p>
        </w:tc>
        <w:tc>
          <w:tcPr>
            <w:tcW w:w="1701" w:type="dxa"/>
          </w:tcPr>
          <w:p w14:paraId="3C81BB54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294" w:type="dxa"/>
          </w:tcPr>
          <w:p w14:paraId="57FC565D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068A0741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Monitorowanie planów legislacyjnych, uzgodnienia z MC, </w:t>
            </w:r>
            <w:proofErr w:type="spellStart"/>
            <w:r w:rsidRPr="00606269">
              <w:rPr>
                <w:rFonts w:ascii="Arial" w:hAnsi="Arial" w:cs="Arial"/>
                <w:sz w:val="18"/>
                <w:szCs w:val="20"/>
              </w:rPr>
              <w:t>MIiR</w:t>
            </w:r>
            <w:proofErr w:type="spellEnd"/>
            <w:r w:rsidRPr="00606269">
              <w:rPr>
                <w:rFonts w:ascii="Arial" w:hAnsi="Arial" w:cs="Arial"/>
                <w:sz w:val="18"/>
                <w:szCs w:val="20"/>
              </w:rPr>
              <w:t xml:space="preserve"> i KRMC.</w:t>
            </w:r>
          </w:p>
          <w:p w14:paraId="7844F771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08D5980D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Powyższe działania mają na celu redukcję ryzyka poprzez dostosowywanie produktów projektu do zmian wprowadzanych w obowiązujących przepisach prawa.</w:t>
            </w:r>
          </w:p>
          <w:p w14:paraId="0536D0B7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2F1B37B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5AAA4F21" w14:textId="77777777" w:rsidTr="009A1AD8">
        <w:tc>
          <w:tcPr>
            <w:tcW w:w="2126" w:type="dxa"/>
          </w:tcPr>
          <w:p w14:paraId="0438061A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Niestabilne otoczenie techniczne – część systemów integrowanych jest dopiero planowana, nieznane lub zmieniane interfejsy</w:t>
            </w:r>
          </w:p>
        </w:tc>
        <w:tc>
          <w:tcPr>
            <w:tcW w:w="1701" w:type="dxa"/>
          </w:tcPr>
          <w:p w14:paraId="744ECCEA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0E18131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4CA00F93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zmian na etapie ich planowania, uzgodnienia z podmiotami planującymi lub dokonującymi modyfikacji.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Zastąpienie referencyjności kopiowaniem danych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w odniesieniu do systemów </w:t>
            </w: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>planowanych i niestabilnych (technicznie lub prawnie).</w:t>
            </w:r>
          </w:p>
          <w:p w14:paraId="33824E2C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28FDCAAC" w14:textId="6C89362C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Powyższe działania mają na celu redukcję ryzyka poprzez dostosowywanie produktów projektu do </w:t>
            </w:r>
            <w:r w:rsidR="00E80017">
              <w:rPr>
                <w:rFonts w:ascii="Arial" w:hAnsi="Arial" w:cs="Arial"/>
                <w:sz w:val="18"/>
                <w:szCs w:val="20"/>
              </w:rPr>
              <w:t xml:space="preserve">wprowadzanych nowych usług lub </w:t>
            </w:r>
            <w:r>
              <w:rPr>
                <w:rFonts w:ascii="Arial" w:hAnsi="Arial" w:cs="Arial"/>
                <w:sz w:val="18"/>
                <w:szCs w:val="20"/>
              </w:rPr>
              <w:t xml:space="preserve">zmian w usługach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eAdministracji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57DF062" w14:textId="182A6AD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B7BE26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40B28D33" w14:textId="77777777" w:rsidTr="009A1AD8">
        <w:trPr>
          <w:trHeight w:val="2326"/>
        </w:trPr>
        <w:tc>
          <w:tcPr>
            <w:tcW w:w="2126" w:type="dxa"/>
          </w:tcPr>
          <w:p w14:paraId="52AA959B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 xml:space="preserve">Przekroczenie planowanego budżetu inwestycji w związku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ze zmianami cen rynkowych w czasie realizacji projektu (poziom inflacji, zmiana stóp procentowych, zmiany kursów walutowych)</w:t>
            </w:r>
          </w:p>
        </w:tc>
        <w:tc>
          <w:tcPr>
            <w:tcW w:w="1701" w:type="dxa"/>
          </w:tcPr>
          <w:p w14:paraId="753A355F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551E6416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09F29376" w14:textId="77777777" w:rsidR="00EF2AE1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Stały monitoring finansowy postępów realizacji projektu. Śledzenie trendów rynkowych.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Zabezpieczenie rezerwy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>w budżecie projektu.</w:t>
            </w:r>
          </w:p>
          <w:p w14:paraId="3A0FC5D2" w14:textId="77777777" w:rsidR="00EF2AE1" w:rsidRPr="00C66BB7" w:rsidRDefault="00EF2AE1" w:rsidP="009A1AD8"/>
          <w:p w14:paraId="0A24ECB9" w14:textId="77777777" w:rsidR="00EF2AE1" w:rsidRPr="00CC7D91" w:rsidRDefault="00EF2AE1" w:rsidP="009A1AD8">
            <w:pPr>
              <w:suppressAutoHyphens/>
            </w:pPr>
            <w:r>
              <w:rPr>
                <w:rFonts w:ascii="Arial" w:hAnsi="Arial" w:cs="Arial"/>
                <w:sz w:val="18"/>
                <w:szCs w:val="20"/>
              </w:rPr>
              <w:t>Powyższe działania zapewnią realizację projektu w ramach zabezpieczonych środków finansowych.</w:t>
            </w:r>
          </w:p>
          <w:p w14:paraId="459A2A1B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464E30CA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48AE9A9E" w14:textId="77777777" w:rsidTr="009A1AD8">
        <w:trPr>
          <w:trHeight w:val="1925"/>
        </w:trPr>
        <w:tc>
          <w:tcPr>
            <w:tcW w:w="2126" w:type="dxa"/>
          </w:tcPr>
          <w:p w14:paraId="1CDFB2E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Przesunięcia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/przekroczenia terminów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w harmonogramie realizacji projektu skutkujące nieukończeniem realizacji inwestycji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terminie</w:t>
            </w:r>
          </w:p>
        </w:tc>
        <w:tc>
          <w:tcPr>
            <w:tcW w:w="1701" w:type="dxa"/>
          </w:tcPr>
          <w:p w14:paraId="4CDDEA94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787D1A3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7264744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Bieżący monitoring postępu prac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ujawniających się czynników zagrożenia oraz efektywne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podejmowanie decyzji przez osoby zarządzające projektem.</w:t>
            </w:r>
          </w:p>
          <w:p w14:paraId="12CD5A4E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6B0E10B7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Powyższe działania mają na celu redukcję ryzyka poprzez ciągłe identyfikowanie opóźnień zagrażających terminowi końcowemu, opracowywanie i wdrażanie planów naprawczych.</w:t>
            </w:r>
          </w:p>
          <w:p w14:paraId="15A42708" w14:textId="66F02973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57A1CC5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zakresie ryzyka nie nastąpiła zmiana w stosunku do poprzedniego okresu sprawozdawczego.</w:t>
            </w:r>
          </w:p>
        </w:tc>
      </w:tr>
      <w:tr w:rsidR="00EF2AE1" w:rsidRPr="00606269" w14:paraId="656B38F4" w14:textId="77777777" w:rsidTr="009A1AD8">
        <w:trPr>
          <w:trHeight w:val="1915"/>
        </w:trPr>
        <w:tc>
          <w:tcPr>
            <w:tcW w:w="2126" w:type="dxa"/>
          </w:tcPr>
          <w:p w14:paraId="6D6E6C33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D33799">
              <w:rPr>
                <w:rFonts w:ascii="Arial" w:hAnsi="Arial" w:cs="Arial"/>
                <w:sz w:val="18"/>
                <w:szCs w:val="20"/>
              </w:rPr>
              <w:t>Brak możliwości użycia gotowych bibliotek programistycznych</w:t>
            </w:r>
          </w:p>
        </w:tc>
        <w:tc>
          <w:tcPr>
            <w:tcW w:w="1701" w:type="dxa"/>
          </w:tcPr>
          <w:p w14:paraId="4039C156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02BACDCC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5375BE82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0542CA">
              <w:rPr>
                <w:rFonts w:ascii="Arial" w:hAnsi="Arial" w:cs="Arial"/>
                <w:sz w:val="18"/>
                <w:szCs w:val="20"/>
              </w:rPr>
              <w:t xml:space="preserve">Wypracowanie warunków licencyjnych zabezpieczających możliwość dystrybuowania i przeniesienia praw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0542CA">
              <w:rPr>
                <w:rFonts w:ascii="Arial" w:hAnsi="Arial" w:cs="Arial"/>
                <w:sz w:val="18"/>
                <w:szCs w:val="20"/>
              </w:rPr>
              <w:t xml:space="preserve">do systemu zgodnie z zapisami </w:t>
            </w:r>
            <w:proofErr w:type="spellStart"/>
            <w:r w:rsidRPr="000542CA">
              <w:rPr>
                <w:rFonts w:ascii="Arial" w:hAnsi="Arial" w:cs="Arial"/>
                <w:sz w:val="18"/>
                <w:szCs w:val="20"/>
              </w:rPr>
              <w:t>WoD</w:t>
            </w:r>
            <w:proofErr w:type="spellEnd"/>
            <w:r w:rsidRPr="000542CA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0542CA">
              <w:rPr>
                <w:rFonts w:ascii="Arial" w:hAnsi="Arial" w:cs="Arial"/>
                <w:sz w:val="18"/>
                <w:szCs w:val="20"/>
              </w:rPr>
              <w:t>i SW. Przygotowanie planu realizacj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0542CA">
              <w:rPr>
                <w:rFonts w:ascii="Arial" w:hAnsi="Arial" w:cs="Arial"/>
                <w:sz w:val="18"/>
                <w:szCs w:val="20"/>
              </w:rPr>
              <w:t xml:space="preserve"> dodatkowych funkcjonalności we własnym zakresie lub w oparciu o open </w:t>
            </w:r>
            <w:proofErr w:type="spellStart"/>
            <w:r w:rsidRPr="000542CA">
              <w:rPr>
                <w:rFonts w:ascii="Arial" w:hAnsi="Arial" w:cs="Arial"/>
                <w:sz w:val="18"/>
                <w:szCs w:val="20"/>
              </w:rPr>
              <w:t>source</w:t>
            </w:r>
            <w:proofErr w:type="spellEnd"/>
            <w:r w:rsidRPr="000542C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71A724B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C9F9BC2" w14:textId="25A8FE31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Podjęte działania mają na celu redukcj</w:t>
            </w:r>
            <w:r w:rsidR="00E80017"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 xml:space="preserve"> ryzyka poprzez wł</w:t>
            </w:r>
            <w:r w:rsidR="00E80017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ściwe i wyczerpujące określenie wymagań licencyjnych dopasowanych do celów i produktów projektu lub eliminację ryzyka poprzez opracowanie i wdrożenie planu rezerwowego.</w:t>
            </w:r>
          </w:p>
          <w:p w14:paraId="12274CA1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08B36660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Nowe ryzyko zidentyfikowane w bieżącym okresie sprawozdawczym.</w:t>
            </w:r>
          </w:p>
        </w:tc>
      </w:tr>
      <w:tr w:rsidR="00EF2AE1" w:rsidRPr="00606269" w14:paraId="33820B4E" w14:textId="77777777" w:rsidTr="009A1AD8">
        <w:trPr>
          <w:trHeight w:val="1765"/>
        </w:trPr>
        <w:tc>
          <w:tcPr>
            <w:tcW w:w="2126" w:type="dxa"/>
          </w:tcPr>
          <w:p w14:paraId="5D74DECD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D33799">
              <w:rPr>
                <w:rFonts w:ascii="Arial" w:hAnsi="Arial" w:cs="Arial"/>
                <w:sz w:val="18"/>
                <w:szCs w:val="20"/>
              </w:rPr>
              <w:lastRenderedPageBreak/>
              <w:t>Opóźnienia w realizacji postępowań przetargowych</w:t>
            </w:r>
          </w:p>
        </w:tc>
        <w:tc>
          <w:tcPr>
            <w:tcW w:w="1701" w:type="dxa"/>
          </w:tcPr>
          <w:p w14:paraId="67944978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294" w:type="dxa"/>
          </w:tcPr>
          <w:p w14:paraId="3ED3691E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4F748CA6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842639">
              <w:rPr>
                <w:rFonts w:ascii="Arial" w:hAnsi="Arial" w:cs="Arial"/>
                <w:sz w:val="18"/>
                <w:szCs w:val="20"/>
              </w:rPr>
              <w:t xml:space="preserve">Stosowanie przejściowych metod pracy i wykorzystywanie darmowych narzędzi w procesie budowy systemu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842639">
              <w:rPr>
                <w:rFonts w:ascii="Arial" w:hAnsi="Arial" w:cs="Arial"/>
                <w:sz w:val="18"/>
                <w:szCs w:val="20"/>
              </w:rPr>
              <w:t xml:space="preserve">i zarządzania projektem, oddelegowanie specjalistów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842639">
              <w:rPr>
                <w:rFonts w:ascii="Arial" w:hAnsi="Arial" w:cs="Arial"/>
                <w:sz w:val="18"/>
                <w:szCs w:val="20"/>
              </w:rPr>
              <w:t>i zwiększenie zaangażowania ze strony osób merytorycznych.</w:t>
            </w:r>
          </w:p>
          <w:p w14:paraId="45449399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72DF1F82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Efektem powyższych działań jest redukcja ryzyka poprzez wdrożenie planów rezerwowych umożliwiających realizację zadań zgodnie z harmonogramem. </w:t>
            </w:r>
            <w:bookmarkStart w:id="2" w:name="_GoBack"/>
            <w:bookmarkEnd w:id="2"/>
          </w:p>
          <w:p w14:paraId="74C8B0A4" w14:textId="77777777" w:rsidR="00EF2AE1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  <w:p w14:paraId="522D6B81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Nowe ryzyko zidentyfikowane w bieżącym okresie sprawozdawczym.</w:t>
            </w:r>
          </w:p>
        </w:tc>
      </w:tr>
    </w:tbl>
    <w:p w14:paraId="1EF88834" w14:textId="77777777" w:rsidR="00EF2AE1" w:rsidRDefault="00EF2AE1" w:rsidP="00EF2AE1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2410"/>
        <w:gridCol w:w="2834"/>
      </w:tblGrid>
      <w:tr w:rsidR="00EF2AE1" w:rsidRPr="006334BF" w14:paraId="0A9499E2" w14:textId="77777777" w:rsidTr="009A1AD8">
        <w:trPr>
          <w:trHeight w:val="49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F8DF6B3" w14:textId="77777777" w:rsidR="00EF2AE1" w:rsidRPr="0057509A" w:rsidRDefault="00EF2AE1" w:rsidP="009A1AD8">
            <w:pPr>
              <w:suppressAutoHyphens/>
              <w:spacing w:after="0" w:line="240" w:lineRule="auto"/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</w:pPr>
            <w:r w:rsidRPr="0057509A"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3E19A1" w14:textId="77777777" w:rsidR="00EF2AE1" w:rsidRPr="0057509A" w:rsidRDefault="00EF2AE1" w:rsidP="009A1AD8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Siła oddziaływania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69FED8" w14:textId="77777777" w:rsidR="00EF2AE1" w:rsidRPr="0057509A" w:rsidRDefault="00EF2AE1" w:rsidP="009A1AD8">
            <w:pPr>
              <w:pStyle w:val="Legenda"/>
              <w:rPr>
                <w:rFonts w:ascii="Arial" w:hAnsi="Arial" w:cs="Arial"/>
                <w:sz w:val="19"/>
                <w:szCs w:val="19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Prawdopodobieństwo wystąpienia ryzyka</w:t>
            </w: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14:paraId="066277A5" w14:textId="77777777" w:rsidR="00EF2AE1" w:rsidRPr="0057509A" w:rsidRDefault="00EF2AE1" w:rsidP="009A1AD8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Sposób zarzadzania ryzykiem</w:t>
            </w:r>
          </w:p>
        </w:tc>
      </w:tr>
      <w:tr w:rsidR="00EF2AE1" w:rsidRPr="001B6667" w14:paraId="1E583884" w14:textId="77777777" w:rsidTr="009A1AD8">
        <w:trPr>
          <w:trHeight w:val="1450"/>
        </w:trPr>
        <w:tc>
          <w:tcPr>
            <w:tcW w:w="2835" w:type="dxa"/>
            <w:shd w:val="clear" w:color="auto" w:fill="auto"/>
          </w:tcPr>
          <w:p w14:paraId="01E03BA3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Zmiana przepisów regulujących procedury realizowane przez system EZD RP</w:t>
            </w:r>
          </w:p>
        </w:tc>
        <w:tc>
          <w:tcPr>
            <w:tcW w:w="1701" w:type="dxa"/>
            <w:shd w:val="clear" w:color="auto" w:fill="FFFFFF"/>
          </w:tcPr>
          <w:p w14:paraId="125C891A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0304565C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834" w:type="dxa"/>
            <w:shd w:val="clear" w:color="auto" w:fill="FFFFFF"/>
          </w:tcPr>
          <w:p w14:paraId="5871BC78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Bieżące monitorowanie zmian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w przepisach prawnych. Projektowanie systemu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 sposób umożliwiający wprowadzanie zmian poprzez rekonfigurację.</w:t>
            </w:r>
          </w:p>
        </w:tc>
      </w:tr>
      <w:tr w:rsidR="00EF2AE1" w:rsidRPr="001B6667" w14:paraId="23DD323C" w14:textId="77777777" w:rsidTr="009A1AD8">
        <w:trPr>
          <w:trHeight w:val="2176"/>
        </w:trPr>
        <w:tc>
          <w:tcPr>
            <w:tcW w:w="2835" w:type="dxa"/>
            <w:shd w:val="clear" w:color="auto" w:fill="auto"/>
          </w:tcPr>
          <w:p w14:paraId="397CE02B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Utrata bezpieczeństwa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stabilności systemu EZD RP udostępnionego jako usługa chmurowa</w:t>
            </w:r>
          </w:p>
        </w:tc>
        <w:tc>
          <w:tcPr>
            <w:tcW w:w="1701" w:type="dxa"/>
            <w:shd w:val="clear" w:color="auto" w:fill="FFFFFF"/>
          </w:tcPr>
          <w:p w14:paraId="06B09EA7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410" w:type="dxa"/>
            <w:shd w:val="clear" w:color="auto" w:fill="FFFFFF"/>
          </w:tcPr>
          <w:p w14:paraId="40C315A7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17228F39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Analiza głównych przyczyn dotychczasowych problemów. Uwzględnienie historycznych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i potencjalnych scenariuszy zagrażających bezpieczeństwu systemu. Doświadczenie, wiedza i narzędzia NASK odpowiedzialnego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przedsięwzięciu za bezpieczeństwo. </w:t>
            </w:r>
          </w:p>
        </w:tc>
      </w:tr>
      <w:tr w:rsidR="00EF2AE1" w:rsidRPr="001B6667" w14:paraId="4213F3F8" w14:textId="77777777" w:rsidTr="009A1AD8">
        <w:trPr>
          <w:trHeight w:val="2690"/>
        </w:trPr>
        <w:tc>
          <w:tcPr>
            <w:tcW w:w="2835" w:type="dxa"/>
            <w:shd w:val="clear" w:color="auto" w:fill="auto"/>
          </w:tcPr>
          <w:p w14:paraId="77DCE7EF" w14:textId="77777777" w:rsidR="00EF2AE1" w:rsidRPr="00606269" w:rsidRDefault="00EF2AE1" w:rsidP="009A1AD8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Ryzyko rotacji personelu utrzymującego produkty projektu</w:t>
            </w:r>
          </w:p>
        </w:tc>
        <w:tc>
          <w:tcPr>
            <w:tcW w:w="1701" w:type="dxa"/>
            <w:shd w:val="clear" w:color="auto" w:fill="FFFFFF"/>
          </w:tcPr>
          <w:p w14:paraId="70BAA83E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43D54C6F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68E2062E" w14:textId="77777777" w:rsidR="00EF2AE1" w:rsidRPr="00606269" w:rsidRDefault="00EF2AE1" w:rsidP="009A1AD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Zapewnienie odpowiedniej liczby pracowników wnioskodawcy zaangażowanych w utrzymanie produktów projektu. Zabezpieczenie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budżecie projektu odpowiednich wydatków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na wynagrodzenia osób zaangażowanych w utrzymanie produktów projektu. Odpowiednia motywacja pracowników.</w:t>
            </w:r>
          </w:p>
        </w:tc>
      </w:tr>
    </w:tbl>
    <w:p w14:paraId="12834218" w14:textId="77777777" w:rsidR="00EF2AE1" w:rsidRDefault="00EF2AE1" w:rsidP="00EF2AE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08B53C1" w14:textId="77777777" w:rsidR="00EF2AE1" w:rsidRPr="00805178" w:rsidRDefault="00EF2AE1" w:rsidP="00EF2AE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C19066E" w14:textId="77777777" w:rsidR="00EF2AE1" w:rsidRPr="009D42C9" w:rsidRDefault="00EF2AE1" w:rsidP="00EF2AE1">
      <w:pPr>
        <w:pStyle w:val="Akapitzlist"/>
        <w:numPr>
          <w:ilvl w:val="0"/>
          <w:numId w:val="19"/>
        </w:numPr>
        <w:suppressAutoHyphens/>
        <w:spacing w:before="360" w:after="12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9D42C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42C9">
        <w:rPr>
          <w:rFonts w:ascii="Arial" w:hAnsi="Arial" w:cs="Arial"/>
          <w:b/>
        </w:rPr>
        <w:t xml:space="preserve"> </w:t>
      </w:r>
    </w:p>
    <w:p w14:paraId="5ACC80B6" w14:textId="37187258" w:rsidR="00A92887" w:rsidRPr="00EF2AE1" w:rsidRDefault="00EF2AE1" w:rsidP="00EF2AE1">
      <w:r w:rsidRPr="00A16E9D">
        <w:rPr>
          <w:rFonts w:ascii="Arial" w:hAnsi="Arial" w:cs="Arial"/>
          <w:sz w:val="18"/>
          <w:szCs w:val="18"/>
        </w:rPr>
        <w:t>Sławomir Zych, Oddział NASK w Białymstoku,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hyperlink r:id="rId8" w:history="1">
        <w:r w:rsidRPr="00FC03A6">
          <w:rPr>
            <w:rStyle w:val="Hipercze"/>
            <w:rFonts w:ascii="Arial" w:hAnsi="Arial" w:cs="Arial"/>
            <w:sz w:val="18"/>
            <w:szCs w:val="18"/>
          </w:rPr>
          <w:t>slawomir.zych@nask.pl</w:t>
        </w:r>
      </w:hyperlink>
      <w:r w:rsidRPr="00856A1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856A12">
        <w:rPr>
          <w:rFonts w:ascii="Arial" w:hAnsi="Arial" w:cs="Arial"/>
          <w:sz w:val="18"/>
          <w:szCs w:val="18"/>
        </w:rPr>
        <w:t>tel. 22 380 83 35, kom.</w:t>
      </w:r>
      <w:r>
        <w:rPr>
          <w:rFonts w:ascii="Arial" w:hAnsi="Arial" w:cs="Arial"/>
          <w:sz w:val="18"/>
          <w:szCs w:val="18"/>
        </w:rPr>
        <w:t xml:space="preserve"> 608 300 629</w:t>
      </w:r>
    </w:p>
    <w:sectPr w:rsidR="00A92887" w:rsidRPr="00EF2AE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FBD29" w14:textId="77777777" w:rsidR="00D50860" w:rsidRDefault="00D50860" w:rsidP="00BB2420">
      <w:pPr>
        <w:spacing w:after="0" w:line="240" w:lineRule="auto"/>
      </w:pPr>
      <w:r>
        <w:separator/>
      </w:r>
    </w:p>
  </w:endnote>
  <w:endnote w:type="continuationSeparator" w:id="0">
    <w:p w14:paraId="7E60A400" w14:textId="77777777" w:rsidR="00D50860" w:rsidRDefault="00D508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A987F" w14:textId="77777777" w:rsidR="00D50860" w:rsidRDefault="00D50860" w:rsidP="00BB2420">
      <w:pPr>
        <w:spacing w:after="0" w:line="240" w:lineRule="auto"/>
      </w:pPr>
      <w:r>
        <w:separator/>
      </w:r>
    </w:p>
  </w:footnote>
  <w:footnote w:type="continuationSeparator" w:id="0">
    <w:p w14:paraId="4B495CA5" w14:textId="77777777" w:rsidR="00D50860" w:rsidRDefault="00D50860" w:rsidP="00BB2420">
      <w:pPr>
        <w:spacing w:after="0" w:line="240" w:lineRule="auto"/>
      </w:pPr>
      <w:r>
        <w:continuationSeparator/>
      </w:r>
    </w:p>
  </w:footnote>
  <w:footnote w:id="1">
    <w:p w14:paraId="3FE75F47" w14:textId="77777777" w:rsidR="00EF2AE1" w:rsidRDefault="00EF2AE1" w:rsidP="00EF2AE1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3E28"/>
    <w:multiLevelType w:val="hybridMultilevel"/>
    <w:tmpl w:val="A7F00DDE"/>
    <w:lvl w:ilvl="0" w:tplc="5D120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4869"/>
    <w:multiLevelType w:val="hybridMultilevel"/>
    <w:tmpl w:val="E214C970"/>
    <w:lvl w:ilvl="0" w:tplc="116C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0860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0017"/>
    <w:rsid w:val="00E81D7C"/>
    <w:rsid w:val="00E83FA4"/>
    <w:rsid w:val="00E86020"/>
    <w:rsid w:val="00EA0B4F"/>
    <w:rsid w:val="00EC2AFC"/>
    <w:rsid w:val="00EF2AE1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F2A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1,Akapit z listą5,Akapit normalny,Akapit z listą BS,Kolorowa lista — akcent 11,Podsis rysunku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1 Znak,Akapit z listą5 Znak,Akapit normalny Znak,Akapit z listą BS Znak,Kolorowa lista — akcent 11 Znak,Dot pt Znak"/>
    <w:basedOn w:val="Domylnaczcionkaakapitu"/>
    <w:link w:val="Akapitzlist"/>
    <w:uiPriority w:val="34"/>
    <w:qFormat/>
    <w:locked/>
    <w:rsid w:val="00EF2AE1"/>
  </w:style>
  <w:style w:type="character" w:styleId="Hipercze">
    <w:name w:val="Hyperlink"/>
    <w:basedOn w:val="Domylnaczcionkaakapitu"/>
    <w:uiPriority w:val="99"/>
    <w:unhideWhenUsed/>
    <w:rsid w:val="00EF2A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womir.zych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D86D-EF2F-49FB-88F1-01C993F0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1565</Words>
  <Characters>9391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2019-10-14T15:34:00Z</dcterms:created>
  <dcterms:modified xsi:type="dcterms:W3CDTF">2019-10-14T15:36:00Z</dcterms:modified>
</cp:coreProperties>
</file>