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767" w:rsidRPr="00344767" w:rsidRDefault="00344767" w:rsidP="00344767">
      <w:pPr>
        <w:shd w:val="clear" w:color="auto" w:fill="FFFFFF"/>
        <w:spacing w:before="240" w:after="240" w:line="240" w:lineRule="atLeast"/>
        <w:outlineLvl w:val="1"/>
        <w:rPr>
          <w:rFonts w:ascii="Arial" w:eastAsia="Times New Roman" w:hAnsi="Arial" w:cs="Arial"/>
          <w:color w:val="020202"/>
          <w:sz w:val="29"/>
          <w:szCs w:val="29"/>
          <w:lang w:eastAsia="pl-PL"/>
        </w:rPr>
      </w:pPr>
      <w:r w:rsidRPr="00344767">
        <w:rPr>
          <w:rFonts w:ascii="Arial" w:eastAsia="Times New Roman" w:hAnsi="Arial" w:cs="Arial"/>
          <w:color w:val="020202"/>
          <w:sz w:val="29"/>
          <w:szCs w:val="29"/>
          <w:lang w:eastAsia="pl-PL"/>
        </w:rPr>
        <w:t>Najczęściej zadawane pytania</w:t>
      </w:r>
    </w:p>
    <w:p w:rsidR="00344767" w:rsidRPr="00344767" w:rsidRDefault="00344767" w:rsidP="00344767">
      <w:pPr>
        <w:numPr>
          <w:ilvl w:val="0"/>
          <w:numId w:val="1"/>
        </w:numPr>
        <w:shd w:val="clear" w:color="auto" w:fill="FFFFFF"/>
        <w:spacing w:after="0"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b/>
          <w:bCs/>
          <w:color w:val="0A6E91"/>
          <w:sz w:val="18"/>
          <w:szCs w:val="18"/>
          <w:lang w:eastAsia="pl-PL"/>
        </w:rPr>
        <w:t>Czy w ramach podmiotów ubiegających się o dofinansowanie zapis Instytucje z sektora finansów publicznych, takie jak jednostki podległe Ministerstwu Spraw Wewnętrznych oraz Ministerstwu Finansów (w tym Policja, Straż Graniczna, Służba Celna) oznacza, że beneficjentem mogą być tylko Instytucje podległe MSW oraz MF, czy mogą to być również inni beneficjenci np. wojewoda, administracja zespolona?</w:t>
      </w:r>
    </w:p>
    <w:p w:rsidR="00344767" w:rsidRPr="00344767" w:rsidRDefault="00344767" w:rsidP="00344767">
      <w:pPr>
        <w:shd w:val="clear" w:color="auto" w:fill="FFFFFF"/>
        <w:spacing w:before="100" w:beforeAutospacing="1" w:after="100" w:afterAutospacing="1"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color w:val="010101"/>
          <w:sz w:val="18"/>
          <w:szCs w:val="18"/>
          <w:lang w:eastAsia="pl-PL"/>
        </w:rPr>
        <w:t>Wskazanie w ogłoszeniu instytucji podległych MSW stanowi jedynie przykład potencjalnej grupy wnioskodawców. Nie zawęża to w żaden sposób grupy wnioskodawców uprawnionych do wzięcia udziału w konkursie.</w:t>
      </w:r>
    </w:p>
    <w:p w:rsidR="00344767" w:rsidRPr="00344767" w:rsidRDefault="00344767" w:rsidP="00344767">
      <w:pPr>
        <w:numPr>
          <w:ilvl w:val="0"/>
          <w:numId w:val="1"/>
        </w:numPr>
        <w:shd w:val="clear" w:color="auto" w:fill="FFFFFF"/>
        <w:spacing w:after="0"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b/>
          <w:bCs/>
          <w:color w:val="0A6491"/>
          <w:sz w:val="18"/>
          <w:szCs w:val="18"/>
          <w:lang w:eastAsia="pl-PL"/>
        </w:rPr>
        <w:t xml:space="preserve">Czy w ramach ogłoszonego konkursu na wsparcie obszaru </w:t>
      </w:r>
      <w:proofErr w:type="spellStart"/>
      <w:r w:rsidRPr="00344767">
        <w:rPr>
          <w:rFonts w:ascii="Arial" w:eastAsia="Times New Roman" w:hAnsi="Arial" w:cs="Arial"/>
          <w:b/>
          <w:bCs/>
          <w:color w:val="0A6491"/>
          <w:sz w:val="18"/>
          <w:szCs w:val="18"/>
          <w:lang w:eastAsia="pl-PL"/>
        </w:rPr>
        <w:t>Schengen</w:t>
      </w:r>
      <w:proofErr w:type="spellEnd"/>
      <w:r w:rsidRPr="00344767">
        <w:rPr>
          <w:rFonts w:ascii="Arial" w:eastAsia="Times New Roman" w:hAnsi="Arial" w:cs="Arial"/>
          <w:b/>
          <w:bCs/>
          <w:color w:val="0A6491"/>
          <w:sz w:val="18"/>
          <w:szCs w:val="18"/>
          <w:lang w:eastAsia="pl-PL"/>
        </w:rPr>
        <w:t>, Wnioskodawcą może być jednostka samorządu terytorialnego?</w:t>
      </w:r>
    </w:p>
    <w:p w:rsidR="00344767" w:rsidRPr="00344767" w:rsidRDefault="00344767" w:rsidP="00344767">
      <w:pPr>
        <w:shd w:val="clear" w:color="auto" w:fill="FFFFFF"/>
        <w:spacing w:before="100" w:beforeAutospacing="1" w:after="100" w:afterAutospacing="1"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color w:val="010101"/>
          <w:sz w:val="18"/>
          <w:szCs w:val="18"/>
          <w:lang w:eastAsia="pl-PL"/>
        </w:rPr>
        <w:t>Jednostki samorządu terytorialnego jako instytucje sektora finansów publicznych są uprawnione do wzięcia udziału w konkursie.</w:t>
      </w:r>
    </w:p>
    <w:p w:rsidR="00344767" w:rsidRPr="00344767" w:rsidRDefault="00344767" w:rsidP="00344767">
      <w:pPr>
        <w:numPr>
          <w:ilvl w:val="0"/>
          <w:numId w:val="1"/>
        </w:numPr>
        <w:shd w:val="clear" w:color="auto" w:fill="FFFFFF"/>
        <w:spacing w:after="0"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b/>
          <w:bCs/>
          <w:color w:val="0A6491"/>
          <w:sz w:val="18"/>
          <w:szCs w:val="18"/>
          <w:lang w:eastAsia="pl-PL"/>
        </w:rPr>
        <w:t>Ile wniosków może złożyć jeden wnioskodawca?</w:t>
      </w:r>
    </w:p>
    <w:p w:rsidR="00344767" w:rsidRPr="00344767" w:rsidRDefault="00344767" w:rsidP="00344767">
      <w:pPr>
        <w:shd w:val="clear" w:color="auto" w:fill="FFFFFF"/>
        <w:spacing w:before="100" w:beforeAutospacing="1" w:after="100" w:afterAutospacing="1"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color w:val="010101"/>
          <w:sz w:val="18"/>
          <w:szCs w:val="18"/>
          <w:lang w:eastAsia="pl-PL"/>
        </w:rPr>
        <w:t>Operator programu nie ograniczył liczby wniosków, które może złożyć jeden wnioskodawca.</w:t>
      </w:r>
    </w:p>
    <w:p w:rsidR="00344767" w:rsidRPr="00344767" w:rsidRDefault="00344767" w:rsidP="00344767">
      <w:pPr>
        <w:numPr>
          <w:ilvl w:val="0"/>
          <w:numId w:val="1"/>
        </w:numPr>
        <w:shd w:val="clear" w:color="auto" w:fill="FFFFFF"/>
        <w:spacing w:after="0"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b/>
          <w:bCs/>
          <w:color w:val="0A6E91"/>
          <w:sz w:val="18"/>
          <w:szCs w:val="18"/>
          <w:lang w:eastAsia="pl-PL"/>
        </w:rPr>
        <w:t>Czy możliwe jest finansowanie inwestycji związanych z zakupem środków trwałych?</w:t>
      </w:r>
    </w:p>
    <w:p w:rsidR="00344767" w:rsidRPr="00344767" w:rsidRDefault="00344767" w:rsidP="00344767">
      <w:pPr>
        <w:shd w:val="clear" w:color="auto" w:fill="FFFFFF"/>
        <w:spacing w:before="100" w:beforeAutospacing="1" w:after="100" w:afterAutospacing="1"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color w:val="010101"/>
          <w:sz w:val="18"/>
          <w:szCs w:val="18"/>
          <w:lang w:eastAsia="pl-PL"/>
        </w:rPr>
        <w:t>Z zasady projekty mające na celu zakup środków trwałych nie stanowią celu konkursu. Kwalifikowalność takich wydatków dotyczy jedynie wysokości ich amortyzacji w okresie realizacji projektu.</w:t>
      </w:r>
    </w:p>
    <w:p w:rsidR="00344767" w:rsidRPr="00344767" w:rsidRDefault="00344767" w:rsidP="00344767">
      <w:pPr>
        <w:shd w:val="clear" w:color="auto" w:fill="FFFFFF"/>
        <w:spacing w:before="100" w:beforeAutospacing="1" w:after="100" w:afterAutospacing="1"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color w:val="010101"/>
          <w:sz w:val="18"/>
          <w:szCs w:val="18"/>
          <w:lang w:eastAsia="pl-PL"/>
        </w:rPr>
        <w:t>Dopuszcza się natomiast zakup sprzętu niezbędnego do realizacji projektów, których cele są zbieżne z celami konkursu i programu PL15.</w:t>
      </w:r>
    </w:p>
    <w:p w:rsidR="00344767" w:rsidRPr="00344767" w:rsidRDefault="00344767" w:rsidP="00344767">
      <w:pPr>
        <w:numPr>
          <w:ilvl w:val="0"/>
          <w:numId w:val="1"/>
        </w:numPr>
        <w:shd w:val="clear" w:color="auto" w:fill="FFFFFF"/>
        <w:spacing w:after="0"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b/>
          <w:bCs/>
          <w:color w:val="0A6491"/>
          <w:sz w:val="18"/>
          <w:szCs w:val="18"/>
          <w:lang w:eastAsia="pl-PL"/>
        </w:rPr>
        <w:t>W związku z tym, że Wojewoda odpowiada za finansowanie i utrzymanie przejść granicznych, czy możliwe jest sfinansowanie kursów i szkoleń dla pracowników urzędu wojewódzkiego wykonujących te zadania, np. kursów językowych oraz specjalistycznych, m.in. z zakresu zamówień publicznych, prawa budowlanego, rozliczania inwestycji?</w:t>
      </w:r>
    </w:p>
    <w:p w:rsidR="00344767" w:rsidRPr="00344767" w:rsidRDefault="00344767" w:rsidP="00344767">
      <w:pPr>
        <w:shd w:val="clear" w:color="auto" w:fill="FFFFFF"/>
        <w:spacing w:before="100" w:beforeAutospacing="1" w:after="100" w:afterAutospacing="1"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color w:val="010101"/>
          <w:sz w:val="18"/>
          <w:szCs w:val="18"/>
          <w:lang w:eastAsia="pl-PL"/>
        </w:rPr>
        <w:t>Działania realizowane w ramach projektu powinny być nakierowane na osiąganie celów wskazanych w ogłoszeniu o naborze wniosków.</w:t>
      </w:r>
    </w:p>
    <w:p w:rsidR="00344767" w:rsidRPr="00344767" w:rsidRDefault="00344767" w:rsidP="00344767">
      <w:pPr>
        <w:numPr>
          <w:ilvl w:val="0"/>
          <w:numId w:val="1"/>
        </w:numPr>
        <w:shd w:val="clear" w:color="auto" w:fill="FFFFFF"/>
        <w:spacing w:after="0"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b/>
          <w:bCs/>
          <w:color w:val="0A6491"/>
          <w:sz w:val="18"/>
          <w:szCs w:val="18"/>
          <w:lang w:eastAsia="pl-PL"/>
        </w:rPr>
        <w:t>Czy kosztem kwalifikowanym w projekcie jest zakup nowego sprzętu (mobilne stanowisko dowodzenia), który będzie stanowił niezbędny element do osiągnięcia celów projektu ?</w:t>
      </w:r>
    </w:p>
    <w:p w:rsidR="00344767" w:rsidRPr="00344767" w:rsidRDefault="00344767" w:rsidP="00344767">
      <w:pPr>
        <w:shd w:val="clear" w:color="auto" w:fill="FFFFFF"/>
        <w:spacing w:before="100" w:beforeAutospacing="1" w:after="100" w:afterAutospacing="1"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color w:val="010101"/>
          <w:sz w:val="18"/>
          <w:szCs w:val="18"/>
          <w:lang w:eastAsia="pl-PL"/>
        </w:rPr>
        <w:t>Zgodnie z zaleceniami Norweskiego MSZ i informacjami wskazanymi w ogłoszeniu o naborze wniosków w trakcie oceny priorytetowo traktowane będą projekty nie nastawione na zakup sprzętu oraz inwestycje infrastrukturalne. Zgodnie z Rozdziałem 7 </w:t>
      </w:r>
      <w:r w:rsidRPr="00344767">
        <w:rPr>
          <w:rFonts w:ascii="Arial" w:eastAsia="Times New Roman" w:hAnsi="Arial" w:cs="Arial"/>
          <w:i/>
          <w:iCs/>
          <w:color w:val="010101"/>
          <w:sz w:val="18"/>
          <w:szCs w:val="18"/>
          <w:lang w:eastAsia="pl-PL"/>
        </w:rPr>
        <w:t>Regulacji w sprawie Wdrażania Norweskiego Mechanizmu Finansowego 2009–2014</w:t>
      </w:r>
      <w:r w:rsidRPr="00344767">
        <w:rPr>
          <w:rFonts w:ascii="Arial" w:eastAsia="Times New Roman" w:hAnsi="Arial" w:cs="Arial"/>
          <w:color w:val="010101"/>
          <w:sz w:val="18"/>
          <w:szCs w:val="18"/>
          <w:lang w:eastAsia="pl-PL"/>
        </w:rPr>
        <w:t> za kwalifikowalny uznaje się koszt nowego lub używanego sprzętu pod warunkiem, że jest on amortyzowany zgodnie z ogólnie przyjętymi zasadami rachunkowości obowiązującymi beneficjenta i zasadami ogólnie przyjętymi dla przedmiotów tego samego rodzaju. Tylko ta część amortyzacji, która odpowiada okresowi trwania projektu oraz rzeczywistemu zużyciu do celów projektu może być brana pod uwagę jako kwalifikująca się do dofinansowania.</w:t>
      </w:r>
    </w:p>
    <w:p w:rsidR="00344767" w:rsidRPr="00344767" w:rsidRDefault="00344767" w:rsidP="00344767">
      <w:pPr>
        <w:shd w:val="clear" w:color="auto" w:fill="FFFFFF"/>
        <w:spacing w:before="100" w:beforeAutospacing="1" w:after="100" w:afterAutospacing="1"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color w:val="010101"/>
          <w:sz w:val="18"/>
          <w:szCs w:val="18"/>
          <w:lang w:eastAsia="pl-PL"/>
        </w:rPr>
        <w:t>W przypadku Programu PL15 w ramach wyjątku całkowite koszty zakupu nowego sprzętu mogą zostać uznane za kwalifikowalne w ramach projektów, w przypadku których sprzęt stanowi integralny i konieczny komponent, kluczowy dla osiągnięcia rezultatu projektu.</w:t>
      </w:r>
    </w:p>
    <w:p w:rsidR="00344767" w:rsidRPr="00344767" w:rsidRDefault="00344767" w:rsidP="00344767">
      <w:pPr>
        <w:shd w:val="clear" w:color="auto" w:fill="FFFFFF"/>
        <w:spacing w:before="100" w:beforeAutospacing="1" w:after="100" w:afterAutospacing="1"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color w:val="010101"/>
          <w:sz w:val="18"/>
          <w:szCs w:val="18"/>
          <w:lang w:eastAsia="pl-PL"/>
        </w:rPr>
        <w:t>Ocena stopnia kwalifikowalności sprzętu w ramach projektu będzie możliwa do przeprowadzenia jedynie w oparciu o kompletną dokumentację złożonego wniosku aplikacyjnego.</w:t>
      </w:r>
    </w:p>
    <w:p w:rsidR="00344767" w:rsidRPr="00344767" w:rsidRDefault="00344767" w:rsidP="00344767">
      <w:pPr>
        <w:numPr>
          <w:ilvl w:val="0"/>
          <w:numId w:val="1"/>
        </w:numPr>
        <w:shd w:val="clear" w:color="auto" w:fill="FFFFFF"/>
        <w:spacing w:after="0"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b/>
          <w:bCs/>
          <w:color w:val="0A6491"/>
          <w:sz w:val="18"/>
          <w:szCs w:val="18"/>
          <w:lang w:eastAsia="pl-PL"/>
        </w:rPr>
        <w:t>Czy podwykonawstwo jest kwalifikowane w projekcie, jeżeli tak to czy istnieje limit kosztów na podwykonawstwo?</w:t>
      </w:r>
    </w:p>
    <w:p w:rsidR="00344767" w:rsidRPr="00344767" w:rsidRDefault="00344767" w:rsidP="00344767">
      <w:pPr>
        <w:shd w:val="clear" w:color="auto" w:fill="FFFFFF"/>
        <w:spacing w:before="100" w:beforeAutospacing="1" w:after="100" w:afterAutospacing="1"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color w:val="010101"/>
          <w:sz w:val="18"/>
          <w:szCs w:val="18"/>
          <w:lang w:eastAsia="pl-PL"/>
        </w:rPr>
        <w:lastRenderedPageBreak/>
        <w:t>Operator Programu umożliwia realizację działań projektowych w ramach podwykonawstwa. Nie określono limitu kosztów ponoszonych w ramach podwykonawstwa</w:t>
      </w:r>
    </w:p>
    <w:p w:rsidR="00344767" w:rsidRPr="00344767" w:rsidRDefault="00344767" w:rsidP="00344767">
      <w:pPr>
        <w:numPr>
          <w:ilvl w:val="0"/>
          <w:numId w:val="1"/>
        </w:numPr>
        <w:shd w:val="clear" w:color="auto" w:fill="FFFFFF"/>
        <w:spacing w:after="0"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b/>
          <w:bCs/>
          <w:color w:val="0A6491"/>
          <w:sz w:val="18"/>
          <w:szCs w:val="18"/>
          <w:lang w:eastAsia="pl-PL"/>
        </w:rPr>
        <w:t>Czy zarządzanie projektem można zlecić podmiotowi zewnętrznemu (podwykonawcy), czy są ustalone limity kosztów poniesionych na zarządzanie projektem?</w:t>
      </w:r>
    </w:p>
    <w:p w:rsidR="00344767" w:rsidRPr="00344767" w:rsidRDefault="00344767" w:rsidP="00344767">
      <w:pPr>
        <w:shd w:val="clear" w:color="auto" w:fill="FFFFFF"/>
        <w:spacing w:before="100" w:beforeAutospacing="1" w:after="100" w:afterAutospacing="1"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color w:val="010101"/>
          <w:sz w:val="18"/>
          <w:szCs w:val="18"/>
          <w:lang w:eastAsia="pl-PL"/>
        </w:rPr>
        <w:t>Zarządzanie projektem może zostać zlecone podmiotowi zewnętrznemu. Operator Programu nie ograniczył wartości kosztów ponoszonych na zarządzanie projektem, niemniej jednak koszty te powinny być adekwatne do zakresu działań przewidzianego w projekcie.</w:t>
      </w:r>
    </w:p>
    <w:p w:rsidR="00344767" w:rsidRPr="00344767" w:rsidRDefault="00344767" w:rsidP="00344767">
      <w:pPr>
        <w:numPr>
          <w:ilvl w:val="0"/>
          <w:numId w:val="1"/>
        </w:numPr>
        <w:shd w:val="clear" w:color="auto" w:fill="FFFFFF"/>
        <w:spacing w:after="0"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b/>
          <w:bCs/>
          <w:color w:val="0A6491"/>
          <w:sz w:val="18"/>
          <w:szCs w:val="18"/>
          <w:lang w:eastAsia="pl-PL"/>
        </w:rPr>
        <w:t>Czy w związku z ogłoszonym naborem wniosków w ramach Norweskiego Mechanizmu Finansowego, Operator Programu przewiduje przeprowadzenie szkolenia dla podmiotów, które mogą ubiegać się o dofinansowanie?</w:t>
      </w:r>
    </w:p>
    <w:p w:rsidR="00344767" w:rsidRPr="00344767" w:rsidRDefault="00344767" w:rsidP="00344767">
      <w:pPr>
        <w:shd w:val="clear" w:color="auto" w:fill="FFFFFF"/>
        <w:spacing w:before="100" w:beforeAutospacing="1" w:after="100" w:afterAutospacing="1"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color w:val="010101"/>
          <w:sz w:val="18"/>
          <w:szCs w:val="18"/>
          <w:lang w:eastAsia="pl-PL"/>
        </w:rPr>
        <w:t>W związku z ogłoszonym naborem wniosków Operator Programu planuje przeprowadzenie szkolenia dla Wnioskodawców w dniu 18 listopada br. w siedzibie MSW przy ul. Batorego 5 w Warszawie.</w:t>
      </w:r>
    </w:p>
    <w:p w:rsidR="00344767" w:rsidRPr="00344767" w:rsidRDefault="00344767" w:rsidP="00344767">
      <w:pPr>
        <w:shd w:val="clear" w:color="auto" w:fill="FFFFFF"/>
        <w:spacing w:before="100" w:beforeAutospacing="1" w:after="100" w:afterAutospacing="1"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color w:val="010101"/>
          <w:sz w:val="18"/>
          <w:szCs w:val="18"/>
          <w:lang w:eastAsia="pl-PL"/>
        </w:rPr>
        <w:t>Ogłoszenie o szkoleniu, formularz rejestracyjny oraz agenda szkolenia znajdują się na stronie internetowej Departamentu Współpracy Międzynarodo</w:t>
      </w:r>
      <w:r>
        <w:rPr>
          <w:rFonts w:ascii="Arial" w:eastAsia="Times New Roman" w:hAnsi="Arial" w:cs="Arial"/>
          <w:color w:val="010101"/>
          <w:sz w:val="18"/>
          <w:szCs w:val="18"/>
          <w:lang w:eastAsia="pl-PL"/>
        </w:rPr>
        <w:t>wej i Funduszy Europejskich MSW.</w:t>
      </w:r>
    </w:p>
    <w:p w:rsidR="00344767" w:rsidRPr="00344767" w:rsidRDefault="00344767" w:rsidP="00344767">
      <w:pPr>
        <w:numPr>
          <w:ilvl w:val="0"/>
          <w:numId w:val="1"/>
        </w:numPr>
        <w:shd w:val="clear" w:color="auto" w:fill="FFFFFF"/>
        <w:spacing w:after="0"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b/>
          <w:bCs/>
          <w:color w:val="0A6491"/>
          <w:sz w:val="18"/>
          <w:szCs w:val="18"/>
          <w:lang w:eastAsia="pl-PL"/>
        </w:rPr>
        <w:t>Czy w ramach projektów wyłonionych do dofinansowania w przedmiotowym naborze wniosków wymagane będzie podpisywanie umów lojalnościowych z bezpośrednimi odbiorcami szkoleń?</w:t>
      </w:r>
    </w:p>
    <w:p w:rsidR="00344767" w:rsidRPr="00344767" w:rsidRDefault="00344767" w:rsidP="00344767">
      <w:pPr>
        <w:shd w:val="clear" w:color="auto" w:fill="FFFFFF"/>
        <w:spacing w:before="100" w:beforeAutospacing="1" w:after="100" w:afterAutospacing="1"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color w:val="010101"/>
          <w:sz w:val="18"/>
          <w:szCs w:val="18"/>
          <w:lang w:eastAsia="pl-PL"/>
        </w:rPr>
        <w:t>Operator Programu nie nakłada na Beneficjentów wymogu podpisywania umów lojalnościowych w odniesieniu do grup docelowych realizowanych projektów. Niemniej jednak Beneficjenci zobowiązani są do stosowania wewnętrznych regulacji i dobrych praktyk w przedmiotowej kwestii.</w:t>
      </w:r>
    </w:p>
    <w:p w:rsidR="00344767" w:rsidRPr="00344767" w:rsidRDefault="00344767" w:rsidP="00344767">
      <w:pPr>
        <w:numPr>
          <w:ilvl w:val="0"/>
          <w:numId w:val="1"/>
        </w:numPr>
        <w:shd w:val="clear" w:color="auto" w:fill="FFFFFF"/>
        <w:spacing w:after="0"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b/>
          <w:bCs/>
          <w:color w:val="0A6491"/>
          <w:sz w:val="18"/>
          <w:szCs w:val="18"/>
          <w:lang w:eastAsia="pl-PL"/>
        </w:rPr>
        <w:t>Czy istnieje obowiązek oznakowania zakupionego w ramach realizacji projektu sprzętu? Jeśli tak, to czy przedmioty które trudno oznaczyć mogą pozostać bez oznakowania? Czy należy o tym wcześniej wspomnieć we wniosku?</w:t>
      </w:r>
    </w:p>
    <w:p w:rsidR="00344767" w:rsidRPr="00344767" w:rsidRDefault="00344767" w:rsidP="00344767">
      <w:pPr>
        <w:shd w:val="clear" w:color="auto" w:fill="FFFFFF"/>
        <w:spacing w:before="100" w:beforeAutospacing="1" w:after="100" w:afterAutospacing="1"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color w:val="010101"/>
          <w:sz w:val="18"/>
          <w:szCs w:val="18"/>
          <w:lang w:eastAsia="pl-PL"/>
        </w:rPr>
        <w:t>Zakupiony w ramach projektu sprzęt powinien zostać odpowiednio oznakowany, wykorzystując naklejki i/lub logo Norweskiego Mechanizmu Finansowego, zgodnie z </w:t>
      </w:r>
      <w:r w:rsidRPr="00344767">
        <w:rPr>
          <w:rFonts w:ascii="Arial" w:eastAsia="Times New Roman" w:hAnsi="Arial" w:cs="Arial"/>
          <w:i/>
          <w:iCs/>
          <w:color w:val="010101"/>
          <w:sz w:val="18"/>
          <w:szCs w:val="18"/>
          <w:lang w:eastAsia="pl-PL"/>
        </w:rPr>
        <w:t>Podręcznikiem Komunikacji i Identyfikacji Wizualnej</w:t>
      </w:r>
      <w:r>
        <w:rPr>
          <w:rFonts w:ascii="Arial" w:eastAsia="Times New Roman" w:hAnsi="Arial" w:cs="Arial"/>
          <w:color w:val="010101"/>
          <w:sz w:val="18"/>
          <w:szCs w:val="18"/>
          <w:lang w:eastAsia="pl-PL"/>
        </w:rPr>
        <w:t>.</w:t>
      </w:r>
      <w:bookmarkStart w:id="0" w:name="_GoBack"/>
      <w:bookmarkEnd w:id="0"/>
    </w:p>
    <w:p w:rsidR="00344767" w:rsidRPr="00344767" w:rsidRDefault="00344767" w:rsidP="00344767">
      <w:pPr>
        <w:shd w:val="clear" w:color="auto" w:fill="FFFFFF"/>
        <w:spacing w:before="100" w:beforeAutospacing="1" w:after="100" w:afterAutospacing="1"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color w:val="010101"/>
          <w:sz w:val="18"/>
          <w:szCs w:val="18"/>
          <w:lang w:eastAsia="pl-PL"/>
        </w:rPr>
        <w:t>Przedmioty niewielkich rozmiarów, trudne do opatrzenia logo/naklejką mogą pozostać bez oznakowania, niemniej jednak informacja w tym zakresie powinna znaleźć się we wniosku aplikacyjnym, w części Informacja i Promocja Projektu i Funduszu.</w:t>
      </w:r>
    </w:p>
    <w:p w:rsidR="00344767" w:rsidRPr="00344767" w:rsidRDefault="00344767" w:rsidP="00344767">
      <w:pPr>
        <w:numPr>
          <w:ilvl w:val="0"/>
          <w:numId w:val="1"/>
        </w:numPr>
        <w:shd w:val="clear" w:color="auto" w:fill="FFFFFF"/>
        <w:spacing w:after="0"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b/>
          <w:bCs/>
          <w:color w:val="0A6491"/>
          <w:sz w:val="18"/>
          <w:szCs w:val="18"/>
          <w:lang w:eastAsia="pl-PL"/>
        </w:rPr>
        <w:t>W jakim terminie można spodziewać się z Państwa strony przystąpienia podpisywania umów finansowych na realizację projektu?</w:t>
      </w:r>
    </w:p>
    <w:p w:rsidR="00344767" w:rsidRPr="00344767" w:rsidRDefault="00344767" w:rsidP="00344767">
      <w:pPr>
        <w:shd w:val="clear" w:color="auto" w:fill="FFFFFF"/>
        <w:spacing w:before="100" w:beforeAutospacing="1" w:after="100" w:afterAutospacing="1"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color w:val="010101"/>
          <w:sz w:val="18"/>
          <w:szCs w:val="18"/>
          <w:lang w:eastAsia="pl-PL"/>
        </w:rPr>
        <w:t>Planowany czas trwania oceny merytorycznej wniosków aplikacyjnych złożonych w ramach trwającego naboru to 3 miesiące. Operator Programu zastrzega sobie prawo do wydłużenia czasu trwania oceny w przypadku wpłynięcia znacznej ilości wniosków aplikacyjnych. Stąd zakładany orientacyjny termin podpisywania umów z Beneficjentami to koniec II kwartału 2014 r.</w:t>
      </w:r>
    </w:p>
    <w:p w:rsidR="00344767" w:rsidRPr="00344767" w:rsidRDefault="00344767" w:rsidP="00344767">
      <w:pPr>
        <w:numPr>
          <w:ilvl w:val="0"/>
          <w:numId w:val="1"/>
        </w:numPr>
        <w:shd w:val="clear" w:color="auto" w:fill="FFFFFF"/>
        <w:spacing w:after="0"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b/>
          <w:bCs/>
          <w:color w:val="0A6491"/>
          <w:sz w:val="18"/>
          <w:szCs w:val="18"/>
          <w:lang w:eastAsia="pl-PL"/>
        </w:rPr>
        <w:t>Czy koszty personelu partnera norweskiego mogą stanowić koszt kwalifikowalny i stanowić część wymaganego 15 procentowego wkładu własnego?</w:t>
      </w:r>
    </w:p>
    <w:p w:rsidR="00344767" w:rsidRPr="00344767" w:rsidRDefault="00344767" w:rsidP="00344767">
      <w:pPr>
        <w:shd w:val="clear" w:color="auto" w:fill="FFFFFF"/>
        <w:spacing w:before="100" w:beforeAutospacing="1" w:after="100" w:afterAutospacing="1"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color w:val="010101"/>
          <w:sz w:val="18"/>
          <w:szCs w:val="18"/>
          <w:lang w:eastAsia="pl-PL"/>
        </w:rPr>
        <w:t>Koszt personelu partnera norweskiego może stanowić koszt kwalifikowalny i stanowić część wymaganego 15 procentowego wkładu własnego.</w:t>
      </w:r>
    </w:p>
    <w:p w:rsidR="00344767" w:rsidRPr="00344767" w:rsidRDefault="00344767" w:rsidP="00344767">
      <w:pPr>
        <w:numPr>
          <w:ilvl w:val="0"/>
          <w:numId w:val="1"/>
        </w:numPr>
        <w:shd w:val="clear" w:color="auto" w:fill="FFFFFF"/>
        <w:spacing w:after="0"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b/>
          <w:bCs/>
          <w:color w:val="0A6491"/>
          <w:sz w:val="18"/>
          <w:szCs w:val="18"/>
          <w:lang w:eastAsia="pl-PL"/>
        </w:rPr>
        <w:t>Czy jest możliwość przedłożenia innych dokumentów niż zaświadczenia i listy obecności (np. oświadczenie kierownika projektu w ośrodku szkolenia), które będą stanowiły potwierdzenie uczestnictwa osób w szkoleniu?</w:t>
      </w:r>
    </w:p>
    <w:p w:rsidR="00344767" w:rsidRPr="00344767" w:rsidRDefault="00344767" w:rsidP="00344767">
      <w:pPr>
        <w:shd w:val="clear" w:color="auto" w:fill="FFFFFF"/>
        <w:spacing w:before="100" w:beforeAutospacing="1" w:after="100" w:afterAutospacing="1"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color w:val="010101"/>
          <w:sz w:val="18"/>
          <w:szCs w:val="18"/>
          <w:lang w:eastAsia="pl-PL"/>
        </w:rPr>
        <w:t>Beneficjent realizując szkolenia/warsztaty powinien gromadzić odpowiednią dokumentację, w tym zaświadczenia i listy obecności, stanowiące dowód zrealizowanych działań i poniesionych wydatków.</w:t>
      </w:r>
    </w:p>
    <w:p w:rsidR="00344767" w:rsidRPr="00344767" w:rsidRDefault="00344767" w:rsidP="00344767">
      <w:pPr>
        <w:shd w:val="clear" w:color="auto" w:fill="FFFFFF"/>
        <w:spacing w:before="100" w:beforeAutospacing="1" w:after="100" w:afterAutospacing="1"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color w:val="010101"/>
          <w:sz w:val="18"/>
          <w:szCs w:val="18"/>
          <w:lang w:eastAsia="pl-PL"/>
        </w:rPr>
        <w:lastRenderedPageBreak/>
        <w:t>Dokumenty te będą wykorzystywane w celach rozliczenia projektu oraz na potrzeby kontroli instytucji uprawnionych.</w:t>
      </w:r>
    </w:p>
    <w:p w:rsidR="00344767" w:rsidRPr="00344767" w:rsidRDefault="00344767" w:rsidP="00344767">
      <w:pPr>
        <w:numPr>
          <w:ilvl w:val="0"/>
          <w:numId w:val="1"/>
        </w:numPr>
        <w:shd w:val="clear" w:color="auto" w:fill="FFFFFF"/>
        <w:spacing w:after="0"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b/>
          <w:bCs/>
          <w:color w:val="0A6491"/>
          <w:sz w:val="18"/>
          <w:szCs w:val="18"/>
          <w:lang w:eastAsia="pl-PL"/>
        </w:rPr>
        <w:t>Czy w ramach NMF 2009–2014 kwalifikowalne są wydatki związane z realizacją projektu szkoleniowego powiązanego z budową infrastruktury niezbędnej do realizacji projektu? W ramach projektu planuje się:</w:t>
      </w:r>
    </w:p>
    <w:p w:rsidR="00344767" w:rsidRPr="00344767" w:rsidRDefault="00344767" w:rsidP="00344767">
      <w:pPr>
        <w:numPr>
          <w:ilvl w:val="1"/>
          <w:numId w:val="1"/>
        </w:numPr>
        <w:shd w:val="clear" w:color="auto" w:fill="FFFFFF"/>
        <w:spacing w:after="0" w:line="240" w:lineRule="auto"/>
        <w:ind w:left="480" w:right="480"/>
        <w:rPr>
          <w:rFonts w:ascii="Arial" w:eastAsia="Times New Roman" w:hAnsi="Arial" w:cs="Arial"/>
          <w:color w:val="010101"/>
          <w:sz w:val="18"/>
          <w:szCs w:val="18"/>
          <w:lang w:eastAsia="pl-PL"/>
        </w:rPr>
      </w:pPr>
      <w:r w:rsidRPr="00344767">
        <w:rPr>
          <w:rFonts w:ascii="Arial" w:eastAsia="Times New Roman" w:hAnsi="Arial" w:cs="Arial"/>
          <w:b/>
          <w:bCs/>
          <w:color w:val="0A6491"/>
          <w:sz w:val="18"/>
          <w:szCs w:val="18"/>
          <w:lang w:eastAsia="pl-PL"/>
        </w:rPr>
        <w:t>wybudowanie ośrodka szkoleniowego;</w:t>
      </w:r>
    </w:p>
    <w:p w:rsidR="00344767" w:rsidRPr="00344767" w:rsidRDefault="00344767" w:rsidP="00344767">
      <w:pPr>
        <w:numPr>
          <w:ilvl w:val="1"/>
          <w:numId w:val="1"/>
        </w:numPr>
        <w:shd w:val="clear" w:color="auto" w:fill="FFFFFF"/>
        <w:spacing w:after="0" w:line="240" w:lineRule="auto"/>
        <w:ind w:left="480" w:right="480"/>
        <w:rPr>
          <w:rFonts w:ascii="Arial" w:eastAsia="Times New Roman" w:hAnsi="Arial" w:cs="Arial"/>
          <w:color w:val="010101"/>
          <w:sz w:val="18"/>
          <w:szCs w:val="18"/>
          <w:lang w:eastAsia="pl-PL"/>
        </w:rPr>
      </w:pPr>
      <w:r w:rsidRPr="00344767">
        <w:rPr>
          <w:rFonts w:ascii="Arial" w:eastAsia="Times New Roman" w:hAnsi="Arial" w:cs="Arial"/>
          <w:b/>
          <w:bCs/>
          <w:color w:val="0A6491"/>
          <w:sz w:val="18"/>
          <w:szCs w:val="18"/>
          <w:lang w:eastAsia="pl-PL"/>
        </w:rPr>
        <w:t>realizację szkoleń.</w:t>
      </w:r>
    </w:p>
    <w:p w:rsidR="00344767" w:rsidRPr="00344767" w:rsidRDefault="00344767" w:rsidP="00344767">
      <w:pPr>
        <w:shd w:val="clear" w:color="auto" w:fill="FFFFFF"/>
        <w:spacing w:before="100" w:beforeAutospacing="1" w:after="100" w:afterAutospacing="1"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color w:val="010101"/>
          <w:sz w:val="18"/>
          <w:szCs w:val="18"/>
          <w:lang w:eastAsia="pl-PL"/>
        </w:rPr>
        <w:t>Wydatki dot. szkoleń są kwalifikowane w ramach NMF 2009–2014.</w:t>
      </w:r>
    </w:p>
    <w:p w:rsidR="00344767" w:rsidRPr="00344767" w:rsidRDefault="00344767" w:rsidP="00344767">
      <w:pPr>
        <w:shd w:val="clear" w:color="auto" w:fill="FFFFFF"/>
        <w:spacing w:before="100" w:beforeAutospacing="1" w:after="100" w:afterAutospacing="1"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color w:val="010101"/>
          <w:sz w:val="18"/>
          <w:szCs w:val="18"/>
          <w:lang w:eastAsia="pl-PL"/>
        </w:rPr>
        <w:t>Wydatki dot. budowy/ remontu, zgodnie z Art. 7.5 </w:t>
      </w:r>
      <w:r w:rsidRPr="00344767">
        <w:rPr>
          <w:rFonts w:ascii="Arial" w:eastAsia="Times New Roman" w:hAnsi="Arial" w:cs="Arial"/>
          <w:i/>
          <w:iCs/>
          <w:color w:val="010101"/>
          <w:sz w:val="18"/>
          <w:szCs w:val="18"/>
          <w:lang w:eastAsia="pl-PL"/>
        </w:rPr>
        <w:t>Regulacji</w:t>
      </w:r>
      <w:r w:rsidRPr="00344767">
        <w:rPr>
          <w:rFonts w:ascii="Arial" w:eastAsia="Times New Roman" w:hAnsi="Arial" w:cs="Arial"/>
          <w:color w:val="010101"/>
          <w:sz w:val="18"/>
          <w:szCs w:val="18"/>
          <w:lang w:eastAsia="pl-PL"/>
        </w:rPr>
        <w:t>, są również  w 100% kwalifikowane.</w:t>
      </w:r>
    </w:p>
    <w:p w:rsidR="00344767" w:rsidRPr="00344767" w:rsidRDefault="00344767" w:rsidP="00344767">
      <w:pPr>
        <w:shd w:val="clear" w:color="auto" w:fill="FFFFFF"/>
        <w:spacing w:before="100" w:beforeAutospacing="1" w:after="100" w:afterAutospacing="1"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color w:val="010101"/>
          <w:sz w:val="18"/>
          <w:szCs w:val="18"/>
          <w:lang w:eastAsia="pl-PL"/>
        </w:rPr>
        <w:t>Jednak należy pamiętać, że wydatki te muszą wpisywać się w cele </w:t>
      </w:r>
      <w:r w:rsidRPr="00344767">
        <w:rPr>
          <w:rFonts w:ascii="Arial" w:eastAsia="Times New Roman" w:hAnsi="Arial" w:cs="Arial"/>
          <w:i/>
          <w:iCs/>
          <w:color w:val="010101"/>
          <w:sz w:val="18"/>
          <w:szCs w:val="18"/>
          <w:lang w:eastAsia="pl-PL"/>
        </w:rPr>
        <w:t>Programu</w:t>
      </w:r>
      <w:r w:rsidRPr="00344767">
        <w:rPr>
          <w:rFonts w:ascii="Arial" w:eastAsia="Times New Roman" w:hAnsi="Arial" w:cs="Arial"/>
          <w:color w:val="010101"/>
          <w:sz w:val="18"/>
          <w:szCs w:val="18"/>
          <w:lang w:eastAsia="pl-PL"/>
        </w:rPr>
        <w:t> i realizować jego rezultaty. Wszelkie koszty powinny być racjonalne, niezbędne i uzasadnione z punktu widzenia założonego celu projektu.</w:t>
      </w:r>
    </w:p>
    <w:p w:rsidR="00344767" w:rsidRPr="00344767" w:rsidRDefault="00344767" w:rsidP="00344767">
      <w:pPr>
        <w:shd w:val="clear" w:color="auto" w:fill="FFFFFF"/>
        <w:spacing w:before="100" w:beforeAutospacing="1" w:after="100" w:afterAutospacing="1"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color w:val="010101"/>
          <w:sz w:val="18"/>
          <w:szCs w:val="18"/>
          <w:lang w:eastAsia="pl-PL"/>
        </w:rPr>
        <w:t>Należy ponadto przypomnieć, że w ramach Programu PL15 priorytetowo traktowane będą projekty miękkie, tj. nie nastawione na zakup sprzętu oraz inwestycje infrastrukturalne.</w:t>
      </w:r>
    </w:p>
    <w:p w:rsidR="00344767" w:rsidRPr="00344767" w:rsidRDefault="00344767" w:rsidP="00344767">
      <w:pPr>
        <w:shd w:val="clear" w:color="auto" w:fill="FFFFFF"/>
        <w:spacing w:before="100" w:beforeAutospacing="1" w:after="100" w:afterAutospacing="1" w:line="240" w:lineRule="auto"/>
        <w:ind w:left="240" w:right="240"/>
        <w:rPr>
          <w:rFonts w:ascii="Arial" w:eastAsia="Times New Roman" w:hAnsi="Arial" w:cs="Arial"/>
          <w:color w:val="010101"/>
          <w:sz w:val="18"/>
          <w:szCs w:val="18"/>
          <w:lang w:eastAsia="pl-PL"/>
        </w:rPr>
      </w:pPr>
      <w:proofErr w:type="spellStart"/>
      <w:r w:rsidRPr="00344767">
        <w:rPr>
          <w:rFonts w:ascii="Arial" w:eastAsia="Times New Roman" w:hAnsi="Arial" w:cs="Arial"/>
          <w:color w:val="010101"/>
          <w:sz w:val="18"/>
          <w:szCs w:val="18"/>
          <w:lang w:eastAsia="pl-PL"/>
        </w:rPr>
        <w:t>Kwalifkowalnoość</w:t>
      </w:r>
      <w:proofErr w:type="spellEnd"/>
      <w:r w:rsidRPr="00344767">
        <w:rPr>
          <w:rFonts w:ascii="Arial" w:eastAsia="Times New Roman" w:hAnsi="Arial" w:cs="Arial"/>
          <w:color w:val="010101"/>
          <w:sz w:val="18"/>
          <w:szCs w:val="18"/>
          <w:lang w:eastAsia="pl-PL"/>
        </w:rPr>
        <w:t xml:space="preserve"> wydatków będzie rozważana indywidualnie, przy ocenie każdego projektu, z uwzględnieniem poziomu wykorzystania utworzonej infrastruktury oraz zakupionego w ramach projektu sprzętu do realizacji celów projektu.</w:t>
      </w:r>
    </w:p>
    <w:p w:rsidR="00344767" w:rsidRPr="00344767" w:rsidRDefault="00344767" w:rsidP="00344767">
      <w:pPr>
        <w:numPr>
          <w:ilvl w:val="0"/>
          <w:numId w:val="1"/>
        </w:numPr>
        <w:shd w:val="clear" w:color="auto" w:fill="FFFFFF"/>
        <w:spacing w:after="0"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b/>
          <w:bCs/>
          <w:color w:val="0A6491"/>
          <w:sz w:val="18"/>
          <w:szCs w:val="18"/>
          <w:lang w:eastAsia="pl-PL"/>
        </w:rPr>
        <w:t>Informacje dotyczące wypełniania budżetu–harmonogramu we wniosku</w:t>
      </w:r>
    </w:p>
    <w:p w:rsidR="00344767" w:rsidRPr="00344767" w:rsidRDefault="00344767" w:rsidP="00344767">
      <w:pPr>
        <w:shd w:val="clear" w:color="auto" w:fill="FFFFFF"/>
        <w:spacing w:before="100" w:beforeAutospacing="1" w:after="100" w:afterAutospacing="1"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color w:val="010101"/>
          <w:sz w:val="18"/>
          <w:szCs w:val="18"/>
          <w:lang w:eastAsia="pl-PL"/>
        </w:rPr>
        <w:t>W związku z wątpliwościami dotyczącymi wypełniania budżetu–harmonogramu we wniosku, prosimy o zapoznanie się z niniejszą informacją.</w:t>
      </w:r>
    </w:p>
    <w:p w:rsidR="00344767" w:rsidRPr="00344767" w:rsidRDefault="00344767" w:rsidP="00344767">
      <w:pPr>
        <w:shd w:val="clear" w:color="auto" w:fill="FFFFFF"/>
        <w:spacing w:before="100" w:beforeAutospacing="1" w:after="100" w:afterAutospacing="1"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color w:val="010101"/>
          <w:sz w:val="18"/>
          <w:szCs w:val="18"/>
          <w:lang w:eastAsia="pl-PL"/>
        </w:rPr>
        <w:t>Kwoty jedności podawane w harmonogramie dotyczą tysięcy, tzn. wpisanie w komórce harmonogramu cyfry 5, oznacza 5 tysięcy, a ściślej zakres od 4501 do 5499 zł. W przypadku jeżeli wydatek jest mniejszy niż 499 złotych (oczywiście w okresie czteromiesięcznym), należy wpisać zero. W tym przypadku możliwe jest także założenie zaokrąglenia w górę, do pełnego tysiąca. </w:t>
      </w:r>
      <w:r w:rsidRPr="00344767">
        <w:rPr>
          <w:rFonts w:ascii="Arial" w:eastAsia="Times New Roman" w:hAnsi="Arial" w:cs="Arial"/>
          <w:b/>
          <w:bCs/>
          <w:color w:val="010101"/>
          <w:sz w:val="18"/>
          <w:szCs w:val="18"/>
          <w:lang w:eastAsia="pl-PL"/>
        </w:rPr>
        <w:t>Budżet–harmonogram ma charakter orientacyjny i nie jest ostatecznie wiążący.</w:t>
      </w:r>
      <w:r w:rsidRPr="00344767">
        <w:rPr>
          <w:rFonts w:ascii="Arial" w:eastAsia="Times New Roman" w:hAnsi="Arial" w:cs="Arial"/>
          <w:color w:val="010101"/>
          <w:sz w:val="18"/>
          <w:szCs w:val="18"/>
          <w:lang w:eastAsia="pl-PL"/>
        </w:rPr>
        <w:t> Wiążące charakter mają kwoty podane na początku wniosku, w wierszach 6–11.</w:t>
      </w:r>
    </w:p>
    <w:p w:rsidR="00344767" w:rsidRPr="00344767" w:rsidRDefault="00344767" w:rsidP="00344767">
      <w:pPr>
        <w:shd w:val="clear" w:color="auto" w:fill="FFFFFF"/>
        <w:spacing w:before="100" w:beforeAutospacing="1" w:after="100" w:afterAutospacing="1"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color w:val="010101"/>
          <w:sz w:val="18"/>
          <w:szCs w:val="18"/>
          <w:lang w:eastAsia="pl-PL"/>
        </w:rPr>
        <w:t>Jeżeli budżet–harmonogram zostanie wypełniony w jednościach oznaczających tysiące, to o ile mieści się w granicach 85–115% wartości kwalifikowalnej projektu z komórki O7, to pod budżetem–harmonogramem nie zostanie wyświetlona informacja o znacznych różnicach. Wyświetlenie takiej informacji nie dyskwalifikuje wniosku; informacja ma charakter ostrzegawczy dla wnioskodawcy.</w:t>
      </w:r>
    </w:p>
    <w:p w:rsidR="00344767" w:rsidRPr="00344767" w:rsidRDefault="00344767" w:rsidP="00344767">
      <w:pPr>
        <w:shd w:val="clear" w:color="auto" w:fill="FFFFFF"/>
        <w:spacing w:before="100" w:beforeAutospacing="1" w:after="100" w:afterAutospacing="1"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b/>
          <w:bCs/>
          <w:color w:val="010101"/>
          <w:sz w:val="18"/>
          <w:szCs w:val="18"/>
          <w:lang w:eastAsia="pl-PL"/>
        </w:rPr>
        <w:t>Biorąc pod uwagę powstające wątpliwości, wnioski wypełnione inaczej niż w jednościach oznaczających tysiące, będą akceptowane.</w:t>
      </w:r>
    </w:p>
    <w:p w:rsidR="00344767" w:rsidRPr="00344767" w:rsidRDefault="00344767" w:rsidP="00344767">
      <w:pPr>
        <w:shd w:val="clear" w:color="auto" w:fill="FFFFFF"/>
        <w:spacing w:before="100" w:beforeAutospacing="1" w:after="100" w:afterAutospacing="1"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color w:val="010101"/>
          <w:sz w:val="18"/>
          <w:szCs w:val="18"/>
          <w:lang w:eastAsia="pl-PL"/>
        </w:rPr>
        <w:t>Poniższy przykład może być pomocny przy wypełnianiu budżetu–harmonogramu:</w:t>
      </w:r>
    </w:p>
    <w:p w:rsidR="00344767" w:rsidRPr="00344767" w:rsidRDefault="00344767" w:rsidP="00344767">
      <w:pPr>
        <w:shd w:val="clear" w:color="auto" w:fill="FFFFFF"/>
        <w:spacing w:before="100" w:beforeAutospacing="1" w:after="100" w:afterAutospacing="1"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noProof/>
          <w:color w:val="010101"/>
          <w:sz w:val="18"/>
          <w:szCs w:val="18"/>
          <w:lang w:eastAsia="pl-PL"/>
        </w:rPr>
        <w:drawing>
          <wp:inline distT="0" distB="0" distL="0" distR="0">
            <wp:extent cx="5610225" cy="701278"/>
            <wp:effectExtent l="0" t="0" r="0" b="3810"/>
            <wp:docPr id="1" name="Obraz 1" descr="fragment formularza wniosku o dofinansowanie projektu w ramach Norweskiego Mechanizmu Finansowego 2009-2014, prezentujący przykład uzupełnienia części dotyczącej budżetu-harmonogramu proj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gment formularza wniosku o dofinansowanie projektu w ramach Norweskiego Mechanizmu Finansowego 2009-2014, prezentujący przykład uzupełnienia części dotyczącej budżetu-harmonogramu projekt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4062" cy="718008"/>
                    </a:xfrm>
                    <a:prstGeom prst="rect">
                      <a:avLst/>
                    </a:prstGeom>
                    <a:noFill/>
                    <a:ln>
                      <a:noFill/>
                    </a:ln>
                  </pic:spPr>
                </pic:pic>
              </a:graphicData>
            </a:graphic>
          </wp:inline>
        </w:drawing>
      </w:r>
    </w:p>
    <w:p w:rsidR="00344767" w:rsidRPr="00344767" w:rsidRDefault="00344767" w:rsidP="00344767">
      <w:pPr>
        <w:shd w:val="clear" w:color="auto" w:fill="FFFFFF"/>
        <w:spacing w:before="100" w:beforeAutospacing="1" w:after="100" w:afterAutospacing="1"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i/>
          <w:iCs/>
          <w:color w:val="010101"/>
          <w:sz w:val="18"/>
          <w:szCs w:val="18"/>
          <w:lang w:eastAsia="pl-PL"/>
        </w:rPr>
        <w:t>Wnioskodawca zaplanował szkolenie R, w związku z którym planuje ponosić koszty wynagrodzenia koordynatora między marcem a wrześniem 2014 roku. Na ten okres zostanie zawarta umowa zlecenia.</w:t>
      </w:r>
    </w:p>
    <w:p w:rsidR="00344767" w:rsidRPr="00344767" w:rsidRDefault="00344767" w:rsidP="00344767">
      <w:pPr>
        <w:shd w:val="clear" w:color="auto" w:fill="FFFFFF"/>
        <w:spacing w:before="100" w:beforeAutospacing="1" w:after="100" w:afterAutospacing="1"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i/>
          <w:iCs/>
          <w:color w:val="010101"/>
          <w:sz w:val="18"/>
          <w:szCs w:val="18"/>
          <w:lang w:eastAsia="pl-PL"/>
        </w:rPr>
        <w:t>Szacowany miesięczny koszt wynagrodzenia wyniesie 1800 zł.</w:t>
      </w:r>
    </w:p>
    <w:p w:rsidR="00344767" w:rsidRPr="00344767" w:rsidRDefault="00344767" w:rsidP="00344767">
      <w:pPr>
        <w:shd w:val="clear" w:color="auto" w:fill="FFFFFF"/>
        <w:spacing w:before="100" w:beforeAutospacing="1" w:after="100" w:afterAutospacing="1"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i/>
          <w:iCs/>
          <w:color w:val="010101"/>
          <w:sz w:val="18"/>
          <w:szCs w:val="18"/>
          <w:lang w:eastAsia="pl-PL"/>
        </w:rPr>
        <w:t>Na okres od stycznia do kwietnia 2014 r. przypadną dwie wypłaty miesięcznego wynagrodzenia, a więc 3600 zł, czyli po zaokrągleniu do pełnych tysięcy – 4 tysiące.</w:t>
      </w:r>
    </w:p>
    <w:p w:rsidR="00344767" w:rsidRPr="00344767" w:rsidRDefault="00344767" w:rsidP="00344767">
      <w:pPr>
        <w:shd w:val="clear" w:color="auto" w:fill="FFFFFF"/>
        <w:spacing w:before="100" w:beforeAutospacing="1" w:after="100" w:afterAutospacing="1"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i/>
          <w:iCs/>
          <w:color w:val="010101"/>
          <w:sz w:val="18"/>
          <w:szCs w:val="18"/>
          <w:lang w:eastAsia="pl-PL"/>
        </w:rPr>
        <w:lastRenderedPageBreak/>
        <w:t>Na okres od maja do sierpnia ’14 przypadną cztery wypłaty, w kwocie 7200 zł (4 x 1800), czyli po zaokrągleniu 7 tysięcy (a nie osiem obliczane jako 4 x 2000).</w:t>
      </w:r>
    </w:p>
    <w:p w:rsidR="00344767" w:rsidRPr="00344767" w:rsidRDefault="00344767" w:rsidP="00344767">
      <w:pPr>
        <w:shd w:val="clear" w:color="auto" w:fill="FFFFFF"/>
        <w:spacing w:before="100" w:beforeAutospacing="1" w:after="100" w:afterAutospacing="1"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i/>
          <w:iCs/>
          <w:color w:val="010101"/>
          <w:sz w:val="18"/>
          <w:szCs w:val="18"/>
          <w:lang w:eastAsia="pl-PL"/>
        </w:rPr>
        <w:t>W okresie od września do grudnia’14 przypadnie jedna wypłata w wysokości 1800 zł, czyli po zaokrągleniu 2 tysiące.</w:t>
      </w:r>
    </w:p>
    <w:p w:rsidR="00344767" w:rsidRPr="00344767" w:rsidRDefault="00344767" w:rsidP="00344767">
      <w:pPr>
        <w:numPr>
          <w:ilvl w:val="0"/>
          <w:numId w:val="1"/>
        </w:numPr>
        <w:shd w:val="clear" w:color="auto" w:fill="FFFFFF"/>
        <w:spacing w:after="0"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b/>
          <w:bCs/>
          <w:color w:val="0A6491"/>
          <w:sz w:val="18"/>
          <w:szCs w:val="18"/>
          <w:lang w:eastAsia="pl-PL"/>
        </w:rPr>
        <w:t>Czy jest możliwe wykorzystanie jedynie kwoty stanowiącej narzędzie zacieśniania współpracy partnerstwa z Funduszu Współpracy Dwustronnej, czy też jest ona nierozerwalnie związana z kwotą przeznaczoną na dofinansowanie projektów?</w:t>
      </w:r>
    </w:p>
    <w:p w:rsidR="00344767" w:rsidRPr="00344767" w:rsidRDefault="00344767" w:rsidP="00344767">
      <w:pPr>
        <w:shd w:val="clear" w:color="auto" w:fill="FFFFFF"/>
        <w:spacing w:before="100" w:beforeAutospacing="1" w:after="100" w:afterAutospacing="1"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color w:val="010101"/>
          <w:sz w:val="18"/>
          <w:szCs w:val="18"/>
          <w:lang w:eastAsia="pl-PL"/>
        </w:rPr>
        <w:t>Operator Programu przewidział realizację działań w ramach Funduszu Współpracy Dwustronnej jedynie w połączeniu z działaniami projektowymi. Stąd Wnioskodawcy nie mogą ubiegać się jedynie o środki Funduszu Współpracy Dwustronnej.</w:t>
      </w:r>
    </w:p>
    <w:p w:rsidR="00344767" w:rsidRPr="00344767" w:rsidRDefault="00344767" w:rsidP="00344767">
      <w:pPr>
        <w:numPr>
          <w:ilvl w:val="0"/>
          <w:numId w:val="1"/>
        </w:numPr>
        <w:shd w:val="clear" w:color="auto" w:fill="FFFFFF"/>
        <w:spacing w:after="0"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b/>
          <w:bCs/>
          <w:color w:val="0A6491"/>
          <w:sz w:val="18"/>
          <w:szCs w:val="18"/>
          <w:lang w:eastAsia="pl-PL"/>
        </w:rPr>
        <w:t>Jeżeli FWD musi być powiązany z NMF to czy można się wcześniej ubiegać (w terminie do 8 stycznia 2014 r.) o środki z FWD, a przewidziany jest inny termin, w którym moglibyśmy ubiegać się ośrodki z NMF?</w:t>
      </w:r>
    </w:p>
    <w:p w:rsidR="00344767" w:rsidRPr="00344767" w:rsidRDefault="00344767" w:rsidP="00344767">
      <w:pPr>
        <w:shd w:val="clear" w:color="auto" w:fill="FFFFFF"/>
        <w:spacing w:before="100" w:beforeAutospacing="1" w:after="100" w:afterAutospacing="1"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color w:val="010101"/>
          <w:sz w:val="18"/>
          <w:szCs w:val="18"/>
          <w:lang w:eastAsia="pl-PL"/>
        </w:rPr>
        <w:t>O wszystkie środki należy ubiegać się w ramach ogłoszonego naboru wniosków. Operator Programu nie przewidział osobnych terminów naborów wniosków dla FWD.</w:t>
      </w:r>
    </w:p>
    <w:p w:rsidR="00344767" w:rsidRPr="00344767" w:rsidRDefault="00344767" w:rsidP="00344767">
      <w:pPr>
        <w:numPr>
          <w:ilvl w:val="0"/>
          <w:numId w:val="1"/>
        </w:numPr>
        <w:shd w:val="clear" w:color="auto" w:fill="FFFFFF"/>
        <w:spacing w:after="0"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b/>
          <w:bCs/>
          <w:color w:val="0A6491"/>
          <w:sz w:val="18"/>
          <w:szCs w:val="18"/>
          <w:lang w:eastAsia="pl-PL"/>
        </w:rPr>
        <w:t>Czy skorzystanie z WFD i NMF podraża koszty projektu o koszty z FWD, czy też FWD jest wtedy zawarty w kwocie NMF (gdybyśmy chcieli skorzystać z minimum przewidzianego w projekcie w ramach NMF)?</w:t>
      </w:r>
    </w:p>
    <w:p w:rsidR="00344767" w:rsidRPr="00344767" w:rsidRDefault="00344767" w:rsidP="00344767">
      <w:pPr>
        <w:shd w:val="clear" w:color="auto" w:fill="FFFFFF"/>
        <w:spacing w:before="100" w:beforeAutospacing="1" w:after="100" w:afterAutospacing="1"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color w:val="010101"/>
          <w:sz w:val="18"/>
          <w:szCs w:val="18"/>
          <w:lang w:eastAsia="pl-PL"/>
        </w:rPr>
        <w:t>Wskazana w ogłoszeniu o naborze wniosków minimalna wartość dofinansowania (170 tys. EUR) uwzględnia także środki FWD.</w:t>
      </w:r>
    </w:p>
    <w:p w:rsidR="00344767" w:rsidRPr="00344767" w:rsidRDefault="00344767" w:rsidP="00344767">
      <w:pPr>
        <w:numPr>
          <w:ilvl w:val="0"/>
          <w:numId w:val="1"/>
        </w:numPr>
        <w:shd w:val="clear" w:color="auto" w:fill="FFFFFF"/>
        <w:spacing w:after="0"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b/>
          <w:bCs/>
          <w:color w:val="0A6491"/>
          <w:sz w:val="18"/>
          <w:szCs w:val="18"/>
          <w:lang w:eastAsia="pl-PL"/>
        </w:rPr>
        <w:t xml:space="preserve">FWD wymaga partnera norweskiego; czy w ramach NMF jesteśmy zobowiązani do szukania partnerów w Norwegii czy też mogą to być dowolne kraje z Grupy </w:t>
      </w:r>
      <w:proofErr w:type="spellStart"/>
      <w:r w:rsidRPr="00344767">
        <w:rPr>
          <w:rFonts w:ascii="Arial" w:eastAsia="Times New Roman" w:hAnsi="Arial" w:cs="Arial"/>
          <w:b/>
          <w:bCs/>
          <w:color w:val="0A6491"/>
          <w:sz w:val="18"/>
          <w:szCs w:val="18"/>
          <w:lang w:eastAsia="pl-PL"/>
        </w:rPr>
        <w:t>Schengen</w:t>
      </w:r>
      <w:proofErr w:type="spellEnd"/>
      <w:r w:rsidRPr="00344767">
        <w:rPr>
          <w:rFonts w:ascii="Arial" w:eastAsia="Times New Roman" w:hAnsi="Arial" w:cs="Arial"/>
          <w:b/>
          <w:bCs/>
          <w:color w:val="0A6491"/>
          <w:sz w:val="18"/>
          <w:szCs w:val="18"/>
          <w:lang w:eastAsia="pl-PL"/>
        </w:rPr>
        <w:t>.</w:t>
      </w:r>
    </w:p>
    <w:p w:rsidR="00344767" w:rsidRPr="00344767" w:rsidRDefault="00344767" w:rsidP="00344767">
      <w:pPr>
        <w:shd w:val="clear" w:color="auto" w:fill="FFFFFF"/>
        <w:spacing w:before="100" w:beforeAutospacing="1" w:after="100" w:afterAutospacing="1"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color w:val="010101"/>
          <w:sz w:val="18"/>
          <w:szCs w:val="18"/>
          <w:lang w:eastAsia="pl-PL"/>
        </w:rPr>
        <w:t>W przypadku wykorzystania Funduszu Współpracy Dwustronnej konieczna jest realizacja działań skierowanych na wzmacnianie współpracy pomiędzy Wnioskodawcą a podmiotami w Norwegii. W przypadku pozostałych działań projektowych Operator Programu nie ogranicza terytorialnie Wnioskodawców w kwestii poszukiwania Partnerów.</w:t>
      </w:r>
    </w:p>
    <w:p w:rsidR="00344767" w:rsidRPr="00344767" w:rsidRDefault="00344767" w:rsidP="00344767">
      <w:pPr>
        <w:numPr>
          <w:ilvl w:val="0"/>
          <w:numId w:val="1"/>
        </w:numPr>
        <w:shd w:val="clear" w:color="auto" w:fill="FFFFFF"/>
        <w:spacing w:after="0"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b/>
          <w:bCs/>
          <w:color w:val="0A6491"/>
          <w:sz w:val="18"/>
          <w:szCs w:val="18"/>
          <w:lang w:eastAsia="pl-PL"/>
        </w:rPr>
        <w:t>Czy jeden projekt może dotyczyć różnych obszarów tematycznych oraz łączyć zarówno szkolenia jak i konferencję?</w:t>
      </w:r>
    </w:p>
    <w:p w:rsidR="00344767" w:rsidRPr="00344767" w:rsidRDefault="00344767" w:rsidP="00344767">
      <w:pPr>
        <w:shd w:val="clear" w:color="auto" w:fill="FFFFFF"/>
        <w:spacing w:before="100" w:beforeAutospacing="1" w:after="100" w:afterAutospacing="1"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color w:val="010101"/>
          <w:sz w:val="18"/>
          <w:szCs w:val="18"/>
          <w:lang w:eastAsia="pl-PL"/>
        </w:rPr>
        <w:t>Tak. Operator Programu dopuszcza realizację projektów odnoszących się do różnych obszarów tematycznych i łączących różne rodzaje kwalifikowalnych działań.</w:t>
      </w:r>
    </w:p>
    <w:p w:rsidR="00344767" w:rsidRPr="00344767" w:rsidRDefault="00344767" w:rsidP="00344767">
      <w:pPr>
        <w:numPr>
          <w:ilvl w:val="0"/>
          <w:numId w:val="1"/>
        </w:numPr>
        <w:shd w:val="clear" w:color="auto" w:fill="FFFFFF"/>
        <w:spacing w:after="0"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b/>
          <w:bCs/>
          <w:color w:val="0A6491"/>
          <w:sz w:val="18"/>
          <w:szCs w:val="18"/>
          <w:lang w:eastAsia="pl-PL"/>
        </w:rPr>
        <w:t>Czy projekt może zakładać jedynie po jednym wskaźniku produktu oraz rezultatu?</w:t>
      </w:r>
    </w:p>
    <w:p w:rsidR="00344767" w:rsidRPr="00344767" w:rsidRDefault="00344767" w:rsidP="00344767">
      <w:pPr>
        <w:shd w:val="clear" w:color="auto" w:fill="FFFFFF"/>
        <w:spacing w:before="100" w:beforeAutospacing="1" w:after="100" w:afterAutospacing="1"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color w:val="010101"/>
          <w:sz w:val="18"/>
          <w:szCs w:val="18"/>
          <w:lang w:eastAsia="pl-PL"/>
        </w:rPr>
        <w:t>Jeden wskaźnik produktu i rezultatu jest minimalną wymaganą przez Operatora Programu wartością</w:t>
      </w:r>
    </w:p>
    <w:p w:rsidR="00344767" w:rsidRPr="00344767" w:rsidRDefault="00344767" w:rsidP="00344767">
      <w:pPr>
        <w:numPr>
          <w:ilvl w:val="0"/>
          <w:numId w:val="1"/>
        </w:numPr>
        <w:shd w:val="clear" w:color="auto" w:fill="FFFFFF"/>
        <w:spacing w:after="0"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b/>
          <w:bCs/>
          <w:color w:val="0A6491"/>
          <w:sz w:val="18"/>
          <w:szCs w:val="18"/>
          <w:lang w:eastAsia="pl-PL"/>
        </w:rPr>
        <w:t>Czy jest dostępna </w:t>
      </w:r>
      <w:r w:rsidRPr="00344767">
        <w:rPr>
          <w:rFonts w:ascii="Arial" w:eastAsia="Times New Roman" w:hAnsi="Arial" w:cs="Arial"/>
          <w:b/>
          <w:bCs/>
          <w:i/>
          <w:iCs/>
          <w:color w:val="0A6491"/>
          <w:sz w:val="18"/>
          <w:szCs w:val="18"/>
          <w:lang w:eastAsia="pl-PL"/>
        </w:rPr>
        <w:t xml:space="preserve">Umowa w sprawie finansowania Programu Współpraca w obszarze </w:t>
      </w:r>
      <w:proofErr w:type="spellStart"/>
      <w:r w:rsidRPr="00344767">
        <w:rPr>
          <w:rFonts w:ascii="Arial" w:eastAsia="Times New Roman" w:hAnsi="Arial" w:cs="Arial"/>
          <w:b/>
          <w:bCs/>
          <w:i/>
          <w:iCs/>
          <w:color w:val="0A6491"/>
          <w:sz w:val="18"/>
          <w:szCs w:val="18"/>
          <w:lang w:eastAsia="pl-PL"/>
        </w:rPr>
        <w:t>Schengen</w:t>
      </w:r>
      <w:proofErr w:type="spellEnd"/>
      <w:r w:rsidRPr="00344767">
        <w:rPr>
          <w:rFonts w:ascii="Arial" w:eastAsia="Times New Roman" w:hAnsi="Arial" w:cs="Arial"/>
          <w:b/>
          <w:bCs/>
          <w:i/>
          <w:iCs/>
          <w:color w:val="0A6491"/>
          <w:sz w:val="18"/>
          <w:szCs w:val="18"/>
          <w:lang w:eastAsia="pl-PL"/>
        </w:rPr>
        <w:t xml:space="preserve"> oraz walka z przestępczością transgraniczną i zorganizowaną, w tym przeciwdziałanie handlowi ludźmi oraz migracjom grup przestępczych</w:t>
      </w:r>
      <w:r w:rsidRPr="00344767">
        <w:rPr>
          <w:rFonts w:ascii="Arial" w:eastAsia="Times New Roman" w:hAnsi="Arial" w:cs="Arial"/>
          <w:b/>
          <w:bCs/>
          <w:color w:val="0A6491"/>
          <w:sz w:val="18"/>
          <w:szCs w:val="18"/>
          <w:lang w:eastAsia="pl-PL"/>
        </w:rPr>
        <w:t>, zawarta w dniu 15 kwietnia 2013 r. w polskiej wersji językowej.</w:t>
      </w:r>
    </w:p>
    <w:p w:rsidR="00344767" w:rsidRPr="00344767" w:rsidRDefault="00344767" w:rsidP="00344767">
      <w:pPr>
        <w:shd w:val="clear" w:color="auto" w:fill="FFFFFF"/>
        <w:spacing w:before="100" w:beforeAutospacing="1" w:after="100" w:afterAutospacing="1"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color w:val="010101"/>
          <w:sz w:val="18"/>
          <w:szCs w:val="18"/>
          <w:lang w:eastAsia="pl-PL"/>
        </w:rPr>
        <w:t>Tak – polska wersja umowy została umieszczona wśród dokumentów do pobrania w związku z ogłoszonym naborem wniosków.</w:t>
      </w:r>
    </w:p>
    <w:p w:rsidR="00344767" w:rsidRPr="00344767" w:rsidRDefault="00344767" w:rsidP="00344767">
      <w:pPr>
        <w:numPr>
          <w:ilvl w:val="0"/>
          <w:numId w:val="1"/>
        </w:numPr>
        <w:shd w:val="clear" w:color="auto" w:fill="FFFFFF"/>
        <w:spacing w:after="0"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b/>
          <w:bCs/>
          <w:color w:val="0A6491"/>
          <w:sz w:val="18"/>
          <w:szCs w:val="18"/>
          <w:lang w:eastAsia="pl-PL"/>
        </w:rPr>
        <w:t>W jakim stopniu szczegółowości należy podać ilość osób biorących udział w szkoleniach. Czy mogą to być przedziały np. od do czy tylko konkretna wartość.</w:t>
      </w:r>
    </w:p>
    <w:p w:rsidR="00344767" w:rsidRPr="00344767" w:rsidRDefault="00344767" w:rsidP="00344767">
      <w:pPr>
        <w:shd w:val="clear" w:color="auto" w:fill="FFFFFF"/>
        <w:spacing w:before="100" w:beforeAutospacing="1" w:after="100" w:afterAutospacing="1"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color w:val="010101"/>
          <w:sz w:val="18"/>
          <w:szCs w:val="18"/>
          <w:lang w:eastAsia="pl-PL"/>
        </w:rPr>
        <w:t>Ilość wyszkolonych osób powinna odzwierciedlać wartość wskaźnika, który musi być mierzalny. Stąd sugeruje się precyzyjne określenie ilości osób biorących udział w szkoleniach.</w:t>
      </w:r>
    </w:p>
    <w:p w:rsidR="00344767" w:rsidRPr="00344767" w:rsidRDefault="00344767" w:rsidP="00344767">
      <w:pPr>
        <w:numPr>
          <w:ilvl w:val="0"/>
          <w:numId w:val="1"/>
        </w:numPr>
        <w:shd w:val="clear" w:color="auto" w:fill="FFFFFF"/>
        <w:spacing w:after="0"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b/>
          <w:bCs/>
          <w:color w:val="0A6491"/>
          <w:sz w:val="18"/>
          <w:szCs w:val="18"/>
          <w:lang w:eastAsia="pl-PL"/>
        </w:rPr>
        <w:t>Czy posiadanie partnera jest obowiązkowe?</w:t>
      </w:r>
    </w:p>
    <w:p w:rsidR="00344767" w:rsidRPr="00344767" w:rsidRDefault="00344767" w:rsidP="00344767">
      <w:pPr>
        <w:shd w:val="clear" w:color="auto" w:fill="FFFFFF"/>
        <w:spacing w:before="100" w:beforeAutospacing="1" w:after="100" w:afterAutospacing="1"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color w:val="010101"/>
          <w:sz w:val="18"/>
          <w:szCs w:val="18"/>
          <w:lang w:eastAsia="pl-PL"/>
        </w:rPr>
        <w:lastRenderedPageBreak/>
        <w:t>Nie – posiadanie partnera w projekcie nie jest obligatoryjne.</w:t>
      </w:r>
    </w:p>
    <w:p w:rsidR="00344767" w:rsidRPr="00344767" w:rsidRDefault="00344767" w:rsidP="00344767">
      <w:pPr>
        <w:numPr>
          <w:ilvl w:val="0"/>
          <w:numId w:val="1"/>
        </w:numPr>
        <w:shd w:val="clear" w:color="auto" w:fill="FFFFFF"/>
        <w:spacing w:after="0"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b/>
          <w:bCs/>
          <w:color w:val="0A6491"/>
          <w:sz w:val="18"/>
          <w:szCs w:val="18"/>
          <w:lang w:eastAsia="pl-PL"/>
        </w:rPr>
        <w:t>Czy w przypadku posiadania partnera (ów) w projekcie konieczne jest podpisywanie wniosku aplikacyjnego również przez niego (nich)?</w:t>
      </w:r>
    </w:p>
    <w:p w:rsidR="00344767" w:rsidRPr="00344767" w:rsidRDefault="00344767" w:rsidP="00344767">
      <w:pPr>
        <w:shd w:val="clear" w:color="auto" w:fill="FFFFFF"/>
        <w:spacing w:before="100" w:beforeAutospacing="1" w:after="100" w:afterAutospacing="1"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color w:val="010101"/>
          <w:sz w:val="18"/>
          <w:szCs w:val="18"/>
          <w:lang w:eastAsia="pl-PL"/>
        </w:rPr>
        <w:t>Operator Programu wymaga podpisania wniosku aplikacyjnego jedynie przez Wnioskodawcę. Nie ma konieczności podpisywania wniosku aplikacyjnego przez Partnera(ów) w projekcie.</w:t>
      </w:r>
    </w:p>
    <w:p w:rsidR="00344767" w:rsidRPr="00344767" w:rsidRDefault="00344767" w:rsidP="00344767">
      <w:pPr>
        <w:numPr>
          <w:ilvl w:val="0"/>
          <w:numId w:val="1"/>
        </w:numPr>
        <w:shd w:val="clear" w:color="auto" w:fill="FFFFFF"/>
        <w:spacing w:after="0"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b/>
          <w:bCs/>
          <w:color w:val="0A6491"/>
          <w:sz w:val="18"/>
          <w:szCs w:val="18"/>
          <w:lang w:eastAsia="pl-PL"/>
        </w:rPr>
        <w:t>Czy w ramach projektów wdrażanych ze środków programu PL15 Beneficjenci zobowiązani są do przeprowadzenia audytu projektu?</w:t>
      </w:r>
    </w:p>
    <w:p w:rsidR="00344767" w:rsidRPr="00344767" w:rsidRDefault="00344767" w:rsidP="00344767">
      <w:pPr>
        <w:shd w:val="clear" w:color="auto" w:fill="FFFFFF"/>
        <w:spacing w:before="100" w:beforeAutospacing="1" w:after="100" w:afterAutospacing="1"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color w:val="010101"/>
          <w:sz w:val="18"/>
          <w:szCs w:val="18"/>
          <w:lang w:eastAsia="pl-PL"/>
        </w:rPr>
        <w:t>Operator Programu nie wymaga przeprowadzenia audytu projektu przez Beneficjenta.</w:t>
      </w:r>
    </w:p>
    <w:p w:rsidR="00344767" w:rsidRPr="00344767" w:rsidRDefault="00344767" w:rsidP="00344767">
      <w:pPr>
        <w:numPr>
          <w:ilvl w:val="0"/>
          <w:numId w:val="1"/>
        </w:numPr>
        <w:shd w:val="clear" w:color="auto" w:fill="FFFFFF"/>
        <w:spacing w:after="0"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b/>
          <w:bCs/>
          <w:color w:val="0A6491"/>
          <w:sz w:val="18"/>
          <w:szCs w:val="18"/>
          <w:lang w:eastAsia="pl-PL"/>
        </w:rPr>
        <w:t>Czy obligatoryjne jest, aby dodatkowo załączyć plan informacji i promocji (jako oddzielny załącznik)?</w:t>
      </w:r>
    </w:p>
    <w:p w:rsidR="00344767" w:rsidRPr="00344767" w:rsidRDefault="00344767" w:rsidP="00344767">
      <w:pPr>
        <w:shd w:val="clear" w:color="auto" w:fill="FFFFFF"/>
        <w:spacing w:before="100" w:beforeAutospacing="1" w:after="100" w:afterAutospacing="1" w:line="240" w:lineRule="auto"/>
        <w:ind w:left="240" w:right="240"/>
        <w:rPr>
          <w:rFonts w:ascii="Arial" w:eastAsia="Times New Roman" w:hAnsi="Arial" w:cs="Arial"/>
          <w:color w:val="010101"/>
          <w:sz w:val="18"/>
          <w:szCs w:val="18"/>
          <w:lang w:eastAsia="pl-PL"/>
        </w:rPr>
      </w:pPr>
      <w:r w:rsidRPr="00344767">
        <w:rPr>
          <w:rFonts w:ascii="Arial" w:eastAsia="Times New Roman" w:hAnsi="Arial" w:cs="Arial"/>
          <w:color w:val="010101"/>
          <w:sz w:val="18"/>
          <w:szCs w:val="18"/>
          <w:lang w:eastAsia="pl-PL"/>
        </w:rPr>
        <w:t>Operator Programu nie wymaga tworzenia odrębnego dokumentu w postaci </w:t>
      </w:r>
      <w:r w:rsidRPr="00344767">
        <w:rPr>
          <w:rFonts w:ascii="Arial" w:eastAsia="Times New Roman" w:hAnsi="Arial" w:cs="Arial"/>
          <w:i/>
          <w:iCs/>
          <w:color w:val="010101"/>
          <w:sz w:val="18"/>
          <w:szCs w:val="18"/>
          <w:lang w:eastAsia="pl-PL"/>
        </w:rPr>
        <w:t>Planu informacji i promocji</w:t>
      </w:r>
      <w:r w:rsidRPr="00344767">
        <w:rPr>
          <w:rFonts w:ascii="Arial" w:eastAsia="Times New Roman" w:hAnsi="Arial" w:cs="Arial"/>
          <w:color w:val="010101"/>
          <w:sz w:val="18"/>
          <w:szCs w:val="18"/>
          <w:lang w:eastAsia="pl-PL"/>
        </w:rPr>
        <w:t>. Niemniej jednak dopuszczalne jest załączenie go w postaci dodatkowego załącznika do wniosku aplikacyjnego.</w:t>
      </w:r>
    </w:p>
    <w:p w:rsidR="004B4463" w:rsidRPr="00344767" w:rsidRDefault="004B4463" w:rsidP="00344767"/>
    <w:sectPr w:rsidR="004B4463" w:rsidRPr="003447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A202A6"/>
    <w:multiLevelType w:val="multilevel"/>
    <w:tmpl w:val="988CD6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D8B"/>
    <w:rsid w:val="000B14D7"/>
    <w:rsid w:val="00344767"/>
    <w:rsid w:val="00345725"/>
    <w:rsid w:val="004B4463"/>
    <w:rsid w:val="005D1D96"/>
    <w:rsid w:val="00782B1B"/>
    <w:rsid w:val="007C6D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F4738-AB4E-4749-97C3-0ECCB5C7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344767"/>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44767"/>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344767"/>
    <w:rPr>
      <w:b/>
      <w:bCs/>
    </w:rPr>
  </w:style>
  <w:style w:type="paragraph" w:styleId="NormalnyWeb">
    <w:name w:val="Normal (Web)"/>
    <w:basedOn w:val="Normalny"/>
    <w:uiPriority w:val="99"/>
    <w:semiHidden/>
    <w:unhideWhenUsed/>
    <w:rsid w:val="003447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TML-cytat">
    <w:name w:val="HTML Cite"/>
    <w:basedOn w:val="Domylnaczcionkaakapitu"/>
    <w:uiPriority w:val="99"/>
    <w:semiHidden/>
    <w:unhideWhenUsed/>
    <w:rsid w:val="00344767"/>
    <w:rPr>
      <w:i/>
      <w:iCs/>
    </w:rPr>
  </w:style>
  <w:style w:type="character" w:styleId="Hipercze">
    <w:name w:val="Hyperlink"/>
    <w:basedOn w:val="Domylnaczcionkaakapitu"/>
    <w:uiPriority w:val="99"/>
    <w:semiHidden/>
    <w:unhideWhenUsed/>
    <w:rsid w:val="00344767"/>
    <w:rPr>
      <w:color w:val="0000FF"/>
      <w:u w:val="single"/>
    </w:rPr>
  </w:style>
  <w:style w:type="character" w:styleId="Uwydatnienie">
    <w:name w:val="Emphasis"/>
    <w:basedOn w:val="Domylnaczcionkaakapitu"/>
    <w:uiPriority w:val="20"/>
    <w:qFormat/>
    <w:rsid w:val="003447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497710">
      <w:bodyDiv w:val="1"/>
      <w:marLeft w:val="0"/>
      <w:marRight w:val="0"/>
      <w:marTop w:val="0"/>
      <w:marBottom w:val="0"/>
      <w:divBdr>
        <w:top w:val="none" w:sz="0" w:space="0" w:color="auto"/>
        <w:left w:val="none" w:sz="0" w:space="0" w:color="auto"/>
        <w:bottom w:val="none" w:sz="0" w:space="0" w:color="auto"/>
        <w:right w:val="none" w:sz="0" w:space="0" w:color="auto"/>
      </w:divBdr>
    </w:div>
    <w:div w:id="194283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5</Pages>
  <Words>1925</Words>
  <Characters>11552</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13451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Ćmiel Joanna</dc:creator>
  <cp:keywords/>
  <dc:description/>
  <cp:lastModifiedBy>Ćmiel Joanna</cp:lastModifiedBy>
  <cp:revision>1</cp:revision>
  <dcterms:created xsi:type="dcterms:W3CDTF">2022-04-08T07:51:00Z</dcterms:created>
  <dcterms:modified xsi:type="dcterms:W3CDTF">2022-04-08T12:09:00Z</dcterms:modified>
</cp:coreProperties>
</file>