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E1F" w:rsidRPr="00243151" w:rsidRDefault="00CB5768" w:rsidP="004E3E1F">
      <w:pPr>
        <w:pStyle w:val="Tytu"/>
        <w:rPr>
          <w:b w:val="0"/>
        </w:rPr>
      </w:pPr>
      <w:bookmarkStart w:id="0" w:name="_Hlk71116339"/>
      <w:r w:rsidRPr="00243151">
        <w:t>ZARZĄDZENIE</w:t>
      </w:r>
    </w:p>
    <w:p w:rsidR="004E3E1F" w:rsidRPr="00E53A80" w:rsidRDefault="00CB5768" w:rsidP="004E3E1F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4E3E1F" w:rsidRPr="00E53A80" w:rsidRDefault="00CB5768" w:rsidP="004E3E1F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4E3E1F" w:rsidRPr="00E53A80" w:rsidRDefault="00CB5768" w:rsidP="004E3E1F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1" w:name="ezdDataPodpisu"/>
      <w:r w:rsidRPr="00E53A80">
        <w:rPr>
          <w:rFonts w:cs="Arial"/>
          <w:szCs w:val="24"/>
        </w:rPr>
        <w:t>17 czerwca 2024</w:t>
      </w:r>
      <w:bookmarkEnd w:id="1"/>
      <w:r w:rsidRPr="00E53A80">
        <w:rPr>
          <w:rFonts w:cs="Arial"/>
          <w:szCs w:val="24"/>
        </w:rPr>
        <w:t xml:space="preserve"> r.</w:t>
      </w:r>
    </w:p>
    <w:p w:rsidR="004E3E1F" w:rsidRPr="009A2CE1" w:rsidRDefault="00CB5768" w:rsidP="004E3E1F">
      <w:pPr>
        <w:pStyle w:val="Nagwek2"/>
      </w:pPr>
      <w:r w:rsidRPr="009A2CE1">
        <w:t xml:space="preserve">zmieniające zarządzenie w sprawie ustalenia Regulaminu dotyczącego warunków ustalenia oraz sposobu dokonywania zwrotu kosztów używania do celów </w:t>
      </w:r>
      <w:r w:rsidRPr="009A2CE1">
        <w:t>służbowych samochodów osobowych, motocykli i motorowerów niebędących własnością pracodawcy do jazd lokalnych w Pomorskim Urzędzie Wojewódzkim w Gdańsku</w:t>
      </w:r>
    </w:p>
    <w:p w:rsidR="004E3E1F" w:rsidRPr="0023382E" w:rsidRDefault="00CB5768" w:rsidP="003D60B5">
      <w:r w:rsidRPr="0023382E">
        <w:t>Na podstawie art. 25 ust. 4 pkt 1 i 2 oraz art. 25 ust. 10 ustawy z dnia 21 listopada 2008 r. o służbi</w:t>
      </w:r>
      <w:r w:rsidRPr="0023382E">
        <w:t>e cywilnej (Dz. U. z 202</w:t>
      </w:r>
      <w:r>
        <w:t>4</w:t>
      </w:r>
      <w:r w:rsidRPr="0023382E">
        <w:t xml:space="preserve"> r. poz.</w:t>
      </w:r>
      <w:r>
        <w:t xml:space="preserve"> </w:t>
      </w:r>
      <w:r>
        <w:t>409</w:t>
      </w:r>
      <w:r w:rsidRPr="0023382E">
        <w:t>) zarządza się, c</w:t>
      </w:r>
      <w:r w:rsidRPr="0023382E">
        <w:t>o</w:t>
      </w:r>
      <w:r w:rsidRPr="0023382E">
        <w:t xml:space="preserve"> </w:t>
      </w:r>
      <w:r w:rsidRPr="0023382E">
        <w:t>następuje:</w:t>
      </w:r>
    </w:p>
    <w:p w:rsidR="004E3E1F" w:rsidRPr="005B12CE" w:rsidRDefault="00CB5768" w:rsidP="004E3E1F">
      <w:pPr>
        <w:rPr>
          <w:rFonts w:cs="Arial"/>
          <w:szCs w:val="24"/>
        </w:rPr>
      </w:pPr>
      <w:r w:rsidRPr="005B12CE">
        <w:rPr>
          <w:rFonts w:cs="Arial"/>
          <w:b/>
          <w:szCs w:val="24"/>
        </w:rPr>
        <w:t xml:space="preserve"> § 1</w:t>
      </w:r>
      <w:r w:rsidRPr="005B12CE">
        <w:rPr>
          <w:rFonts w:cs="Arial"/>
          <w:szCs w:val="24"/>
        </w:rPr>
        <w:t xml:space="preserve">. W </w:t>
      </w:r>
      <w:r>
        <w:rPr>
          <w:rFonts w:cs="Arial"/>
          <w:szCs w:val="24"/>
        </w:rPr>
        <w:t>R</w:t>
      </w:r>
      <w:r w:rsidRPr="005B12CE">
        <w:rPr>
          <w:rFonts w:cs="Arial"/>
          <w:szCs w:val="24"/>
        </w:rPr>
        <w:t>egulaminie dotyczącym warunków ustalenia oraz sposobu dokonywania zwrotu kosztów używania do celów służbowych samochodów osobowych, motocykli i motorowerów niebędących własnością p</w:t>
      </w:r>
      <w:r w:rsidRPr="005B12CE">
        <w:rPr>
          <w:rFonts w:cs="Arial"/>
          <w:szCs w:val="24"/>
        </w:rPr>
        <w:t>racodawcy do jazd lokalnych</w:t>
      </w:r>
      <w:r>
        <w:rPr>
          <w:rFonts w:cs="Arial"/>
          <w:szCs w:val="24"/>
        </w:rPr>
        <w:t xml:space="preserve"> w Pomorskim Urzędzie Wojewódzkim w Gdańsku</w:t>
      </w:r>
      <w:r w:rsidRPr="005B12CE">
        <w:rPr>
          <w:rFonts w:cs="Arial"/>
          <w:szCs w:val="24"/>
        </w:rPr>
        <w:t xml:space="preserve"> (zwany dalej Regulaminem)</w:t>
      </w:r>
      <w:r>
        <w:rPr>
          <w:rFonts w:cs="Arial"/>
          <w:szCs w:val="24"/>
        </w:rPr>
        <w:t>,</w:t>
      </w:r>
      <w:r w:rsidRPr="005B12CE">
        <w:rPr>
          <w:rFonts w:cs="Arial"/>
          <w:szCs w:val="24"/>
        </w:rPr>
        <w:t xml:space="preserve"> stanowiącym załącznik nr 1 do zarządzenia Dyrektora Generalnego Pomorskiego Urzędu Wojewódzkiego w Gdańsku z dnia 12 kwietnia 2018 r. w sprawie ustalenia Regu</w:t>
      </w:r>
      <w:r w:rsidRPr="005B12CE">
        <w:rPr>
          <w:rFonts w:cs="Arial"/>
          <w:szCs w:val="24"/>
        </w:rPr>
        <w:t>laminu dotyczącego warunków ustalenia oraz sposobu dokonywania zwrotu kosztów używania do celów służbowych samochodów osobowych, motocykli i motorowerów niebędących własnością pracodawcy do jazd lokalnych w Pomorskim Urzędzie Wojewódzkim w Gdańsku</w:t>
      </w:r>
      <w:r>
        <w:rPr>
          <w:rStyle w:val="Odwoanieprzypisudolnego"/>
          <w:rFonts w:cs="Arial"/>
          <w:szCs w:val="24"/>
        </w:rPr>
        <w:footnoteReference w:id="1"/>
      </w:r>
      <w:r w:rsidRPr="005B12CE">
        <w:rPr>
          <w:rFonts w:cs="Arial"/>
          <w:szCs w:val="24"/>
        </w:rPr>
        <w:t>, zarząd</w:t>
      </w:r>
      <w:r w:rsidRPr="005B12CE">
        <w:rPr>
          <w:rFonts w:cs="Arial"/>
          <w:szCs w:val="24"/>
        </w:rPr>
        <w:t xml:space="preserve">za się co następuje: </w:t>
      </w:r>
    </w:p>
    <w:p w:rsidR="004E3E1F" w:rsidRPr="004919DA" w:rsidRDefault="00CB5768" w:rsidP="004E3E1F">
      <w:pPr>
        <w:pStyle w:val="Akapitzlist"/>
        <w:numPr>
          <w:ilvl w:val="0"/>
          <w:numId w:val="3"/>
        </w:numPr>
        <w:rPr>
          <w:rFonts w:cs="Arial"/>
          <w:szCs w:val="24"/>
        </w:rPr>
      </w:pPr>
      <w:bookmarkStart w:id="2" w:name="_Ref167100756"/>
      <w:r w:rsidRPr="004919DA">
        <w:rPr>
          <w:rFonts w:cs="Arial"/>
          <w:szCs w:val="24"/>
        </w:rPr>
        <w:t>ust. 2 pkt 3 otrzymuje brzmienie:</w:t>
      </w:r>
      <w:bookmarkEnd w:id="2"/>
    </w:p>
    <w:p w:rsidR="004E3E1F" w:rsidRPr="005B12CE" w:rsidRDefault="00CB5768" w:rsidP="003D60B5">
      <w:pPr>
        <w:spacing w:after="120"/>
        <w:rPr>
          <w:rFonts w:cs="Arial"/>
          <w:szCs w:val="24"/>
        </w:rPr>
      </w:pPr>
      <w:r w:rsidRPr="005B12CE">
        <w:rPr>
          <w:rFonts w:cs="Arial"/>
          <w:szCs w:val="24"/>
        </w:rPr>
        <w:t xml:space="preserve">„3) Decyzję dotyczącą wysokości limitu kilometrów i czasookresu na jaki przyznany jest ryczałt podejmuje Dyrektor Generalny PUW na podstawie wniosków </w:t>
      </w:r>
      <w:bookmarkStart w:id="3" w:name="_Hlk165835657"/>
      <w:r w:rsidRPr="005B12CE">
        <w:rPr>
          <w:rFonts w:cs="Arial"/>
          <w:szCs w:val="24"/>
        </w:rPr>
        <w:t>dyrektorów wydziałów, biur PUW</w:t>
      </w:r>
      <w:bookmarkEnd w:id="3"/>
      <w:r w:rsidRPr="005B12CE">
        <w:rPr>
          <w:rFonts w:cs="Arial"/>
          <w:szCs w:val="24"/>
        </w:rPr>
        <w:t>, którzy  stwierdzaj</w:t>
      </w:r>
      <w:r w:rsidRPr="005B12CE">
        <w:rPr>
          <w:rFonts w:cs="Arial"/>
          <w:szCs w:val="24"/>
        </w:rPr>
        <w:t>ą zasadność przyznania ryczałtu i</w:t>
      </w:r>
      <w:r w:rsidR="003D60B5">
        <w:rPr>
          <w:rFonts w:cs="Arial"/>
          <w:szCs w:val="24"/>
        </w:rPr>
        <w:t> </w:t>
      </w:r>
      <w:r w:rsidRPr="005B12CE">
        <w:rPr>
          <w:rFonts w:cs="Arial"/>
          <w:szCs w:val="24"/>
        </w:rPr>
        <w:t>sprawują bieżący nadzór nad racjonalnym wykorzystywaniem przyznanego limitu środków.</w:t>
      </w:r>
    </w:p>
    <w:p w:rsidR="004E3E1F" w:rsidRPr="005B12CE" w:rsidRDefault="00CB5768" w:rsidP="004E3E1F">
      <w:pPr>
        <w:rPr>
          <w:rFonts w:cs="Arial"/>
          <w:szCs w:val="24"/>
        </w:rPr>
      </w:pPr>
      <w:r w:rsidRPr="005B12CE">
        <w:rPr>
          <w:rFonts w:cs="Arial"/>
          <w:szCs w:val="24"/>
        </w:rPr>
        <w:t xml:space="preserve">Wnioski dyrektorzy wydziałów, biur PUW składają do Dyrektora Generalnego PUW za pośrednictwem Dyrektora Biura Logistyki (wzór wniosku stanowi załącznik nr 1 do niniejszego Regulaminu). </w:t>
      </w:r>
    </w:p>
    <w:p w:rsidR="004E3E1F" w:rsidRPr="005B12CE" w:rsidRDefault="00CB5768" w:rsidP="004E3E1F">
      <w:pPr>
        <w:rPr>
          <w:rFonts w:cs="Arial"/>
          <w:szCs w:val="24"/>
        </w:rPr>
      </w:pPr>
      <w:r w:rsidRPr="005B12CE">
        <w:rPr>
          <w:rFonts w:cs="Arial"/>
          <w:szCs w:val="24"/>
        </w:rPr>
        <w:lastRenderedPageBreak/>
        <w:t>Dyrektor Biura Logistyki na podstawie otrzymanych wniosków od dyrektor</w:t>
      </w:r>
      <w:r w:rsidRPr="005B12CE">
        <w:rPr>
          <w:rFonts w:cs="Arial"/>
          <w:szCs w:val="24"/>
        </w:rPr>
        <w:t>ów wydziałów, biur PUW, weryfikuje pod względem formalnym zawarte w nich dane z zastrzeżeniem, że miesięczny limit kilometrów dla pracowników nie może przekroczyć wielkości określonej w Rozporządzeniu tj.</w:t>
      </w:r>
    </w:p>
    <w:p w:rsidR="004E3E1F" w:rsidRPr="005B12CE" w:rsidRDefault="00CB5768" w:rsidP="004E3E1F">
      <w:pPr>
        <w:rPr>
          <w:rFonts w:cs="Arial"/>
          <w:szCs w:val="24"/>
        </w:rPr>
      </w:pPr>
      <w:r w:rsidRPr="005B12CE">
        <w:rPr>
          <w:rFonts w:cs="Arial"/>
          <w:szCs w:val="24"/>
        </w:rPr>
        <w:t>300 km – dla miejscowości  do 100 tys. mieszkańców</w:t>
      </w:r>
    </w:p>
    <w:p w:rsidR="004E3E1F" w:rsidRPr="005B12CE" w:rsidRDefault="00CB5768" w:rsidP="004E3E1F">
      <w:pPr>
        <w:rPr>
          <w:rFonts w:cs="Arial"/>
          <w:szCs w:val="24"/>
        </w:rPr>
      </w:pPr>
      <w:r w:rsidRPr="005B12CE">
        <w:rPr>
          <w:rFonts w:cs="Arial"/>
          <w:szCs w:val="24"/>
        </w:rPr>
        <w:t>500 km – dla miejscowości ponad 100 tys. do 500 tys. mieszkańców.</w:t>
      </w:r>
    </w:p>
    <w:p w:rsidR="004E3E1F" w:rsidRPr="005B12CE" w:rsidRDefault="00CB5768" w:rsidP="004E3E1F">
      <w:pPr>
        <w:rPr>
          <w:rFonts w:cs="Arial"/>
          <w:szCs w:val="24"/>
        </w:rPr>
      </w:pPr>
      <w:r w:rsidRPr="005B12CE">
        <w:rPr>
          <w:rFonts w:cs="Arial"/>
          <w:szCs w:val="24"/>
        </w:rPr>
        <w:t xml:space="preserve">Dyrektor Biura Logistyki przygotowuje zbiorczą informację </w:t>
      </w:r>
      <w:r>
        <w:rPr>
          <w:rFonts w:cs="Arial"/>
          <w:szCs w:val="24"/>
        </w:rPr>
        <w:t>w sprawie</w:t>
      </w:r>
      <w:r w:rsidRPr="005B12CE">
        <w:rPr>
          <w:rFonts w:cs="Arial"/>
          <w:szCs w:val="24"/>
        </w:rPr>
        <w:t xml:space="preserve"> przyznani</w:t>
      </w:r>
      <w:r>
        <w:rPr>
          <w:rFonts w:cs="Arial"/>
          <w:szCs w:val="24"/>
        </w:rPr>
        <w:t>a</w:t>
      </w:r>
      <w:r w:rsidRPr="005B12CE">
        <w:rPr>
          <w:rFonts w:cs="Arial"/>
          <w:szCs w:val="24"/>
        </w:rPr>
        <w:t xml:space="preserve"> ryczałtu i przedkłada ją do Dyrektora Generalnego PUW (wzór zbiorczej informacji stanowi załącznik nr 2 do Regu</w:t>
      </w:r>
      <w:r w:rsidRPr="005B12CE">
        <w:rPr>
          <w:rFonts w:cs="Arial"/>
          <w:szCs w:val="24"/>
        </w:rPr>
        <w:t>laminu).”;</w:t>
      </w:r>
    </w:p>
    <w:p w:rsidR="004E3E1F" w:rsidRPr="004919DA" w:rsidRDefault="00CB5768" w:rsidP="004E3E1F">
      <w:pPr>
        <w:pStyle w:val="Akapitzlist"/>
        <w:numPr>
          <w:ilvl w:val="0"/>
          <w:numId w:val="3"/>
        </w:numPr>
        <w:rPr>
          <w:rFonts w:cs="Arial"/>
          <w:szCs w:val="24"/>
        </w:rPr>
      </w:pPr>
      <w:r w:rsidRPr="004919DA">
        <w:rPr>
          <w:rFonts w:cs="Arial"/>
          <w:szCs w:val="24"/>
        </w:rPr>
        <w:t>ust. 2 pkt 5 otrzymuje brzmienie:</w:t>
      </w:r>
    </w:p>
    <w:p w:rsidR="004E3E1F" w:rsidRPr="005B12CE" w:rsidRDefault="00CB5768" w:rsidP="004E3E1F">
      <w:pPr>
        <w:rPr>
          <w:rFonts w:cs="Arial"/>
          <w:szCs w:val="24"/>
        </w:rPr>
      </w:pPr>
      <w:r w:rsidRPr="005B12CE">
        <w:rPr>
          <w:rFonts w:cs="Arial"/>
          <w:szCs w:val="24"/>
        </w:rPr>
        <w:t>„5) Zwrotu kosztów dokonuje się po złożeniu przez Pracownika</w:t>
      </w:r>
      <w:r>
        <w:rPr>
          <w:rFonts w:cs="Arial"/>
          <w:szCs w:val="24"/>
        </w:rPr>
        <w:t xml:space="preserve"> </w:t>
      </w:r>
      <w:r w:rsidRPr="005B12CE">
        <w:rPr>
          <w:rFonts w:cs="Arial"/>
          <w:szCs w:val="24"/>
        </w:rPr>
        <w:t>oświadczenia</w:t>
      </w:r>
      <w:r w:rsidRPr="00002DA5">
        <w:rPr>
          <w:rFonts w:cs="Arial"/>
          <w:szCs w:val="24"/>
        </w:rPr>
        <w:t xml:space="preserve"> </w:t>
      </w:r>
      <w:r w:rsidRPr="005B12CE">
        <w:rPr>
          <w:rFonts w:cs="Arial"/>
          <w:szCs w:val="24"/>
        </w:rPr>
        <w:t xml:space="preserve">o używaniu pojazdu w danym miesiącu, którego wzór stanowi załącznik nr 4 do Regulaminu. </w:t>
      </w:r>
      <w:r>
        <w:rPr>
          <w:rFonts w:cs="Arial"/>
          <w:szCs w:val="24"/>
        </w:rPr>
        <w:t>Oświadczenie Pracownik przedkłada właściwemu d</w:t>
      </w:r>
      <w:r w:rsidRPr="005B12CE">
        <w:rPr>
          <w:rFonts w:cs="Arial"/>
          <w:szCs w:val="24"/>
        </w:rPr>
        <w:t>yre</w:t>
      </w:r>
      <w:r w:rsidRPr="005B12CE">
        <w:rPr>
          <w:rFonts w:cs="Arial"/>
          <w:szCs w:val="24"/>
        </w:rPr>
        <w:t>ktor</w:t>
      </w:r>
      <w:r>
        <w:rPr>
          <w:rFonts w:cs="Arial"/>
          <w:szCs w:val="24"/>
        </w:rPr>
        <w:t>owi</w:t>
      </w:r>
      <w:r w:rsidRPr="005B12CE">
        <w:rPr>
          <w:rFonts w:cs="Arial"/>
          <w:szCs w:val="24"/>
        </w:rPr>
        <w:t xml:space="preserve"> wydział</w:t>
      </w:r>
      <w:r>
        <w:rPr>
          <w:rFonts w:cs="Arial"/>
          <w:szCs w:val="24"/>
        </w:rPr>
        <w:t>u</w:t>
      </w:r>
      <w:r w:rsidRPr="005B12CE">
        <w:rPr>
          <w:rFonts w:cs="Arial"/>
          <w:szCs w:val="24"/>
        </w:rPr>
        <w:t>, biur</w:t>
      </w:r>
      <w:r>
        <w:rPr>
          <w:rFonts w:cs="Arial"/>
          <w:szCs w:val="24"/>
        </w:rPr>
        <w:t>a</w:t>
      </w:r>
      <w:r w:rsidRPr="005B12CE">
        <w:rPr>
          <w:rFonts w:cs="Arial"/>
          <w:szCs w:val="24"/>
        </w:rPr>
        <w:t xml:space="preserve"> PUW, któr</w:t>
      </w:r>
      <w:r>
        <w:rPr>
          <w:rFonts w:cs="Arial"/>
          <w:szCs w:val="24"/>
        </w:rPr>
        <w:t>y</w:t>
      </w:r>
      <w:r w:rsidRPr="005B12CE">
        <w:rPr>
          <w:rFonts w:cs="Arial"/>
          <w:szCs w:val="24"/>
        </w:rPr>
        <w:t xml:space="preserve"> wnioskowa</w:t>
      </w:r>
      <w:r>
        <w:rPr>
          <w:rFonts w:cs="Arial"/>
          <w:szCs w:val="24"/>
        </w:rPr>
        <w:t>ł</w:t>
      </w:r>
      <w:r w:rsidRPr="005B12CE">
        <w:rPr>
          <w:rFonts w:cs="Arial"/>
          <w:szCs w:val="24"/>
        </w:rPr>
        <w:t xml:space="preserve"> o przyznanie ryczałtu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Zgodność danych zawartych w oświadczeniu z listą obecności potwierdza pracownik sekretariatu właściwej komórki organizacyjnej.</w:t>
      </w:r>
      <w:r>
        <w:rPr>
          <w:rFonts w:cs="Arial"/>
          <w:szCs w:val="24"/>
        </w:rPr>
        <w:t xml:space="preserve"> Właściwy d</w:t>
      </w:r>
      <w:r w:rsidRPr="005B12CE">
        <w:rPr>
          <w:rFonts w:cs="Arial"/>
          <w:szCs w:val="24"/>
        </w:rPr>
        <w:t>yrektor wydział</w:t>
      </w:r>
      <w:r>
        <w:rPr>
          <w:rFonts w:cs="Arial"/>
          <w:szCs w:val="24"/>
        </w:rPr>
        <w:t>u</w:t>
      </w:r>
      <w:r w:rsidRPr="005B12CE">
        <w:rPr>
          <w:rFonts w:cs="Arial"/>
          <w:szCs w:val="24"/>
        </w:rPr>
        <w:t>, biur</w:t>
      </w:r>
      <w:r>
        <w:rPr>
          <w:rFonts w:cs="Arial"/>
          <w:szCs w:val="24"/>
        </w:rPr>
        <w:t>a</w:t>
      </w:r>
      <w:r w:rsidRPr="005B12CE">
        <w:rPr>
          <w:rFonts w:cs="Arial"/>
          <w:szCs w:val="24"/>
        </w:rPr>
        <w:t xml:space="preserve"> PUW, któr</w:t>
      </w:r>
      <w:r>
        <w:rPr>
          <w:rFonts w:cs="Arial"/>
          <w:szCs w:val="24"/>
        </w:rPr>
        <w:t>y</w:t>
      </w:r>
      <w:r w:rsidRPr="005B12CE">
        <w:rPr>
          <w:rFonts w:cs="Arial"/>
          <w:szCs w:val="24"/>
        </w:rPr>
        <w:t xml:space="preserve"> wnioskowa</w:t>
      </w:r>
      <w:r>
        <w:rPr>
          <w:rFonts w:cs="Arial"/>
          <w:szCs w:val="24"/>
        </w:rPr>
        <w:t>ł</w:t>
      </w:r>
      <w:r w:rsidRPr="005B12CE">
        <w:rPr>
          <w:rFonts w:cs="Arial"/>
          <w:szCs w:val="24"/>
        </w:rPr>
        <w:t xml:space="preserve"> o pr</w:t>
      </w:r>
      <w:r w:rsidRPr="005B12CE">
        <w:rPr>
          <w:rFonts w:cs="Arial"/>
          <w:szCs w:val="24"/>
        </w:rPr>
        <w:t xml:space="preserve">zyznanie ryczałtu </w:t>
      </w:r>
      <w:r>
        <w:rPr>
          <w:rFonts w:cs="Arial"/>
          <w:szCs w:val="24"/>
        </w:rPr>
        <w:t>przekazuje oświadczenie do</w:t>
      </w:r>
      <w:r w:rsidRPr="005B12CE">
        <w:rPr>
          <w:rFonts w:cs="Arial"/>
          <w:szCs w:val="24"/>
        </w:rPr>
        <w:t xml:space="preserve"> sekretaria</w:t>
      </w:r>
      <w:r>
        <w:rPr>
          <w:rFonts w:cs="Arial"/>
          <w:szCs w:val="24"/>
        </w:rPr>
        <w:t>tu</w:t>
      </w:r>
      <w:r w:rsidRPr="005B12CE">
        <w:rPr>
          <w:rFonts w:cs="Arial"/>
          <w:szCs w:val="24"/>
        </w:rPr>
        <w:t xml:space="preserve"> Biura Kadr i Organizacji do 5–tego</w:t>
      </w:r>
      <w:r>
        <w:rPr>
          <w:rFonts w:cs="Arial"/>
          <w:szCs w:val="24"/>
        </w:rPr>
        <w:t xml:space="preserve"> dnia</w:t>
      </w:r>
      <w:r w:rsidRPr="005B12CE">
        <w:rPr>
          <w:rFonts w:cs="Arial"/>
          <w:szCs w:val="24"/>
        </w:rPr>
        <w:t xml:space="preserve"> każdego miesiąca</w:t>
      </w:r>
      <w:r>
        <w:rPr>
          <w:rFonts w:cs="Arial"/>
          <w:szCs w:val="24"/>
        </w:rPr>
        <w:t>, z tym zastrzeżeniem że o</w:t>
      </w:r>
      <w:r w:rsidRPr="005B12CE">
        <w:rPr>
          <w:rFonts w:cs="Arial"/>
          <w:szCs w:val="24"/>
        </w:rPr>
        <w:t>świadczenie za miesiąc grudzień należy złożyć do dnia 22 grudnia tego roku, na który limit został przyznany.</w:t>
      </w:r>
    </w:p>
    <w:p w:rsidR="004E3E1F" w:rsidRPr="005B12CE" w:rsidRDefault="00CB5768" w:rsidP="004E3E1F">
      <w:pPr>
        <w:rPr>
          <w:rFonts w:cs="Arial"/>
          <w:szCs w:val="24"/>
        </w:rPr>
      </w:pPr>
      <w:r w:rsidRPr="005B12CE">
        <w:rPr>
          <w:rFonts w:cs="Arial"/>
          <w:szCs w:val="24"/>
        </w:rPr>
        <w:t xml:space="preserve">Jeżeli </w:t>
      </w:r>
      <w:r w:rsidRPr="005B12CE">
        <w:rPr>
          <w:rFonts w:cs="Arial"/>
          <w:szCs w:val="24"/>
        </w:rPr>
        <w:t>oświadczenie zostanie złożone po terminie, wraz z oświadczeniem pracownik jest zobowiązany złożyć wyjaśnienia o przyczynie niedotrzymania terminu na jego złożenie.”;</w:t>
      </w:r>
    </w:p>
    <w:p w:rsidR="004E3E1F" w:rsidRPr="004919DA" w:rsidRDefault="00CB5768" w:rsidP="004E3E1F">
      <w:pPr>
        <w:pStyle w:val="Akapitzlist"/>
        <w:numPr>
          <w:ilvl w:val="0"/>
          <w:numId w:val="3"/>
        </w:numPr>
        <w:rPr>
          <w:rFonts w:cs="Arial"/>
          <w:szCs w:val="24"/>
        </w:rPr>
      </w:pPr>
      <w:r w:rsidRPr="004919DA">
        <w:rPr>
          <w:rFonts w:cs="Arial"/>
          <w:szCs w:val="24"/>
        </w:rPr>
        <w:t>ust. 2 pkt 6 otrzymuje brzmienie:</w:t>
      </w:r>
    </w:p>
    <w:p w:rsidR="004E3E1F" w:rsidRDefault="00CB5768" w:rsidP="004E3E1F">
      <w:pPr>
        <w:rPr>
          <w:rFonts w:cs="Arial"/>
          <w:szCs w:val="24"/>
        </w:rPr>
      </w:pPr>
      <w:r w:rsidRPr="005B12CE">
        <w:rPr>
          <w:rFonts w:cs="Arial"/>
          <w:szCs w:val="24"/>
        </w:rPr>
        <w:t>„6) Na podstawie złożonych oświadczeń</w:t>
      </w:r>
      <w:r>
        <w:rPr>
          <w:rFonts w:cs="Arial"/>
          <w:szCs w:val="24"/>
        </w:rPr>
        <w:t>,</w:t>
      </w:r>
      <w:r w:rsidRPr="005B12CE">
        <w:rPr>
          <w:rFonts w:cs="Arial"/>
          <w:szCs w:val="24"/>
        </w:rPr>
        <w:t xml:space="preserve"> po weryfikacji zawartych w nich danych dotyczących m.in. urlopu, zwolnienia lekarskiego, delegacji</w:t>
      </w:r>
      <w:r>
        <w:rPr>
          <w:rFonts w:cs="Arial"/>
          <w:szCs w:val="24"/>
        </w:rPr>
        <w:t>,</w:t>
      </w:r>
      <w:r w:rsidRPr="005B12CE">
        <w:rPr>
          <w:rFonts w:cs="Arial"/>
          <w:szCs w:val="24"/>
        </w:rPr>
        <w:t xml:space="preserve"> Oddział Kadr i Płac sporządza zbiorczą listę wypłat ryczałtów.”</w:t>
      </w:r>
      <w:r>
        <w:rPr>
          <w:rFonts w:cs="Arial"/>
          <w:szCs w:val="24"/>
        </w:rPr>
        <w:t>;</w:t>
      </w:r>
    </w:p>
    <w:p w:rsidR="004E3E1F" w:rsidRDefault="00CB5768" w:rsidP="003D60B5">
      <w:pPr>
        <w:pStyle w:val="Akapitzlist"/>
        <w:numPr>
          <w:ilvl w:val="0"/>
          <w:numId w:val="3"/>
        </w:numPr>
        <w:spacing w:after="120"/>
        <w:ind w:left="1066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ust. 2 pkt 8 otrzymuje brzmienie:</w:t>
      </w:r>
    </w:p>
    <w:p w:rsidR="004E3E1F" w:rsidRDefault="003D60B5" w:rsidP="003D60B5">
      <w:pPr>
        <w:pStyle w:val="Akapitzlist"/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B5768">
        <w:rPr>
          <w:rFonts w:cs="Arial"/>
          <w:szCs w:val="24"/>
        </w:rPr>
        <w:t xml:space="preserve">„8) </w:t>
      </w:r>
      <w:r w:rsidR="00CB5768" w:rsidRPr="005269DB">
        <w:rPr>
          <w:rFonts w:cs="Arial"/>
        </w:rPr>
        <w:t>Jeżeli</w:t>
      </w:r>
      <w:r w:rsidR="00CB5768">
        <w:rPr>
          <w:rFonts w:cs="Arial"/>
        </w:rPr>
        <w:t xml:space="preserve"> po dacie złożonego oświadczenia za miesiąc g</w:t>
      </w:r>
      <w:r w:rsidR="00CB5768">
        <w:rPr>
          <w:rFonts w:cs="Arial"/>
        </w:rPr>
        <w:t xml:space="preserve">rudzień, przedstawione w nim dane dotyczące rozliczenia należności z tytułu używania samochodu prywatnego </w:t>
      </w:r>
      <w:r w:rsidR="00CB5768" w:rsidRPr="005269DB">
        <w:rPr>
          <w:rFonts w:cs="Arial"/>
        </w:rPr>
        <w:t>uległy zmianie,</w:t>
      </w:r>
      <w:r w:rsidR="00CB5768">
        <w:rPr>
          <w:rFonts w:cs="Arial"/>
        </w:rPr>
        <w:t xml:space="preserve"> Pracownik zobowiązany jest do złożenia </w:t>
      </w:r>
      <w:r w:rsidR="00CB5768" w:rsidRPr="005269DB">
        <w:rPr>
          <w:rFonts w:cs="Arial"/>
        </w:rPr>
        <w:t>korekt</w:t>
      </w:r>
      <w:r w:rsidR="00CB5768">
        <w:rPr>
          <w:rFonts w:cs="Arial"/>
        </w:rPr>
        <w:t xml:space="preserve">y </w:t>
      </w:r>
      <w:r w:rsidR="00CB5768" w:rsidRPr="005269DB">
        <w:rPr>
          <w:rFonts w:cs="Arial"/>
        </w:rPr>
        <w:t xml:space="preserve">do </w:t>
      </w:r>
      <w:r w:rsidR="00CB5768">
        <w:rPr>
          <w:rFonts w:cs="Arial"/>
        </w:rPr>
        <w:t xml:space="preserve">właściwego dyrektora </w:t>
      </w:r>
      <w:r w:rsidR="00CB5768" w:rsidRPr="005B12CE">
        <w:rPr>
          <w:rFonts w:cs="Arial"/>
          <w:szCs w:val="24"/>
        </w:rPr>
        <w:t>wydział</w:t>
      </w:r>
      <w:r w:rsidR="00CB5768">
        <w:rPr>
          <w:rFonts w:cs="Arial"/>
          <w:szCs w:val="24"/>
        </w:rPr>
        <w:t>u</w:t>
      </w:r>
      <w:r w:rsidR="00CB5768" w:rsidRPr="005B12CE">
        <w:rPr>
          <w:rFonts w:cs="Arial"/>
          <w:szCs w:val="24"/>
        </w:rPr>
        <w:t>, biur</w:t>
      </w:r>
      <w:r w:rsidR="00CB5768">
        <w:rPr>
          <w:rFonts w:cs="Arial"/>
          <w:szCs w:val="24"/>
        </w:rPr>
        <w:t>a</w:t>
      </w:r>
      <w:r w:rsidR="00CB5768" w:rsidRPr="005B12CE">
        <w:rPr>
          <w:rFonts w:cs="Arial"/>
          <w:szCs w:val="24"/>
        </w:rPr>
        <w:t xml:space="preserve"> PUW, któr</w:t>
      </w:r>
      <w:r w:rsidR="00CB5768">
        <w:rPr>
          <w:rFonts w:cs="Arial"/>
          <w:szCs w:val="24"/>
        </w:rPr>
        <w:t>y</w:t>
      </w:r>
      <w:r w:rsidR="00CB5768" w:rsidRPr="005B12CE">
        <w:rPr>
          <w:rFonts w:cs="Arial"/>
          <w:szCs w:val="24"/>
        </w:rPr>
        <w:t xml:space="preserve"> wnioskowa</w:t>
      </w:r>
      <w:r w:rsidR="00CB5768">
        <w:rPr>
          <w:rFonts w:cs="Arial"/>
          <w:szCs w:val="24"/>
        </w:rPr>
        <w:t>ł</w:t>
      </w:r>
      <w:r w:rsidR="00CB5768" w:rsidRPr="005B12CE">
        <w:rPr>
          <w:rFonts w:cs="Arial"/>
          <w:szCs w:val="24"/>
        </w:rPr>
        <w:t xml:space="preserve"> o przyznanie ryczałtu</w:t>
      </w:r>
      <w:r w:rsidR="00CB5768">
        <w:rPr>
          <w:rFonts w:cs="Arial"/>
          <w:szCs w:val="24"/>
        </w:rPr>
        <w:t>.</w:t>
      </w:r>
      <w:r w:rsidR="00CB5768" w:rsidRPr="00D21F21">
        <w:rPr>
          <w:rFonts w:cs="Arial"/>
          <w:szCs w:val="24"/>
        </w:rPr>
        <w:t xml:space="preserve"> </w:t>
      </w:r>
      <w:r w:rsidR="00CB5768">
        <w:rPr>
          <w:rFonts w:cs="Arial"/>
          <w:szCs w:val="24"/>
        </w:rPr>
        <w:t>Właściwy d</w:t>
      </w:r>
      <w:r w:rsidR="00CB5768" w:rsidRPr="005B12CE">
        <w:rPr>
          <w:rFonts w:cs="Arial"/>
          <w:szCs w:val="24"/>
        </w:rPr>
        <w:t>yrektor wydział</w:t>
      </w:r>
      <w:r w:rsidR="00CB5768">
        <w:rPr>
          <w:rFonts w:cs="Arial"/>
          <w:szCs w:val="24"/>
        </w:rPr>
        <w:t>u</w:t>
      </w:r>
      <w:r w:rsidR="00CB5768" w:rsidRPr="005B12CE">
        <w:rPr>
          <w:rFonts w:cs="Arial"/>
          <w:szCs w:val="24"/>
        </w:rPr>
        <w:t>, biur</w:t>
      </w:r>
      <w:r w:rsidR="00CB5768">
        <w:rPr>
          <w:rFonts w:cs="Arial"/>
          <w:szCs w:val="24"/>
        </w:rPr>
        <w:t>a</w:t>
      </w:r>
      <w:r w:rsidR="00CB5768" w:rsidRPr="005B12CE">
        <w:rPr>
          <w:rFonts w:cs="Arial"/>
          <w:szCs w:val="24"/>
        </w:rPr>
        <w:t xml:space="preserve"> PUW, któr</w:t>
      </w:r>
      <w:r w:rsidR="00CB5768">
        <w:rPr>
          <w:rFonts w:cs="Arial"/>
          <w:szCs w:val="24"/>
        </w:rPr>
        <w:t>y</w:t>
      </w:r>
      <w:r w:rsidR="00CB5768" w:rsidRPr="005B12CE">
        <w:rPr>
          <w:rFonts w:cs="Arial"/>
          <w:szCs w:val="24"/>
        </w:rPr>
        <w:t xml:space="preserve"> wnioskowa</w:t>
      </w:r>
      <w:r w:rsidR="00CB5768">
        <w:rPr>
          <w:rFonts w:cs="Arial"/>
          <w:szCs w:val="24"/>
        </w:rPr>
        <w:t>ł</w:t>
      </w:r>
      <w:r w:rsidR="00CB5768" w:rsidRPr="005B12CE">
        <w:rPr>
          <w:rFonts w:cs="Arial"/>
          <w:szCs w:val="24"/>
        </w:rPr>
        <w:t xml:space="preserve"> o przyznanie ryczałtu </w:t>
      </w:r>
      <w:r w:rsidR="00CB5768">
        <w:rPr>
          <w:rFonts w:cs="Arial"/>
          <w:szCs w:val="24"/>
        </w:rPr>
        <w:t>przekazuje oświadczenie do</w:t>
      </w:r>
      <w:r w:rsidR="00CB5768" w:rsidRPr="005269DB">
        <w:rPr>
          <w:rFonts w:cs="Arial"/>
        </w:rPr>
        <w:t xml:space="preserve"> </w:t>
      </w:r>
      <w:r w:rsidR="00CB5768" w:rsidRPr="005269DB">
        <w:rPr>
          <w:rFonts w:cs="Arial"/>
        </w:rPr>
        <w:t>sekretariatu Biura Kadr i Organizacji do 5</w:t>
      </w:r>
      <w:r w:rsidR="00CB5768">
        <w:rPr>
          <w:rFonts w:cs="Arial"/>
        </w:rPr>
        <w:t>-tego</w:t>
      </w:r>
      <w:r w:rsidR="00CB5768" w:rsidRPr="005269DB">
        <w:rPr>
          <w:rFonts w:cs="Arial"/>
        </w:rPr>
        <w:t xml:space="preserve"> stycznia następnego roku.</w:t>
      </w:r>
      <w:r w:rsidR="00CB5768">
        <w:rPr>
          <w:rFonts w:cs="Arial"/>
        </w:rPr>
        <w:t>”;</w:t>
      </w:r>
      <w:r w:rsidR="00CB5768">
        <w:rPr>
          <w:rFonts w:cs="Arial"/>
          <w:szCs w:val="24"/>
        </w:rPr>
        <w:t xml:space="preserve"> </w:t>
      </w:r>
    </w:p>
    <w:p w:rsidR="004E3E1F" w:rsidRPr="004919DA" w:rsidRDefault="00CB5768" w:rsidP="004E3E1F">
      <w:pPr>
        <w:pStyle w:val="Akapitzlist"/>
        <w:numPr>
          <w:ilvl w:val="0"/>
          <w:numId w:val="3"/>
        </w:numPr>
        <w:ind w:left="-142" w:firstLine="851"/>
        <w:rPr>
          <w:rFonts w:cs="Arial"/>
          <w:szCs w:val="24"/>
        </w:rPr>
      </w:pPr>
      <w:r w:rsidRPr="004919DA">
        <w:rPr>
          <w:rFonts w:cs="Arial"/>
          <w:szCs w:val="24"/>
        </w:rPr>
        <w:t>załącznik nr 1 do Regulaminu otrzymuje brzmienie</w:t>
      </w:r>
      <w:r>
        <w:rPr>
          <w:rFonts w:cs="Arial"/>
          <w:szCs w:val="24"/>
        </w:rPr>
        <w:t xml:space="preserve"> określone </w:t>
      </w:r>
      <w:r w:rsidRPr="004919DA">
        <w:rPr>
          <w:rFonts w:cs="Arial"/>
          <w:szCs w:val="24"/>
        </w:rPr>
        <w:t>w</w:t>
      </w:r>
      <w:r w:rsidR="003D60B5">
        <w:rPr>
          <w:rFonts w:cs="Arial"/>
          <w:szCs w:val="24"/>
        </w:rPr>
        <w:t> </w:t>
      </w:r>
      <w:r w:rsidRPr="004919DA">
        <w:rPr>
          <w:rFonts w:cs="Arial"/>
          <w:szCs w:val="24"/>
        </w:rPr>
        <w:t>załączniku</w:t>
      </w:r>
      <w:r w:rsidRPr="004919DA">
        <w:rPr>
          <w:rFonts w:cs="Arial"/>
          <w:szCs w:val="24"/>
        </w:rPr>
        <w:t xml:space="preserve"> nr </w:t>
      </w:r>
      <w:r>
        <w:rPr>
          <w:rFonts w:cs="Arial"/>
          <w:szCs w:val="24"/>
        </w:rPr>
        <w:t>1</w:t>
      </w:r>
      <w:r w:rsidRPr="004919DA">
        <w:rPr>
          <w:rFonts w:cs="Arial"/>
          <w:szCs w:val="24"/>
        </w:rPr>
        <w:t xml:space="preserve"> do niniejszego zarządzenia;</w:t>
      </w:r>
    </w:p>
    <w:p w:rsidR="004E3E1F" w:rsidRPr="007C5FB6" w:rsidRDefault="00CB5768" w:rsidP="007C5FB6">
      <w:pPr>
        <w:pStyle w:val="Akapitzlist"/>
        <w:numPr>
          <w:ilvl w:val="0"/>
          <w:numId w:val="3"/>
        </w:numPr>
        <w:ind w:left="709" w:hanging="283"/>
        <w:rPr>
          <w:rFonts w:cs="Arial"/>
          <w:szCs w:val="24"/>
        </w:rPr>
      </w:pPr>
      <w:bookmarkStart w:id="4" w:name="_GoBack"/>
      <w:bookmarkEnd w:id="4"/>
      <w:r w:rsidRPr="007C5FB6">
        <w:rPr>
          <w:rFonts w:cs="Arial"/>
          <w:szCs w:val="24"/>
        </w:rPr>
        <w:lastRenderedPageBreak/>
        <w:t>załącznik nr 2 do Regulaminu otrzymuje brzmienie</w:t>
      </w:r>
      <w:r w:rsidRPr="007C5FB6">
        <w:rPr>
          <w:rFonts w:cs="Arial"/>
          <w:szCs w:val="24"/>
        </w:rPr>
        <w:t xml:space="preserve"> określone</w:t>
      </w:r>
      <w:r w:rsidRPr="007C5FB6">
        <w:rPr>
          <w:rFonts w:cs="Arial"/>
          <w:szCs w:val="24"/>
        </w:rPr>
        <w:t xml:space="preserve"> w załączniku nr </w:t>
      </w:r>
      <w:r w:rsidRPr="007C5FB6">
        <w:rPr>
          <w:rFonts w:cs="Arial"/>
          <w:szCs w:val="24"/>
        </w:rPr>
        <w:t>2</w:t>
      </w:r>
      <w:r w:rsidRPr="007C5FB6">
        <w:rPr>
          <w:rFonts w:cs="Arial"/>
          <w:szCs w:val="24"/>
        </w:rPr>
        <w:t xml:space="preserve"> do niniejszego zarządzenia;</w:t>
      </w:r>
    </w:p>
    <w:p w:rsidR="004E3E1F" w:rsidRPr="007C5FB6" w:rsidRDefault="00CB5768" w:rsidP="007C5FB6">
      <w:pPr>
        <w:pStyle w:val="Akapitzlist"/>
        <w:numPr>
          <w:ilvl w:val="0"/>
          <w:numId w:val="3"/>
        </w:numPr>
        <w:ind w:left="709" w:hanging="283"/>
        <w:rPr>
          <w:rFonts w:cs="Arial"/>
          <w:szCs w:val="24"/>
        </w:rPr>
      </w:pPr>
      <w:r w:rsidRPr="007C5FB6">
        <w:rPr>
          <w:rFonts w:cs="Arial"/>
          <w:szCs w:val="24"/>
        </w:rPr>
        <w:t xml:space="preserve">załącznik </w:t>
      </w:r>
      <w:r w:rsidRPr="007C5FB6">
        <w:rPr>
          <w:rFonts w:cs="Arial"/>
          <w:szCs w:val="24"/>
        </w:rPr>
        <w:t>n</w:t>
      </w:r>
      <w:r w:rsidRPr="007C5FB6">
        <w:rPr>
          <w:rFonts w:cs="Arial"/>
          <w:szCs w:val="24"/>
        </w:rPr>
        <w:t>r 3 do Regulaminu otrzymuje brzmienie</w:t>
      </w:r>
      <w:r w:rsidRPr="007C5FB6">
        <w:rPr>
          <w:rFonts w:cs="Arial"/>
          <w:szCs w:val="24"/>
        </w:rPr>
        <w:t xml:space="preserve"> określone w </w:t>
      </w:r>
      <w:r w:rsidRPr="007C5FB6">
        <w:rPr>
          <w:rFonts w:cs="Arial"/>
          <w:szCs w:val="24"/>
        </w:rPr>
        <w:t>załączniku nr 3 do niniejszego zarządzenia;</w:t>
      </w:r>
    </w:p>
    <w:p w:rsidR="004E3E1F" w:rsidRPr="007C5FB6" w:rsidRDefault="00CB5768" w:rsidP="007C5FB6">
      <w:pPr>
        <w:pStyle w:val="Akapitzlist"/>
        <w:numPr>
          <w:ilvl w:val="0"/>
          <w:numId w:val="3"/>
        </w:numPr>
        <w:ind w:left="709" w:hanging="283"/>
        <w:rPr>
          <w:rFonts w:cs="Arial"/>
          <w:szCs w:val="24"/>
        </w:rPr>
      </w:pPr>
      <w:r w:rsidRPr="007C5FB6">
        <w:rPr>
          <w:rFonts w:cs="Arial"/>
          <w:szCs w:val="24"/>
        </w:rPr>
        <w:t xml:space="preserve">załącznik </w:t>
      </w:r>
      <w:r w:rsidRPr="007C5FB6">
        <w:rPr>
          <w:rFonts w:cs="Arial"/>
          <w:szCs w:val="24"/>
        </w:rPr>
        <w:t>n</w:t>
      </w:r>
      <w:r w:rsidRPr="007C5FB6">
        <w:rPr>
          <w:rFonts w:cs="Arial"/>
          <w:szCs w:val="24"/>
        </w:rPr>
        <w:t>r 4 do  Regulaminu otrzymuje brzmienie</w:t>
      </w:r>
      <w:r w:rsidRPr="007C5FB6">
        <w:rPr>
          <w:rFonts w:cs="Arial"/>
          <w:szCs w:val="24"/>
        </w:rPr>
        <w:t xml:space="preserve"> określone </w:t>
      </w:r>
      <w:r w:rsidRPr="007C5FB6">
        <w:rPr>
          <w:rFonts w:cs="Arial"/>
          <w:szCs w:val="24"/>
        </w:rPr>
        <w:t>w załączniku nr</w:t>
      </w:r>
      <w:r w:rsidR="007C5FB6">
        <w:rPr>
          <w:rFonts w:cs="Arial"/>
          <w:szCs w:val="24"/>
        </w:rPr>
        <w:t> </w:t>
      </w:r>
      <w:r w:rsidRPr="007C5FB6">
        <w:rPr>
          <w:rFonts w:cs="Arial"/>
          <w:szCs w:val="24"/>
        </w:rPr>
        <w:t>4</w:t>
      </w:r>
      <w:r w:rsidRPr="007C5FB6">
        <w:rPr>
          <w:rFonts w:cs="Arial"/>
          <w:szCs w:val="24"/>
        </w:rPr>
        <w:t xml:space="preserve"> do niniejszego zarządzenia.</w:t>
      </w:r>
    </w:p>
    <w:p w:rsidR="004E3E1F" w:rsidRDefault="00CB5768" w:rsidP="004E3E1F">
      <w:pPr>
        <w:spacing w:after="720"/>
      </w:pPr>
      <w:r w:rsidRPr="005B12CE">
        <w:rPr>
          <w:rFonts w:cs="Arial"/>
          <w:b/>
          <w:szCs w:val="24"/>
        </w:rPr>
        <w:t>§</w:t>
      </w:r>
      <w:r w:rsidRPr="005B12CE">
        <w:rPr>
          <w:rFonts w:cs="Arial"/>
          <w:b/>
          <w:szCs w:val="24"/>
        </w:rPr>
        <w:t xml:space="preserve"> 2. </w:t>
      </w:r>
      <w:r>
        <w:t>Zarządzenie wchodzi w życie z dniem podpisania.</w:t>
      </w:r>
    </w:p>
    <w:bookmarkEnd w:id="0"/>
    <w:p w:rsidR="003D60B5" w:rsidRPr="00F2167F" w:rsidRDefault="003D60B5" w:rsidP="003D60B5">
      <w:pPr>
        <w:ind w:firstLine="5812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5269E2" w:rsidRPr="00F2167F" w:rsidRDefault="003D60B5" w:rsidP="003D60B5">
      <w:pPr>
        <w:ind w:left="5670"/>
        <w:rPr>
          <w:rFonts w:ascii="Times New Roman" w:hAnsi="Times New Roman"/>
        </w:rPr>
      </w:pPr>
      <w:r w:rsidRPr="00F2167F">
        <w:rPr>
          <w:rFonts w:cs="Arial"/>
        </w:rPr>
        <w:t>Anita Świetlikowska</w:t>
      </w:r>
      <w:r>
        <w:rPr>
          <w:rFonts w:ascii="Times New Roman" w:eastAsiaTheme="minorHAnsi" w:hAnsi="Times New Roman"/>
          <w:noProof/>
          <w:szCs w:val="24"/>
          <w:lang w:eastAsia="pl-PL"/>
        </w:rPr>
        <w:t xml:space="preserve"> </w:t>
      </w:r>
    </w:p>
    <w:sectPr w:rsidR="005269E2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68" w:rsidRDefault="00CB5768">
      <w:pPr>
        <w:spacing w:after="0" w:line="240" w:lineRule="auto"/>
      </w:pPr>
      <w:r>
        <w:separator/>
      </w:r>
    </w:p>
  </w:endnote>
  <w:endnote w:type="continuationSeparator" w:id="0">
    <w:p w:rsidR="00CB5768" w:rsidRDefault="00CB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68" w:rsidRDefault="00CB5768" w:rsidP="009A2CE1">
      <w:pPr>
        <w:spacing w:after="0" w:line="240" w:lineRule="auto"/>
      </w:pPr>
      <w:r>
        <w:separator/>
      </w:r>
    </w:p>
  </w:footnote>
  <w:footnote w:type="continuationSeparator" w:id="0">
    <w:p w:rsidR="00CB5768" w:rsidRDefault="00CB5768" w:rsidP="009A2CE1">
      <w:pPr>
        <w:spacing w:after="0" w:line="240" w:lineRule="auto"/>
      </w:pPr>
      <w:r>
        <w:continuationSeparator/>
      </w:r>
    </w:p>
  </w:footnote>
  <w:footnote w:id="1">
    <w:p w:rsidR="004E3E1F" w:rsidRDefault="00CB5768" w:rsidP="004E3E1F">
      <w:pPr>
        <w:pStyle w:val="Tekstprzypisudolnego"/>
      </w:pPr>
      <w:r>
        <w:rPr>
          <w:rStyle w:val="Odwoanieprzypisudolnego"/>
        </w:rPr>
        <w:footnoteRef/>
      </w:r>
      <w:r>
        <w:t xml:space="preserve"> zmienione zarządzeniami Dyrektora Generalnego Pomorskiego Urzędu Wojewódzkiego </w:t>
      </w:r>
      <w:r>
        <w:br/>
        <w:t xml:space="preserve">w Gdańsku z dnia 19 czerwca 2018 r. i 7 lutego 2023 r.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300F"/>
    <w:multiLevelType w:val="hybridMultilevel"/>
    <w:tmpl w:val="204EC2FE"/>
    <w:lvl w:ilvl="0" w:tplc="F848748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2E2B432" w:tentative="1">
      <w:start w:val="1"/>
      <w:numFmt w:val="lowerLetter"/>
      <w:lvlText w:val="%2."/>
      <w:lvlJc w:val="left"/>
      <w:pPr>
        <w:ind w:left="1440" w:hanging="360"/>
      </w:pPr>
    </w:lvl>
    <w:lvl w:ilvl="2" w:tplc="581C8716" w:tentative="1">
      <w:start w:val="1"/>
      <w:numFmt w:val="lowerRoman"/>
      <w:lvlText w:val="%3."/>
      <w:lvlJc w:val="right"/>
      <w:pPr>
        <w:ind w:left="2160" w:hanging="180"/>
      </w:pPr>
    </w:lvl>
    <w:lvl w:ilvl="3" w:tplc="D2988EA2" w:tentative="1">
      <w:start w:val="1"/>
      <w:numFmt w:val="decimal"/>
      <w:lvlText w:val="%4."/>
      <w:lvlJc w:val="left"/>
      <w:pPr>
        <w:ind w:left="2880" w:hanging="360"/>
      </w:pPr>
    </w:lvl>
    <w:lvl w:ilvl="4" w:tplc="7702FF2A" w:tentative="1">
      <w:start w:val="1"/>
      <w:numFmt w:val="lowerLetter"/>
      <w:lvlText w:val="%5."/>
      <w:lvlJc w:val="left"/>
      <w:pPr>
        <w:ind w:left="3600" w:hanging="360"/>
      </w:pPr>
    </w:lvl>
    <w:lvl w:ilvl="5" w:tplc="B00E934C" w:tentative="1">
      <w:start w:val="1"/>
      <w:numFmt w:val="lowerRoman"/>
      <w:lvlText w:val="%6."/>
      <w:lvlJc w:val="right"/>
      <w:pPr>
        <w:ind w:left="4320" w:hanging="180"/>
      </w:pPr>
    </w:lvl>
    <w:lvl w:ilvl="6" w:tplc="6FDA7172" w:tentative="1">
      <w:start w:val="1"/>
      <w:numFmt w:val="decimal"/>
      <w:lvlText w:val="%7."/>
      <w:lvlJc w:val="left"/>
      <w:pPr>
        <w:ind w:left="5040" w:hanging="360"/>
      </w:pPr>
    </w:lvl>
    <w:lvl w:ilvl="7" w:tplc="86C4798C" w:tentative="1">
      <w:start w:val="1"/>
      <w:numFmt w:val="lowerLetter"/>
      <w:lvlText w:val="%8."/>
      <w:lvlJc w:val="left"/>
      <w:pPr>
        <w:ind w:left="5760" w:hanging="360"/>
      </w:pPr>
    </w:lvl>
    <w:lvl w:ilvl="8" w:tplc="55EE1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1CF"/>
    <w:multiLevelType w:val="hybridMultilevel"/>
    <w:tmpl w:val="34F4F802"/>
    <w:lvl w:ilvl="0" w:tplc="380ECC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1988178">
      <w:start w:val="1"/>
      <w:numFmt w:val="lowerLetter"/>
      <w:lvlText w:val="%2."/>
      <w:lvlJc w:val="left"/>
      <w:pPr>
        <w:ind w:left="1440" w:hanging="360"/>
      </w:pPr>
    </w:lvl>
    <w:lvl w:ilvl="2" w:tplc="793C4F88">
      <w:start w:val="1"/>
      <w:numFmt w:val="lowerRoman"/>
      <w:lvlText w:val="%3."/>
      <w:lvlJc w:val="right"/>
      <w:pPr>
        <w:ind w:left="2160" w:hanging="180"/>
      </w:pPr>
    </w:lvl>
    <w:lvl w:ilvl="3" w:tplc="AB94E352">
      <w:start w:val="1"/>
      <w:numFmt w:val="decimal"/>
      <w:lvlText w:val="%4."/>
      <w:lvlJc w:val="left"/>
      <w:pPr>
        <w:ind w:left="2880" w:hanging="360"/>
      </w:pPr>
    </w:lvl>
    <w:lvl w:ilvl="4" w:tplc="3FDE80E2">
      <w:start w:val="1"/>
      <w:numFmt w:val="lowerLetter"/>
      <w:lvlText w:val="%5."/>
      <w:lvlJc w:val="left"/>
      <w:pPr>
        <w:ind w:left="3600" w:hanging="360"/>
      </w:pPr>
    </w:lvl>
    <w:lvl w:ilvl="5" w:tplc="E4CAAF4E">
      <w:start w:val="1"/>
      <w:numFmt w:val="lowerRoman"/>
      <w:lvlText w:val="%6."/>
      <w:lvlJc w:val="right"/>
      <w:pPr>
        <w:ind w:left="4320" w:hanging="180"/>
      </w:pPr>
    </w:lvl>
    <w:lvl w:ilvl="6" w:tplc="AE6AA222">
      <w:start w:val="1"/>
      <w:numFmt w:val="decimal"/>
      <w:lvlText w:val="%7."/>
      <w:lvlJc w:val="left"/>
      <w:pPr>
        <w:ind w:left="5040" w:hanging="360"/>
      </w:pPr>
    </w:lvl>
    <w:lvl w:ilvl="7" w:tplc="89168FD2">
      <w:start w:val="1"/>
      <w:numFmt w:val="lowerLetter"/>
      <w:lvlText w:val="%8."/>
      <w:lvlJc w:val="left"/>
      <w:pPr>
        <w:ind w:left="5760" w:hanging="360"/>
      </w:pPr>
    </w:lvl>
    <w:lvl w:ilvl="8" w:tplc="0C14CE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E7991"/>
    <w:multiLevelType w:val="hybridMultilevel"/>
    <w:tmpl w:val="1FB6D706"/>
    <w:lvl w:ilvl="0" w:tplc="33F84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6529D4C" w:tentative="1">
      <w:start w:val="1"/>
      <w:numFmt w:val="lowerLetter"/>
      <w:lvlText w:val="%2."/>
      <w:lvlJc w:val="left"/>
      <w:pPr>
        <w:ind w:left="1789" w:hanging="360"/>
      </w:pPr>
    </w:lvl>
    <w:lvl w:ilvl="2" w:tplc="1298AB5C" w:tentative="1">
      <w:start w:val="1"/>
      <w:numFmt w:val="lowerRoman"/>
      <w:lvlText w:val="%3."/>
      <w:lvlJc w:val="right"/>
      <w:pPr>
        <w:ind w:left="2509" w:hanging="180"/>
      </w:pPr>
    </w:lvl>
    <w:lvl w:ilvl="3" w:tplc="5DAC0306" w:tentative="1">
      <w:start w:val="1"/>
      <w:numFmt w:val="decimal"/>
      <w:lvlText w:val="%4."/>
      <w:lvlJc w:val="left"/>
      <w:pPr>
        <w:ind w:left="3229" w:hanging="360"/>
      </w:pPr>
    </w:lvl>
    <w:lvl w:ilvl="4" w:tplc="6DA23852" w:tentative="1">
      <w:start w:val="1"/>
      <w:numFmt w:val="lowerLetter"/>
      <w:lvlText w:val="%5."/>
      <w:lvlJc w:val="left"/>
      <w:pPr>
        <w:ind w:left="3949" w:hanging="360"/>
      </w:pPr>
    </w:lvl>
    <w:lvl w:ilvl="5" w:tplc="1B7495FC" w:tentative="1">
      <w:start w:val="1"/>
      <w:numFmt w:val="lowerRoman"/>
      <w:lvlText w:val="%6."/>
      <w:lvlJc w:val="right"/>
      <w:pPr>
        <w:ind w:left="4669" w:hanging="180"/>
      </w:pPr>
    </w:lvl>
    <w:lvl w:ilvl="6" w:tplc="7CC05690" w:tentative="1">
      <w:start w:val="1"/>
      <w:numFmt w:val="decimal"/>
      <w:lvlText w:val="%7."/>
      <w:lvlJc w:val="left"/>
      <w:pPr>
        <w:ind w:left="5389" w:hanging="360"/>
      </w:pPr>
    </w:lvl>
    <w:lvl w:ilvl="7" w:tplc="26A4C056" w:tentative="1">
      <w:start w:val="1"/>
      <w:numFmt w:val="lowerLetter"/>
      <w:lvlText w:val="%8."/>
      <w:lvlJc w:val="left"/>
      <w:pPr>
        <w:ind w:left="6109" w:hanging="360"/>
      </w:pPr>
    </w:lvl>
    <w:lvl w:ilvl="8" w:tplc="4860FD3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B5"/>
    <w:rsid w:val="003D60B5"/>
    <w:rsid w:val="007C5FB6"/>
    <w:rsid w:val="00C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D1A8"/>
  <w15:docId w15:val="{927E0280-4A75-48FE-A57E-71103BF3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99"/>
    <w:qFormat/>
    <w:rsid w:val="009A2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C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CE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2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17 czerwca 2024r. zmieniające zarządzenie w sprawie ustalenia Regulaminu dotyczącego warunków ustalenia oraz sposobu dokonywania zwrotu kosztów używania do celów służbowych samochodów osobowych, motocykli i motorowerów niebędących własnością pracodawcy do jazd lokalnych w Pomorskim Urzędzie Wojewódzkim w Gdańsku</dc:title>
  <dc:creator>Mirela Bemben</dc:creator>
  <cp:lastModifiedBy>Monika Giedrojć</cp:lastModifiedBy>
  <cp:revision>19</cp:revision>
  <cp:lastPrinted>2024-05-20T11:32:00Z</cp:lastPrinted>
  <dcterms:created xsi:type="dcterms:W3CDTF">2021-05-10T11:41:00Z</dcterms:created>
  <dcterms:modified xsi:type="dcterms:W3CDTF">2024-06-18T13:07:00Z</dcterms:modified>
</cp:coreProperties>
</file>