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B48" w:rsidRPr="00B06EF4" w:rsidRDefault="006305FF">
      <w:pPr>
        <w:pStyle w:val="Nagwek1"/>
        <w:rPr>
          <w:rFonts w:ascii="Times New Roman" w:eastAsia="Times New Roman" w:hAnsi="Times New Roman" w:cs="Times New Roman"/>
          <w:szCs w:val="24"/>
          <w:lang w:eastAsia="pl-PL"/>
        </w:rPr>
      </w:pPr>
      <w:r w:rsidRPr="00B06EF4">
        <w:rPr>
          <w:rFonts w:ascii="Times New Roman" w:eastAsia="Times New Roman" w:hAnsi="Times New Roman" w:cs="Times New Roman"/>
          <w:szCs w:val="24"/>
          <w:lang w:eastAsia="pl-PL"/>
        </w:rPr>
        <w:t>Załącznik B.70.</w:t>
      </w:r>
    </w:p>
    <w:p w:rsidR="00944B48" w:rsidRPr="00B06EF4" w:rsidRDefault="00944B48">
      <w:pPr>
        <w:widowControl w:val="0"/>
        <w:tabs>
          <w:tab w:val="left" w:pos="1305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44B48" w:rsidRPr="00B06EF4" w:rsidRDefault="006305FF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06EF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 NEOWASKULARNEJ (WYSIĘKOWEJ) POSTACI ZWYRODNIENIA PLAMKI ZWIĄZANEGO Z WIEKIEM (AMD) (ICD-10 H35.3)</w:t>
      </w:r>
    </w:p>
    <w:tbl>
      <w:tblPr>
        <w:tblpPr w:leftFromText="141" w:rightFromText="141" w:vertAnchor="text" w:horzAnchor="margin" w:tblpX="40" w:tblpY="39"/>
        <w:tblW w:w="153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374"/>
        <w:gridCol w:w="4678"/>
        <w:gridCol w:w="4346"/>
      </w:tblGrid>
      <w:tr w:rsidR="00B06EF4" w:rsidRPr="00B06EF4" w:rsidTr="00A742BE">
        <w:trPr>
          <w:trHeight w:val="567"/>
        </w:trPr>
        <w:tc>
          <w:tcPr>
            <w:tcW w:w="1539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44B48" w:rsidRPr="00B06EF4" w:rsidRDefault="006305FF" w:rsidP="00A742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ZAKRES ŚWIADCZENIA GWARANTOWANEGO</w:t>
            </w:r>
          </w:p>
        </w:tc>
      </w:tr>
      <w:tr w:rsidR="00B06EF4" w:rsidRPr="00B06EF4" w:rsidTr="008C07C8">
        <w:trPr>
          <w:trHeight w:val="567"/>
        </w:trPr>
        <w:tc>
          <w:tcPr>
            <w:tcW w:w="6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44B48" w:rsidRPr="00B06EF4" w:rsidRDefault="006305FF" w:rsidP="00A742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ŚWIADCZENIOBIORCY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44B48" w:rsidRPr="00B06EF4" w:rsidRDefault="006305FF" w:rsidP="00A742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SCHEMAT DAWKOWANIA LEKÓW</w:t>
            </w:r>
          </w:p>
          <w:p w:rsidR="00944B48" w:rsidRPr="00B06EF4" w:rsidRDefault="006305FF" w:rsidP="00A742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 PROGRAMIE</w:t>
            </w:r>
          </w:p>
        </w:tc>
        <w:tc>
          <w:tcPr>
            <w:tcW w:w="4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44B48" w:rsidRPr="00B06EF4" w:rsidRDefault="006305FF" w:rsidP="00A742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BADANIA DIAGNOSTYCZNE WYKONYWANE W RAMACH PROGRAMU</w:t>
            </w:r>
          </w:p>
        </w:tc>
      </w:tr>
      <w:tr w:rsidR="00B06EF4" w:rsidRPr="00B06EF4" w:rsidTr="008C07C8">
        <w:trPr>
          <w:trHeight w:val="841"/>
        </w:trPr>
        <w:tc>
          <w:tcPr>
            <w:tcW w:w="6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44B48" w:rsidRPr="00B06EF4" w:rsidRDefault="006305FF" w:rsidP="004C026C">
            <w:pPr>
              <w:numPr>
                <w:ilvl w:val="0"/>
                <w:numId w:val="3"/>
              </w:numPr>
              <w:spacing w:before="120" w:after="60" w:line="240" w:lineRule="auto"/>
              <w:ind w:left="312" w:hanging="312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Leczenie 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neowaskularnej</w:t>
            </w:r>
            <w:proofErr w:type="spellEnd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(wysiękowej) postaci zwyrodnienia plamki związanego z wiekiem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afliberceptem</w:t>
            </w:r>
            <w:proofErr w:type="spellEnd"/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Pacjent jest kwalifikowany do programu przez Zespół Koordynacyjny do Spraw Leczenia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Neowaskularnej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(Wysiękowej) Postaci Zwyrodnienia Plamki Związanego z Wiekiem, powoływany przez Prezesa Narodowego Funduszu Zdrowia.</w:t>
            </w:r>
          </w:p>
          <w:p w:rsidR="00944B48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Każdorazowo  pacjenta do podania kolejnej dawki leku kwalifikuje lekarz prowadzący.</w:t>
            </w:r>
          </w:p>
          <w:p w:rsidR="008C07C8" w:rsidRPr="00B06EF4" w:rsidRDefault="008C07C8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944B48" w:rsidRPr="00B06EF4" w:rsidRDefault="006305FF" w:rsidP="004C026C">
            <w:pPr>
              <w:numPr>
                <w:ilvl w:val="1"/>
                <w:numId w:val="2"/>
              </w:numPr>
              <w:spacing w:after="60" w:line="240" w:lineRule="auto"/>
              <w:ind w:left="357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>Kryteria</w:t>
            </w:r>
            <w:proofErr w:type="spellEnd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>kwalifikacji</w:t>
            </w:r>
            <w:proofErr w:type="spellEnd"/>
          </w:p>
          <w:p w:rsidR="00944B48" w:rsidRPr="00B06EF4" w:rsidRDefault="006305FF" w:rsidP="004C026C">
            <w:pPr>
              <w:numPr>
                <w:ilvl w:val="0"/>
                <w:numId w:val="8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obecność aktywnej (pierwotnej lub wtórnej), klasycznej, ukrytej lub mieszanej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neowaskularyzacji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podsiatkówkowej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(CNV) zajmującej ponad 50% zmiany w przebiegu AMD potwierdzona w OCT (optycznej koherentnej tomografii) i angiografii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fluoresceinowej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lub badaniu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angio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-OCT;</w:t>
            </w:r>
          </w:p>
          <w:p w:rsidR="00944B48" w:rsidRPr="00B06EF4" w:rsidRDefault="006305FF" w:rsidP="004C026C">
            <w:pPr>
              <w:numPr>
                <w:ilvl w:val="0"/>
                <w:numId w:val="8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wiek powyżej 45. roku życia;</w:t>
            </w:r>
          </w:p>
          <w:p w:rsidR="00944B48" w:rsidRPr="00B06EF4" w:rsidRDefault="006305FF" w:rsidP="004C026C">
            <w:pPr>
              <w:numPr>
                <w:ilvl w:val="0"/>
                <w:numId w:val="8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wielkość zmiany mniejsza niż 12 DA (12 powierzchni tarczy nerwu wzrokowego);</w:t>
            </w:r>
          </w:p>
          <w:p w:rsidR="00944B48" w:rsidRPr="00B06EF4" w:rsidRDefault="006305FF" w:rsidP="004C026C">
            <w:pPr>
              <w:numPr>
                <w:ilvl w:val="0"/>
                <w:numId w:val="8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najlepsza skorygowana ostrość wzroku (BCVA) w leczonym oku 0,</w:t>
            </w:r>
            <w:r w:rsidR="00F11714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-0,8 określona według tablicy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Snellena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(lub odpowiednio ekwiwalent ETDRS);</w:t>
            </w:r>
          </w:p>
          <w:p w:rsidR="00944B48" w:rsidRPr="00B06EF4" w:rsidRDefault="006305FF" w:rsidP="004C026C">
            <w:pPr>
              <w:numPr>
                <w:ilvl w:val="0"/>
                <w:numId w:val="8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zgoda pacjenta na wykonanie iniekcji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doszklistkowych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944B48" w:rsidRPr="00B06EF4" w:rsidRDefault="006305FF" w:rsidP="004C026C">
            <w:pPr>
              <w:numPr>
                <w:ilvl w:val="0"/>
                <w:numId w:val="8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brak dominującego zaniku geograficznego;</w:t>
            </w:r>
          </w:p>
          <w:p w:rsidR="00944B48" w:rsidRPr="00B06EF4" w:rsidRDefault="001E44A3" w:rsidP="004C026C">
            <w:pPr>
              <w:numPr>
                <w:ilvl w:val="0"/>
                <w:numId w:val="8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brak dominującego wylewu krwi;</w:t>
            </w:r>
          </w:p>
          <w:p w:rsidR="00944B48" w:rsidRPr="00B06EF4" w:rsidRDefault="006305FF" w:rsidP="004C026C">
            <w:pPr>
              <w:numPr>
                <w:ilvl w:val="0"/>
                <w:numId w:val="8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przed rozpoczęciem leczenia brak istotnego, trwałeg</w:t>
            </w:r>
            <w:r w:rsidR="003C006F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o uszkodzenia struktury dołka (i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stotne uszkodzenie struktury jest zdefiniowane jako obecne zwłóknienie lub atrofia w dołku albo istot</w:t>
            </w:r>
            <w:r w:rsidR="003C006F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na przewlekła tarczowata blizna).</w:t>
            </w:r>
          </w:p>
          <w:p w:rsidR="00944B48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Kryteria kwalifikacji muszą być spełnione łącznie.</w:t>
            </w:r>
          </w:p>
          <w:p w:rsidR="008C07C8" w:rsidRPr="00B06EF4" w:rsidRDefault="008C07C8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44B48" w:rsidRPr="00B06EF4" w:rsidRDefault="006305FF" w:rsidP="004C026C">
            <w:pPr>
              <w:numPr>
                <w:ilvl w:val="1"/>
                <w:numId w:val="2"/>
              </w:numPr>
              <w:spacing w:after="60" w:line="240" w:lineRule="auto"/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Kryteria włączenia do programu pacjentów leczonych uprzednio w ramach je</w:t>
            </w:r>
            <w:r w:rsidR="003B558E"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dnorodnych grup pacjentów lub u </w:t>
            </w: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świadczeniodawców, którzy nie posiadali umowy na udzielanie świadczeń opieki zdrowotnej finansowanych ze środków publicznych</w:t>
            </w:r>
          </w:p>
          <w:p w:rsidR="00944B48" w:rsidRPr="00B06EF4" w:rsidRDefault="006305FF" w:rsidP="004C026C">
            <w:pPr>
              <w:spacing w:after="60" w:line="240" w:lineRule="auto"/>
              <w:ind w:left="34" w:firstLine="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Do programu kwalifikowani są również pacjenci, którzy przed wprowadzeniem programu rozpoczęli leczenie wysiękowej postaci AMD iniekcjami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doszklistkowymi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przeciwciała monoklonalnego anty-VEGF lub rekombinowanego białka fuzyjnego:</w:t>
            </w:r>
          </w:p>
          <w:p w:rsidR="00944B48" w:rsidRPr="00B06EF4" w:rsidRDefault="006305FF" w:rsidP="004C026C">
            <w:pPr>
              <w:numPr>
                <w:ilvl w:val="0"/>
                <w:numId w:val="25"/>
              </w:numPr>
              <w:spacing w:after="60" w:line="240" w:lineRule="auto"/>
              <w:ind w:left="567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ramach świadczeń gwarantowanych rozliczanych w ramach grupy B02 - Leczenie wysiękowej postaci AMD z zastosowaniem iniekcji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doszklistkowych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przeciwciała monoklonalnego anty-VEGF/rekombinowanego białka fuzyjnego </w:t>
            </w: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Pr="00B06E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944B48" w:rsidRPr="00B06EF4" w:rsidRDefault="006305FF" w:rsidP="004C026C">
            <w:pPr>
              <w:numPr>
                <w:ilvl w:val="0"/>
                <w:numId w:val="25"/>
              </w:numPr>
              <w:spacing w:after="60" w:line="240" w:lineRule="auto"/>
              <w:ind w:left="567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 świadczeniodawców, którzy nie posiadali umowy na udzielanie świadczeń opieki zdrowotnej finansowanych ze środków publicznych </w:t>
            </w:r>
          </w:p>
          <w:p w:rsidR="00944B48" w:rsidRDefault="006305FF" w:rsidP="004C026C">
            <w:pPr>
              <w:spacing w:after="60" w:line="240" w:lineRule="auto"/>
              <w:ind w:left="34" w:firstLine="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- pod warunkiem, że w chwili rozpoczęcia terapii spełniali kryteria włączenia do programu. Jeżeli wykazano w tym czasie skuteczność leczenia, wtedy terapia powinna być kontynuowana zgodnie z zapisami programu.</w:t>
            </w:r>
          </w:p>
          <w:p w:rsidR="008C07C8" w:rsidRPr="00B06EF4" w:rsidRDefault="008C07C8" w:rsidP="004C026C">
            <w:pPr>
              <w:spacing w:after="60" w:line="240" w:lineRule="auto"/>
              <w:ind w:left="34" w:firstLine="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44B48" w:rsidRPr="00B06EF4" w:rsidRDefault="006305FF" w:rsidP="004C026C">
            <w:pPr>
              <w:numPr>
                <w:ilvl w:val="1"/>
                <w:numId w:val="2"/>
              </w:numPr>
              <w:spacing w:after="60" w:line="240" w:lineRule="auto"/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>Określenie</w:t>
            </w:r>
            <w:proofErr w:type="spellEnd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>czasu</w:t>
            </w:r>
            <w:proofErr w:type="spellEnd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>leczenia</w:t>
            </w:r>
            <w:proofErr w:type="spellEnd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 xml:space="preserve"> w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>programie</w:t>
            </w:r>
            <w:proofErr w:type="spellEnd"/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Leczenie trwa do czasu podjęcia przez lekarza prowadzącego decyzji 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 wyłączeniu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pacjenta z programu zgodnie z kryteriami wyłączenia. </w:t>
            </w:r>
          </w:p>
          <w:p w:rsidR="006576A6" w:rsidRPr="00B06EF4" w:rsidRDefault="006576A6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944B48" w:rsidRPr="00B06EF4" w:rsidRDefault="006305FF" w:rsidP="004C026C">
            <w:pPr>
              <w:numPr>
                <w:ilvl w:val="1"/>
                <w:numId w:val="2"/>
              </w:numPr>
              <w:spacing w:after="60" w:line="240" w:lineRule="auto"/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>Kryteria</w:t>
            </w:r>
            <w:proofErr w:type="spellEnd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>wyłączenia</w:t>
            </w:r>
            <w:proofErr w:type="spellEnd"/>
          </w:p>
          <w:p w:rsidR="00944B48" w:rsidRPr="00B06EF4" w:rsidRDefault="006305FF" w:rsidP="004C026C">
            <w:pPr>
              <w:numPr>
                <w:ilvl w:val="0"/>
                <w:numId w:val="1"/>
              </w:numPr>
              <w:spacing w:after="60" w:line="240" w:lineRule="auto"/>
              <w:ind w:left="284" w:hanging="142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nadwrażliwość na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aflibercept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lub na którąkolwiek substancję pomocniczą;</w:t>
            </w:r>
          </w:p>
          <w:p w:rsidR="00944B48" w:rsidRPr="00B06EF4" w:rsidRDefault="006305FF" w:rsidP="004C026C">
            <w:pPr>
              <w:numPr>
                <w:ilvl w:val="0"/>
                <w:numId w:val="1"/>
              </w:numPr>
              <w:spacing w:after="60" w:line="240" w:lineRule="auto"/>
              <w:ind w:left="284" w:hanging="142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czynne zakażenie oka lub jego okolic;</w:t>
            </w:r>
          </w:p>
          <w:p w:rsidR="00944B48" w:rsidRPr="00B06EF4" w:rsidRDefault="006305FF" w:rsidP="004C026C">
            <w:pPr>
              <w:numPr>
                <w:ilvl w:val="0"/>
                <w:numId w:val="1"/>
              </w:numPr>
              <w:spacing w:after="60" w:line="240" w:lineRule="auto"/>
              <w:ind w:left="284" w:hanging="142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lastRenderedPageBreak/>
              <w:t>czynne ciężkie zapalenie wnętrza gałki;</w:t>
            </w:r>
          </w:p>
          <w:p w:rsidR="00944B48" w:rsidRPr="00B06EF4" w:rsidRDefault="006305FF" w:rsidP="004C026C">
            <w:pPr>
              <w:numPr>
                <w:ilvl w:val="0"/>
                <w:numId w:val="1"/>
              </w:numPr>
              <w:spacing w:after="60" w:line="240" w:lineRule="auto"/>
              <w:ind w:left="284" w:hanging="142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okres ciąży lub karmienia piersią;</w:t>
            </w:r>
          </w:p>
          <w:p w:rsidR="00944B48" w:rsidRPr="00B06EF4" w:rsidRDefault="006305FF" w:rsidP="004C026C">
            <w:pPr>
              <w:numPr>
                <w:ilvl w:val="0"/>
                <w:numId w:val="1"/>
              </w:numPr>
              <w:spacing w:after="60" w:line="240" w:lineRule="auto"/>
              <w:ind w:left="284" w:hanging="142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wystąpienie działań niepożądanych związanych z lekiem uniemożliwiających jego dalsze stosowanie;</w:t>
            </w:r>
          </w:p>
          <w:p w:rsidR="00944B48" w:rsidRDefault="006305FF" w:rsidP="004C026C">
            <w:pPr>
              <w:numPr>
                <w:ilvl w:val="0"/>
                <w:numId w:val="1"/>
              </w:numPr>
              <w:spacing w:after="60" w:line="240" w:lineRule="auto"/>
              <w:ind w:left="284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przedarciowe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odwarstwienie siatkówki lub otwór w plamce 3. lub 4. stopnia;</w:t>
            </w:r>
          </w:p>
          <w:p w:rsidR="00FB0649" w:rsidRPr="00B06EF4" w:rsidRDefault="00FB0649" w:rsidP="00FB0649">
            <w:pPr>
              <w:numPr>
                <w:ilvl w:val="0"/>
                <w:numId w:val="1"/>
              </w:numPr>
              <w:spacing w:after="60" w:line="240" w:lineRule="auto"/>
              <w:ind w:left="284" w:hanging="142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</w:pP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progresja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choroby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definiowana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jako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:</w:t>
            </w:r>
          </w:p>
          <w:p w:rsidR="00FB0649" w:rsidRPr="00B06EF4" w:rsidRDefault="00FB0649" w:rsidP="00FB0649">
            <w:pPr>
              <w:numPr>
                <w:ilvl w:val="0"/>
                <w:numId w:val="10"/>
              </w:numPr>
              <w:spacing w:after="60" w:line="240" w:lineRule="auto"/>
              <w:ind w:left="596"/>
              <w:jc w:val="both"/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pogorszenie najlepszej skorygowanej ostrości wzroku (BCVA) do wartości &lt; 0,2 określonej według tablicy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Snellena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(lub odpowiednio ekwiwalent ETDRS) utrzymujące się dłużej niż 2 miesiące</w:t>
            </w:r>
          </w:p>
          <w:p w:rsidR="00FB0649" w:rsidRPr="00B06EF4" w:rsidRDefault="00FB0649" w:rsidP="00FB064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</w:p>
          <w:p w:rsidR="00FB0649" w:rsidRPr="00654B64" w:rsidRDefault="00FB0649" w:rsidP="00FB0649">
            <w:pPr>
              <w:numPr>
                <w:ilvl w:val="0"/>
                <w:numId w:val="10"/>
              </w:numPr>
              <w:spacing w:after="60" w:line="240" w:lineRule="auto"/>
              <w:ind w:left="596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obecność trwałego uszkodzenia struktury dołka, która uniemożliwia uzyskanie u pacjenta stabilizacji lub poprawy czynnościowej (istotne uszkodzenie struktury jest zdefiniowane jako obecne zwłóknienie lub atrofia w dołku albo istotna przewlekła tarczowata blizna)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FB0649" w:rsidRPr="00B06EF4" w:rsidRDefault="00FB0649" w:rsidP="004C026C">
            <w:pPr>
              <w:numPr>
                <w:ilvl w:val="0"/>
                <w:numId w:val="1"/>
              </w:numPr>
              <w:spacing w:after="60" w:line="240" w:lineRule="auto"/>
              <w:ind w:left="284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4B6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brak aktywnego leczenia w postaci podawania iniekcji </w:t>
            </w:r>
            <w:proofErr w:type="spellStart"/>
            <w:r w:rsidRPr="00654B6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afliberceptu</w:t>
            </w:r>
            <w:proofErr w:type="spellEnd"/>
            <w:r w:rsidRPr="00654B6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w okresie 6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654B6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miesięcy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od podania ostatniej dawki leku;</w:t>
            </w:r>
          </w:p>
          <w:p w:rsidR="00654B64" w:rsidRPr="00FB0649" w:rsidRDefault="006305FF" w:rsidP="00FB0649">
            <w:pPr>
              <w:numPr>
                <w:ilvl w:val="0"/>
                <w:numId w:val="1"/>
              </w:numPr>
              <w:spacing w:after="60" w:line="240" w:lineRule="auto"/>
              <w:ind w:left="284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brak współpracy pacjenta z lekarzem prowadzącym (niezgłaszanie się z powodów nieuzasadnionych na określone przez program minim</w:t>
            </w:r>
            <w:r w:rsidR="00147250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um 2 kolejne punkty kontrolne)</w:t>
            </w:r>
            <w:r w:rsidR="00FB06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  <w:p w:rsidR="008C07C8" w:rsidRPr="00B06EF4" w:rsidRDefault="008C07C8" w:rsidP="008C07C8">
            <w:pPr>
              <w:spacing w:after="60" w:line="240" w:lineRule="auto"/>
              <w:ind w:left="596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2. Leczenie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neowaskularnej</w:t>
            </w:r>
            <w:proofErr w:type="spellEnd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(wysiękowej) postaci zwyrodnienia plamki związanego z wiekiem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ranibizumabem</w:t>
            </w:r>
            <w:proofErr w:type="spellEnd"/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Pacjent jest kwalifikowany do programu przez Zespół Koordynacyjny do Spraw Leczenia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Neowaskularnej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(Wysiękowej) Postaci Zwyrodnienia Plamki Związanego z Wiekiem, powoływany przez Prezesa Narodowego Funduszu Zdrowia.</w:t>
            </w:r>
          </w:p>
          <w:p w:rsidR="00944B48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Każdorazowo  pacjenta do podania kolejnej dawki leku kwalifikuje lekarz prowadzący.</w:t>
            </w:r>
          </w:p>
          <w:p w:rsidR="008C07C8" w:rsidRPr="00B06EF4" w:rsidRDefault="008C07C8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2.1. Kryteria kwalifikacji</w:t>
            </w:r>
          </w:p>
          <w:p w:rsidR="00944B48" w:rsidRPr="00B06EF4" w:rsidRDefault="006305FF" w:rsidP="004C026C">
            <w:pPr>
              <w:numPr>
                <w:ilvl w:val="0"/>
                <w:numId w:val="7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obecność aktywnej (pierwotnej lub wtórnej), klasycznej, ukrytej lub mieszanej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neowaskularyzacji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podsiatkówkowej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(CNV) zajmującej ponad 50% zmiany w przebiegu AMD potwierdzona w OCT (optycznej 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koherentnej tomografii) i angiografii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fluoresceinowej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lub badaniu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angio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-OCT;</w:t>
            </w:r>
          </w:p>
          <w:p w:rsidR="00944B48" w:rsidRPr="00B06EF4" w:rsidRDefault="006305FF" w:rsidP="004C026C">
            <w:pPr>
              <w:numPr>
                <w:ilvl w:val="0"/>
                <w:numId w:val="7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wiek powyżej 45. roku życia;</w:t>
            </w:r>
          </w:p>
          <w:p w:rsidR="00944B48" w:rsidRPr="00B06EF4" w:rsidRDefault="006305FF" w:rsidP="004C026C">
            <w:pPr>
              <w:numPr>
                <w:ilvl w:val="0"/>
                <w:numId w:val="7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wielkość zmiany mniejsza niż 12 DA (12 powierzchni tarczy nerwu wzrokowego);</w:t>
            </w:r>
          </w:p>
          <w:p w:rsidR="00944B48" w:rsidRPr="00B06EF4" w:rsidRDefault="006305FF" w:rsidP="004C026C">
            <w:pPr>
              <w:numPr>
                <w:ilvl w:val="0"/>
                <w:numId w:val="7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najlepsza skorygowana ostrość wzroku (BCVA) w leczonym oku 0,</w:t>
            </w:r>
            <w:r w:rsidR="00F11714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-0,8 określona według tablicy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Snellena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(lub odpowiednio ekwiwalent ETDRS);</w:t>
            </w:r>
          </w:p>
          <w:p w:rsidR="00944B48" w:rsidRPr="00B06EF4" w:rsidRDefault="006305FF" w:rsidP="004C026C">
            <w:pPr>
              <w:numPr>
                <w:ilvl w:val="0"/>
                <w:numId w:val="7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zgoda pacjenta na wykonanie iniekcji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doszklistkowych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944B48" w:rsidRPr="00B06EF4" w:rsidRDefault="006305FF" w:rsidP="004C026C">
            <w:pPr>
              <w:numPr>
                <w:ilvl w:val="0"/>
                <w:numId w:val="7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brak dominującego zaniku geograficznego;</w:t>
            </w:r>
          </w:p>
          <w:p w:rsidR="00944B48" w:rsidRPr="00B06EF4" w:rsidRDefault="006305FF" w:rsidP="004C026C">
            <w:pPr>
              <w:numPr>
                <w:ilvl w:val="0"/>
                <w:numId w:val="7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brak dominującego wylewu krwi.</w:t>
            </w:r>
          </w:p>
          <w:p w:rsidR="00944B48" w:rsidRPr="00B06EF4" w:rsidRDefault="006305FF" w:rsidP="004C026C">
            <w:pPr>
              <w:numPr>
                <w:ilvl w:val="0"/>
                <w:numId w:val="7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brak  trwałego uszkodzenia struktury dołka, która uniemożliwia uzyskanie u pacjenta stabiliza</w:t>
            </w:r>
            <w:r w:rsidR="00F62A13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cji lub poprawy czynnościowej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F62A13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(i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stotne uszkodzenie struktury jest zdefiniowane jako obecne zwłóknienie lub atrofia w dołku albo istotna przewlekła tarczowata blizna</w:t>
            </w:r>
            <w:r w:rsidR="00F62A13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944B48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Kryteria kwalifikacji muszą być spełnione łącznie.</w:t>
            </w:r>
          </w:p>
          <w:p w:rsidR="008C07C8" w:rsidRPr="00B06EF4" w:rsidRDefault="008C07C8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2.2. Kryteria włączenia do programu pacjentów leczonych uprzednio w ramach je</w:t>
            </w:r>
            <w:r w:rsidR="00EA525E"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dnorodnych grup pacjentów lub u </w:t>
            </w: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świadczeniodawców, którzy nie posiadali umowy na udzielanie świadczeń opieki zdrowotnej finansowanych ze środków publicznych</w:t>
            </w: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Do programu kwalifikowani są również pacjenci, którzy przed wprowadzeniem programu rozpoczęli leczenie wysiękowej postaci AMD iniekcjami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doszklistkowymi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przeciwciała monoklonalnego anty-VEGF lub rekombinowanego białka fuzyjnego:</w:t>
            </w:r>
          </w:p>
          <w:p w:rsidR="00944B48" w:rsidRPr="00B06EF4" w:rsidRDefault="006305FF" w:rsidP="004C026C">
            <w:pPr>
              <w:numPr>
                <w:ilvl w:val="0"/>
                <w:numId w:val="26"/>
              </w:numPr>
              <w:spacing w:after="60" w:line="240" w:lineRule="auto"/>
              <w:ind w:left="567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ramach świadczeń gwarantowanych rozliczanych w ramach grupy B02 - Leczenie wysiękowej postaci AMD z zastosowaniem iniekcji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doszklistkowych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przeciwciała monoklonalnego anty-VEGF/rekombinowanego białka fuzyjnego </w:t>
            </w: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lub </w:t>
            </w:r>
          </w:p>
          <w:p w:rsidR="00944B48" w:rsidRPr="00B06EF4" w:rsidRDefault="006305FF" w:rsidP="004C026C">
            <w:pPr>
              <w:numPr>
                <w:ilvl w:val="0"/>
                <w:numId w:val="26"/>
              </w:numPr>
              <w:spacing w:after="60" w:line="240" w:lineRule="auto"/>
              <w:ind w:left="567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 świadczeniodawców, którzy nie posiadali umowy na udzielanie świadczeń opieki zdrowotnej finansowanych ze środków publicznych </w:t>
            </w:r>
          </w:p>
          <w:p w:rsidR="00944B48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pod warunkiem, że w chwili rozpoczęcia terapii spełniali kryteria włączenia do programu. Jeżeli wykazano w tym czasie skuteczność leczenia, wtedy terapia powinna być kontynuowana zgodnie z zapisami programu.</w:t>
            </w:r>
          </w:p>
          <w:p w:rsidR="008C07C8" w:rsidRPr="00B06EF4" w:rsidRDefault="008C07C8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2.3. Określenie czasu leczenia w programie</w:t>
            </w:r>
          </w:p>
          <w:p w:rsidR="00944B48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Leczenie trwa do czasu podjęcia przez lekarza prowadzącego decyzji 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 wyłączeniu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pacjenta z programu zgodnie z kryteriami wyłączenia. </w:t>
            </w:r>
          </w:p>
          <w:p w:rsidR="008C07C8" w:rsidRPr="00B06EF4" w:rsidRDefault="008C07C8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2.4. Kryteria wyłączenia</w:t>
            </w:r>
          </w:p>
          <w:p w:rsidR="00944B48" w:rsidRPr="00B06EF4" w:rsidRDefault="006305FF" w:rsidP="004C026C">
            <w:pPr>
              <w:numPr>
                <w:ilvl w:val="0"/>
                <w:numId w:val="9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nadwrażliwość na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ranibizumab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lub na którąkolwiek substancję pomocniczą;</w:t>
            </w:r>
          </w:p>
          <w:p w:rsidR="00944B48" w:rsidRPr="00B06EF4" w:rsidRDefault="006305FF" w:rsidP="004C026C">
            <w:pPr>
              <w:numPr>
                <w:ilvl w:val="0"/>
                <w:numId w:val="9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czynne zakażenie oka lub jego okolic;</w:t>
            </w:r>
          </w:p>
          <w:p w:rsidR="00944B48" w:rsidRPr="00B06EF4" w:rsidRDefault="006305FF" w:rsidP="004C026C">
            <w:pPr>
              <w:numPr>
                <w:ilvl w:val="0"/>
                <w:numId w:val="9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czynne ciężkie zapalenie wnętrza gałki;</w:t>
            </w:r>
          </w:p>
          <w:p w:rsidR="00944B48" w:rsidRPr="00B06EF4" w:rsidRDefault="006305FF" w:rsidP="004C026C">
            <w:pPr>
              <w:numPr>
                <w:ilvl w:val="0"/>
                <w:numId w:val="9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okres ciąży lub karmienia piersią;</w:t>
            </w:r>
          </w:p>
          <w:p w:rsidR="00944B48" w:rsidRPr="00B06EF4" w:rsidRDefault="006305FF" w:rsidP="004C026C">
            <w:pPr>
              <w:numPr>
                <w:ilvl w:val="0"/>
                <w:numId w:val="9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wystąpienie działań niepożądanych związanych z lekiem uniemożliwiających jego dalsze stosowanie;</w:t>
            </w:r>
          </w:p>
          <w:p w:rsidR="00944B48" w:rsidRDefault="006305FF" w:rsidP="004C026C">
            <w:pPr>
              <w:numPr>
                <w:ilvl w:val="0"/>
                <w:numId w:val="9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przedarciowe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odwarstwienie siatkówki lub otwór w plamce 3. lub 4. stopnia;</w:t>
            </w:r>
          </w:p>
          <w:p w:rsidR="00164623" w:rsidRPr="00B06EF4" w:rsidRDefault="00164623" w:rsidP="00164623">
            <w:pPr>
              <w:numPr>
                <w:ilvl w:val="0"/>
                <w:numId w:val="9"/>
              </w:numPr>
              <w:spacing w:after="60" w:line="240" w:lineRule="auto"/>
              <w:ind w:left="313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progresja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choroby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definiowana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jako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:</w:t>
            </w:r>
          </w:p>
          <w:p w:rsidR="00164623" w:rsidRPr="00B06EF4" w:rsidRDefault="00164623" w:rsidP="00164623">
            <w:pPr>
              <w:numPr>
                <w:ilvl w:val="0"/>
                <w:numId w:val="29"/>
              </w:numPr>
              <w:spacing w:after="60" w:line="240" w:lineRule="auto"/>
              <w:ind w:left="567"/>
              <w:jc w:val="both"/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pogorszenie najlepszej skorygowanej ostrości wzroku (BCVA) do wartości &lt; 0,2 określonej według tablicy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Snellena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(lub odpowiednio ekwiwalent ETDRS) utrzymujące się dłużej niż 2 miesiące</w:t>
            </w:r>
          </w:p>
          <w:p w:rsidR="00164623" w:rsidRPr="00B06EF4" w:rsidRDefault="00164623" w:rsidP="0016462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</w:p>
          <w:p w:rsidR="00164623" w:rsidRPr="00EC578A" w:rsidRDefault="00164623" w:rsidP="00164623">
            <w:pPr>
              <w:numPr>
                <w:ilvl w:val="0"/>
                <w:numId w:val="29"/>
              </w:numPr>
              <w:spacing w:after="60" w:line="240" w:lineRule="auto"/>
              <w:ind w:left="596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obecność  trwałego uszkodzenia struktury dołka, która uniemożliwia uzyskanie u pacjenta stabilizacji lub poprawy czynnościowej (istotne uszkodzenie struktury jest zdefiniowane jako obecne zwłóknienie lub atrofia w dołku albo istotna przewlekła tarczowata blizna)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164623" w:rsidRPr="00EC578A" w:rsidRDefault="00164623" w:rsidP="00FA394E">
            <w:pPr>
              <w:pStyle w:val="Akapitzlist"/>
              <w:numPr>
                <w:ilvl w:val="0"/>
                <w:numId w:val="37"/>
              </w:num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C578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brak aktywnego leczenia w postaci podawania iniekcji </w:t>
            </w:r>
            <w:proofErr w:type="spellStart"/>
            <w:r w:rsidRPr="00EC578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ranibizumabu</w:t>
            </w:r>
            <w:proofErr w:type="spellEnd"/>
            <w:r w:rsidRPr="00EC578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w okresie 6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EC578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miesięcy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od podania ostatniej dawki leku;</w:t>
            </w:r>
          </w:p>
          <w:p w:rsidR="00A54180" w:rsidRPr="00CB2C24" w:rsidRDefault="006305FF" w:rsidP="00A54180">
            <w:pPr>
              <w:pStyle w:val="Akapitzlist"/>
              <w:numPr>
                <w:ilvl w:val="0"/>
                <w:numId w:val="37"/>
              </w:num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394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brak współpracy pacjenta z lekarzem prowadzącym (niezgłaszanie się z powodów nieuzasadnionych na określone przez program minimum 2 kolejne punkty kontrolne)</w:t>
            </w:r>
            <w:r w:rsidR="00CB2C2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54180" w:rsidRPr="00A54180" w:rsidRDefault="00A54180" w:rsidP="00A54180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44B48" w:rsidRPr="00B06EF4" w:rsidRDefault="006305FF" w:rsidP="004C026C">
            <w:pPr>
              <w:numPr>
                <w:ilvl w:val="0"/>
                <w:numId w:val="11"/>
              </w:numPr>
              <w:spacing w:before="120" w:after="60" w:line="240" w:lineRule="auto"/>
              <w:ind w:left="346" w:hanging="284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 xml:space="preserve">Leczenie 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neowaskularnej</w:t>
            </w:r>
            <w:proofErr w:type="spellEnd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(wysiękowej) postaci zwyrodnienia plamki związanego z wiekiem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afliberceptem</w:t>
            </w:r>
            <w:proofErr w:type="spellEnd"/>
          </w:p>
          <w:p w:rsidR="00944B48" w:rsidRPr="00B06EF4" w:rsidRDefault="006305FF" w:rsidP="004C026C">
            <w:pPr>
              <w:numPr>
                <w:ilvl w:val="1"/>
                <w:numId w:val="11"/>
              </w:numPr>
              <w:spacing w:after="60" w:line="240" w:lineRule="auto"/>
              <w:ind w:left="487" w:hanging="425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Dawkowanie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afliberceptu</w:t>
            </w:r>
            <w:proofErr w:type="spellEnd"/>
          </w:p>
          <w:p w:rsidR="00944B48" w:rsidRPr="00B06EF4" w:rsidRDefault="006305FF" w:rsidP="004C026C">
            <w:pPr>
              <w:numPr>
                <w:ilvl w:val="0"/>
                <w:numId w:val="12"/>
              </w:numPr>
              <w:spacing w:after="60" w:line="240" w:lineRule="auto"/>
              <w:ind w:left="391" w:hanging="142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zalecana dawka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afliberceptu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wynosi 2 mg, co odpowiada 50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mikrolitrom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roztworu (0,05ml) na jedno wstrzyknięcie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doszklistkowe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:rsidR="00944B48" w:rsidRPr="00B06EF4" w:rsidRDefault="006305FF" w:rsidP="004C026C">
            <w:pPr>
              <w:numPr>
                <w:ilvl w:val="0"/>
                <w:numId w:val="12"/>
              </w:numPr>
              <w:spacing w:after="60" w:line="240" w:lineRule="auto"/>
              <w:ind w:left="391" w:hanging="142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afliberceptem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rozpoczyna się od jednego wstrzyknięcia na miesiąc (tj. w odstępach co najmniej 28 dni, ale nie później niż </w:t>
            </w:r>
            <w:r w:rsidR="00A62511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7 dni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po upływie tego terminu)</w:t>
            </w:r>
            <w:r w:rsidR="00DD0114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przez trzy kolejne miesiące, a 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następnie lek podaje się w postaci jednego wstrzyknięcia co 2 miesiące;</w:t>
            </w:r>
          </w:p>
          <w:p w:rsidR="00944B48" w:rsidRPr="00B06EF4" w:rsidRDefault="006305FF" w:rsidP="004C026C">
            <w:pPr>
              <w:numPr>
                <w:ilvl w:val="0"/>
                <w:numId w:val="12"/>
              </w:numPr>
              <w:spacing w:after="60" w:line="240" w:lineRule="auto"/>
              <w:ind w:left="391" w:hanging="142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po pierwszych 12 miesiącach leczenia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afliberceptem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odstęp pomiędzy dawkami można wydłużyć </w:t>
            </w:r>
            <w:r w:rsidR="006B362A" w:rsidRPr="00DC5AD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 skrócić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– kolejne dawki podaje się </w:t>
            </w:r>
            <w:r w:rsidR="00BB6B12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 przypadku pogorszenia się parametrów wzrokowych lub anatomicznych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; </w:t>
            </w:r>
          </w:p>
          <w:p w:rsidR="00944B48" w:rsidRPr="00B06EF4" w:rsidRDefault="006305FF" w:rsidP="004C026C">
            <w:pPr>
              <w:numPr>
                <w:ilvl w:val="0"/>
                <w:numId w:val="12"/>
              </w:numPr>
              <w:spacing w:after="60" w:line="240" w:lineRule="auto"/>
              <w:ind w:left="391" w:hanging="142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 pie</w:t>
            </w:r>
            <w:r w:rsidR="00FE6596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rwszych 12 miesiącach leczenia 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badania kontrolne pacjenta muszą być wykonywane nie rzadziej niż co 2 miesiące (tj. nie rzadziej niż co 62 dni);</w:t>
            </w:r>
          </w:p>
          <w:p w:rsidR="00944B48" w:rsidRPr="00B06EF4" w:rsidRDefault="006305FF" w:rsidP="004C026C">
            <w:pPr>
              <w:numPr>
                <w:ilvl w:val="0"/>
                <w:numId w:val="12"/>
              </w:numPr>
              <w:spacing w:after="60" w:line="240" w:lineRule="auto"/>
              <w:ind w:left="391" w:hanging="142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w przypadku pacjentów zakwalifikowanych do programu, którzy rozpoczęli wcześniej leczenie wysiękowej postaci AMD iniekcjami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lastRenderedPageBreak/>
              <w:t>doszklistkowymi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przeciwciała monoklonalnego anty-VEGF lub rekombinowanego </w:t>
            </w:r>
            <w:r w:rsidR="00FE6596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białka fuzyjnego:</w:t>
            </w:r>
          </w:p>
          <w:p w:rsidR="00944B48" w:rsidRPr="00B06EF4" w:rsidRDefault="00FE6596" w:rsidP="004C026C">
            <w:pPr>
              <w:numPr>
                <w:ilvl w:val="0"/>
                <w:numId w:val="24"/>
              </w:numPr>
              <w:spacing w:after="60" w:line="240" w:lineRule="auto"/>
              <w:ind w:left="674" w:hanging="314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w </w:t>
            </w:r>
            <w:r w:rsidR="006305FF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ramach świadczeń gwarantowanych rozliczanych w ramach grupy B02 - Le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czenie wysiękowej postaci AMD z </w:t>
            </w:r>
            <w:r w:rsidR="006305FF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zastosowaniem iniekcji </w:t>
            </w:r>
            <w:proofErr w:type="spellStart"/>
            <w:r w:rsidR="006305FF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doszklistkowych</w:t>
            </w:r>
            <w:proofErr w:type="spellEnd"/>
            <w:r w:rsidR="006305FF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przeciwciała monoklonalnego anty-VEGF/rekombinowanego białka fuzyjnego</w:t>
            </w: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944B48" w:rsidRPr="00B06EF4" w:rsidRDefault="006305FF" w:rsidP="004C026C">
            <w:pPr>
              <w:numPr>
                <w:ilvl w:val="0"/>
                <w:numId w:val="24"/>
              </w:numPr>
              <w:spacing w:after="60" w:line="240" w:lineRule="auto"/>
              <w:ind w:left="674" w:hanging="31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u świadczeniodawców, którzy nie posiadali umowy na udzielanie świadczeń opieki zdrowotnej finansowanych ze środków publicznych </w:t>
            </w:r>
          </w:p>
          <w:p w:rsidR="00944B48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- schemat dawkowania należy dostosować do etapu leczenia, </w:t>
            </w:r>
            <w:r w:rsidR="007A3F64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 jakim znajduje się pacjent.</w:t>
            </w:r>
          </w:p>
          <w:p w:rsidR="008C07C8" w:rsidRPr="00B06EF4" w:rsidRDefault="008C07C8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944B48" w:rsidRPr="00B06EF4" w:rsidRDefault="006305FF" w:rsidP="004C026C">
            <w:pPr>
              <w:numPr>
                <w:ilvl w:val="0"/>
                <w:numId w:val="11"/>
              </w:numPr>
              <w:spacing w:after="60" w:line="240" w:lineRule="auto"/>
              <w:ind w:left="346" w:hanging="346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Leczenie 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neowaskularnej</w:t>
            </w:r>
            <w:proofErr w:type="spellEnd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(wysiękowej) postaci zwyrodnienia plamki związanego z wiekiem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ranibizumabem</w:t>
            </w:r>
            <w:proofErr w:type="spellEnd"/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2.1. Dawkowanie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ranibizumabu</w:t>
            </w:r>
            <w:proofErr w:type="spellEnd"/>
          </w:p>
          <w:p w:rsidR="00944B48" w:rsidRPr="00B06EF4" w:rsidRDefault="006305FF" w:rsidP="004C026C">
            <w:pPr>
              <w:numPr>
                <w:ilvl w:val="0"/>
                <w:numId w:val="13"/>
              </w:numPr>
              <w:spacing w:after="60" w:line="240" w:lineRule="auto"/>
              <w:ind w:left="391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zalecana dawka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ranibizumabu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wynosi 0,5 mg, co odpowiada 50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mikrolitrom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roztworu (0,05 ml) na jedno wstrzyknięcie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doszklistkowe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944B48" w:rsidRPr="00B06EF4" w:rsidRDefault="006305FF" w:rsidP="004C026C">
            <w:pPr>
              <w:numPr>
                <w:ilvl w:val="0"/>
                <w:numId w:val="13"/>
              </w:numPr>
              <w:spacing w:after="60" w:line="240" w:lineRule="auto"/>
              <w:ind w:left="391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leczenie rozpoczyna się od jednej iniekcji na miesiąc 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(tj. w odstępach co najmniej 28 dni, ale nie później niż </w:t>
            </w:r>
            <w:r w:rsidR="00A62511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dni po upływie tego terminu)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 czasu uzyskania maksymalnej ostrości wzroku lub braku cech aktywności choroby tj. braku zmian w ostrości wzroku oraz innych objawów przedmiotowych choroby podczas kontynuowania leczenia; </w:t>
            </w:r>
          </w:p>
          <w:p w:rsidR="00944B48" w:rsidRPr="00B06EF4" w:rsidRDefault="006305FF" w:rsidP="004C026C">
            <w:pPr>
              <w:numPr>
                <w:ilvl w:val="0"/>
                <w:numId w:val="13"/>
              </w:numPr>
              <w:spacing w:after="60" w:line="240" w:lineRule="auto"/>
              <w:ind w:left="391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następnie odstępy pomiędzy podaniem kolejnych dawek oraz częstotliwość wykonywania badań kontrolnych są ustalane przez lekarza prowadzącego i powinny być uzależnione od 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aktywności choroby, ocenianej na podstawie ostrości wzroku lub parametrów anatomicznych;</w:t>
            </w:r>
          </w:p>
          <w:p w:rsidR="00944B48" w:rsidRPr="00B06EF4" w:rsidRDefault="006305FF" w:rsidP="004C026C">
            <w:pPr>
              <w:numPr>
                <w:ilvl w:val="0"/>
                <w:numId w:val="13"/>
              </w:numPr>
              <w:spacing w:after="60" w:line="240" w:lineRule="auto"/>
              <w:ind w:left="391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odstęp pomiędzy wstrzyknięciem dwóch dawek do tego samego oka powinien wynosić co najmniej 4 tygodnie;</w:t>
            </w:r>
          </w:p>
          <w:p w:rsidR="00944B48" w:rsidRPr="00B06EF4" w:rsidRDefault="006305FF" w:rsidP="004C026C">
            <w:pPr>
              <w:numPr>
                <w:ilvl w:val="0"/>
                <w:numId w:val="13"/>
              </w:numPr>
              <w:spacing w:after="60" w:line="240" w:lineRule="auto"/>
              <w:ind w:left="391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przypadku, gdy odstęp między podaniem kolejnych dawek został ustalony na więcej niż 2 miesiące, badania kontrolne pacjenta muszą być wykonywane nie rzadziej niż co 2 miesiące 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(tj. nie rzadziej niż co 62 dni);</w:t>
            </w:r>
          </w:p>
          <w:p w:rsidR="00944B48" w:rsidRPr="00B06EF4" w:rsidRDefault="006305FF" w:rsidP="004C026C">
            <w:pPr>
              <w:numPr>
                <w:ilvl w:val="0"/>
                <w:numId w:val="12"/>
              </w:numPr>
              <w:spacing w:after="60" w:line="240" w:lineRule="auto"/>
              <w:ind w:left="391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w przypadku pacjentów zakwalifikowanych do programu, którzy rozpoczęli wcześniej leczenie wysiękowej postaci AMD iniekcjami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doszklistkowymi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przeciwciała monoklonalnego anty-VEGF lub rekombinowanego białka fuzyjnego: </w:t>
            </w:r>
          </w:p>
          <w:p w:rsidR="00944B48" w:rsidRPr="00B06EF4" w:rsidRDefault="006305FF" w:rsidP="004C026C">
            <w:pPr>
              <w:numPr>
                <w:ilvl w:val="1"/>
                <w:numId w:val="23"/>
              </w:numPr>
              <w:spacing w:after="60" w:line="240" w:lineRule="auto"/>
              <w:ind w:left="674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w ramach świadczeń gwarantowanych rozliczanych w ramach grupy B02 - Leczenie wysiękowej postaci AMD z zastosowaniem iniekcji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doszklistkowych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przeciwciała monoklonalnego anty-VEGF/rekombinowanego białka fuzyjnego </w:t>
            </w: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</w:p>
          <w:p w:rsidR="00944B48" w:rsidRPr="00B06EF4" w:rsidRDefault="006305FF" w:rsidP="004C026C">
            <w:pPr>
              <w:numPr>
                <w:ilvl w:val="1"/>
                <w:numId w:val="23"/>
              </w:numPr>
              <w:spacing w:after="60" w:line="240" w:lineRule="auto"/>
              <w:ind w:left="674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u świadczeniodawców, którzy nie posiadali umowy na udzielanie świadczeń opieki zdrowotnej finansowanych ze środków publicznych </w:t>
            </w:r>
          </w:p>
          <w:p w:rsidR="00944B48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- schemat dawkowania należy dostosować do etapu leczenia, na jakim znajduje się pacjent.  </w:t>
            </w:r>
          </w:p>
          <w:p w:rsidR="008C07C8" w:rsidRDefault="008C07C8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44B48" w:rsidRPr="00B06EF4" w:rsidRDefault="006305FF" w:rsidP="00A54180">
            <w:pPr>
              <w:numPr>
                <w:ilvl w:val="0"/>
                <w:numId w:val="18"/>
              </w:num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Wstrzymanie podawania leku</w:t>
            </w: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Podawanie leku należy odroczyć, jeżeli wystąpi:</w:t>
            </w:r>
          </w:p>
          <w:p w:rsidR="00B377E2" w:rsidRPr="00B06EF4" w:rsidRDefault="006305FF" w:rsidP="004C026C">
            <w:pPr>
              <w:numPr>
                <w:ilvl w:val="0"/>
                <w:numId w:val="14"/>
              </w:numPr>
              <w:spacing w:after="60" w:line="240" w:lineRule="auto"/>
              <w:ind w:left="346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pogorszenie ostrości wzroku w najlepszej </w:t>
            </w:r>
            <w:r w:rsidR="00B377E2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skorygowanej ostrości wzroku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(BCVA):</w:t>
            </w:r>
          </w:p>
          <w:p w:rsidR="00944B48" w:rsidRPr="00B06EF4" w:rsidRDefault="006305FF" w:rsidP="004C026C">
            <w:pPr>
              <w:numPr>
                <w:ilvl w:val="0"/>
                <w:numId w:val="15"/>
              </w:numPr>
              <w:spacing w:after="60" w:line="240" w:lineRule="auto"/>
              <w:ind w:left="629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do wartości </w:t>
            </w:r>
            <w:r w:rsidR="00B377E2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&lt;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</w:t>
            </w:r>
            <w:r w:rsidR="00A43DD7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określonej według tablicy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Snellena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(lub odpowiednio ekwiwalent ETDRS) </w:t>
            </w: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 porównaniu z ostatnią oceną ostrości wzroku. </w:t>
            </w: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Utrzymywanie się pogorszenia </w:t>
            </w:r>
            <w:r w:rsidR="00B377E2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najlepszej skorygowanej ostrości wzroku (BCVA)</w:t>
            </w:r>
            <w:r w:rsidR="004B1402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 poziomie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377E2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&lt;0,</w:t>
            </w:r>
            <w:r w:rsidR="00A43DD7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7A3F64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</w:t>
            </w:r>
            <w:r w:rsidR="00C00E3A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edłu</w:t>
            </w:r>
            <w:r w:rsidR="007A3F64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g tablicy</w:t>
            </w:r>
            <w:r w:rsidR="00B377E2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377E2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Snellena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(lub odpowiednio ekwiwalent </w:t>
            </w:r>
            <w:r w:rsidR="007A3F64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="00B377E2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T</w:t>
            </w:r>
            <w:r w:rsidR="007A3F64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="00B377E2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RS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) w ciągu 2 następnych comiesięcznych badań jest równoznaczne z wyłączeniem z programu.</w:t>
            </w:r>
          </w:p>
          <w:p w:rsidR="00944B48" w:rsidRPr="00B06EF4" w:rsidRDefault="006305FF" w:rsidP="004C026C">
            <w:pPr>
              <w:numPr>
                <w:ilvl w:val="0"/>
                <w:numId w:val="14"/>
              </w:numPr>
              <w:spacing w:after="60" w:line="240" w:lineRule="auto"/>
              <w:ind w:left="391" w:hanging="18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ciśnienie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śródgałkowe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≥ 30 mmHg (utrzymujące się pomimo leczenia); </w:t>
            </w:r>
          </w:p>
          <w:p w:rsidR="00944B48" w:rsidRPr="00B06EF4" w:rsidRDefault="006305FF" w:rsidP="004C026C">
            <w:pPr>
              <w:numPr>
                <w:ilvl w:val="0"/>
                <w:numId w:val="14"/>
              </w:numPr>
              <w:spacing w:after="60" w:line="240" w:lineRule="auto"/>
              <w:ind w:left="391" w:hanging="18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rozerwanie siatkówki;</w:t>
            </w:r>
          </w:p>
          <w:p w:rsidR="00944B48" w:rsidRPr="00B06EF4" w:rsidRDefault="006305FF" w:rsidP="004C026C">
            <w:pPr>
              <w:numPr>
                <w:ilvl w:val="0"/>
                <w:numId w:val="14"/>
              </w:numPr>
              <w:spacing w:after="60" w:line="240" w:lineRule="auto"/>
              <w:ind w:left="391" w:hanging="18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wylew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podsiatkówkowy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obejmujący centrum dołka siatkówki lub jeśli wielkość wylewu wynosi ≥ 50% całkowitej powierzchni zmiany;</w:t>
            </w:r>
          </w:p>
          <w:p w:rsidR="00944B48" w:rsidRPr="00B06EF4" w:rsidRDefault="006305FF" w:rsidP="004C026C">
            <w:pPr>
              <w:numPr>
                <w:ilvl w:val="0"/>
                <w:numId w:val="14"/>
              </w:numPr>
              <w:spacing w:after="60" w:line="240" w:lineRule="auto"/>
              <w:ind w:left="391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przeprowadzenie lub planowanie operacji wewnątrzgałkowej (o długości okresu wstrzymania podawania leku przed lub po operacją decyduje lekarz prowadzący);</w:t>
            </w:r>
          </w:p>
          <w:p w:rsidR="00944B48" w:rsidRPr="00B06EF4" w:rsidRDefault="006305FF" w:rsidP="004C026C">
            <w:pPr>
              <w:numPr>
                <w:ilvl w:val="0"/>
                <w:numId w:val="14"/>
              </w:numPr>
              <w:spacing w:after="60" w:line="240" w:lineRule="auto"/>
              <w:ind w:left="391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brak aktywności choroby, tj. gdy nie stwierdza się wzrostu wielkości zmiany, nowych krwotoków lub wysięków, nawet jeżeli stale istnieją torbiele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śródsiatkówkowe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lub kanaliki oznaczające zmiany przewlekłe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(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p</w:t>
            </w:r>
            <w:r w:rsidR="003A1D33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odawanie leku można odroczyć w 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przypadku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afliberceptu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– 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od drugiego roku leczenia, a w przypadku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ranibizumabu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– od pierwszego roku leczenia).</w:t>
            </w:r>
          </w:p>
          <w:p w:rsidR="00944B48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O terminie podania kolejnej dawki leku po odroczeniu decyduje lekarz prowadzący – z zastrzeżeniem kryteriów wyłączenia z programu.</w:t>
            </w:r>
          </w:p>
          <w:p w:rsidR="008C07C8" w:rsidRPr="00B06EF4" w:rsidRDefault="008C07C8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44B48" w:rsidRPr="00B06EF4" w:rsidRDefault="006305FF" w:rsidP="00A54180">
            <w:pPr>
              <w:numPr>
                <w:ilvl w:val="0"/>
                <w:numId w:val="19"/>
              </w:num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Zmiana leku podczas leczenia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neowaskularnej</w:t>
            </w:r>
            <w:proofErr w:type="spellEnd"/>
            <w:r w:rsidRPr="00B06E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(wysiękowej) postaci zwyrodnienia plamki związanego z wiekiem</w:t>
            </w: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W przypadku braku </w:t>
            </w:r>
            <w:r w:rsidR="00A535CD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skuteczności dotychczasowej terapii  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lekarz </w:t>
            </w:r>
            <w:r w:rsidR="00F326E9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prowadzący może zmienić dotychczas </w:t>
            </w:r>
            <w:r w:rsidR="00F326E9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lastRenderedPageBreak/>
              <w:t xml:space="preserve">podawany lek 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(pod warunkiem niespełnienia kryteriów wyłączenia z programu) na lek z inną substancją czynną finansowaną w ramach programu</w:t>
            </w:r>
            <w:r w:rsidR="000249CA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, jednak nie wcześniej niż</w:t>
            </w:r>
            <w:r w:rsidR="00B72DE4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po 7 iniekcjach</w:t>
            </w:r>
            <w:r w:rsidR="00181FD5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tego samego leku</w:t>
            </w:r>
            <w:r w:rsidR="00F04E88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:</w:t>
            </w:r>
          </w:p>
          <w:p w:rsidR="00BB6B12" w:rsidRPr="00B06EF4" w:rsidRDefault="00F04E88" w:rsidP="004C026C">
            <w:pPr>
              <w:pStyle w:val="Akapitzlist"/>
              <w:numPr>
                <w:ilvl w:val="0"/>
                <w:numId w:val="31"/>
              </w:numPr>
              <w:spacing w:after="60" w:line="240" w:lineRule="auto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poda</w:t>
            </w:r>
            <w:r w:rsidR="005951AD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nych w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ramach programu lekowego </w:t>
            </w:r>
            <w:r w:rsidR="00181FD5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–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81FD5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przypadku</w:t>
            </w:r>
            <w:r w:rsidR="00BB6B12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pacjentów n</w:t>
            </w:r>
            <w:r w:rsidR="002A38B1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owych</w:t>
            </w:r>
            <w:r w:rsidR="007D10A6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,</w:t>
            </w:r>
          </w:p>
          <w:p w:rsidR="00BB6B12" w:rsidRPr="00B06EF4" w:rsidRDefault="00F04E88" w:rsidP="004C026C">
            <w:pPr>
              <w:pStyle w:val="Akapitzlist"/>
              <w:numPr>
                <w:ilvl w:val="0"/>
                <w:numId w:val="31"/>
              </w:numPr>
              <w:spacing w:after="60" w:line="240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łącznie </w:t>
            </w:r>
            <w:r w:rsidR="00940404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– w przypadku </w:t>
            </w:r>
            <w:r w:rsidR="00BB6B12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pacjentów </w:t>
            </w:r>
            <w:r w:rsidR="00A73F67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zakwalifikowanych do programu</w:t>
            </w:r>
            <w:r w:rsidR="00CC2779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zgodnie z </w:t>
            </w:r>
            <w:r w:rsidR="00191078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kryteriami </w:t>
            </w:r>
            <w:r w:rsidR="009D7C0B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włą</w:t>
            </w:r>
            <w:r w:rsidR="00191078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czenia do programu pacjentów</w:t>
            </w:r>
            <w:r w:rsidR="00A73F67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1078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leczonych uprzednio</w:t>
            </w:r>
            <w:r w:rsidR="00A73F67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w ramach jednorodnych grup pacjentów lub u świadczeniodawców, którzy nie posiadali umowy na udzielanie świadczeń opieki zdrowotnej finansowanych ze środków publicznych</w:t>
            </w:r>
            <w:r w:rsidR="00940404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:rsidR="00F326E9" w:rsidRPr="00B06EF4" w:rsidRDefault="00F326E9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Za </w:t>
            </w:r>
            <w:r w:rsidR="00A535CD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brak 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skutecznoś</w:t>
            </w:r>
            <w:r w:rsidR="00A535CD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ci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terapii należy uznać:</w:t>
            </w:r>
          </w:p>
          <w:p w:rsidR="00F326E9" w:rsidRPr="00B06EF4" w:rsidRDefault="00F326E9" w:rsidP="004C026C">
            <w:pPr>
              <w:pStyle w:val="Akapitzlist"/>
              <w:numPr>
                <w:ilvl w:val="0"/>
                <w:numId w:val="30"/>
              </w:numPr>
              <w:spacing w:after="60" w:line="240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pogorszenie ostrości wzroku w stosunku do wartości przy kwalifikacji do leczenia, przy braku spełnienia kryterium wyłączenia z</w:t>
            </w:r>
            <w:r w:rsidR="00A535CD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programu;</w:t>
            </w:r>
          </w:p>
          <w:p w:rsidR="00F326E9" w:rsidRPr="00B06EF4" w:rsidRDefault="00F326E9" w:rsidP="004C026C">
            <w:pPr>
              <w:spacing w:after="6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lub</w:t>
            </w:r>
          </w:p>
          <w:p w:rsidR="00F326E9" w:rsidRPr="00B06EF4" w:rsidRDefault="000249CA" w:rsidP="004C026C">
            <w:pPr>
              <w:pStyle w:val="Akapitzlist"/>
              <w:numPr>
                <w:ilvl w:val="0"/>
                <w:numId w:val="30"/>
              </w:numPr>
              <w:spacing w:after="60" w:line="240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utrzymującą się lub cyklicznie nawracającą</w:t>
            </w:r>
            <w:r w:rsidR="000944E8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aktywność choroby, tj. płyn </w:t>
            </w:r>
            <w:proofErr w:type="spellStart"/>
            <w:r w:rsidR="000944E8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podsiatkówkowy</w:t>
            </w:r>
            <w:proofErr w:type="spellEnd"/>
            <w:r w:rsidR="000944E8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lub obrzęk siatkówki, przy braku spełnienia kryterium wyłączenia z programu i gdy nie doszło do nieodwracalnych zmian w plamce w</w:t>
            </w:r>
            <w:r w:rsidR="00A535CD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 </w:t>
            </w:r>
            <w:r w:rsidR="000944E8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postaci dominującego bliznowacenia lub zaniku.</w:t>
            </w:r>
          </w:p>
          <w:p w:rsidR="00F326E9" w:rsidRDefault="00C254EC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Schemat dawkowania leku po zmianie ustala </w:t>
            </w:r>
            <w:r w:rsidR="001208C9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lekarz prowadzący.</w:t>
            </w:r>
          </w:p>
          <w:p w:rsidR="008C07C8" w:rsidRPr="00B06EF4" w:rsidRDefault="008C07C8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44B48" w:rsidRPr="00B06EF4" w:rsidRDefault="006305FF" w:rsidP="004C026C">
            <w:pPr>
              <w:widowControl w:val="0"/>
              <w:numPr>
                <w:ilvl w:val="0"/>
                <w:numId w:val="4"/>
              </w:numPr>
              <w:spacing w:before="120" w:after="60" w:line="240" w:lineRule="auto"/>
              <w:ind w:left="346" w:hanging="284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Leczenie 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neowaskularnej</w:t>
            </w:r>
            <w:proofErr w:type="spellEnd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(wysiękowej) postaci zwyrodnienia plamki związanego z wiekiem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afliberceptem</w:t>
            </w:r>
            <w:proofErr w:type="spellEnd"/>
          </w:p>
          <w:p w:rsidR="00944B48" w:rsidRPr="00B06EF4" w:rsidRDefault="006305FF" w:rsidP="004C026C">
            <w:pPr>
              <w:widowControl w:val="0"/>
              <w:numPr>
                <w:ilvl w:val="1"/>
                <w:numId w:val="4"/>
              </w:numPr>
              <w:tabs>
                <w:tab w:val="left" w:pos="294"/>
              </w:tabs>
              <w:spacing w:after="60" w:line="240" w:lineRule="auto"/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Ba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val="en-US"/>
              </w:rPr>
              <w:t>dania</w:t>
            </w:r>
            <w:proofErr w:type="spellEnd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val="en-US"/>
              </w:rPr>
              <w:t>przy</w:t>
            </w:r>
            <w:proofErr w:type="spellEnd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val="en-US"/>
              </w:rPr>
              <w:t>kwalifikacji</w:t>
            </w:r>
            <w:proofErr w:type="spellEnd"/>
          </w:p>
          <w:p w:rsidR="00944B48" w:rsidRPr="00B06EF4" w:rsidRDefault="006305FF" w:rsidP="004C026C">
            <w:pPr>
              <w:widowControl w:val="0"/>
              <w:numPr>
                <w:ilvl w:val="0"/>
                <w:numId w:val="5"/>
              </w:numPr>
              <w:spacing w:after="60" w:line="240" w:lineRule="auto"/>
              <w:ind w:left="318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badanie okulistyczne z oceną ostrości wzroku na tablicach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Snellena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ETDRS;</w:t>
            </w:r>
          </w:p>
          <w:p w:rsidR="00944B48" w:rsidRPr="00B06EF4" w:rsidRDefault="006305FF" w:rsidP="004C026C">
            <w:pPr>
              <w:widowControl w:val="0"/>
              <w:numPr>
                <w:ilvl w:val="0"/>
                <w:numId w:val="5"/>
              </w:numPr>
              <w:spacing w:after="60" w:line="240" w:lineRule="auto"/>
              <w:ind w:left="318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OCT (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optyczna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koherentna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tomografia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);</w:t>
            </w:r>
          </w:p>
          <w:p w:rsidR="00944B48" w:rsidRPr="00B06EF4" w:rsidRDefault="006305FF" w:rsidP="004C026C">
            <w:pPr>
              <w:widowControl w:val="0"/>
              <w:numPr>
                <w:ilvl w:val="0"/>
                <w:numId w:val="5"/>
              </w:numPr>
              <w:spacing w:after="60" w:line="240" w:lineRule="auto"/>
              <w:ind w:left="318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fotografia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dna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oka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;</w:t>
            </w:r>
          </w:p>
          <w:p w:rsidR="00944B48" w:rsidRPr="008C07C8" w:rsidRDefault="006305FF" w:rsidP="004C026C">
            <w:pPr>
              <w:widowControl w:val="0"/>
              <w:numPr>
                <w:ilvl w:val="0"/>
                <w:numId w:val="5"/>
              </w:numPr>
              <w:spacing w:after="60" w:line="240" w:lineRule="auto"/>
              <w:ind w:left="318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angiografia </w:t>
            </w:r>
            <w:proofErr w:type="spellStart"/>
            <w:r w:rsidR="003A1D33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fluoresceinowa</w:t>
            </w:r>
            <w:proofErr w:type="spellEnd"/>
            <w:r w:rsidR="003A1D33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</w:t>
            </w:r>
            <w:proofErr w:type="spellStart"/>
            <w:r w:rsidR="003A1D33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</w:t>
            </w:r>
            <w:proofErr w:type="spellEnd"/>
            <w:r w:rsidR="003A1D33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-OCT (w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przypadkach trudnych z diagnostycznego punktu widzenia - </w:t>
            </w:r>
            <w:r w:rsidR="003A1D33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angiografia </w:t>
            </w:r>
            <w:proofErr w:type="spellStart"/>
            <w:r w:rsidR="003A1D33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indocyjaninowa</w:t>
            </w:r>
            <w:proofErr w:type="spellEnd"/>
            <w:r w:rsidR="003A1D33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) – w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przypadku u</w:t>
            </w:r>
            <w:r w:rsidR="003A1D33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czulenia na barwnik stosowany w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angiografii lub w razie wystąpienia innych jednoznacznych przeciwwskazań do wykonania tego badania można od niego odstąpić. Fakt odstąpienia od badania należy opisać w dokumentacji medycznej pacjenta i przekazać do Zespołu Koordynacyjnego do Spraw Leczenia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Neowaskularnej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(Wysiękowej) Postaci Z</w:t>
            </w:r>
            <w:r w:rsidR="003A1D33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wyrodnienia Plamki Związanego z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Wiekiem.</w:t>
            </w:r>
          </w:p>
          <w:p w:rsidR="008C07C8" w:rsidRPr="00B06EF4" w:rsidRDefault="008C07C8" w:rsidP="008C07C8">
            <w:pPr>
              <w:widowControl w:val="0"/>
              <w:spacing w:after="60" w:line="240" w:lineRule="auto"/>
              <w:ind w:left="318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</w:p>
          <w:p w:rsidR="00944B48" w:rsidRPr="00B06EF4" w:rsidRDefault="006305FF" w:rsidP="004C026C">
            <w:pPr>
              <w:widowControl w:val="0"/>
              <w:numPr>
                <w:ilvl w:val="1"/>
                <w:numId w:val="4"/>
              </w:numPr>
              <w:tabs>
                <w:tab w:val="left" w:pos="294"/>
              </w:tabs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proofErr w:type="spellStart"/>
            <w:r w:rsidRPr="00B06EF4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val="en-US"/>
              </w:rPr>
              <w:t>Monitorowanie</w:t>
            </w:r>
            <w:proofErr w:type="spellEnd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>leczenia</w:t>
            </w:r>
            <w:proofErr w:type="spellEnd"/>
          </w:p>
          <w:p w:rsidR="00944B48" w:rsidRPr="00B06EF4" w:rsidRDefault="006305FF" w:rsidP="004C026C">
            <w:pPr>
              <w:widowControl w:val="0"/>
              <w:numPr>
                <w:ilvl w:val="0"/>
                <w:numId w:val="6"/>
              </w:numPr>
              <w:spacing w:after="60" w:line="240" w:lineRule="auto"/>
              <w:ind w:left="319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badania przeprowadzane przed każdym 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podaniem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afliberceptu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(w dniu podania leku lub w terminie do 7 dni przed jego podaniem) zgodnie z harmonogramem dawkowania oraz nie rzadziej niż co 2 miesiące 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(tj. nie rzadziej niż co 62 dni) 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po pierwszych 12 miesiącach leczenia:</w:t>
            </w:r>
          </w:p>
          <w:p w:rsidR="00944B48" w:rsidRPr="00B06EF4" w:rsidRDefault="006305FF" w:rsidP="004C026C">
            <w:pPr>
              <w:numPr>
                <w:ilvl w:val="0"/>
                <w:numId w:val="16"/>
              </w:numPr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badanie okulistyczne z oceną ostrości wzroku na tablicach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Snellena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ETDRS,</w:t>
            </w:r>
          </w:p>
          <w:p w:rsidR="00944B48" w:rsidRPr="00B06EF4" w:rsidRDefault="006305FF" w:rsidP="004C026C">
            <w:pPr>
              <w:widowControl w:val="0"/>
              <w:numPr>
                <w:ilvl w:val="0"/>
                <w:numId w:val="16"/>
              </w:numPr>
              <w:tabs>
                <w:tab w:val="left" w:pos="294"/>
              </w:tabs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OCT (optyczna koherentna tomografia),</w:t>
            </w:r>
          </w:p>
          <w:p w:rsidR="00944B48" w:rsidRPr="00B06EF4" w:rsidRDefault="006305FF" w:rsidP="004C026C">
            <w:pPr>
              <w:widowControl w:val="0"/>
              <w:numPr>
                <w:ilvl w:val="0"/>
                <w:numId w:val="16"/>
              </w:numPr>
              <w:tabs>
                <w:tab w:val="left" w:pos="294"/>
              </w:tabs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opcjonalnie - fotografia dna oka,</w:t>
            </w:r>
          </w:p>
          <w:p w:rsidR="00944B48" w:rsidRPr="008C07C8" w:rsidRDefault="006305FF" w:rsidP="004C026C">
            <w:pPr>
              <w:widowControl w:val="0"/>
              <w:numPr>
                <w:ilvl w:val="0"/>
                <w:numId w:val="16"/>
              </w:numPr>
              <w:tabs>
                <w:tab w:val="left" w:pos="294"/>
              </w:tabs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opcjonalnie - angiografia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fluoresceinowa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-OCT (w przypadkach trudnych z diagnostycznego punktu widzenia - angiografia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indocyjaninowa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).</w:t>
            </w:r>
          </w:p>
          <w:p w:rsidR="008C07C8" w:rsidRPr="00B06EF4" w:rsidRDefault="008C07C8" w:rsidP="008C07C8">
            <w:pPr>
              <w:widowControl w:val="0"/>
              <w:tabs>
                <w:tab w:val="left" w:pos="294"/>
              </w:tabs>
              <w:spacing w:after="60" w:line="240" w:lineRule="auto"/>
              <w:ind w:left="7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2. Leczenie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neowaskularnej</w:t>
            </w:r>
            <w:proofErr w:type="spellEnd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(wysiękowej) postaci zwyrodnienia plamki związanego z wiekiem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ranibizumabem</w:t>
            </w:r>
            <w:proofErr w:type="spellEnd"/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2.1. Badania przy kwalifikacji</w:t>
            </w:r>
          </w:p>
          <w:p w:rsidR="00944B48" w:rsidRPr="00B06EF4" w:rsidRDefault="006305FF" w:rsidP="004C026C">
            <w:pPr>
              <w:widowControl w:val="0"/>
              <w:numPr>
                <w:ilvl w:val="0"/>
                <w:numId w:val="20"/>
              </w:numPr>
              <w:spacing w:after="60" w:line="240" w:lineRule="auto"/>
              <w:ind w:left="318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badanie okulistyczne z oceną ostrości wzroku na tablicach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Snellena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 ETDRS;</w:t>
            </w:r>
          </w:p>
          <w:p w:rsidR="00944B48" w:rsidRPr="00B06EF4" w:rsidRDefault="006305FF" w:rsidP="004C026C">
            <w:pPr>
              <w:widowControl w:val="0"/>
              <w:numPr>
                <w:ilvl w:val="0"/>
                <w:numId w:val="20"/>
              </w:numPr>
              <w:spacing w:after="60" w:line="240" w:lineRule="auto"/>
              <w:ind w:left="318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OCT (optyczna koherentna tomografia);</w:t>
            </w:r>
          </w:p>
          <w:p w:rsidR="00944B48" w:rsidRPr="00B06EF4" w:rsidRDefault="006305FF" w:rsidP="004C026C">
            <w:pPr>
              <w:widowControl w:val="0"/>
              <w:numPr>
                <w:ilvl w:val="0"/>
                <w:numId w:val="20"/>
              </w:numPr>
              <w:spacing w:after="60" w:line="240" w:lineRule="auto"/>
              <w:ind w:left="318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fotografia dna oka;</w:t>
            </w:r>
          </w:p>
          <w:p w:rsidR="00944B48" w:rsidRPr="008C07C8" w:rsidRDefault="006305FF" w:rsidP="004C026C">
            <w:pPr>
              <w:widowControl w:val="0"/>
              <w:numPr>
                <w:ilvl w:val="0"/>
                <w:numId w:val="20"/>
              </w:numPr>
              <w:spacing w:after="60" w:line="240" w:lineRule="auto"/>
              <w:ind w:left="318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angiografia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fluoresceinowa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-OCT (w przypadkach trudnych z diagnostycznego punktu widzenia – </w:t>
            </w:r>
            <w:r w:rsidR="00D64B50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angiografia </w:t>
            </w:r>
            <w:proofErr w:type="spellStart"/>
            <w:r w:rsidR="00D64B50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indocyjaninowa</w:t>
            </w:r>
            <w:proofErr w:type="spellEnd"/>
            <w:r w:rsidR="00D64B50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) – w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przypadku  ucz</w:t>
            </w:r>
            <w:r w:rsidR="00D64B50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ulenia na barwnik stosowany w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angiografii lub w razie wystąpienia innych jednoznacznych przeciwwskazań do wykonania tego badania można od niego odstąpić. Fakt odstąpienia od badania należy opisać w dokumentacji medycznej pacjenta i przekazać do Zespołu Koordynacyjnego do Spraw Leczenia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Neowaskularnej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(Wysiękowej) Postaci 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>Z</w:t>
            </w:r>
            <w:r w:rsidR="002A5020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wyrodnienia Plamki Związanego z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Wiekiem.</w:t>
            </w:r>
          </w:p>
          <w:p w:rsidR="008C07C8" w:rsidRPr="00B06EF4" w:rsidRDefault="008C07C8" w:rsidP="008C07C8">
            <w:pPr>
              <w:widowControl w:val="0"/>
              <w:spacing w:after="60" w:line="240" w:lineRule="auto"/>
              <w:ind w:left="318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2.2. Monitorowanie leczenia</w:t>
            </w:r>
          </w:p>
          <w:p w:rsidR="00944B48" w:rsidRPr="00B06EF4" w:rsidRDefault="006305FF" w:rsidP="004C026C">
            <w:pPr>
              <w:widowControl w:val="0"/>
              <w:numPr>
                <w:ilvl w:val="0"/>
                <w:numId w:val="21"/>
              </w:numPr>
              <w:spacing w:after="60" w:line="240" w:lineRule="auto"/>
              <w:ind w:left="318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badania przeprowadzane przed każdym podaniem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ranibizumabu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(w dniu podania leku lub w terminie do 7 dni przed jego podaniem) zgodnie z harmonogramem dawkowania oraz nie rzadziej niż raz na 2 miesiące 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>(tj. nie rzadziej niż co 62 dni),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jeżeli odstęp między podaniem kolejnych dawek został ustalony na więcej niż 2 miesiące: </w:t>
            </w:r>
          </w:p>
          <w:p w:rsidR="00944B48" w:rsidRPr="00B06EF4" w:rsidRDefault="006305FF" w:rsidP="004C026C">
            <w:pPr>
              <w:numPr>
                <w:ilvl w:val="0"/>
                <w:numId w:val="22"/>
              </w:num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badanie okulistyczne z oceną ostrości wzroku na tablicach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Snellena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ETDRS,</w:t>
            </w:r>
          </w:p>
          <w:p w:rsidR="00944B48" w:rsidRPr="00B06EF4" w:rsidRDefault="006305FF" w:rsidP="004C026C">
            <w:pPr>
              <w:numPr>
                <w:ilvl w:val="0"/>
                <w:numId w:val="22"/>
              </w:num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OCT (optyczna koherentna tomografia),</w:t>
            </w:r>
          </w:p>
          <w:p w:rsidR="00944B48" w:rsidRPr="00B06EF4" w:rsidRDefault="006305FF" w:rsidP="004C026C">
            <w:pPr>
              <w:numPr>
                <w:ilvl w:val="0"/>
                <w:numId w:val="22"/>
              </w:num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opcjonalnie - fotografia dna oka,</w:t>
            </w:r>
          </w:p>
          <w:p w:rsidR="00A54180" w:rsidRPr="00CB2C24" w:rsidRDefault="006305FF" w:rsidP="00CB2C24">
            <w:pPr>
              <w:numPr>
                <w:ilvl w:val="0"/>
                <w:numId w:val="22"/>
              </w:num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opcjonalnie - angiografia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fluoresceinowa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</w:t>
            </w:r>
            <w:r w:rsidR="007D7952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</w:t>
            </w:r>
            <w:proofErr w:type="spellEnd"/>
            <w:r w:rsidR="007D7952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-OCT (w przypadkach trudnych z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diagnostycznego punktu widzenia – angiografia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indocyjaninowa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).</w:t>
            </w:r>
          </w:p>
          <w:p w:rsidR="008C07C8" w:rsidRPr="00B06EF4" w:rsidRDefault="008C07C8" w:rsidP="00A54180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</w:p>
          <w:p w:rsidR="00944B48" w:rsidRPr="00B06EF4" w:rsidRDefault="00A54180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="006305FF" w:rsidRPr="00B06E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Monitorowanie programu</w:t>
            </w:r>
          </w:p>
          <w:p w:rsidR="00944B48" w:rsidRPr="00B06EF4" w:rsidRDefault="006305FF" w:rsidP="004C026C">
            <w:pPr>
              <w:numPr>
                <w:ilvl w:val="0"/>
                <w:numId w:val="17"/>
              </w:numPr>
              <w:spacing w:after="60" w:line="240" w:lineRule="auto"/>
              <w:ind w:left="346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przekazywanie do NFZ zakresu informacji sprawozdawczo – rozliczeniowych w formie papierowej lub w formie elektronicznej, zgodnie z wymaganiami opublikowanymi przez Narodowy Fundusz Zdrowia;</w:t>
            </w:r>
          </w:p>
          <w:p w:rsidR="00944B48" w:rsidRPr="00B06EF4" w:rsidRDefault="006305FF" w:rsidP="004C026C">
            <w:pPr>
              <w:numPr>
                <w:ilvl w:val="0"/>
                <w:numId w:val="17"/>
              </w:numPr>
              <w:spacing w:after="60" w:line="240" w:lineRule="auto"/>
              <w:ind w:left="346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uzupełnianie danych zawartych w rejestrze Leczenia wysiękowej postaci zwyrodnienia plamki związanego z wiekiem (AMD) (SMPT - AMD), dostępnym za pomocą aplikacji internetowej udostępnionej przez OW NFZ, z częstotliwością zgodną z opisem programu oraz na zakończenie leczenia.</w:t>
            </w:r>
          </w:p>
          <w:p w:rsidR="00944B48" w:rsidRPr="00B06EF4" w:rsidRDefault="006305FF" w:rsidP="004C026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Dane dotyczące monitorowania leczenia należy gromadzić w dokumentacji pacjenta i każdorazowo przedstawiać na żądanie kontrolerom NFZ.</w:t>
            </w:r>
          </w:p>
        </w:tc>
      </w:tr>
    </w:tbl>
    <w:p w:rsidR="00944B48" w:rsidRPr="00B06EF4" w:rsidRDefault="00944B48" w:rsidP="004C026C">
      <w:bookmarkStart w:id="0" w:name="_GoBack"/>
      <w:bookmarkEnd w:id="0"/>
    </w:p>
    <w:sectPr w:rsidR="00944B48" w:rsidRPr="00B06EF4" w:rsidSect="000F1559">
      <w:footerReference w:type="first" r:id="rId7"/>
      <w:pgSz w:w="16838" w:h="11906" w:orient="landscape"/>
      <w:pgMar w:top="1588" w:right="720" w:bottom="1418" w:left="720" w:header="0" w:footer="709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2FD3" w:rsidRDefault="00CF2FD3">
      <w:pPr>
        <w:spacing w:after="0" w:line="240" w:lineRule="auto"/>
      </w:pPr>
      <w:r>
        <w:separator/>
      </w:r>
    </w:p>
  </w:endnote>
  <w:endnote w:type="continuationSeparator" w:id="0">
    <w:p w:rsidR="00CF2FD3" w:rsidRDefault="00CF2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EE"/>
    <w:family w:val="swiss"/>
    <w:pitch w:val="variable"/>
    <w:sig w:usb0="8100AAF7" w:usb1="0000807B" w:usb2="00000008" w:usb3="00000000" w:csb0="000100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4A23" w:rsidRDefault="00E44A23">
    <w:pPr>
      <w:pStyle w:val="Stopka1"/>
    </w:pPr>
  </w:p>
  <w:p w:rsidR="00E44A23" w:rsidRDefault="00E44A23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2FD3" w:rsidRDefault="00CF2FD3">
      <w:pPr>
        <w:spacing w:after="0" w:line="240" w:lineRule="auto"/>
      </w:pPr>
      <w:r>
        <w:separator/>
      </w:r>
    </w:p>
  </w:footnote>
  <w:footnote w:type="continuationSeparator" w:id="0">
    <w:p w:rsidR="00CF2FD3" w:rsidRDefault="00CF2F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5BD"/>
    <w:multiLevelType w:val="multilevel"/>
    <w:tmpl w:val="B31A95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83D475D"/>
    <w:multiLevelType w:val="multilevel"/>
    <w:tmpl w:val="624453B0"/>
    <w:lvl w:ilvl="0">
      <w:start w:val="1"/>
      <w:numFmt w:val="decimal"/>
      <w:lvlText w:val="%1)"/>
      <w:lvlJc w:val="right"/>
      <w:pPr>
        <w:ind w:left="754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094B2F8D"/>
    <w:multiLevelType w:val="hybridMultilevel"/>
    <w:tmpl w:val="2DBC14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44C95"/>
    <w:multiLevelType w:val="multilevel"/>
    <w:tmpl w:val="6792EB7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76F8E"/>
    <w:multiLevelType w:val="hybridMultilevel"/>
    <w:tmpl w:val="D4D0F1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4F428E"/>
    <w:multiLevelType w:val="hybridMultilevel"/>
    <w:tmpl w:val="4CA85A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E29B7"/>
    <w:multiLevelType w:val="multilevel"/>
    <w:tmpl w:val="EBCC6E0A"/>
    <w:lvl w:ilvl="0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A41AA"/>
    <w:multiLevelType w:val="multilevel"/>
    <w:tmpl w:val="40B48D6A"/>
    <w:lvl w:ilvl="0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347B3"/>
    <w:multiLevelType w:val="hybridMultilevel"/>
    <w:tmpl w:val="1B6C52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E469A"/>
    <w:multiLevelType w:val="multilevel"/>
    <w:tmpl w:val="AD0C382E"/>
    <w:lvl w:ilvl="0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7D7141"/>
    <w:multiLevelType w:val="multilevel"/>
    <w:tmpl w:val="449457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804C9"/>
    <w:multiLevelType w:val="multilevel"/>
    <w:tmpl w:val="4E0813B0"/>
    <w:lvl w:ilvl="0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F42E2"/>
    <w:multiLevelType w:val="hybridMultilevel"/>
    <w:tmpl w:val="6A187AA8"/>
    <w:lvl w:ilvl="0" w:tplc="0D5A8E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081817"/>
    <w:multiLevelType w:val="multilevel"/>
    <w:tmpl w:val="9E6AE520"/>
    <w:lvl w:ilvl="0">
      <w:start w:val="1"/>
      <w:numFmt w:val="decimal"/>
      <w:lvlText w:val="%1)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4B0397"/>
    <w:multiLevelType w:val="multilevel"/>
    <w:tmpl w:val="DC7AF26E"/>
    <w:lvl w:ilvl="0">
      <w:start w:val="1"/>
      <w:numFmt w:val="lowerLetter"/>
      <w:lvlText w:val="%1)"/>
      <w:lvlJc w:val="left"/>
      <w:pPr>
        <w:ind w:left="755" w:hanging="360"/>
      </w:pPr>
    </w:lvl>
    <w:lvl w:ilvl="1">
      <w:start w:val="1"/>
      <w:numFmt w:val="lowerLetter"/>
      <w:lvlText w:val="%2."/>
      <w:lvlJc w:val="left"/>
      <w:pPr>
        <w:ind w:left="1475" w:hanging="360"/>
      </w:pPr>
    </w:lvl>
    <w:lvl w:ilvl="2">
      <w:start w:val="1"/>
      <w:numFmt w:val="lowerRoman"/>
      <w:lvlText w:val="%3."/>
      <w:lvlJc w:val="right"/>
      <w:pPr>
        <w:ind w:left="2195" w:hanging="180"/>
      </w:pPr>
    </w:lvl>
    <w:lvl w:ilvl="3">
      <w:start w:val="1"/>
      <w:numFmt w:val="decimal"/>
      <w:lvlText w:val="%4."/>
      <w:lvlJc w:val="left"/>
      <w:pPr>
        <w:ind w:left="2915" w:hanging="360"/>
      </w:pPr>
    </w:lvl>
    <w:lvl w:ilvl="4">
      <w:start w:val="1"/>
      <w:numFmt w:val="lowerLetter"/>
      <w:lvlText w:val="%5."/>
      <w:lvlJc w:val="left"/>
      <w:pPr>
        <w:ind w:left="3635" w:hanging="360"/>
      </w:pPr>
    </w:lvl>
    <w:lvl w:ilvl="5">
      <w:start w:val="1"/>
      <w:numFmt w:val="lowerRoman"/>
      <w:lvlText w:val="%6."/>
      <w:lvlJc w:val="right"/>
      <w:pPr>
        <w:ind w:left="4355" w:hanging="180"/>
      </w:pPr>
    </w:lvl>
    <w:lvl w:ilvl="6">
      <w:start w:val="1"/>
      <w:numFmt w:val="decimal"/>
      <w:lvlText w:val="%7."/>
      <w:lvlJc w:val="left"/>
      <w:pPr>
        <w:ind w:left="5075" w:hanging="360"/>
      </w:pPr>
    </w:lvl>
    <w:lvl w:ilvl="7">
      <w:start w:val="1"/>
      <w:numFmt w:val="lowerLetter"/>
      <w:lvlText w:val="%8."/>
      <w:lvlJc w:val="left"/>
      <w:pPr>
        <w:ind w:left="5795" w:hanging="360"/>
      </w:pPr>
    </w:lvl>
    <w:lvl w:ilvl="8">
      <w:start w:val="1"/>
      <w:numFmt w:val="lowerRoman"/>
      <w:lvlText w:val="%9."/>
      <w:lvlJc w:val="right"/>
      <w:pPr>
        <w:ind w:left="6515" w:hanging="180"/>
      </w:pPr>
    </w:lvl>
  </w:abstractNum>
  <w:abstractNum w:abstractNumId="15" w15:restartNumberingAfterBreak="0">
    <w:nsid w:val="250D26D4"/>
    <w:multiLevelType w:val="multilevel"/>
    <w:tmpl w:val="F0EE60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16" w15:restartNumberingAfterBreak="0">
    <w:nsid w:val="2ED0257A"/>
    <w:multiLevelType w:val="multilevel"/>
    <w:tmpl w:val="A9E2C6B2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32455F"/>
    <w:multiLevelType w:val="multilevel"/>
    <w:tmpl w:val="06426E72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color w:val="FF000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5F73CB"/>
    <w:multiLevelType w:val="multilevel"/>
    <w:tmpl w:val="A9E2C6B2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7A6B03"/>
    <w:multiLevelType w:val="multilevel"/>
    <w:tmpl w:val="5854144E"/>
    <w:lvl w:ilvl="0">
      <w:start w:val="9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 w:hint="default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6A06595"/>
    <w:multiLevelType w:val="multilevel"/>
    <w:tmpl w:val="F19A4ED6"/>
    <w:lvl w:ilvl="0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FA4D28"/>
    <w:multiLevelType w:val="multilevel"/>
    <w:tmpl w:val="45649E02"/>
    <w:lvl w:ilvl="0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394BE5"/>
    <w:multiLevelType w:val="hybridMultilevel"/>
    <w:tmpl w:val="A9A8243C"/>
    <w:lvl w:ilvl="0" w:tplc="7E1ED2F4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847FDC"/>
    <w:multiLevelType w:val="multilevel"/>
    <w:tmpl w:val="C05C338E"/>
    <w:lvl w:ilvl="0">
      <w:start w:val="1"/>
      <w:numFmt w:val="lowerLetter"/>
      <w:lvlText w:val="%1)"/>
      <w:lvlJc w:val="left"/>
      <w:pPr>
        <w:ind w:left="1111" w:hanging="360"/>
      </w:pPr>
    </w:lvl>
    <w:lvl w:ilvl="1">
      <w:start w:val="1"/>
      <w:numFmt w:val="lowerLetter"/>
      <w:lvlText w:val="%2)"/>
      <w:lvlJc w:val="left"/>
      <w:pPr>
        <w:ind w:left="1831" w:hanging="360"/>
      </w:pPr>
    </w:lvl>
    <w:lvl w:ilvl="2">
      <w:start w:val="1"/>
      <w:numFmt w:val="lowerRoman"/>
      <w:lvlText w:val="%3."/>
      <w:lvlJc w:val="right"/>
      <w:pPr>
        <w:ind w:left="2551" w:hanging="180"/>
      </w:pPr>
    </w:lvl>
    <w:lvl w:ilvl="3">
      <w:start w:val="1"/>
      <w:numFmt w:val="decimal"/>
      <w:lvlText w:val="%4."/>
      <w:lvlJc w:val="left"/>
      <w:pPr>
        <w:ind w:left="3271" w:hanging="360"/>
      </w:pPr>
    </w:lvl>
    <w:lvl w:ilvl="4">
      <w:start w:val="1"/>
      <w:numFmt w:val="lowerLetter"/>
      <w:lvlText w:val="%5."/>
      <w:lvlJc w:val="left"/>
      <w:pPr>
        <w:ind w:left="3991" w:hanging="360"/>
      </w:pPr>
    </w:lvl>
    <w:lvl w:ilvl="5">
      <w:start w:val="1"/>
      <w:numFmt w:val="lowerRoman"/>
      <w:lvlText w:val="%6."/>
      <w:lvlJc w:val="right"/>
      <w:pPr>
        <w:ind w:left="4711" w:hanging="180"/>
      </w:pPr>
    </w:lvl>
    <w:lvl w:ilvl="6">
      <w:start w:val="1"/>
      <w:numFmt w:val="decimal"/>
      <w:lvlText w:val="%7."/>
      <w:lvlJc w:val="left"/>
      <w:pPr>
        <w:ind w:left="5431" w:hanging="360"/>
      </w:pPr>
    </w:lvl>
    <w:lvl w:ilvl="7">
      <w:start w:val="1"/>
      <w:numFmt w:val="lowerLetter"/>
      <w:lvlText w:val="%8."/>
      <w:lvlJc w:val="left"/>
      <w:pPr>
        <w:ind w:left="6151" w:hanging="360"/>
      </w:pPr>
    </w:lvl>
    <w:lvl w:ilvl="8">
      <w:start w:val="1"/>
      <w:numFmt w:val="lowerRoman"/>
      <w:lvlText w:val="%9."/>
      <w:lvlJc w:val="right"/>
      <w:pPr>
        <w:ind w:left="6871" w:hanging="180"/>
      </w:pPr>
    </w:lvl>
  </w:abstractNum>
  <w:abstractNum w:abstractNumId="24" w15:restartNumberingAfterBreak="0">
    <w:nsid w:val="38F25057"/>
    <w:multiLevelType w:val="multilevel"/>
    <w:tmpl w:val="CECE425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97F7CCF"/>
    <w:multiLevelType w:val="multilevel"/>
    <w:tmpl w:val="FD380344"/>
    <w:lvl w:ilvl="0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A45495"/>
    <w:multiLevelType w:val="multilevel"/>
    <w:tmpl w:val="E07485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7" w15:restartNumberingAfterBreak="0">
    <w:nsid w:val="3C1B1B92"/>
    <w:multiLevelType w:val="multilevel"/>
    <w:tmpl w:val="7D4EB3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ED76C2B"/>
    <w:multiLevelType w:val="multilevel"/>
    <w:tmpl w:val="F0EE60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9" w15:restartNumberingAfterBreak="0">
    <w:nsid w:val="42853171"/>
    <w:multiLevelType w:val="multilevel"/>
    <w:tmpl w:val="B8B69DA6"/>
    <w:lvl w:ilvl="0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D04D66"/>
    <w:multiLevelType w:val="hybridMultilevel"/>
    <w:tmpl w:val="DC982D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DE7125"/>
    <w:multiLevelType w:val="multilevel"/>
    <w:tmpl w:val="A92EBA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2" w15:restartNumberingAfterBreak="0">
    <w:nsid w:val="45D654DC"/>
    <w:multiLevelType w:val="multilevel"/>
    <w:tmpl w:val="8D5EF5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3" w15:restartNumberingAfterBreak="0">
    <w:nsid w:val="48245D16"/>
    <w:multiLevelType w:val="multilevel"/>
    <w:tmpl w:val="2CD2EED2"/>
    <w:lvl w:ilvl="0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A61D31"/>
    <w:multiLevelType w:val="multilevel"/>
    <w:tmpl w:val="1E46EB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122CDA"/>
    <w:multiLevelType w:val="multilevel"/>
    <w:tmpl w:val="DC7E468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6" w15:restartNumberingAfterBreak="0">
    <w:nsid w:val="4EDD482D"/>
    <w:multiLevelType w:val="multilevel"/>
    <w:tmpl w:val="53703F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DD4ACD"/>
    <w:multiLevelType w:val="multilevel"/>
    <w:tmpl w:val="A4586C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58DA62B8"/>
    <w:multiLevelType w:val="multilevel"/>
    <w:tmpl w:val="1744013C"/>
    <w:lvl w:ilvl="0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490698"/>
    <w:multiLevelType w:val="hybridMultilevel"/>
    <w:tmpl w:val="460EED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5A7A32"/>
    <w:multiLevelType w:val="hybridMultilevel"/>
    <w:tmpl w:val="2B68B1BE"/>
    <w:lvl w:ilvl="0" w:tplc="9B62A71E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B174F1"/>
    <w:multiLevelType w:val="multilevel"/>
    <w:tmpl w:val="02BE7B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A4F2336"/>
    <w:multiLevelType w:val="multilevel"/>
    <w:tmpl w:val="24645F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B1B34A7"/>
    <w:multiLevelType w:val="hybridMultilevel"/>
    <w:tmpl w:val="5906A4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C234227"/>
    <w:multiLevelType w:val="multilevel"/>
    <w:tmpl w:val="6792EB7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2A1C2E"/>
    <w:multiLevelType w:val="hybridMultilevel"/>
    <w:tmpl w:val="9DD6B07E"/>
    <w:lvl w:ilvl="0" w:tplc="2078063E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D55226"/>
    <w:multiLevelType w:val="multilevel"/>
    <w:tmpl w:val="8E140D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47" w15:restartNumberingAfterBreak="0">
    <w:nsid w:val="745419BA"/>
    <w:multiLevelType w:val="hybridMultilevel"/>
    <w:tmpl w:val="A03A70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D1587E"/>
    <w:multiLevelType w:val="multilevel"/>
    <w:tmpl w:val="5E848A9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8F0877"/>
    <w:multiLevelType w:val="multilevel"/>
    <w:tmpl w:val="C0E83EC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2"/>
  </w:num>
  <w:num w:numId="3">
    <w:abstractNumId w:val="36"/>
  </w:num>
  <w:num w:numId="4">
    <w:abstractNumId w:val="28"/>
  </w:num>
  <w:num w:numId="5">
    <w:abstractNumId w:val="21"/>
  </w:num>
  <w:num w:numId="6">
    <w:abstractNumId w:val="11"/>
  </w:num>
  <w:num w:numId="7">
    <w:abstractNumId w:val="7"/>
  </w:num>
  <w:num w:numId="8">
    <w:abstractNumId w:val="1"/>
  </w:num>
  <w:num w:numId="9">
    <w:abstractNumId w:val="38"/>
  </w:num>
  <w:num w:numId="10">
    <w:abstractNumId w:val="18"/>
  </w:num>
  <w:num w:numId="11">
    <w:abstractNumId w:val="46"/>
  </w:num>
  <w:num w:numId="12">
    <w:abstractNumId w:val="25"/>
  </w:num>
  <w:num w:numId="13">
    <w:abstractNumId w:val="20"/>
  </w:num>
  <w:num w:numId="14">
    <w:abstractNumId w:val="6"/>
  </w:num>
  <w:num w:numId="15">
    <w:abstractNumId w:val="49"/>
  </w:num>
  <w:num w:numId="16">
    <w:abstractNumId w:val="48"/>
  </w:num>
  <w:num w:numId="17">
    <w:abstractNumId w:val="9"/>
  </w:num>
  <w:num w:numId="18">
    <w:abstractNumId w:val="31"/>
  </w:num>
  <w:num w:numId="19">
    <w:abstractNumId w:val="35"/>
  </w:num>
  <w:num w:numId="20">
    <w:abstractNumId w:val="29"/>
  </w:num>
  <w:num w:numId="21">
    <w:abstractNumId w:val="33"/>
  </w:num>
  <w:num w:numId="22">
    <w:abstractNumId w:val="34"/>
  </w:num>
  <w:num w:numId="23">
    <w:abstractNumId w:val="23"/>
  </w:num>
  <w:num w:numId="24">
    <w:abstractNumId w:val="3"/>
  </w:num>
  <w:num w:numId="25">
    <w:abstractNumId w:val="14"/>
  </w:num>
  <w:num w:numId="26">
    <w:abstractNumId w:val="10"/>
  </w:num>
  <w:num w:numId="27">
    <w:abstractNumId w:val="17"/>
  </w:num>
  <w:num w:numId="28">
    <w:abstractNumId w:val="24"/>
  </w:num>
  <w:num w:numId="29">
    <w:abstractNumId w:val="16"/>
  </w:num>
  <w:num w:numId="30">
    <w:abstractNumId w:val="5"/>
  </w:num>
  <w:num w:numId="31">
    <w:abstractNumId w:val="2"/>
  </w:num>
  <w:num w:numId="32">
    <w:abstractNumId w:val="30"/>
  </w:num>
  <w:num w:numId="33">
    <w:abstractNumId w:val="43"/>
  </w:num>
  <w:num w:numId="34">
    <w:abstractNumId w:val="40"/>
  </w:num>
  <w:num w:numId="35">
    <w:abstractNumId w:val="4"/>
  </w:num>
  <w:num w:numId="36">
    <w:abstractNumId w:val="45"/>
  </w:num>
  <w:num w:numId="37">
    <w:abstractNumId w:val="22"/>
  </w:num>
  <w:num w:numId="38">
    <w:abstractNumId w:val="19"/>
  </w:num>
  <w:num w:numId="39">
    <w:abstractNumId w:val="12"/>
  </w:num>
  <w:num w:numId="40">
    <w:abstractNumId w:val="39"/>
  </w:num>
  <w:num w:numId="41">
    <w:abstractNumId w:val="44"/>
  </w:num>
  <w:num w:numId="42">
    <w:abstractNumId w:val="26"/>
  </w:num>
  <w:num w:numId="43">
    <w:abstractNumId w:val="42"/>
  </w:num>
  <w:num w:numId="44">
    <w:abstractNumId w:val="27"/>
  </w:num>
  <w:num w:numId="45">
    <w:abstractNumId w:val="0"/>
  </w:num>
  <w:num w:numId="46">
    <w:abstractNumId w:val="41"/>
  </w:num>
  <w:num w:numId="47">
    <w:abstractNumId w:val="8"/>
  </w:num>
  <w:num w:numId="48">
    <w:abstractNumId w:val="47"/>
  </w:num>
  <w:num w:numId="49">
    <w:abstractNumId w:val="15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B48"/>
    <w:rsid w:val="000249CA"/>
    <w:rsid w:val="000530B6"/>
    <w:rsid w:val="00085685"/>
    <w:rsid w:val="000944E8"/>
    <w:rsid w:val="000A0DFA"/>
    <w:rsid w:val="000D357E"/>
    <w:rsid w:val="000F1559"/>
    <w:rsid w:val="000F581E"/>
    <w:rsid w:val="00114061"/>
    <w:rsid w:val="001208C9"/>
    <w:rsid w:val="0014217F"/>
    <w:rsid w:val="00147250"/>
    <w:rsid w:val="00164623"/>
    <w:rsid w:val="00181FD5"/>
    <w:rsid w:val="00187D2C"/>
    <w:rsid w:val="00191078"/>
    <w:rsid w:val="001B453E"/>
    <w:rsid w:val="001E44A3"/>
    <w:rsid w:val="001E7CE2"/>
    <w:rsid w:val="00226864"/>
    <w:rsid w:val="00277D80"/>
    <w:rsid w:val="002A38B1"/>
    <w:rsid w:val="002A5020"/>
    <w:rsid w:val="002A7139"/>
    <w:rsid w:val="002D3EB5"/>
    <w:rsid w:val="00306CD3"/>
    <w:rsid w:val="0032022C"/>
    <w:rsid w:val="00334602"/>
    <w:rsid w:val="003947AD"/>
    <w:rsid w:val="003A1D33"/>
    <w:rsid w:val="003B558E"/>
    <w:rsid w:val="003C006F"/>
    <w:rsid w:val="003C13A0"/>
    <w:rsid w:val="004A3966"/>
    <w:rsid w:val="004B1402"/>
    <w:rsid w:val="004C026C"/>
    <w:rsid w:val="004F5FBA"/>
    <w:rsid w:val="004F6A8C"/>
    <w:rsid w:val="005951AD"/>
    <w:rsid w:val="005A36B9"/>
    <w:rsid w:val="006305FF"/>
    <w:rsid w:val="006413E1"/>
    <w:rsid w:val="00644881"/>
    <w:rsid w:val="00654B64"/>
    <w:rsid w:val="006576A6"/>
    <w:rsid w:val="006911D7"/>
    <w:rsid w:val="006B362A"/>
    <w:rsid w:val="006D3FAB"/>
    <w:rsid w:val="006E0685"/>
    <w:rsid w:val="0074725F"/>
    <w:rsid w:val="007A3F64"/>
    <w:rsid w:val="007B61AC"/>
    <w:rsid w:val="007D10A6"/>
    <w:rsid w:val="007D7952"/>
    <w:rsid w:val="00804E53"/>
    <w:rsid w:val="00814E84"/>
    <w:rsid w:val="00853842"/>
    <w:rsid w:val="008A54A1"/>
    <w:rsid w:val="008B18DC"/>
    <w:rsid w:val="008C07C8"/>
    <w:rsid w:val="008D7FF5"/>
    <w:rsid w:val="008E34AE"/>
    <w:rsid w:val="00940404"/>
    <w:rsid w:val="00944B48"/>
    <w:rsid w:val="00970883"/>
    <w:rsid w:val="00975A52"/>
    <w:rsid w:val="009B7AC2"/>
    <w:rsid w:val="009D7C0B"/>
    <w:rsid w:val="009F4BE9"/>
    <w:rsid w:val="00A43DD7"/>
    <w:rsid w:val="00A535CD"/>
    <w:rsid w:val="00A54180"/>
    <w:rsid w:val="00A62511"/>
    <w:rsid w:val="00A73F67"/>
    <w:rsid w:val="00A742BE"/>
    <w:rsid w:val="00A9130A"/>
    <w:rsid w:val="00AE3102"/>
    <w:rsid w:val="00B06EF4"/>
    <w:rsid w:val="00B377E2"/>
    <w:rsid w:val="00B63B8A"/>
    <w:rsid w:val="00B72DE4"/>
    <w:rsid w:val="00B73E94"/>
    <w:rsid w:val="00B90BCA"/>
    <w:rsid w:val="00BB6B12"/>
    <w:rsid w:val="00C00E3A"/>
    <w:rsid w:val="00C254EC"/>
    <w:rsid w:val="00C3536F"/>
    <w:rsid w:val="00C46F91"/>
    <w:rsid w:val="00C961A8"/>
    <w:rsid w:val="00CA1419"/>
    <w:rsid w:val="00CB2C24"/>
    <w:rsid w:val="00CC2779"/>
    <w:rsid w:val="00CC622D"/>
    <w:rsid w:val="00CE6836"/>
    <w:rsid w:val="00CF2FD3"/>
    <w:rsid w:val="00CF3511"/>
    <w:rsid w:val="00D42898"/>
    <w:rsid w:val="00D64B50"/>
    <w:rsid w:val="00D778B8"/>
    <w:rsid w:val="00DC5ADA"/>
    <w:rsid w:val="00DD0114"/>
    <w:rsid w:val="00E06895"/>
    <w:rsid w:val="00E3765A"/>
    <w:rsid w:val="00E44A23"/>
    <w:rsid w:val="00E57D96"/>
    <w:rsid w:val="00E70523"/>
    <w:rsid w:val="00E87A92"/>
    <w:rsid w:val="00EA525E"/>
    <w:rsid w:val="00EC578A"/>
    <w:rsid w:val="00ED7344"/>
    <w:rsid w:val="00F04E88"/>
    <w:rsid w:val="00F11714"/>
    <w:rsid w:val="00F326E9"/>
    <w:rsid w:val="00F3451B"/>
    <w:rsid w:val="00F62A13"/>
    <w:rsid w:val="00FA394E"/>
    <w:rsid w:val="00FB0649"/>
    <w:rsid w:val="00FC66BF"/>
    <w:rsid w:val="00FD600E"/>
    <w:rsid w:val="00FE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81747D"/>
  <w15:docId w15:val="{37E64DEE-BF5C-4C0B-8532-53D2BE406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73F6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Heading"/>
    <w:qFormat/>
  </w:style>
  <w:style w:type="paragraph" w:customStyle="1" w:styleId="Nagwek21">
    <w:name w:val="Nagłówek 21"/>
    <w:basedOn w:val="Heading"/>
    <w:qFormat/>
  </w:style>
  <w:style w:type="paragraph" w:customStyle="1" w:styleId="Nagwek31">
    <w:name w:val="Nagłówek 31"/>
    <w:basedOn w:val="Heading"/>
    <w:qFormat/>
  </w:style>
  <w:style w:type="character" w:customStyle="1" w:styleId="NagwekZnak">
    <w:name w:val="Nagłówek Znak"/>
    <w:basedOn w:val="Domylnaczcionkaakapitu"/>
    <w:link w:val="Nagwek1"/>
    <w:qFormat/>
    <w:rsid w:val="0032765D"/>
  </w:style>
  <w:style w:type="character" w:customStyle="1" w:styleId="StopkaZnak">
    <w:name w:val="Stopka Znak"/>
    <w:basedOn w:val="Domylnaczcionkaakapitu"/>
    <w:link w:val="Stopka1"/>
    <w:uiPriority w:val="99"/>
    <w:qFormat/>
    <w:rsid w:val="0032765D"/>
  </w:style>
  <w:style w:type="character" w:customStyle="1" w:styleId="ListLabel1">
    <w:name w:val="ListLabel 1"/>
    <w:qFormat/>
    <w:rPr>
      <w:rFonts w:ascii="Times New Roman" w:hAnsi="Times New Roman"/>
      <w:b/>
      <w:sz w:val="20"/>
    </w:rPr>
  </w:style>
  <w:style w:type="character" w:customStyle="1" w:styleId="ListLabel2">
    <w:name w:val="ListLabel 2"/>
    <w:qFormat/>
    <w:rPr>
      <w:rFonts w:ascii="Times New Roman" w:eastAsia="Calibri" w:hAnsi="Times New Roman" w:cs="Times New Roman"/>
      <w:b/>
      <w:sz w:val="20"/>
    </w:rPr>
  </w:style>
  <w:style w:type="character" w:customStyle="1" w:styleId="ListLabel3">
    <w:name w:val="ListLabel 3"/>
    <w:qFormat/>
    <w:rPr>
      <w:rFonts w:ascii="Times New Roman" w:hAnsi="Times New Roman"/>
      <w:color w:val="FF0000"/>
      <w:sz w:val="20"/>
    </w:rPr>
  </w:style>
  <w:style w:type="paragraph" w:customStyle="1" w:styleId="Heading">
    <w:name w:val="Heading"/>
    <w:basedOn w:val="Normalny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Lucida Sans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customStyle="1" w:styleId="Nagwek1">
    <w:name w:val="Nagłówek1"/>
    <w:basedOn w:val="Normalny"/>
    <w:link w:val="NagwekZnak"/>
    <w:unhideWhenUsed/>
    <w:rsid w:val="0032765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32765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82215"/>
    <w:pPr>
      <w:ind w:left="720"/>
      <w:contextualSpacing/>
    </w:pPr>
  </w:style>
  <w:style w:type="paragraph" w:customStyle="1" w:styleId="Quotations">
    <w:name w:val="Quotations"/>
    <w:basedOn w:val="Normalny"/>
    <w:qFormat/>
  </w:style>
  <w:style w:type="paragraph" w:styleId="Tytu">
    <w:name w:val="Title"/>
    <w:basedOn w:val="Heading"/>
    <w:qFormat/>
  </w:style>
  <w:style w:type="paragraph" w:styleId="Podtytu">
    <w:name w:val="Subtitle"/>
    <w:basedOn w:val="Heading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F32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6E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A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A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A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A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A5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75A5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2438</Words>
  <Characters>14630</Characters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2016-12-14T08:17:00Z</cp:lastPrinted>
  <dcterms:created xsi:type="dcterms:W3CDTF">2020-01-16T11:01:00Z</dcterms:created>
  <dcterms:modified xsi:type="dcterms:W3CDTF">2020-05-08T10:19:00Z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