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99" w:rsidRPr="00053499" w:rsidRDefault="00053499" w:rsidP="00053499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511"/>
        <w:gridCol w:w="6729"/>
        <w:gridCol w:w="1371"/>
      </w:tblGrid>
      <w:tr w:rsidR="00053499" w:rsidRPr="00166251" w:rsidTr="00053499">
        <w:tc>
          <w:tcPr>
            <w:tcW w:w="0" w:type="auto"/>
            <w:shd w:val="clear" w:color="auto" w:fill="FFFFFF"/>
            <w:vAlign w:val="center"/>
            <w:hideMark/>
          </w:tcPr>
          <w:p w:rsidR="00053499" w:rsidRPr="00166251" w:rsidRDefault="00053499" w:rsidP="00053499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4.5.2017   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499" w:rsidRPr="00166251" w:rsidRDefault="00053499" w:rsidP="00053499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499" w:rsidRPr="00166251" w:rsidRDefault="00053499" w:rsidP="00053499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Dziennik Urzędowy Unii Europejskiej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499" w:rsidRPr="00166251" w:rsidRDefault="00053499" w:rsidP="00053499">
            <w:pPr>
              <w:spacing w:before="120" w:after="120" w:line="312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L 137/1</w:t>
            </w:r>
          </w:p>
        </w:tc>
      </w:tr>
    </w:tbl>
    <w:p w:rsidR="00053499" w:rsidRPr="00166251" w:rsidRDefault="00DF4E3F" w:rsidP="00053499">
      <w:pPr>
        <w:spacing w:before="60" w:after="6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645pt;height:.75pt" o:hrpct="0" o:hralign="center" o:hrstd="t" o:hrnoshade="t" o:hr="t" fillcolor="black" stroked="f"/>
        </w:pict>
      </w:r>
    </w:p>
    <w:p w:rsidR="00053499" w:rsidRPr="00166251" w:rsidRDefault="00053499" w:rsidP="00053499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ROZPORZĄDZENIE PARLAMENTU EUROPEJSKIEGO I RADY (UE) 2017/852</w:t>
      </w:r>
    </w:p>
    <w:p w:rsidR="00053499" w:rsidRPr="00166251" w:rsidRDefault="00053499" w:rsidP="00053499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z dnia 17 maja 2017 r.</w:t>
      </w:r>
    </w:p>
    <w:p w:rsidR="00053499" w:rsidRPr="00166251" w:rsidRDefault="00053499" w:rsidP="00053499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w sprawie rtęci oraz uchylające rozporządzenie (WE) nr 1102/2008</w:t>
      </w:r>
    </w:p>
    <w:p w:rsidR="00053499" w:rsidRPr="00166251" w:rsidRDefault="00053499" w:rsidP="00053499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(Tekst mający znaczenie dla EOG)</w:t>
      </w:r>
    </w:p>
    <w:p w:rsidR="00053499" w:rsidRPr="00166251" w:rsidRDefault="00053499" w:rsidP="00166251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l-PL"/>
        </w:rPr>
        <w:t>Artykuł 10</w:t>
      </w:r>
    </w:p>
    <w:p w:rsidR="00053499" w:rsidRPr="00166251" w:rsidRDefault="00053499" w:rsidP="00053499">
      <w:pPr>
        <w:shd w:val="clear" w:color="auto" w:fill="FFFFFF"/>
        <w:spacing w:before="6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>Amalgamat stomatologiczny</w:t>
      </w:r>
    </w:p>
    <w:p w:rsidR="00053499" w:rsidRPr="00166251" w:rsidRDefault="00DF4E3F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1.   Od dnia 1 stycznia 2019 </w:t>
      </w:r>
      <w:bookmarkStart w:id="0" w:name="_GoBack"/>
      <w:bookmarkEnd w:id="0"/>
      <w:r w:rsidR="00053499"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r. amalgamat stomatologiczny stosuje się wyłącznie w formie kapsułkowanej </w:t>
      </w:r>
      <w:r w:rsid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br/>
      </w:r>
      <w:r w:rsidR="00053499"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 odmierzonej dawce. Zakazuje się stosowania przez lekarzy dentystów rtęci w formie niekapsułkowanej.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2.   Od dnia 1 lipca 2018 r. amalgamatu stomatologicznego nie można stosować w leczeniu zębów mlecznych, w leczeniu stomatologicznym dzieci w wieku poniżej 15 lat oraz kobiet ciężarnych lub karmiących, z wyjątkiem sytuacji, w których lekarz dentysta uzna to za absolutnie niezbędne z uwagi na szczególne potrzeby medyczne pacjenta.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3.   Do dnia 1 lipca 2019 r. każde państwo członkowskie opracuje krajowy plan dotyczący środków, jakie zamierza wdrożyć </w:t>
      </w:r>
      <w:r w:rsid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br/>
      </w: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 celu stopniowego ograniczania stosowania amalgamatu stomatologicznego.</w:t>
      </w:r>
      <w:r w:rsid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</w:t>
      </w: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Państwa członkowskie publicznie udostępniają </w:t>
      </w:r>
      <w:r w:rsid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br/>
      </w: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w </w:t>
      </w:r>
      <w:proofErr w:type="spellStart"/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internecie</w:t>
      </w:r>
      <w:proofErr w:type="spellEnd"/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 swoje krajowe plany oraz przekazują je Komisji w ciągu miesiąca od ich przyjęcia.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 xml:space="preserve">4.   Od dnia 1 stycznia 2019 r. podmioty prowadzące gabinety stomatologiczne, w których stosowany jest amalgamat stomatologiczny lub w których usuwane są wypełnienia z amalgamatu stomatologicznego lub zęby zawierające takie wypełnienia zapewniają wyposażenie swoich gabinetów w separatory amalgamatu do celów zatrzymywania i zbierania cząstek amalgamatu, </w:t>
      </w:r>
      <w:r w:rsidR="00287AA8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br/>
      </w: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 tym również cząstek znajdujących się w zużytej wodzie.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l-PL"/>
        </w:rPr>
        <w:t>Podmioty te zapewniają, aby: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0310"/>
      </w:tblGrid>
      <w:tr w:rsidR="00053499" w:rsidRPr="00166251" w:rsidTr="00053499">
        <w:tc>
          <w:tcPr>
            <w:tcW w:w="0" w:type="auto"/>
            <w:shd w:val="clear" w:color="auto" w:fill="FFFFFF"/>
            <w:hideMark/>
          </w:tcPr>
          <w:p w:rsidR="00053499" w:rsidRPr="00166251" w:rsidRDefault="00053499" w:rsidP="0005349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:rsidR="00053499" w:rsidRPr="00166251" w:rsidRDefault="00287AA8" w:rsidP="0005349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 xml:space="preserve"> </w:t>
            </w:r>
            <w:r w:rsidR="00053499"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separatory amalgamatu wprowadzone do użytku od dnia 1 stycznia 2018 r. zapewniały zatrzymywanie co najmniej 95 % cząstek amalgamatu;</w:t>
            </w:r>
          </w:p>
        </w:tc>
      </w:tr>
    </w:tbl>
    <w:p w:rsidR="00053499" w:rsidRPr="00166251" w:rsidRDefault="00053499" w:rsidP="0005349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10299"/>
      </w:tblGrid>
      <w:tr w:rsidR="00053499" w:rsidRPr="00166251" w:rsidTr="00053499">
        <w:tc>
          <w:tcPr>
            <w:tcW w:w="0" w:type="auto"/>
            <w:shd w:val="clear" w:color="auto" w:fill="FFFFFF"/>
            <w:hideMark/>
          </w:tcPr>
          <w:p w:rsidR="00053499" w:rsidRPr="00166251" w:rsidRDefault="00053499" w:rsidP="0005349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:rsidR="00053499" w:rsidRPr="00166251" w:rsidRDefault="00287AA8" w:rsidP="00053499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 xml:space="preserve"> </w:t>
            </w:r>
            <w:r w:rsidR="00053499" w:rsidRPr="0016625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od dnia 1 stycznia 2021 r. wszystkie separatory amalgamatu będące w użyciu zapewniały zatrzymywanie cząstek amalgamatu na poziomie określonym w lit. a).</w:t>
            </w:r>
          </w:p>
        </w:tc>
      </w:tr>
    </w:tbl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Separatory amalgamatu muszą być konserwowane zgodnie z instrukcjami producenta, aby zapewnić najwyższy wykonalny poziom zatrzymania amalgamatu.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5.   Kapsułki i separatory amalgamatu zgodne z normami europejskimi lub z innymi krajowymi lub międzynarodowymi normami zapewniającymi równoważny poziom jakości i zatrzymywania uważa się za spełniające wymogi określone w ust. 1 i 4.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6.   Lekarze dentyści zapewniają, aby ich odpadami amalgamatu, w tym również pozostałościami amalgamatu, jego cząstkami, wypełnieniami raz zębami, lub ich częściami, zanieczyszczonymi amalgamatem stomatologicznym, zajmował się i dokonywał ich zbiórki upoważniony do tego zakład lub przedsiębiorstwo specjalizujące się w gospodarowaniu odpadami.</w:t>
      </w:r>
    </w:p>
    <w:p w:rsidR="00053499" w:rsidRPr="00166251" w:rsidRDefault="00053499" w:rsidP="00053499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Lekarze dentyści w żadnym przypadku nie mogą uwalniać – bezpośrednio lub pośrednio – takich odpadów amalgamatu do środowiska.</w:t>
      </w:r>
    </w:p>
    <w:p w:rsidR="00053499" w:rsidRPr="00166251" w:rsidRDefault="00053499" w:rsidP="00053499">
      <w:pPr>
        <w:shd w:val="clear" w:color="auto" w:fill="FFFFFF"/>
        <w:spacing w:before="480"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</w:pPr>
      <w:r w:rsidRPr="0016625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l-PL"/>
        </w:rPr>
        <w:t xml:space="preserve"> </w:t>
      </w:r>
    </w:p>
    <w:p w:rsidR="00053499" w:rsidRPr="00166251" w:rsidRDefault="00053499" w:rsidP="0005349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844AF" w:rsidRPr="00166251" w:rsidRDefault="00C844AF">
      <w:pPr>
        <w:rPr>
          <w:rFonts w:ascii="Times New Roman" w:hAnsi="Times New Roman" w:cs="Times New Roman"/>
          <w:sz w:val="20"/>
          <w:szCs w:val="20"/>
        </w:rPr>
      </w:pPr>
    </w:p>
    <w:sectPr w:rsidR="00C844AF" w:rsidRPr="00166251" w:rsidSect="00166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99"/>
    <w:rsid w:val="00053499"/>
    <w:rsid w:val="00166251"/>
    <w:rsid w:val="00287AA8"/>
    <w:rsid w:val="00907ADB"/>
    <w:rsid w:val="00C57E2C"/>
    <w:rsid w:val="00C844AF"/>
    <w:rsid w:val="00D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Zarzycka /0059/p.718/E</dc:creator>
  <cp:lastModifiedBy>Beata Zarzycka /0059/p.718/E</cp:lastModifiedBy>
  <cp:revision>3</cp:revision>
  <cp:lastPrinted>2021-07-27T15:31:00Z</cp:lastPrinted>
  <dcterms:created xsi:type="dcterms:W3CDTF">2021-07-20T12:32:00Z</dcterms:created>
  <dcterms:modified xsi:type="dcterms:W3CDTF">2021-07-27T15:34:00Z</dcterms:modified>
</cp:coreProperties>
</file>