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DB9C7A9" w:rsidR="007C4506" w:rsidRPr="00AF7348" w:rsidRDefault="007C4506" w:rsidP="00F07CEA">
      <w:pPr>
        <w:pStyle w:val="Pagedecouverture"/>
        <w:jc w:val="right"/>
        <w:rPr>
          <w:lang w:val="pl-PL"/>
        </w:rPr>
      </w:pPr>
      <w:bookmarkStart w:id="0" w:name="LW_BM_COVERPAGE"/>
    </w:p>
    <w:bookmarkEnd w:id="0"/>
    <w:p w14:paraId="0A37501D" w14:textId="77777777" w:rsidR="00546865" w:rsidRPr="00AF7348" w:rsidRDefault="00546865" w:rsidP="00546865">
      <w:pPr>
        <w:rPr>
          <w:rFonts w:ascii="Times New Roman" w:hAnsi="Times New Roman" w:cs="Times New Roman"/>
          <w:lang w:val="pl-PL"/>
        </w:rPr>
        <w:sectPr w:rsidR="00546865" w:rsidRPr="00AF7348" w:rsidSect="00CB469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299"/>
        </w:sectPr>
      </w:pPr>
    </w:p>
    <w:p w14:paraId="137E0573" w14:textId="77777777" w:rsidR="007C4506" w:rsidRPr="00AF7348" w:rsidRDefault="00B31839">
      <w:pPr>
        <w:pStyle w:val="Normal0"/>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u w:val="single"/>
          <w:lang w:val="pl-PL"/>
        </w:rPr>
      </w:pPr>
      <w:bookmarkStart w:id="1" w:name="bookmark=id.gjdgxs" w:colFirst="0" w:colLast="0"/>
      <w:bookmarkEnd w:id="1"/>
      <w:r w:rsidRPr="00AF7348">
        <w:rPr>
          <w:rFonts w:ascii="Times New Roman" w:eastAsia="Times New Roman" w:hAnsi="Times New Roman" w:cs="Times New Roman"/>
          <w:b/>
          <w:bCs/>
          <w:color w:val="000000"/>
          <w:sz w:val="24"/>
          <w:szCs w:val="24"/>
          <w:u w:val="single"/>
          <w:lang w:val="pl-PL"/>
        </w:rPr>
        <w:lastRenderedPageBreak/>
        <w:t xml:space="preserve">ZAŁĄCZNIK </w:t>
      </w:r>
    </w:p>
    <w:p w14:paraId="5DAB6C7B"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1F9516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t>SEKCJA 1: REFORMY I INWESTYCJE W RAMACH KRAJOWEGO PLANU ODBUDOWY I ZWIĘKSZANIA ODPORNOŚCI</w:t>
      </w:r>
    </w:p>
    <w:p w14:paraId="02EB378F"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965D8B9" w14:textId="77777777" w:rsidR="007C4506" w:rsidRPr="00AF7348" w:rsidRDefault="00B31839" w:rsidP="004E5B4E">
      <w:pPr>
        <w:pStyle w:val="Normal0"/>
        <w:numPr>
          <w:ilvl w:val="0"/>
          <w:numId w:val="8"/>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t xml:space="preserve">Opis reform i inwestycji </w:t>
      </w:r>
    </w:p>
    <w:p w14:paraId="1E885770" w14:textId="77777777" w:rsidR="007C4506" w:rsidRPr="00AF7348"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smallCaps/>
          <w:color w:val="000000"/>
          <w:sz w:val="24"/>
          <w:szCs w:val="24"/>
          <w:lang w:val="pl-PL"/>
        </w:rPr>
        <w:t>A. KOMPONENT A: ODPORNOŚĆ I KONKURENCYJNOŚĆ GOSPODARKI</w:t>
      </w:r>
    </w:p>
    <w:p w14:paraId="619839D3" w14:textId="020C49B4" w:rsidR="007C4506" w:rsidRPr="00AF7348" w:rsidRDefault="13F716F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bookmarkStart w:id="2" w:name="_heading=h.30j0zll"/>
      <w:bookmarkEnd w:id="2"/>
      <w:r w:rsidRPr="00AF7348">
        <w:rPr>
          <w:rFonts w:ascii="Times New Roman" w:eastAsia="Times New Roman" w:hAnsi="Times New Roman" w:cs="Times New Roman"/>
          <w:color w:val="000000" w:themeColor="text1"/>
          <w:sz w:val="24"/>
          <w:szCs w:val="24"/>
          <w:lang w:val="pl-PL"/>
        </w:rPr>
        <w:t xml:space="preserve">Realizacja tego komponentu Krajowego Planu Odbudowy i Zwiększania Odporności (KPO) przyczyni się do sprostania kilku wyzwaniom związanym z odpornością i konkurencyjnością polskiej gospodarki. Pierwsze nadrzędne wyzwanie związane jest z klimatem inwestycyjnym i otoczeniem biznesowym, </w:t>
      </w:r>
      <w:r w:rsidR="00F668BA">
        <w:rPr>
          <w:rFonts w:ascii="Times New Roman" w:eastAsia="Times New Roman" w:hAnsi="Times New Roman" w:cs="Times New Roman"/>
          <w:color w:val="000000" w:themeColor="text1"/>
          <w:sz w:val="24"/>
          <w:szCs w:val="24"/>
          <w:lang w:val="pl-PL"/>
        </w:rPr>
        <w:t>któr</w:t>
      </w:r>
      <w:r w:rsidR="00535081">
        <w:rPr>
          <w:rFonts w:ascii="Times New Roman" w:eastAsia="Times New Roman" w:hAnsi="Times New Roman" w:cs="Times New Roman"/>
          <w:color w:val="000000" w:themeColor="text1"/>
          <w:sz w:val="24"/>
          <w:szCs w:val="24"/>
          <w:lang w:val="pl-PL"/>
        </w:rPr>
        <w:t>ych</w:t>
      </w:r>
      <w:r w:rsidR="00F668BA">
        <w:rPr>
          <w:rFonts w:ascii="Times New Roman" w:eastAsia="Times New Roman" w:hAnsi="Times New Roman" w:cs="Times New Roman"/>
          <w:color w:val="000000" w:themeColor="text1"/>
          <w:sz w:val="24"/>
          <w:szCs w:val="24"/>
          <w:lang w:val="pl-PL"/>
        </w:rPr>
        <w:t xml:space="preserve"> rozwój</w:t>
      </w:r>
      <w:r w:rsidRPr="00AF7348">
        <w:rPr>
          <w:rFonts w:ascii="Times New Roman" w:eastAsia="Times New Roman" w:hAnsi="Times New Roman" w:cs="Times New Roman"/>
          <w:color w:val="000000" w:themeColor="text1"/>
          <w:sz w:val="24"/>
          <w:szCs w:val="24"/>
          <w:lang w:val="pl-PL"/>
        </w:rPr>
        <w:t xml:space="preserve"> w ciągu ostatnich lat </w:t>
      </w:r>
      <w:r w:rsidR="00F668BA">
        <w:rPr>
          <w:rFonts w:ascii="Times New Roman" w:eastAsia="Times New Roman" w:hAnsi="Times New Roman" w:cs="Times New Roman"/>
          <w:color w:val="000000" w:themeColor="text1"/>
          <w:sz w:val="24"/>
          <w:szCs w:val="24"/>
          <w:lang w:val="pl-PL"/>
        </w:rPr>
        <w:t>był utrudniany po</w:t>
      </w:r>
      <w:r w:rsidRPr="00AF7348">
        <w:rPr>
          <w:rFonts w:ascii="Times New Roman" w:eastAsia="Times New Roman" w:hAnsi="Times New Roman" w:cs="Times New Roman"/>
          <w:color w:val="000000" w:themeColor="text1"/>
          <w:sz w:val="24"/>
          <w:szCs w:val="24"/>
          <w:lang w:val="pl-PL"/>
        </w:rPr>
        <w:t xml:space="preserve">przez luki w przepisach, </w:t>
      </w:r>
      <w:r w:rsidR="00F668BA">
        <w:rPr>
          <w:rFonts w:ascii="Times New Roman" w:eastAsia="Times New Roman" w:hAnsi="Times New Roman" w:cs="Times New Roman"/>
          <w:color w:val="000000" w:themeColor="text1"/>
          <w:sz w:val="24"/>
          <w:szCs w:val="24"/>
          <w:lang w:val="pl-PL"/>
        </w:rPr>
        <w:t>nadmierne</w:t>
      </w:r>
      <w:r w:rsidRPr="00AF7348">
        <w:rPr>
          <w:rFonts w:ascii="Times New Roman" w:eastAsia="Times New Roman" w:hAnsi="Times New Roman" w:cs="Times New Roman"/>
          <w:color w:val="000000" w:themeColor="text1"/>
          <w:sz w:val="24"/>
          <w:szCs w:val="24"/>
          <w:lang w:val="pl-PL"/>
        </w:rPr>
        <w:t xml:space="preserve"> wymagania i procedury administracyjne oraz częste zmiany kluczowych </w:t>
      </w:r>
      <w:r w:rsidR="00535081">
        <w:rPr>
          <w:rFonts w:ascii="Times New Roman" w:eastAsia="Times New Roman" w:hAnsi="Times New Roman" w:cs="Times New Roman"/>
          <w:color w:val="000000" w:themeColor="text1"/>
          <w:sz w:val="24"/>
          <w:szCs w:val="24"/>
          <w:lang w:val="pl-PL"/>
        </w:rPr>
        <w:t>przepisów prawa</w:t>
      </w:r>
      <w:r w:rsidRPr="00AF7348">
        <w:rPr>
          <w:rFonts w:ascii="Times New Roman" w:eastAsia="Times New Roman" w:hAnsi="Times New Roman" w:cs="Times New Roman"/>
          <w:color w:val="000000" w:themeColor="text1"/>
          <w:sz w:val="24"/>
          <w:szCs w:val="24"/>
          <w:lang w:val="pl-PL"/>
        </w:rPr>
        <w:t xml:space="preserve">. Po drugie, Polska musi nadal zwiększać swój potencjał innowacyjny, aby zmienić model wzrostu z konkurencyjności kosztowej na zrównoważony rozwój oraz działalność o wyższej wartości dodanej. Całkowite wydatki na badania i rozwój (B+R) pozostają na niskim poziomie, </w:t>
      </w:r>
      <w:r w:rsidR="00F668BA">
        <w:rPr>
          <w:rFonts w:ascii="Times New Roman" w:eastAsia="Times New Roman" w:hAnsi="Times New Roman" w:cs="Times New Roman"/>
          <w:color w:val="000000" w:themeColor="text1"/>
          <w:sz w:val="24"/>
          <w:szCs w:val="24"/>
          <w:lang w:val="pl-PL"/>
        </w:rPr>
        <w:t xml:space="preserve">tj. </w:t>
      </w:r>
      <w:r w:rsidRPr="00AF7348">
        <w:rPr>
          <w:rFonts w:ascii="Times New Roman" w:eastAsia="Times New Roman" w:hAnsi="Times New Roman" w:cs="Times New Roman"/>
          <w:color w:val="000000" w:themeColor="text1"/>
          <w:sz w:val="24"/>
          <w:szCs w:val="24"/>
          <w:lang w:val="pl-PL"/>
        </w:rPr>
        <w:t>1.4% PKB w porównaniu do 2.3% w UE w 2020 roku. Mimo że wydatki przedsiębiorstw na badania i rozwój wzrosły ponad czterokrotnie w ciągu ostatnich dziesięciu lat, ciągle pozostają poniżej średniej unijnej. Po trzecie, transformacja cyfrowa oraz inne przemiany gospodarcze wymagają wysiłków na rzecz poprawy dopasowania umiejętności do rynku pracy a także unowocześnienia metod kształcenia i szkolenia zawodowego. Po czwarte, kobiety, osoby starsze, osoby niepełnosprawne oraz osoby o niższych kwalifikacjach zawodowych uczestniczą w rynku pracy w znacznie mniejszym stopniu niż w wielu innych krajach UE. Wynika to z kilku czynników, w tym z ograniczonego dostępu do opieki nad dziećmi i opieki długoterminowej, a także z niskiego ustawowego wieku emerytalnego czy też rzeczywistego wieku przechodzenia na emeryturę. Dodatkowo elastyczność rynku pracy jest ograniczana przez specyficzne systemy emerytalne oraz brak elastyczności w zakresie organizacji czasu pracy. Wreszcie, udział umów o pracę na czas określony jest nadal wysoki, mimo że systematycznie spada.</w:t>
      </w:r>
    </w:p>
    <w:p w14:paraId="17F46405" w14:textId="2C741CE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Głównym </w:t>
      </w:r>
      <w:r w:rsidR="00535081">
        <w:rPr>
          <w:rFonts w:ascii="Times New Roman" w:eastAsia="Times New Roman" w:hAnsi="Times New Roman" w:cs="Times New Roman"/>
          <w:color w:val="000000" w:themeColor="text1"/>
          <w:sz w:val="24"/>
          <w:szCs w:val="24"/>
          <w:lang w:val="pl-PL"/>
        </w:rPr>
        <w:t>celem</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komponentu jest pobudzenie inwestycji, zwiększenie produktywności oraz wzmocnienie konkurencyjności i odporności polskiej gospodarki. Aby to osiągnąć komponent wprowadza następujące cele: i) wzmocnienie stabilności i adekwatności ram fiskalnych; ii) ograniczenie obciążeń regulacyjnych i administracyjnych dla przedsiębiorstw i przedsiębiorców; iii) wspieranie cyfrowej i zielonej transformacji oraz odporności kluczowych sektorów gospodarki, w tym sektora rolno-spożywczego; iv) poprawę ekosystemu innowacji; v) wspieranie dostosowania umiejętności do potrzeb rynku pracy oraz udoskonalanie procesu uczenia się przez całe życie; vi) zwiększenie wskaźnika aktywności zawodowej oraz podniesienie rzeczywistego wieku </w:t>
      </w:r>
      <w:r w:rsidR="000B04B7" w:rsidRPr="00AF7348">
        <w:rPr>
          <w:rFonts w:ascii="Times New Roman" w:eastAsia="Times New Roman" w:hAnsi="Times New Roman" w:cs="Times New Roman"/>
          <w:color w:val="000000" w:themeColor="text1"/>
          <w:sz w:val="24"/>
          <w:szCs w:val="24"/>
          <w:lang w:val="pl-PL"/>
        </w:rPr>
        <w:t>prz</w:t>
      </w:r>
      <w:r w:rsidR="000B04B7">
        <w:rPr>
          <w:rFonts w:ascii="Times New Roman" w:eastAsia="Times New Roman" w:hAnsi="Times New Roman" w:cs="Times New Roman"/>
          <w:color w:val="000000" w:themeColor="text1"/>
          <w:sz w:val="24"/>
          <w:szCs w:val="24"/>
          <w:lang w:val="pl-PL"/>
        </w:rPr>
        <w:t>echodzenia</w:t>
      </w:r>
      <w:r w:rsidRPr="00AF7348">
        <w:rPr>
          <w:rFonts w:ascii="Times New Roman" w:eastAsia="Times New Roman" w:hAnsi="Times New Roman" w:cs="Times New Roman"/>
          <w:color w:val="000000" w:themeColor="text1"/>
          <w:sz w:val="24"/>
          <w:szCs w:val="24"/>
          <w:lang w:val="pl-PL"/>
        </w:rPr>
        <w:t xml:space="preserve"> na emeryturę; vii) poprawę dostępności i jakości opieki nad dziećmi w wieku do 3 lat oraz; viii) zwiększenie skuteczności publicznych służb zatrudnienia.</w:t>
      </w:r>
    </w:p>
    <w:p w14:paraId="575CBA66" w14:textId="2486C42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Komponent odnosi się do następujących zaleceń wydanych dla Polski w ramach Europejskiego Semestru 2019 i 2020</w:t>
      </w:r>
      <w:r w:rsidR="00535081">
        <w:rPr>
          <w:rFonts w:ascii="Times New Roman" w:eastAsia="Times New Roman" w:hAnsi="Times New Roman" w:cs="Times New Roman"/>
          <w:color w:val="000000" w:themeColor="text1"/>
          <w:sz w:val="24"/>
          <w:szCs w:val="24"/>
          <w:lang w:val="pl-PL"/>
        </w:rPr>
        <w:t xml:space="preserve"> </w:t>
      </w:r>
      <w:r w:rsidR="00535081" w:rsidRPr="00AF7348">
        <w:rPr>
          <w:rFonts w:ascii="Times New Roman" w:eastAsia="Times New Roman" w:hAnsi="Times New Roman" w:cs="Times New Roman"/>
          <w:color w:val="000000" w:themeColor="text1"/>
          <w:sz w:val="24"/>
          <w:szCs w:val="24"/>
          <w:lang w:val="pl-PL"/>
        </w:rPr>
        <w:t>(</w:t>
      </w:r>
      <w:r w:rsidR="00535081" w:rsidRPr="000F46D3">
        <w:rPr>
          <w:rFonts w:ascii="Times New Roman" w:eastAsia="Times New Roman" w:hAnsi="Times New Roman" w:cs="Times New Roman"/>
          <w:i/>
          <w:iCs/>
          <w:color w:val="000000" w:themeColor="text1"/>
          <w:sz w:val="24"/>
          <w:szCs w:val="24"/>
          <w:lang w:val="pl-PL"/>
        </w:rPr>
        <w:t>Country-</w:t>
      </w:r>
      <w:proofErr w:type="spellStart"/>
      <w:r w:rsidR="00535081" w:rsidRPr="000F46D3">
        <w:rPr>
          <w:rFonts w:ascii="Times New Roman" w:eastAsia="Times New Roman" w:hAnsi="Times New Roman" w:cs="Times New Roman"/>
          <w:i/>
          <w:iCs/>
          <w:color w:val="000000" w:themeColor="text1"/>
          <w:sz w:val="24"/>
          <w:szCs w:val="24"/>
          <w:lang w:val="pl-PL"/>
        </w:rPr>
        <w:t>Specific</w:t>
      </w:r>
      <w:proofErr w:type="spellEnd"/>
      <w:r w:rsidR="00535081" w:rsidRPr="000F46D3">
        <w:rPr>
          <w:rFonts w:ascii="Times New Roman" w:eastAsia="Times New Roman" w:hAnsi="Times New Roman" w:cs="Times New Roman"/>
          <w:i/>
          <w:iCs/>
          <w:color w:val="000000" w:themeColor="text1"/>
          <w:sz w:val="24"/>
          <w:szCs w:val="24"/>
          <w:lang w:val="pl-PL"/>
        </w:rPr>
        <w:t xml:space="preserve"> </w:t>
      </w:r>
      <w:proofErr w:type="spellStart"/>
      <w:r w:rsidR="00535081" w:rsidRPr="000F46D3">
        <w:rPr>
          <w:rFonts w:ascii="Times New Roman" w:eastAsia="Times New Roman" w:hAnsi="Times New Roman" w:cs="Times New Roman"/>
          <w:i/>
          <w:iCs/>
          <w:color w:val="000000" w:themeColor="text1"/>
          <w:sz w:val="24"/>
          <w:szCs w:val="24"/>
          <w:lang w:val="pl-PL"/>
        </w:rPr>
        <w:t>Recommendations</w:t>
      </w:r>
      <w:proofErr w:type="spellEnd"/>
      <w:r w:rsidR="00535081" w:rsidRPr="000F46D3">
        <w:rPr>
          <w:rFonts w:ascii="Times New Roman" w:eastAsia="Times New Roman" w:hAnsi="Times New Roman" w:cs="Times New Roman"/>
          <w:i/>
          <w:iCs/>
          <w:color w:val="000000" w:themeColor="text1"/>
          <w:sz w:val="24"/>
          <w:szCs w:val="24"/>
          <w:lang w:val="pl-PL"/>
        </w:rPr>
        <w:t>, dalej CSR</w:t>
      </w:r>
      <w:r w:rsidR="00535081" w:rsidRPr="00AF7348">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a mianowicie: CSR 3, 2019 i CSR 4, 2020 związanych z poprawą klimatu inwestycyjnego i otoczenia </w:t>
      </w:r>
      <w:r w:rsidR="00535081">
        <w:rPr>
          <w:rFonts w:ascii="Times New Roman" w:eastAsia="Times New Roman" w:hAnsi="Times New Roman" w:cs="Times New Roman"/>
          <w:color w:val="000000" w:themeColor="text1"/>
          <w:sz w:val="24"/>
          <w:szCs w:val="24"/>
          <w:lang w:val="pl-PL"/>
        </w:rPr>
        <w:t>prawnego</w:t>
      </w:r>
      <w:r w:rsidRPr="00AF7348">
        <w:rPr>
          <w:rFonts w:ascii="Times New Roman" w:eastAsia="Times New Roman" w:hAnsi="Times New Roman" w:cs="Times New Roman"/>
          <w:color w:val="000000" w:themeColor="text1"/>
          <w:sz w:val="24"/>
          <w:szCs w:val="24"/>
          <w:lang w:val="pl-PL"/>
        </w:rPr>
        <w:t xml:space="preserve">, w szczególności poprzez zwiększenie roli konsultacji społecznych w procesie legislacyjnym. Komponent ten odnosi się również do: CSR 1, 2019 i CSR 1, 2020 dotyczących poprawy efektywności wydatków publicznych i procesu budżetowego, a także wspierania przez środki publiczne ożywienia gospodarczego; CSR 2, 2019 dotyczącego adekwatności przyszłych świadczeń emerytalnych oraz stabilności systemu emerytalnego, w szczególności poprzez </w:t>
      </w:r>
      <w:r w:rsidRPr="00AF7348">
        <w:rPr>
          <w:rFonts w:ascii="Times New Roman" w:eastAsia="Times New Roman" w:hAnsi="Times New Roman" w:cs="Times New Roman"/>
          <w:color w:val="000000" w:themeColor="text1"/>
          <w:sz w:val="24"/>
          <w:szCs w:val="24"/>
          <w:lang w:val="pl-PL"/>
        </w:rPr>
        <w:lastRenderedPageBreak/>
        <w:t xml:space="preserve">podjęcie działań na rzecz podniesienia rzeczywistego wieku </w:t>
      </w:r>
      <w:r w:rsidR="000B04B7" w:rsidRPr="00AF7348">
        <w:rPr>
          <w:rFonts w:ascii="Times New Roman" w:eastAsia="Times New Roman" w:hAnsi="Times New Roman" w:cs="Times New Roman"/>
          <w:color w:val="000000" w:themeColor="text1"/>
          <w:sz w:val="24"/>
          <w:szCs w:val="24"/>
          <w:lang w:val="pl-PL"/>
        </w:rPr>
        <w:t>przec</w:t>
      </w:r>
      <w:r w:rsidR="000B04B7">
        <w:rPr>
          <w:rFonts w:ascii="Times New Roman" w:eastAsia="Times New Roman" w:hAnsi="Times New Roman" w:cs="Times New Roman"/>
          <w:color w:val="000000" w:themeColor="text1"/>
          <w:sz w:val="24"/>
          <w:szCs w:val="24"/>
          <w:lang w:val="pl-PL"/>
        </w:rPr>
        <w:t>hodzenia</w:t>
      </w:r>
      <w:r w:rsidRPr="00AF7348">
        <w:rPr>
          <w:rFonts w:ascii="Times New Roman" w:eastAsia="Times New Roman" w:hAnsi="Times New Roman" w:cs="Times New Roman"/>
          <w:color w:val="000000" w:themeColor="text1"/>
          <w:sz w:val="24"/>
          <w:szCs w:val="24"/>
          <w:lang w:val="pl-PL"/>
        </w:rPr>
        <w:t xml:space="preserve"> na emeryturę, a także podjęcie działań na rzecz zwiększenia zatrudnienia, w tym poprzez poprawę dostępu do opieki nad dziećmi i opieki długoterminowej</w:t>
      </w:r>
      <w:r w:rsidR="0053508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a także usunięcie pozostałych przeszkód utrudniających podjęcie bardziej trwałych rodzajów zatrudnienia, w tym poprzez działania na rzecz dostosowania umiejętności do potrzeb rynku pracy oraz udoskonalanie procesu uczenia się przez całe życie; CSR 3, 2019 dotyczącego wzmocnienia potencjału innowacyjnego gospodarki, w tym poprzez wspieranie instytucji badawczych oraz ich bliższej współpracy z biznesem.</w:t>
      </w:r>
    </w:p>
    <w:p w14:paraId="6D7D8B72" w14:textId="20476070" w:rsidR="007C4506" w:rsidRPr="00AF7348" w:rsidRDefault="0D514F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w:t>
      </w:r>
      <w:r w:rsidR="00535081">
        <w:rPr>
          <w:rFonts w:ascii="Times New Roman" w:eastAsia="Times New Roman" w:hAnsi="Times New Roman" w:cs="Times New Roman"/>
          <w:color w:val="000000" w:themeColor="text1"/>
          <w:sz w:val="24"/>
          <w:szCs w:val="24"/>
          <w:lang w:val="pl-PL"/>
        </w:rPr>
        <w:t>działania realizowane</w:t>
      </w:r>
      <w:r w:rsidRPr="00AF7348">
        <w:rPr>
          <w:rFonts w:ascii="Times New Roman" w:eastAsia="Times New Roman" w:hAnsi="Times New Roman" w:cs="Times New Roman"/>
          <w:color w:val="000000" w:themeColor="text1"/>
          <w:sz w:val="24"/>
          <w:szCs w:val="24"/>
          <w:lang w:val="pl-PL"/>
        </w:rPr>
        <w:t xml:space="preserve"> w tym komponencie nie spowoduj</w:t>
      </w:r>
      <w:r w:rsidR="00535081">
        <w:rPr>
          <w:rFonts w:ascii="Times New Roman" w:eastAsia="Times New Roman" w:hAnsi="Times New Roman" w:cs="Times New Roman"/>
          <w:color w:val="000000" w:themeColor="text1"/>
          <w:sz w:val="24"/>
          <w:szCs w:val="24"/>
          <w:lang w:val="pl-PL"/>
        </w:rPr>
        <w:t>ą</w:t>
      </w:r>
      <w:r w:rsidRPr="00AF7348">
        <w:rPr>
          <w:rFonts w:ascii="Times New Roman" w:eastAsia="Times New Roman" w:hAnsi="Times New Roman" w:cs="Times New Roman"/>
          <w:color w:val="000000" w:themeColor="text1"/>
          <w:sz w:val="24"/>
          <w:szCs w:val="24"/>
          <w:lang w:val="pl-PL"/>
        </w:rPr>
        <w:t xml:space="preserve"> znaczącej szkody dla celów środowiskowych w rozumieniu art. 17 Rozporządzenia (UE) 2020/852, biorąc pod uwagę opis środków i działań ograniczających określonych w Krajowym Planie Odbudowy i Zwiększania Odporności zgodnie z Wytycznymi Technicznymi Dotyczącymi Zasady DNSH - Nie Czyń </w:t>
      </w:r>
      <w:r w:rsidR="00535081">
        <w:rPr>
          <w:rFonts w:ascii="Times New Roman" w:eastAsia="Times New Roman" w:hAnsi="Times New Roman" w:cs="Times New Roman"/>
          <w:color w:val="000000" w:themeColor="text1"/>
          <w:sz w:val="24"/>
          <w:szCs w:val="24"/>
          <w:lang w:val="pl-PL"/>
        </w:rPr>
        <w:t>Znaczącej</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535081">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0E51CC">
        <w:rPr>
          <w:rFonts w:ascii="Times New Roman" w:eastAsia="Times New Roman" w:hAnsi="Times New Roman" w:cs="Times New Roman"/>
          <w:i/>
          <w:iCs/>
          <w:color w:val="000000" w:themeColor="text1"/>
          <w:sz w:val="24"/>
          <w:szCs w:val="24"/>
          <w:lang w:val="pl-PL"/>
        </w:rPr>
        <w:t xml:space="preserve">DNSH Technical </w:t>
      </w:r>
      <w:proofErr w:type="spellStart"/>
      <w:r w:rsidRPr="000E51CC">
        <w:rPr>
          <w:rFonts w:ascii="Times New Roman" w:eastAsia="Times New Roman" w:hAnsi="Times New Roman" w:cs="Times New Roman"/>
          <w:i/>
          <w:iCs/>
          <w:color w:val="000000" w:themeColor="text1"/>
          <w:sz w:val="24"/>
          <w:szCs w:val="24"/>
          <w:lang w:val="pl-PL"/>
        </w:rPr>
        <w:t>Guidance</w:t>
      </w:r>
      <w:proofErr w:type="spellEnd"/>
      <w:r w:rsidRPr="000E51CC">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w:t>
      </w:r>
    </w:p>
    <w:p w14:paraId="6A05A809"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47A2FE4" w14:textId="03C4734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t xml:space="preserve">A.1.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Opis reform i inwestycji</w:t>
      </w:r>
      <w:r w:rsidR="00535081">
        <w:rPr>
          <w:rFonts w:ascii="Times New Roman" w:eastAsia="Times New Roman" w:hAnsi="Times New Roman" w:cs="Times New Roman"/>
          <w:b/>
          <w:bCs/>
          <w:color w:val="000000"/>
          <w:sz w:val="24"/>
          <w:szCs w:val="24"/>
          <w:lang w:val="pl-PL"/>
        </w:rPr>
        <w:t xml:space="preserve"> realizowanych w ramach wsparcia</w:t>
      </w:r>
      <w:r w:rsidRPr="00AF7348">
        <w:rPr>
          <w:rFonts w:ascii="Times New Roman" w:eastAsia="Times New Roman" w:hAnsi="Times New Roman" w:cs="Times New Roman"/>
          <w:b/>
          <w:bCs/>
          <w:color w:val="000000"/>
          <w:sz w:val="24"/>
          <w:szCs w:val="24"/>
          <w:lang w:val="pl-PL"/>
        </w:rPr>
        <w:t xml:space="preserve"> bezzwrotnego </w:t>
      </w:r>
    </w:p>
    <w:p w14:paraId="6FFA00B4"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p>
    <w:p w14:paraId="0384F559" w14:textId="623CFB9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proofErr w:type="spellStart"/>
      <w:r w:rsidRPr="00AF7348">
        <w:rPr>
          <w:rFonts w:ascii="Times New Roman" w:eastAsia="Times New Roman" w:hAnsi="Times New Roman" w:cs="Times New Roman"/>
          <w:b/>
          <w:bCs/>
          <w:color w:val="000000"/>
          <w:sz w:val="24"/>
          <w:szCs w:val="24"/>
          <w:lang w:val="pl-PL"/>
        </w:rPr>
        <w:t>Podkomponent</w:t>
      </w:r>
      <w:proofErr w:type="spellEnd"/>
      <w:r w:rsidRPr="00AF7348">
        <w:rPr>
          <w:rFonts w:ascii="Times New Roman" w:eastAsia="Times New Roman" w:hAnsi="Times New Roman" w:cs="Times New Roman"/>
          <w:b/>
          <w:bCs/>
          <w:color w:val="000000"/>
          <w:sz w:val="24"/>
          <w:szCs w:val="24"/>
          <w:lang w:val="pl-PL"/>
        </w:rPr>
        <w:t xml:space="preserve"> A1 - Ograniczenie wpływu COVID-19 i skutków spowodowanego przez niego kryzysu na przedsiębiorstwa</w:t>
      </w:r>
    </w:p>
    <w:p w14:paraId="588BD50C" w14:textId="77777777" w:rsidR="002248AA" w:rsidRPr="00AF7348" w:rsidRDefault="002248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BEBEF5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u w:val="single"/>
          <w:lang w:val="pl-PL"/>
        </w:rPr>
        <w:t>A1.1 Reforma ram fiskalnych</w:t>
      </w:r>
    </w:p>
    <w:p w14:paraId="57B92EAC" w14:textId="06E9162B" w:rsidR="007C4506" w:rsidRPr="00AF7348" w:rsidRDefault="16DAD56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Nadrzędnym zadaniem reformy jest zwiększenie przejrzystości i skuteczności wydatków publicznych. W tym celu reforma zmierza do: (i) umożliwienia bardziej skutecznego zarządzania środkami publicznymi; (ii) zwiększenia przejrzystości i odpowiedzialności w zarządzaniu środkami publicznymi; (iii) zwiększenia stabilności finansów publicznych oraz zapobiegania niezrównoważonemu wzrostowi wydatków.</w:t>
      </w:r>
    </w:p>
    <w:p w14:paraId="28775C3C" w14:textId="7A277FD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polega na wdrożeniu dwóch </w:t>
      </w:r>
      <w:r w:rsidR="00535081">
        <w:rPr>
          <w:rFonts w:ascii="Times New Roman" w:eastAsia="Times New Roman" w:hAnsi="Times New Roman" w:cs="Times New Roman"/>
          <w:color w:val="000000" w:themeColor="text1"/>
          <w:sz w:val="24"/>
          <w:szCs w:val="24"/>
          <w:lang w:val="pl-PL"/>
        </w:rPr>
        <w:t>działań</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legislacyjnych. Po pierwsze, ustawa o finansach publicznych zostanie zmieniona poprzez wprowadzenie nowego systemu </w:t>
      </w:r>
      <w:r w:rsidR="006B3000">
        <w:rPr>
          <w:rFonts w:ascii="Times New Roman" w:eastAsia="Times New Roman" w:hAnsi="Times New Roman" w:cs="Times New Roman"/>
          <w:color w:val="000000" w:themeColor="text1"/>
          <w:sz w:val="24"/>
          <w:szCs w:val="24"/>
          <w:lang w:val="pl-PL"/>
        </w:rPr>
        <w:t>klasyfikacyjnego</w:t>
      </w:r>
      <w:r w:rsidRPr="00AF7348">
        <w:rPr>
          <w:rFonts w:ascii="Times New Roman" w:eastAsia="Times New Roman" w:hAnsi="Times New Roman" w:cs="Times New Roman"/>
          <w:color w:val="000000" w:themeColor="text1"/>
          <w:sz w:val="24"/>
          <w:szCs w:val="24"/>
          <w:lang w:val="pl-PL"/>
        </w:rPr>
        <w:t xml:space="preserve">, nowego modelu zarządzania budżetem oraz </w:t>
      </w:r>
      <w:r w:rsidR="006B3000">
        <w:rPr>
          <w:rFonts w:ascii="Times New Roman" w:eastAsia="Times New Roman" w:hAnsi="Times New Roman" w:cs="Times New Roman"/>
          <w:color w:val="000000" w:themeColor="text1"/>
          <w:sz w:val="24"/>
          <w:szCs w:val="24"/>
          <w:lang w:val="pl-PL"/>
        </w:rPr>
        <w:t>zredefiniowanych</w:t>
      </w:r>
      <w:r w:rsidRPr="00AF7348">
        <w:rPr>
          <w:rFonts w:ascii="Times New Roman" w:eastAsia="Times New Roman" w:hAnsi="Times New Roman" w:cs="Times New Roman"/>
          <w:color w:val="000000" w:themeColor="text1"/>
          <w:sz w:val="24"/>
          <w:szCs w:val="24"/>
          <w:lang w:val="pl-PL"/>
        </w:rPr>
        <w:t xml:space="preserve"> średniookresowych ram budżetowych. W wyniku tej nowelizacji zostanie ustanowiony nowy system budżet</w:t>
      </w:r>
      <w:r w:rsidR="006B3000">
        <w:rPr>
          <w:rFonts w:ascii="Times New Roman" w:eastAsia="Times New Roman" w:hAnsi="Times New Roman" w:cs="Times New Roman"/>
          <w:color w:val="000000" w:themeColor="text1"/>
          <w:sz w:val="24"/>
          <w:szCs w:val="24"/>
          <w:lang w:val="pl-PL"/>
        </w:rPr>
        <w:t>owy</w:t>
      </w:r>
      <w:r w:rsidRPr="00AF7348">
        <w:rPr>
          <w:rFonts w:ascii="Times New Roman" w:eastAsia="Times New Roman" w:hAnsi="Times New Roman" w:cs="Times New Roman"/>
          <w:color w:val="000000" w:themeColor="text1"/>
          <w:sz w:val="24"/>
          <w:szCs w:val="24"/>
          <w:lang w:val="pl-PL"/>
        </w:rPr>
        <w:t xml:space="preserve">. Po drugie, ustawa o finansach publicznych zostanie zmieniona poprzez rozszerzenie zakresu stosowania stabilizacyjnej reguły wydatkowej na większą liczbę jednostek sektora instytucji rządowych i samorządowych, w szczególności na fundusze celowe. </w:t>
      </w:r>
    </w:p>
    <w:p w14:paraId="715073A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31 marca 2025 roku. </w:t>
      </w:r>
    </w:p>
    <w:p w14:paraId="5A39BBE3"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0F45594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A1.2 Dalsze ograniczenia obciążeń regulacyjnych i administracyjnych</w:t>
      </w:r>
    </w:p>
    <w:p w14:paraId="49365BFF" w14:textId="5EAC793D"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zadaniem reformy jest dalsze ograniczenie obciążeń administracyjnych i regulacyjnych dotyczących przedsiębiorstw w Polsce, a także wspieranie prywatnych inwestycji, zwłaszcza w sektorze MŚP. Aby to osiągnąć reforma ma </w:t>
      </w:r>
      <w:r w:rsidR="00535081">
        <w:rPr>
          <w:rFonts w:ascii="Times New Roman" w:eastAsia="Times New Roman" w:hAnsi="Times New Roman" w:cs="Times New Roman"/>
          <w:color w:val="000000" w:themeColor="text1"/>
          <w:sz w:val="24"/>
          <w:szCs w:val="24"/>
          <w:lang w:val="pl-PL"/>
        </w:rPr>
        <w:t>na celu</w:t>
      </w:r>
      <w:r w:rsidRPr="00AF7348">
        <w:rPr>
          <w:rFonts w:ascii="Times New Roman" w:eastAsia="Times New Roman" w:hAnsi="Times New Roman" w:cs="Times New Roman"/>
          <w:color w:val="000000" w:themeColor="text1"/>
          <w:sz w:val="24"/>
          <w:szCs w:val="24"/>
          <w:lang w:val="pl-PL"/>
        </w:rPr>
        <w:t>: (i) upro</w:t>
      </w:r>
      <w:r w:rsidR="00535081">
        <w:rPr>
          <w:rFonts w:ascii="Times New Roman" w:eastAsia="Times New Roman" w:hAnsi="Times New Roman" w:cs="Times New Roman"/>
          <w:color w:val="000000" w:themeColor="text1"/>
          <w:sz w:val="24"/>
          <w:szCs w:val="24"/>
          <w:lang w:val="pl-PL"/>
        </w:rPr>
        <w:t>szczenie</w:t>
      </w:r>
      <w:r w:rsidRPr="00AF7348">
        <w:rPr>
          <w:rFonts w:ascii="Times New Roman" w:eastAsia="Times New Roman" w:hAnsi="Times New Roman" w:cs="Times New Roman"/>
          <w:color w:val="000000" w:themeColor="text1"/>
          <w:sz w:val="24"/>
          <w:szCs w:val="24"/>
          <w:lang w:val="pl-PL"/>
        </w:rPr>
        <w:t xml:space="preserve"> procedur administracyjn</w:t>
      </w:r>
      <w:r w:rsidR="00535081">
        <w:rPr>
          <w:rFonts w:ascii="Times New Roman" w:eastAsia="Times New Roman" w:hAnsi="Times New Roman" w:cs="Times New Roman"/>
          <w:color w:val="000000" w:themeColor="text1"/>
          <w:sz w:val="24"/>
          <w:szCs w:val="24"/>
          <w:lang w:val="pl-PL"/>
        </w:rPr>
        <w:t>ych</w:t>
      </w:r>
      <w:r w:rsidRPr="00AF7348">
        <w:rPr>
          <w:rFonts w:ascii="Times New Roman" w:eastAsia="Times New Roman" w:hAnsi="Times New Roman" w:cs="Times New Roman"/>
          <w:color w:val="000000" w:themeColor="text1"/>
          <w:sz w:val="24"/>
          <w:szCs w:val="24"/>
          <w:lang w:val="pl-PL"/>
        </w:rPr>
        <w:t xml:space="preserve"> i prawn</w:t>
      </w:r>
      <w:r w:rsidR="00535081">
        <w:rPr>
          <w:rFonts w:ascii="Times New Roman" w:eastAsia="Times New Roman" w:hAnsi="Times New Roman" w:cs="Times New Roman"/>
          <w:color w:val="000000" w:themeColor="text1"/>
          <w:sz w:val="24"/>
          <w:szCs w:val="24"/>
          <w:lang w:val="pl-PL"/>
        </w:rPr>
        <w:t>ych</w:t>
      </w:r>
      <w:r w:rsidRPr="00AF7348">
        <w:rPr>
          <w:rFonts w:ascii="Times New Roman" w:eastAsia="Times New Roman" w:hAnsi="Times New Roman" w:cs="Times New Roman"/>
          <w:color w:val="000000" w:themeColor="text1"/>
          <w:sz w:val="24"/>
          <w:szCs w:val="24"/>
          <w:lang w:val="pl-PL"/>
        </w:rPr>
        <w:t>, (ii) zminimalizowa</w:t>
      </w:r>
      <w:r w:rsidR="00535081">
        <w:rPr>
          <w:rFonts w:ascii="Times New Roman" w:eastAsia="Times New Roman" w:hAnsi="Times New Roman" w:cs="Times New Roman"/>
          <w:color w:val="000000" w:themeColor="text1"/>
          <w:sz w:val="24"/>
          <w:szCs w:val="24"/>
          <w:lang w:val="pl-PL"/>
        </w:rPr>
        <w:t>nie</w:t>
      </w:r>
      <w:r w:rsidRPr="00AF7348">
        <w:rPr>
          <w:rFonts w:ascii="Times New Roman" w:eastAsia="Times New Roman" w:hAnsi="Times New Roman" w:cs="Times New Roman"/>
          <w:color w:val="000000" w:themeColor="text1"/>
          <w:sz w:val="24"/>
          <w:szCs w:val="24"/>
          <w:lang w:val="pl-PL"/>
        </w:rPr>
        <w:t xml:space="preserve"> wymaga</w:t>
      </w:r>
      <w:r w:rsidR="00535081">
        <w:rPr>
          <w:rFonts w:ascii="Times New Roman" w:eastAsia="Times New Roman" w:hAnsi="Times New Roman" w:cs="Times New Roman"/>
          <w:color w:val="000000" w:themeColor="text1"/>
          <w:sz w:val="24"/>
          <w:szCs w:val="24"/>
          <w:lang w:val="pl-PL"/>
        </w:rPr>
        <w:t>ń</w:t>
      </w:r>
      <w:r w:rsidRPr="00AF7348">
        <w:rPr>
          <w:rFonts w:ascii="Times New Roman" w:eastAsia="Times New Roman" w:hAnsi="Times New Roman" w:cs="Times New Roman"/>
          <w:color w:val="000000" w:themeColor="text1"/>
          <w:sz w:val="24"/>
          <w:szCs w:val="24"/>
          <w:lang w:val="pl-PL"/>
        </w:rPr>
        <w:t xml:space="preserve"> prawn</w:t>
      </w:r>
      <w:r w:rsidR="00535081">
        <w:rPr>
          <w:rFonts w:ascii="Times New Roman" w:eastAsia="Times New Roman" w:hAnsi="Times New Roman" w:cs="Times New Roman"/>
          <w:color w:val="000000" w:themeColor="text1"/>
          <w:sz w:val="24"/>
          <w:szCs w:val="24"/>
          <w:lang w:val="pl-PL"/>
        </w:rPr>
        <w:t>ych</w:t>
      </w:r>
      <w:r w:rsidRPr="00AF7348">
        <w:rPr>
          <w:rFonts w:ascii="Times New Roman" w:eastAsia="Times New Roman" w:hAnsi="Times New Roman" w:cs="Times New Roman"/>
          <w:color w:val="000000" w:themeColor="text1"/>
          <w:sz w:val="24"/>
          <w:szCs w:val="24"/>
          <w:lang w:val="pl-PL"/>
        </w:rPr>
        <w:t xml:space="preserve"> stawian</w:t>
      </w:r>
      <w:r w:rsidR="00535081">
        <w:rPr>
          <w:rFonts w:ascii="Times New Roman" w:eastAsia="Times New Roman" w:hAnsi="Times New Roman" w:cs="Times New Roman"/>
          <w:color w:val="000000" w:themeColor="text1"/>
          <w:sz w:val="24"/>
          <w:szCs w:val="24"/>
          <w:lang w:val="pl-PL"/>
        </w:rPr>
        <w:t>ych</w:t>
      </w:r>
      <w:r w:rsidRPr="00AF7348">
        <w:rPr>
          <w:rFonts w:ascii="Times New Roman" w:eastAsia="Times New Roman" w:hAnsi="Times New Roman" w:cs="Times New Roman"/>
          <w:color w:val="000000" w:themeColor="text1"/>
          <w:sz w:val="24"/>
          <w:szCs w:val="24"/>
          <w:lang w:val="pl-PL"/>
        </w:rPr>
        <w:t xml:space="preserve"> przedsiębiorstwom i przedsiębiorcom, (iii) przyspiesz</w:t>
      </w:r>
      <w:r w:rsidR="00535081">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proces</w:t>
      </w:r>
      <w:r w:rsidR="00535081">
        <w:rPr>
          <w:rFonts w:ascii="Times New Roman" w:eastAsia="Times New Roman" w:hAnsi="Times New Roman" w:cs="Times New Roman"/>
          <w:color w:val="000000" w:themeColor="text1"/>
          <w:sz w:val="24"/>
          <w:szCs w:val="24"/>
          <w:lang w:val="pl-PL"/>
        </w:rPr>
        <w:t>u</w:t>
      </w:r>
      <w:r w:rsidRPr="00AF7348">
        <w:rPr>
          <w:rFonts w:ascii="Times New Roman" w:eastAsia="Times New Roman" w:hAnsi="Times New Roman" w:cs="Times New Roman"/>
          <w:color w:val="000000" w:themeColor="text1"/>
          <w:sz w:val="24"/>
          <w:szCs w:val="24"/>
          <w:lang w:val="pl-PL"/>
        </w:rPr>
        <w:t xml:space="preserve"> podejmowania decyzji, (iv) stworz</w:t>
      </w:r>
      <w:r w:rsidR="00535081">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przedsiębiorstwom odpowiedni</w:t>
      </w:r>
      <w:r w:rsidR="00535081">
        <w:rPr>
          <w:rFonts w:ascii="Times New Roman" w:eastAsia="Times New Roman" w:hAnsi="Times New Roman" w:cs="Times New Roman"/>
          <w:color w:val="000000" w:themeColor="text1"/>
          <w:sz w:val="24"/>
          <w:szCs w:val="24"/>
          <w:lang w:val="pl-PL"/>
        </w:rPr>
        <w:t>ch</w:t>
      </w:r>
      <w:r w:rsidRPr="00AF7348">
        <w:rPr>
          <w:rFonts w:ascii="Times New Roman" w:eastAsia="Times New Roman" w:hAnsi="Times New Roman" w:cs="Times New Roman"/>
          <w:color w:val="000000" w:themeColor="text1"/>
          <w:sz w:val="24"/>
          <w:szCs w:val="24"/>
          <w:lang w:val="pl-PL"/>
        </w:rPr>
        <w:t xml:space="preserve"> warunk</w:t>
      </w:r>
      <w:r w:rsidR="00535081">
        <w:rPr>
          <w:rFonts w:ascii="Times New Roman" w:eastAsia="Times New Roman" w:hAnsi="Times New Roman" w:cs="Times New Roman"/>
          <w:color w:val="000000" w:themeColor="text1"/>
          <w:sz w:val="24"/>
          <w:szCs w:val="24"/>
          <w:lang w:val="pl-PL"/>
        </w:rPr>
        <w:t>ów</w:t>
      </w:r>
      <w:r w:rsidRPr="00AF7348">
        <w:rPr>
          <w:rFonts w:ascii="Times New Roman" w:eastAsia="Times New Roman" w:hAnsi="Times New Roman" w:cs="Times New Roman"/>
          <w:color w:val="000000" w:themeColor="text1"/>
          <w:sz w:val="24"/>
          <w:szCs w:val="24"/>
          <w:lang w:val="pl-PL"/>
        </w:rPr>
        <w:t xml:space="preserve"> do inwestowania, zwłaszcza w regionach słabiej rozwiniętych; oraz (v) ułatwi</w:t>
      </w:r>
      <w:r w:rsidR="00535081">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komunikacj</w:t>
      </w:r>
      <w:r w:rsidR="00535081">
        <w:rPr>
          <w:rFonts w:ascii="Times New Roman" w:eastAsia="Times New Roman" w:hAnsi="Times New Roman" w:cs="Times New Roman"/>
          <w:color w:val="000000" w:themeColor="text1"/>
          <w:sz w:val="24"/>
          <w:szCs w:val="24"/>
          <w:lang w:val="pl-PL"/>
        </w:rPr>
        <w:t>i</w:t>
      </w:r>
      <w:r w:rsidRPr="00AF7348">
        <w:rPr>
          <w:rFonts w:ascii="Times New Roman" w:eastAsia="Times New Roman" w:hAnsi="Times New Roman" w:cs="Times New Roman"/>
          <w:color w:val="000000" w:themeColor="text1"/>
          <w:sz w:val="24"/>
          <w:szCs w:val="24"/>
          <w:lang w:val="pl-PL"/>
        </w:rPr>
        <w:t xml:space="preserve"> obywateli i przedsiębiorstw z władzami publicznymi.</w:t>
      </w:r>
    </w:p>
    <w:p w14:paraId="7523E4AF" w14:textId="19B3FACB" w:rsidR="007C4506" w:rsidRPr="00AF7348" w:rsidRDefault="0AB12E5C" w:rsidP="4BA5D17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składa się z dwóch pakietów legislacyjnych. Pierwszy z nich ("Tarcza prawna") wprowadzi następujące przepisy prawne: (i) </w:t>
      </w:r>
      <w:r w:rsidR="00535081">
        <w:rPr>
          <w:rFonts w:ascii="Times New Roman" w:eastAsia="Times New Roman" w:hAnsi="Times New Roman" w:cs="Times New Roman"/>
          <w:color w:val="000000" w:themeColor="text1"/>
          <w:sz w:val="24"/>
          <w:szCs w:val="24"/>
          <w:lang w:val="pl-PL"/>
        </w:rPr>
        <w:t>ustanawiające</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procedury elektroniczne </w:t>
      </w:r>
      <w:r w:rsidRPr="00AF7348">
        <w:rPr>
          <w:rFonts w:ascii="Times New Roman" w:eastAsia="Times New Roman" w:hAnsi="Times New Roman" w:cs="Times New Roman"/>
          <w:color w:val="000000" w:themeColor="text1"/>
          <w:sz w:val="24"/>
          <w:szCs w:val="24"/>
          <w:lang w:val="pl-PL"/>
        </w:rPr>
        <w:lastRenderedPageBreak/>
        <w:t xml:space="preserve">(internetowe) dominującym kanałem załatwiania co najmniej ośmiu procedur administracyjnych i prawnych, w tym składania oświadczeń przez podmioty związane z turystyką i przedsiębiorców do Ubezpieczeniowego Funduszu Gwarancyjnego; (ii) upraszczające procedury administracyjne, w szczególności związane z zawodem marynarza oraz handlem i dystrybucją napojów alkoholowych; (iii) ograniczające stosowanie procedury dwuinstancyjnej w co najmniej dziesięciu procedurach związanych w szczególności z zasobami geologicznymi; (iv) ograniczające liczbę dokumentów i formalności wymaganych w procedurach administracyjnych, na przykład w procesach planowania przestrzennego i budowlanych; oraz (v) wydłużające terminy niektórych procedur administracyjnych, na przykład rejestracji samochodu zakupionego w innym państwie członkowskim. </w:t>
      </w:r>
    </w:p>
    <w:p w14:paraId="6ACAE2FF" w14:textId="78205C8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Drugi pakiet legislacyjny </w:t>
      </w:r>
      <w:r w:rsidR="00535081">
        <w:rPr>
          <w:rFonts w:ascii="Times New Roman" w:eastAsia="Times New Roman" w:hAnsi="Times New Roman" w:cs="Times New Roman"/>
          <w:color w:val="000000" w:themeColor="text1"/>
          <w:sz w:val="24"/>
          <w:szCs w:val="24"/>
          <w:lang w:val="pl-PL"/>
        </w:rPr>
        <w:t>znowelizuje</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"Ustawę o </w:t>
      </w:r>
      <w:r w:rsidR="00535081">
        <w:rPr>
          <w:rFonts w:ascii="Times New Roman" w:eastAsia="Times New Roman" w:hAnsi="Times New Roman" w:cs="Times New Roman"/>
          <w:color w:val="000000" w:themeColor="text1"/>
          <w:sz w:val="24"/>
          <w:szCs w:val="24"/>
          <w:lang w:val="pl-PL"/>
        </w:rPr>
        <w:t>wspieraniu nowych inwestycji</w:t>
      </w:r>
      <w:r w:rsidRPr="00AF7348">
        <w:rPr>
          <w:rFonts w:ascii="Times New Roman" w:eastAsia="Times New Roman" w:hAnsi="Times New Roman" w:cs="Times New Roman"/>
          <w:color w:val="000000" w:themeColor="text1"/>
          <w:sz w:val="24"/>
          <w:szCs w:val="24"/>
          <w:lang w:val="pl-PL"/>
        </w:rPr>
        <w:t>" ("</w:t>
      </w:r>
      <w:r w:rsidRPr="00AF7348">
        <w:rPr>
          <w:rFonts w:ascii="Times New Roman" w:eastAsia="Times New Roman" w:hAnsi="Times New Roman" w:cs="Times New Roman"/>
          <w:i/>
          <w:iCs/>
          <w:color w:val="000000" w:themeColor="text1"/>
          <w:sz w:val="24"/>
          <w:szCs w:val="24"/>
          <w:lang w:val="pl-PL"/>
        </w:rPr>
        <w:t>Polska Strefa Inwestycji</w:t>
      </w:r>
      <w:r w:rsidRPr="00AF7348">
        <w:rPr>
          <w:rFonts w:ascii="Times New Roman" w:eastAsia="Times New Roman" w:hAnsi="Times New Roman" w:cs="Times New Roman"/>
          <w:color w:val="000000" w:themeColor="text1"/>
          <w:sz w:val="24"/>
          <w:szCs w:val="24"/>
          <w:lang w:val="pl-PL"/>
        </w:rPr>
        <w:t xml:space="preserve">") celem zwiększenia w Polsce liczby obszarów określanych jako "specjalne strefy ekonomiczne" oraz stworzenia nowego modelu udzielania wsparcia finansowego przedsiębiorcom podejmującym działalność w tych strefach, głównie w formie ulg podatkowych i dotacji przeznaczonych na zakup gruntów inwestycyjnych. </w:t>
      </w:r>
    </w:p>
    <w:p w14:paraId="1EE7282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grudnia 2023 roku.</w:t>
      </w:r>
    </w:p>
    <w:p w14:paraId="5CBFD537"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4F865CFD" w14:textId="41FCC20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u w:val="single"/>
          <w:lang w:val="pl-PL"/>
        </w:rPr>
        <w:t>A1.2.1 Inwestycje dla przedsiębiorstw w produkty, usługi i kompetencje pracowników oraz kadry związane z dywersyfikacją działalności</w:t>
      </w:r>
    </w:p>
    <w:p w14:paraId="76CDE40A" w14:textId="558F0D3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535081">
        <w:rPr>
          <w:rFonts w:ascii="Times New Roman" w:eastAsia="Times New Roman" w:hAnsi="Times New Roman" w:cs="Times New Roman"/>
          <w:color w:val="000000" w:themeColor="text1"/>
          <w:sz w:val="24"/>
          <w:szCs w:val="24"/>
          <w:lang w:val="pl-PL"/>
        </w:rPr>
        <w:t>celem</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tej inwestycji jest wspieranie odporności MŚP i mikroprzedsiębiorstw </w:t>
      </w:r>
      <w:r w:rsidR="00535081">
        <w:rPr>
          <w:rFonts w:ascii="Times New Roman" w:eastAsia="Times New Roman" w:hAnsi="Times New Roman" w:cs="Times New Roman"/>
          <w:color w:val="000000" w:themeColor="text1"/>
          <w:sz w:val="24"/>
          <w:szCs w:val="24"/>
          <w:lang w:val="pl-PL"/>
        </w:rPr>
        <w:t xml:space="preserve">w </w:t>
      </w:r>
      <w:r w:rsidRPr="00AF7348">
        <w:rPr>
          <w:rFonts w:ascii="Times New Roman" w:eastAsia="Times New Roman" w:hAnsi="Times New Roman" w:cs="Times New Roman"/>
          <w:color w:val="000000" w:themeColor="text1"/>
          <w:sz w:val="24"/>
          <w:szCs w:val="24"/>
          <w:lang w:val="pl-PL"/>
        </w:rPr>
        <w:t>branż</w:t>
      </w:r>
      <w:r w:rsidR="00535081">
        <w:rPr>
          <w:rFonts w:ascii="Times New Roman" w:eastAsia="Times New Roman" w:hAnsi="Times New Roman" w:cs="Times New Roman"/>
          <w:color w:val="000000" w:themeColor="text1"/>
          <w:sz w:val="24"/>
          <w:szCs w:val="24"/>
          <w:lang w:val="pl-PL"/>
        </w:rPr>
        <w:t>ach</w:t>
      </w:r>
      <w:r w:rsidRPr="00AF7348">
        <w:rPr>
          <w:rFonts w:ascii="Times New Roman" w:eastAsia="Times New Roman" w:hAnsi="Times New Roman" w:cs="Times New Roman"/>
          <w:color w:val="000000" w:themeColor="text1"/>
          <w:sz w:val="24"/>
          <w:szCs w:val="24"/>
          <w:lang w:val="pl-PL"/>
        </w:rPr>
        <w:t xml:space="preserve"> najbardziej dotkniętych pandemią COVID-19</w:t>
      </w:r>
      <w:r w:rsidR="00535081">
        <w:rPr>
          <w:rFonts w:ascii="Times New Roman" w:eastAsia="Times New Roman" w:hAnsi="Times New Roman" w:cs="Times New Roman"/>
          <w:color w:val="000000" w:themeColor="text1"/>
          <w:sz w:val="24"/>
          <w:szCs w:val="24"/>
          <w:lang w:val="pl-PL"/>
        </w:rPr>
        <w:t xml:space="preserve"> w Polsce</w:t>
      </w:r>
      <w:r w:rsidRPr="00AF7348">
        <w:rPr>
          <w:rFonts w:ascii="Times New Roman" w:eastAsia="Times New Roman" w:hAnsi="Times New Roman" w:cs="Times New Roman"/>
          <w:color w:val="000000" w:themeColor="text1"/>
          <w:sz w:val="24"/>
          <w:szCs w:val="24"/>
          <w:lang w:val="pl-PL"/>
        </w:rPr>
        <w:t xml:space="preserve">, a mianowicie </w:t>
      </w:r>
      <w:r w:rsidR="00535081">
        <w:rPr>
          <w:rFonts w:ascii="Times New Roman" w:eastAsia="Times New Roman" w:hAnsi="Times New Roman" w:cs="Times New Roman"/>
          <w:color w:val="000000" w:themeColor="text1"/>
          <w:sz w:val="24"/>
          <w:szCs w:val="24"/>
          <w:lang w:val="pl-PL"/>
        </w:rPr>
        <w:t>branży</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hotelarsko-gastronomiczne</w:t>
      </w:r>
      <w:r w:rsidR="00535081">
        <w:rPr>
          <w:rFonts w:ascii="Times New Roman" w:eastAsia="Times New Roman" w:hAnsi="Times New Roman" w:cs="Times New Roman"/>
          <w:color w:val="000000" w:themeColor="text1"/>
          <w:sz w:val="24"/>
          <w:szCs w:val="24"/>
          <w:lang w:val="pl-PL"/>
        </w:rPr>
        <w:t>j</w:t>
      </w:r>
      <w:r w:rsidRPr="00AF7348">
        <w:rPr>
          <w:rFonts w:ascii="Times New Roman" w:eastAsia="Times New Roman" w:hAnsi="Times New Roman" w:cs="Times New Roman"/>
          <w:color w:val="000000" w:themeColor="text1"/>
          <w:sz w:val="24"/>
          <w:szCs w:val="24"/>
          <w:lang w:val="pl-PL"/>
        </w:rPr>
        <w:t xml:space="preserve"> (</w:t>
      </w:r>
      <w:proofErr w:type="spellStart"/>
      <w:r w:rsidRPr="002D17B9">
        <w:rPr>
          <w:rFonts w:ascii="Times New Roman" w:eastAsia="Times New Roman" w:hAnsi="Times New Roman" w:cs="Times New Roman"/>
          <w:i/>
          <w:iCs/>
          <w:color w:val="000000" w:themeColor="text1"/>
          <w:sz w:val="24"/>
          <w:szCs w:val="24"/>
          <w:lang w:val="pl-PL"/>
        </w:rPr>
        <w:t>HoReCa</w:t>
      </w:r>
      <w:proofErr w:type="spellEnd"/>
      <w:r w:rsidRPr="00AF7348">
        <w:rPr>
          <w:rFonts w:ascii="Times New Roman" w:eastAsia="Times New Roman" w:hAnsi="Times New Roman" w:cs="Times New Roman"/>
          <w:color w:val="000000" w:themeColor="text1"/>
          <w:sz w:val="24"/>
          <w:szCs w:val="24"/>
          <w:lang w:val="pl-PL"/>
        </w:rPr>
        <w:t xml:space="preserve">), turystyki i kultury. W tym </w:t>
      </w:r>
      <w:r w:rsidR="00535081">
        <w:rPr>
          <w:rFonts w:ascii="Times New Roman" w:eastAsia="Times New Roman" w:hAnsi="Times New Roman" w:cs="Times New Roman"/>
          <w:color w:val="000000" w:themeColor="text1"/>
          <w:sz w:val="24"/>
          <w:szCs w:val="24"/>
          <w:lang w:val="pl-PL"/>
        </w:rPr>
        <w:t>względzie</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inwestycje mają </w:t>
      </w:r>
      <w:r w:rsidR="00535081">
        <w:rPr>
          <w:rFonts w:ascii="Times New Roman" w:eastAsia="Times New Roman" w:hAnsi="Times New Roman" w:cs="Times New Roman"/>
          <w:color w:val="000000" w:themeColor="text1"/>
          <w:sz w:val="24"/>
          <w:szCs w:val="24"/>
          <w:lang w:val="pl-PL"/>
        </w:rPr>
        <w:t>na celu</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zachęcani</w:t>
      </w:r>
      <w:r w:rsidR="00535081">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do rozszerzania i dywersyfikacji działalności prowadzonej przez MŚP i mikroprzedsiębiorstwa w tych branżach. </w:t>
      </w:r>
    </w:p>
    <w:p w14:paraId="6E1087DA" w14:textId="67B9834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Inwestycje obejmą realizację następujących trzech rodzajów działań:</w:t>
      </w:r>
    </w:p>
    <w:p w14:paraId="13AEBF05" w14:textId="5D74D848" w:rsidR="007C4506" w:rsidRPr="00AF7348" w:rsidRDefault="002D17B9" w:rsidP="004E5B4E">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i</w:t>
      </w:r>
      <w:r w:rsidR="1CEFE50A" w:rsidRPr="00AF7348">
        <w:rPr>
          <w:rFonts w:ascii="Times New Roman" w:eastAsia="Times New Roman" w:hAnsi="Times New Roman" w:cs="Times New Roman"/>
          <w:color w:val="000000" w:themeColor="text1"/>
          <w:sz w:val="24"/>
          <w:szCs w:val="24"/>
          <w:lang w:val="pl-PL"/>
        </w:rPr>
        <w:t xml:space="preserve">nwestycje w projektowanie i produkcję własnych towarów i usług, takich jak: (i) zakup maszyn i urządzeń niezbędnych do wprowadzenia na rynek nowych produktów/usług; (ii) prace budowlane, w tym budowa nowych linii produkcyjnych; (iii) inwestycje związane z zieloną transformacją, w szczególności zachęcające do zapobiegania powstawaniu odpadów, poprzez prace projektowe, recykling/ponowne wykorzystanie odpadów, a także wdrażanie rozwiązań z zakresu energii odnawialnej; </w:t>
      </w:r>
    </w:p>
    <w:p w14:paraId="759FE377" w14:textId="6BF9FE58" w:rsidR="007C4506" w:rsidRPr="00AF7348" w:rsidRDefault="002D17B9" w:rsidP="004E5B4E">
      <w:pPr>
        <w:pStyle w:val="Normal0"/>
        <w:numPr>
          <w:ilvl w:val="0"/>
          <w:numId w:val="11"/>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u</w:t>
      </w:r>
      <w:r w:rsidR="7EBD8A50" w:rsidRPr="00AF7348">
        <w:rPr>
          <w:rFonts w:ascii="Times New Roman" w:eastAsia="Times New Roman" w:hAnsi="Times New Roman" w:cs="Times New Roman"/>
          <w:color w:val="000000" w:themeColor="text1"/>
          <w:sz w:val="24"/>
          <w:szCs w:val="24"/>
          <w:lang w:val="pl-PL"/>
        </w:rPr>
        <w:t xml:space="preserve">sługi doradcze </w:t>
      </w:r>
      <w:r w:rsidR="00535081">
        <w:rPr>
          <w:rFonts w:ascii="Times New Roman" w:eastAsia="Times New Roman" w:hAnsi="Times New Roman" w:cs="Times New Roman"/>
          <w:color w:val="000000" w:themeColor="text1"/>
          <w:sz w:val="24"/>
          <w:szCs w:val="24"/>
          <w:lang w:val="pl-PL"/>
        </w:rPr>
        <w:t xml:space="preserve">w zakresie </w:t>
      </w:r>
      <w:r w:rsidR="7EBD8A50" w:rsidRPr="00AF7348">
        <w:rPr>
          <w:rFonts w:ascii="Times New Roman" w:eastAsia="Times New Roman" w:hAnsi="Times New Roman" w:cs="Times New Roman"/>
          <w:color w:val="000000" w:themeColor="text1"/>
          <w:sz w:val="24"/>
          <w:szCs w:val="24"/>
          <w:lang w:val="pl-PL"/>
        </w:rPr>
        <w:t xml:space="preserve">realizacji projektów; </w:t>
      </w:r>
    </w:p>
    <w:p w14:paraId="3E6CC8F5" w14:textId="4793F698" w:rsidR="007C4506" w:rsidRPr="00AF7348" w:rsidRDefault="002D17B9"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p</w:t>
      </w:r>
      <w:r w:rsidR="0A87BA0A" w:rsidRPr="00AF7348">
        <w:rPr>
          <w:rFonts w:ascii="Times New Roman" w:eastAsia="Times New Roman" w:hAnsi="Times New Roman" w:cs="Times New Roman"/>
          <w:color w:val="000000" w:themeColor="text1"/>
          <w:sz w:val="24"/>
          <w:szCs w:val="24"/>
          <w:lang w:val="pl-PL"/>
        </w:rPr>
        <w:t>odnoszenie kwalifikacji</w:t>
      </w:r>
      <w:r w:rsidR="00535081">
        <w:rPr>
          <w:rFonts w:ascii="Times New Roman" w:eastAsia="Times New Roman" w:hAnsi="Times New Roman" w:cs="Times New Roman"/>
          <w:color w:val="000000" w:themeColor="text1"/>
          <w:sz w:val="24"/>
          <w:szCs w:val="24"/>
          <w:lang w:val="pl-PL"/>
        </w:rPr>
        <w:t>/przekwalifikowanie</w:t>
      </w:r>
      <w:r w:rsidR="0A87BA0A" w:rsidRPr="00AF7348">
        <w:rPr>
          <w:rFonts w:ascii="Times New Roman" w:eastAsia="Times New Roman" w:hAnsi="Times New Roman" w:cs="Times New Roman"/>
          <w:color w:val="000000" w:themeColor="text1"/>
          <w:sz w:val="24"/>
          <w:szCs w:val="24"/>
          <w:lang w:val="pl-PL"/>
        </w:rPr>
        <w:t xml:space="preserve"> pracowników poprzez prowadzenie szkoleń z zakresu nowych rozwiązań i technologii IT, analizy potrzeb klientów, zarządzanie informacjami i danymi oraz zarządzanie ryzykiem.</w:t>
      </w:r>
    </w:p>
    <w:p w14:paraId="357D57F6" w14:textId="39EF5AD9" w:rsidR="547DAA04" w:rsidRPr="00AF7348" w:rsidRDefault="3F4EA542" w:rsidP="27342C6A">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Działanie to zapewni zrównoważoną realizację wszystkich opisanych rodzajów projektów, uwzględniając zarówno specyficzne potrzeby beneficjentów, jak i cele Rozporządzenia Ustanawiającego Instrument na rzecz Odbudowy i Zwiększania Odporności (Rozporządzenia RRF).</w:t>
      </w:r>
    </w:p>
    <w:p w14:paraId="6971A52E" w14:textId="7301887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30 czerwca 2026 roku. </w:t>
      </w:r>
    </w:p>
    <w:p w14:paraId="72A3D3EC"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EAEADF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A1.2.2 Wsparcie przygotowania terenów inwestycyjnych pod potrzeby inwestycji o kluczowym znaczeniu dla gospodarki</w:t>
      </w:r>
    </w:p>
    <w:p w14:paraId="092033FE" w14:textId="2DFBA4F6" w:rsidR="007C4506" w:rsidRPr="00AF7348" w:rsidRDefault="2BEAD5F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Nadrzędnym </w:t>
      </w:r>
      <w:r w:rsidR="00535081">
        <w:rPr>
          <w:rFonts w:ascii="Times New Roman" w:eastAsia="Times New Roman" w:hAnsi="Times New Roman" w:cs="Times New Roman"/>
          <w:color w:val="000000" w:themeColor="text1"/>
          <w:sz w:val="24"/>
          <w:szCs w:val="24"/>
          <w:lang w:val="pl-PL"/>
        </w:rPr>
        <w:t>celem</w:t>
      </w:r>
      <w:r w:rsidR="00535081"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tej inwestycji jest zwiększenie liczby terenów inwestycyjnych w Polsce, tj. terenów uzbrojonych/zabudowanych na potrzeby rozwoju przemysłu i przedsiębiorczości. W tym celu w ramach inwestycji powstanie co najmniej 4200 hektarów terenów inwestycyjnych.</w:t>
      </w:r>
    </w:p>
    <w:p w14:paraId="14162CB9" w14:textId="77777777" w:rsidR="007C4506" w:rsidRPr="00AF7348" w:rsidRDefault="2BEAD5F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Inwestycje obejmą: (i) scalanie gruntów oraz - w wyjątkowych przypadkach - ich nabywanie, (ii) budowę niezbędnej infrastruktury, w tym budowę obiektów umożliwiających przedsiębiorstwom prowadzenie działalności, (iii) budowę infrastruktury komunalnej, a mianowicie przyłączy wodnych, gazowych i energetycznych, (iv) zapewnienie wsparcia technicznego władzom regionalnym i lokalnym. Inwestycje będą realizowane głównie w miastach średniej wielkości, opóźnionych pod względem rozwoju gospodarczego.</w:t>
      </w:r>
    </w:p>
    <w:p w14:paraId="6BCEBA95" w14:textId="18CB6666" w:rsidR="00316A13" w:rsidRPr="00AF7348" w:rsidRDefault="1FA0B6A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działanie to nie spowoduje znaczącej szkody dla celów środowiskowych w rozumieniu art. 17 Rozporządzenia (UE) 2020/852, biorąc pod uwagę opis środków i działań ograniczających określonych w </w:t>
      </w:r>
      <w:r w:rsidR="00444AE9">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444AE9">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444AE9">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444AE9">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444AE9">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dporności zgodnie z Wytycznymi Technicznymi Dotyczącymi Zasady DNSH - Nie Czyń </w:t>
      </w:r>
      <w:r w:rsidR="00176103">
        <w:rPr>
          <w:rFonts w:ascii="Times New Roman" w:eastAsia="Times New Roman" w:hAnsi="Times New Roman" w:cs="Times New Roman"/>
          <w:color w:val="000000" w:themeColor="text1"/>
          <w:sz w:val="24"/>
          <w:szCs w:val="24"/>
          <w:lang w:val="pl-PL"/>
        </w:rPr>
        <w:t>Znaczącej</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176103">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i/>
          <w:iCs/>
          <w:color w:val="000000" w:themeColor="text1"/>
          <w:sz w:val="24"/>
          <w:szCs w:val="24"/>
          <w:lang w:val="pl-PL"/>
        </w:rPr>
        <w:t xml:space="preserve">DNSH Technical </w:t>
      </w:r>
      <w:proofErr w:type="spellStart"/>
      <w:r w:rsidRPr="00AF7348">
        <w:rPr>
          <w:rFonts w:ascii="Times New Roman" w:eastAsia="Times New Roman" w:hAnsi="Times New Roman" w:cs="Times New Roman"/>
          <w:i/>
          <w:iCs/>
          <w:color w:val="000000" w:themeColor="text1"/>
          <w:sz w:val="24"/>
          <w:szCs w:val="24"/>
          <w:lang w:val="pl-PL"/>
        </w:rPr>
        <w:t>Guidance</w:t>
      </w:r>
      <w:proofErr w:type="spellEnd"/>
      <w:r w:rsidRPr="00AF734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Oznacza to między innymi, że:</w:t>
      </w:r>
    </w:p>
    <w:p w14:paraId="3875FA66" w14:textId="5FFA8B47" w:rsidR="00316A13" w:rsidRPr="00AF7348" w:rsidRDefault="27FE394A"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Co najmniej 70% (wagowo) innych niż niebezpieczne odpadów konstrukcyjnych i pochodzących z rozbiórki, wytworzonych na placu budowy, </w:t>
      </w:r>
      <w:r w:rsidR="00444AE9">
        <w:rPr>
          <w:rFonts w:ascii="Times New Roman" w:eastAsia="Times New Roman" w:hAnsi="Times New Roman" w:cs="Times New Roman"/>
          <w:color w:val="000000" w:themeColor="text1"/>
          <w:sz w:val="24"/>
          <w:szCs w:val="24"/>
          <w:lang w:val="pl-PL"/>
        </w:rPr>
        <w:t xml:space="preserve">będzie gotowych </w:t>
      </w:r>
      <w:r w:rsidRPr="00AF7348">
        <w:rPr>
          <w:rFonts w:ascii="Times New Roman" w:eastAsia="Times New Roman" w:hAnsi="Times New Roman" w:cs="Times New Roman"/>
          <w:color w:val="000000" w:themeColor="text1"/>
          <w:sz w:val="24"/>
          <w:szCs w:val="24"/>
          <w:lang w:val="pl-PL"/>
        </w:rPr>
        <w:t>do ponownego wykorzystania, recyklingu czy też innego rodzaju odzysku materiałów, w tym do operacji wypełniania wyrobisk przy użyciu tych odpadów celem zastąpienia innych materiałów, zgodnie z hierarchią postępowania z odpadami oraz Protokołem UE Dotyczącym Gospodarowania Odpadami z Budowy i Rozbiórki</w:t>
      </w:r>
      <w:r w:rsidRPr="00AF7348">
        <w:rPr>
          <w:rStyle w:val="Odwoanieprzypisudolnego"/>
          <w:rFonts w:ascii="Times New Roman" w:eastAsia="Times New Roman" w:hAnsi="Times New Roman" w:cs="Times New Roman"/>
          <w:color w:val="000000" w:themeColor="text1"/>
          <w:sz w:val="24"/>
          <w:szCs w:val="24"/>
          <w:lang w:val="pl-PL"/>
        </w:rPr>
        <w:footnoteReference w:id="2"/>
      </w:r>
      <w:r w:rsidRPr="00AF7348">
        <w:rPr>
          <w:rFonts w:ascii="Times New Roman" w:eastAsia="Times New Roman" w:hAnsi="Times New Roman" w:cs="Times New Roman"/>
          <w:color w:val="000000" w:themeColor="text1"/>
          <w:sz w:val="24"/>
          <w:szCs w:val="24"/>
          <w:lang w:val="pl-PL"/>
        </w:rPr>
        <w:t xml:space="preserve">. </w:t>
      </w:r>
    </w:p>
    <w:p w14:paraId="2D002965" w14:textId="623C07B3" w:rsidR="00316A13" w:rsidRPr="00AF7348" w:rsidRDefault="65C99B5B"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Konstrukcja infrastruktury przesyłowej i dystrybucyjnej paliw gazowych </w:t>
      </w:r>
      <w:r w:rsidR="00444AE9">
        <w:rPr>
          <w:rFonts w:ascii="Times New Roman" w:eastAsia="Times New Roman" w:hAnsi="Times New Roman" w:cs="Times New Roman"/>
          <w:color w:val="000000" w:themeColor="text1"/>
          <w:sz w:val="24"/>
          <w:szCs w:val="24"/>
          <w:lang w:val="pl-PL"/>
        </w:rPr>
        <w:t>będzie</w:t>
      </w:r>
      <w:r w:rsidRPr="00AF7348">
        <w:rPr>
          <w:rFonts w:ascii="Times New Roman" w:eastAsia="Times New Roman" w:hAnsi="Times New Roman" w:cs="Times New Roman"/>
          <w:color w:val="000000" w:themeColor="text1"/>
          <w:sz w:val="24"/>
          <w:szCs w:val="24"/>
          <w:lang w:val="pl-PL"/>
        </w:rPr>
        <w:t xml:space="preserve"> umożliwiać </w:t>
      </w:r>
      <w:r w:rsidR="00176103">
        <w:rPr>
          <w:rFonts w:ascii="Times New Roman" w:eastAsia="Times New Roman" w:hAnsi="Times New Roman" w:cs="Times New Roman"/>
          <w:color w:val="000000" w:themeColor="text1"/>
          <w:sz w:val="24"/>
          <w:szCs w:val="24"/>
          <w:lang w:val="pl-PL"/>
        </w:rPr>
        <w:t xml:space="preserve">w czasie budowy </w:t>
      </w:r>
      <w:r w:rsidRPr="00AF7348">
        <w:rPr>
          <w:rFonts w:ascii="Times New Roman" w:eastAsia="Times New Roman" w:hAnsi="Times New Roman" w:cs="Times New Roman"/>
          <w:color w:val="000000" w:themeColor="text1"/>
          <w:sz w:val="24"/>
          <w:szCs w:val="24"/>
          <w:lang w:val="pl-PL"/>
        </w:rPr>
        <w:t xml:space="preserve">transport gazów odnawialnych i niskoemisyjnych. </w:t>
      </w:r>
    </w:p>
    <w:p w14:paraId="61084C5B" w14:textId="4A2543F3" w:rsidR="007C4506" w:rsidRPr="00AF7348" w:rsidRDefault="04CC32C7"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Konstrukcja nowych budynków </w:t>
      </w:r>
      <w:r w:rsidR="00D62012">
        <w:rPr>
          <w:rFonts w:ascii="Times New Roman" w:eastAsia="Times New Roman" w:hAnsi="Times New Roman" w:cs="Times New Roman"/>
          <w:color w:val="000000" w:themeColor="text1"/>
          <w:sz w:val="24"/>
          <w:szCs w:val="24"/>
          <w:lang w:val="pl-PL"/>
        </w:rPr>
        <w:t>będzie</w:t>
      </w:r>
      <w:r w:rsidRPr="00AF7348">
        <w:rPr>
          <w:rFonts w:ascii="Times New Roman" w:eastAsia="Times New Roman" w:hAnsi="Times New Roman" w:cs="Times New Roman"/>
          <w:color w:val="000000" w:themeColor="text1"/>
          <w:sz w:val="24"/>
          <w:szCs w:val="24"/>
          <w:lang w:val="pl-PL"/>
        </w:rPr>
        <w:t xml:space="preserve"> zgodna z </w:t>
      </w:r>
      <w:r w:rsidR="00176103">
        <w:rPr>
          <w:rFonts w:ascii="Times New Roman" w:eastAsia="Times New Roman" w:hAnsi="Times New Roman" w:cs="Times New Roman"/>
          <w:color w:val="000000" w:themeColor="text1"/>
          <w:sz w:val="24"/>
          <w:szCs w:val="24"/>
          <w:lang w:val="pl-PL"/>
        </w:rPr>
        <w:t>założeniami</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budynków o niemal zerowym zużyciu energii, określon</w:t>
      </w:r>
      <w:r w:rsidR="00176103">
        <w:rPr>
          <w:rFonts w:ascii="Times New Roman" w:eastAsia="Times New Roman" w:hAnsi="Times New Roman" w:cs="Times New Roman"/>
          <w:color w:val="000000" w:themeColor="text1"/>
          <w:sz w:val="24"/>
          <w:szCs w:val="24"/>
          <w:lang w:val="pl-PL"/>
        </w:rPr>
        <w:t>ymi</w:t>
      </w:r>
      <w:r w:rsidRPr="00AF7348">
        <w:rPr>
          <w:rFonts w:ascii="Times New Roman" w:eastAsia="Times New Roman" w:hAnsi="Times New Roman" w:cs="Times New Roman"/>
          <w:color w:val="000000" w:themeColor="text1"/>
          <w:sz w:val="24"/>
          <w:szCs w:val="24"/>
          <w:lang w:val="pl-PL"/>
        </w:rPr>
        <w:t xml:space="preserve"> w Dyrektywie dotyczącej charakterystyki energetycznej budynków (</w:t>
      </w:r>
      <w:r w:rsidRPr="00AF7348">
        <w:rPr>
          <w:rFonts w:ascii="Times New Roman" w:eastAsia="Times New Roman" w:hAnsi="Times New Roman" w:cs="Times New Roman"/>
          <w:i/>
          <w:iCs/>
          <w:color w:val="000000" w:themeColor="text1"/>
          <w:sz w:val="24"/>
          <w:szCs w:val="24"/>
          <w:lang w:val="pl-PL"/>
        </w:rPr>
        <w:t>Dyrektywa 2018/844/UE</w:t>
      </w:r>
      <w:r w:rsidRPr="00AF7348">
        <w:rPr>
          <w:rFonts w:ascii="Times New Roman" w:eastAsia="Times New Roman" w:hAnsi="Times New Roman" w:cs="Times New Roman"/>
          <w:color w:val="000000" w:themeColor="text1"/>
          <w:sz w:val="24"/>
          <w:szCs w:val="24"/>
          <w:lang w:val="pl-PL"/>
        </w:rPr>
        <w:t>).</w:t>
      </w:r>
    </w:p>
    <w:p w14:paraId="0B55D30C" w14:textId="65209544" w:rsidR="007C4506" w:rsidRPr="00AF7348" w:rsidRDefault="2D764722" w:rsidP="004E5B4E">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Kryteria kwalifikowalności </w:t>
      </w:r>
      <w:r w:rsidR="00176103">
        <w:rPr>
          <w:rFonts w:ascii="Times New Roman" w:eastAsia="Times New Roman" w:hAnsi="Times New Roman" w:cs="Times New Roman"/>
          <w:color w:val="000000" w:themeColor="text1"/>
          <w:sz w:val="24"/>
          <w:szCs w:val="24"/>
          <w:lang w:val="pl-PL"/>
        </w:rPr>
        <w:t xml:space="preserve">dla </w:t>
      </w:r>
      <w:r w:rsidRPr="00AF7348">
        <w:rPr>
          <w:rFonts w:ascii="Times New Roman" w:eastAsia="Times New Roman" w:hAnsi="Times New Roman" w:cs="Times New Roman"/>
          <w:color w:val="000000" w:themeColor="text1"/>
          <w:sz w:val="24"/>
          <w:szCs w:val="24"/>
          <w:lang w:val="pl-PL"/>
        </w:rPr>
        <w:t>projektów</w:t>
      </w:r>
      <w:r w:rsidR="00176103">
        <w:rPr>
          <w:rFonts w:ascii="Times New Roman" w:eastAsia="Times New Roman" w:hAnsi="Times New Roman" w:cs="Times New Roman"/>
          <w:color w:val="000000" w:themeColor="text1"/>
          <w:sz w:val="24"/>
          <w:szCs w:val="24"/>
          <w:lang w:val="pl-PL"/>
        </w:rPr>
        <w:t xml:space="preserve"> realizowanych na </w:t>
      </w:r>
      <w:r w:rsidRPr="00AF7348">
        <w:rPr>
          <w:rFonts w:ascii="Times New Roman" w:eastAsia="Times New Roman" w:hAnsi="Times New Roman" w:cs="Times New Roman"/>
          <w:color w:val="000000" w:themeColor="text1"/>
          <w:sz w:val="24"/>
          <w:szCs w:val="24"/>
          <w:lang w:val="pl-PL"/>
        </w:rPr>
        <w:t>teren</w:t>
      </w:r>
      <w:r w:rsidR="00176103">
        <w:rPr>
          <w:rFonts w:ascii="Times New Roman" w:eastAsia="Times New Roman" w:hAnsi="Times New Roman" w:cs="Times New Roman"/>
          <w:color w:val="000000" w:themeColor="text1"/>
          <w:sz w:val="24"/>
          <w:szCs w:val="24"/>
          <w:lang w:val="pl-PL"/>
        </w:rPr>
        <w:t>ach</w:t>
      </w:r>
      <w:r w:rsidRPr="00AF7348">
        <w:rPr>
          <w:rFonts w:ascii="Times New Roman" w:eastAsia="Times New Roman" w:hAnsi="Times New Roman" w:cs="Times New Roman"/>
          <w:color w:val="000000" w:themeColor="text1"/>
          <w:sz w:val="24"/>
          <w:szCs w:val="24"/>
          <w:lang w:val="pl-PL"/>
        </w:rPr>
        <w:t xml:space="preserve"> inwestycyjnych, wykluczają następującą listę działań (i) działalność związaną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3"/>
      </w:r>
      <w:r w:rsidRPr="00AF7348">
        <w:rPr>
          <w:rFonts w:ascii="Times New Roman" w:eastAsia="Times New Roman" w:hAnsi="Times New Roman" w:cs="Times New Roman"/>
          <w:color w:val="000000" w:themeColor="text1"/>
          <w:sz w:val="24"/>
          <w:szCs w:val="24"/>
          <w:lang w:val="pl-PL"/>
        </w:rPr>
        <w:t>, (ii) działalność w ramach unijnego systemu handlu emisjami (ETS) prowadzącą do prognozowanych emisji gazów cieplarnianych równych lub wyższych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4"/>
      </w:r>
      <w:r w:rsidRPr="00AF7348">
        <w:rPr>
          <w:rFonts w:ascii="Times New Roman" w:eastAsia="Times New Roman" w:hAnsi="Times New Roman" w:cs="Times New Roman"/>
          <w:color w:val="000000" w:themeColor="text1"/>
          <w:sz w:val="24"/>
          <w:szCs w:val="24"/>
          <w:lang w:val="pl-PL"/>
        </w:rPr>
        <w:t>; (iii) działalność związaną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5"/>
      </w:r>
      <w:r w:rsidRPr="00AF7348">
        <w:rPr>
          <w:rFonts w:ascii="Times New Roman" w:eastAsia="Times New Roman" w:hAnsi="Times New Roman" w:cs="Times New Roman"/>
          <w:color w:val="000000" w:themeColor="text1"/>
          <w:sz w:val="24"/>
          <w:szCs w:val="24"/>
          <w:lang w:val="pl-PL"/>
        </w:rPr>
        <w:t xml:space="preserve"> oraz zakładami mechaniczno-biologicznego </w:t>
      </w:r>
      <w:r w:rsidRPr="00AF7348">
        <w:rPr>
          <w:rFonts w:ascii="Times New Roman" w:eastAsia="Times New Roman" w:hAnsi="Times New Roman" w:cs="Times New Roman"/>
          <w:color w:val="000000" w:themeColor="text1"/>
          <w:sz w:val="24"/>
          <w:szCs w:val="24"/>
          <w:lang w:val="pl-PL"/>
        </w:rPr>
        <w:lastRenderedPageBreak/>
        <w:t>przetwarzania odpadów</w:t>
      </w:r>
      <w:r w:rsidRPr="00AF7348">
        <w:rPr>
          <w:rStyle w:val="Odwoanieprzypisudolnego"/>
          <w:rFonts w:ascii="Times New Roman" w:eastAsia="Times New Roman" w:hAnsi="Times New Roman" w:cs="Times New Roman"/>
          <w:color w:val="000000" w:themeColor="text1"/>
          <w:sz w:val="24"/>
          <w:szCs w:val="24"/>
          <w:lang w:val="pl-PL"/>
        </w:rPr>
        <w:footnoteReference w:id="6"/>
      </w:r>
      <w:r w:rsidRPr="00AF7348">
        <w:rPr>
          <w:rFonts w:ascii="Times New Roman" w:eastAsia="Times New Roman" w:hAnsi="Times New Roman" w:cs="Times New Roman"/>
          <w:color w:val="000000" w:themeColor="text1"/>
          <w:sz w:val="24"/>
          <w:szCs w:val="24"/>
          <w:lang w:val="pl-PL"/>
        </w:rPr>
        <w:t>; oraz (iv) działalność, podczas której długotrwał</w:t>
      </w:r>
      <w:r w:rsidR="00176103">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unieszkodliwiani</w:t>
      </w:r>
      <w:r w:rsidR="00176103">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odpadów może powodować szkody dla środowiska. Zakres zadań wymaga ponadto, aby wybierane były tylko te rodzaje działalności, które są zgodne z odpowiednimi przepisami unijnymi i krajowymi dotyczącymi ochrony środowiska. </w:t>
      </w:r>
    </w:p>
    <w:p w14:paraId="5A3E24E6" w14:textId="6E9986BB" w:rsidR="007C4506" w:rsidRPr="00AF7348" w:rsidRDefault="1AAEAFBE" w:rsidP="004E5B4E">
      <w:pPr>
        <w:pStyle w:val="Normal0"/>
        <w:numPr>
          <w:ilvl w:val="0"/>
          <w:numId w:val="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Docelowo, tereny inwestycyjne zapewnią odpowiednie zabezpieczenia, aby uniknąć szkód wyrządzanych różnorodności biologicznej. W szczególności ustanowienie terenów inwestycyjnych odbywa</w:t>
      </w:r>
      <w:r w:rsidR="00D62012">
        <w:rPr>
          <w:rFonts w:ascii="Times New Roman" w:eastAsia="Times New Roman" w:hAnsi="Times New Roman" w:cs="Times New Roman"/>
          <w:color w:val="000000" w:themeColor="text1"/>
          <w:sz w:val="24"/>
          <w:szCs w:val="24"/>
          <w:lang w:val="pl-PL"/>
        </w:rPr>
        <w:t>ć</w:t>
      </w:r>
      <w:r w:rsidRPr="00AF7348">
        <w:rPr>
          <w:rFonts w:ascii="Times New Roman" w:eastAsia="Times New Roman" w:hAnsi="Times New Roman" w:cs="Times New Roman"/>
          <w:color w:val="000000" w:themeColor="text1"/>
          <w:sz w:val="24"/>
          <w:szCs w:val="24"/>
          <w:lang w:val="pl-PL"/>
        </w:rPr>
        <w:t xml:space="preserve"> się </w:t>
      </w:r>
      <w:r w:rsidR="00D62012">
        <w:rPr>
          <w:rFonts w:ascii="Times New Roman" w:eastAsia="Times New Roman" w:hAnsi="Times New Roman" w:cs="Times New Roman"/>
          <w:color w:val="000000" w:themeColor="text1"/>
          <w:sz w:val="24"/>
          <w:szCs w:val="24"/>
          <w:lang w:val="pl-PL"/>
        </w:rPr>
        <w:t xml:space="preserve">będzie </w:t>
      </w:r>
      <w:r w:rsidRPr="00AF7348">
        <w:rPr>
          <w:rFonts w:ascii="Times New Roman" w:eastAsia="Times New Roman" w:hAnsi="Times New Roman" w:cs="Times New Roman"/>
          <w:color w:val="000000" w:themeColor="text1"/>
          <w:sz w:val="24"/>
          <w:szCs w:val="24"/>
          <w:lang w:val="pl-PL"/>
        </w:rPr>
        <w:t xml:space="preserve">w pełnej zgodności z Dyrektywą OOŚ </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i/>
          <w:iCs/>
          <w:color w:val="000000" w:themeColor="text1"/>
          <w:lang w:val="pl-PL"/>
        </w:rPr>
        <w:t>Dyrektywa 2014/52/UE</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color w:val="000000" w:themeColor="text1"/>
          <w:sz w:val="24"/>
          <w:szCs w:val="24"/>
          <w:lang w:val="pl-PL"/>
        </w:rPr>
        <w:t xml:space="preserve"> Dyrektywą Siedliskową </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i/>
          <w:iCs/>
          <w:color w:val="000000" w:themeColor="text1"/>
          <w:lang w:val="pl-PL"/>
        </w:rPr>
        <w:t>Dyrektywa 92/43/EWG</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color w:val="000000" w:themeColor="text1"/>
          <w:sz w:val="24"/>
          <w:szCs w:val="24"/>
          <w:lang w:val="pl-PL"/>
        </w:rPr>
        <w:t xml:space="preserve"> oraz Dyrektywą Ptasią </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i/>
          <w:iCs/>
          <w:color w:val="000000" w:themeColor="text1"/>
          <w:lang w:val="pl-PL"/>
        </w:rPr>
        <w:t>Dyrektywa 2009/147/WE</w:t>
      </w:r>
      <w:r w:rsidRPr="00AF7348">
        <w:rPr>
          <w:rFonts w:ascii="Times New Roman" w:eastAsia="Times New Roman" w:hAnsi="Times New Roman" w:cs="Times New Roman"/>
          <w:color w:val="000000" w:themeColor="text1"/>
          <w:lang w:val="pl-PL"/>
        </w:rPr>
        <w:t>)</w:t>
      </w:r>
      <w:r w:rsidRPr="00AF7348">
        <w:rPr>
          <w:rFonts w:ascii="Times New Roman" w:eastAsia="Times New Roman" w:hAnsi="Times New Roman" w:cs="Times New Roman"/>
          <w:color w:val="000000" w:themeColor="text1"/>
          <w:sz w:val="24"/>
          <w:szCs w:val="24"/>
          <w:lang w:val="pl-PL"/>
        </w:rPr>
        <w:t xml:space="preserve">. </w:t>
      </w:r>
    </w:p>
    <w:p w14:paraId="144F41AF" w14:textId="77777777" w:rsidR="007C4506" w:rsidRPr="00AF7348" w:rsidRDefault="3B2F9BC6"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0D0B940D"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F261F2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A1.3 Reforma planowania i zagospodarowania przestrzennego</w:t>
      </w:r>
    </w:p>
    <w:p w14:paraId="44B8E70C" w14:textId="2E0B3E8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celem reformy jest stworzenie stabilnego i przewidywalnego klimatu inwestycyjnego dla sektora budowlanego, a także walka z niekontrolowanym rozprzestrzenianiem się zabudowy na obszarach podmiejskich, zwłaszcza w największych miastach. Aby to osiągnąć reforma ma </w:t>
      </w:r>
      <w:r w:rsidR="00176103">
        <w:rPr>
          <w:rFonts w:ascii="Times New Roman" w:eastAsia="Times New Roman" w:hAnsi="Times New Roman" w:cs="Times New Roman"/>
          <w:color w:val="000000" w:themeColor="text1"/>
          <w:sz w:val="24"/>
          <w:szCs w:val="24"/>
          <w:lang w:val="pl-PL"/>
        </w:rPr>
        <w:t>na celu</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(i) usprawnić istniejące przepisy i poprawić ramy prawne dotyczące planowania przestrzennego na szczeblu gminnym; (ii) stworzyć przejrzyste i klarowne zasady zagospodarowania przestrzennego na szczeblu gminnym, w szczególności poprzez zapewnienie dostępu do zrozumiałych, podanych w formie elektronicznej i wiarygodnych informacji o zagospodarowaniu przestrzennym w gminach; (iii) zwiększyć udział zainteresowanych stron i partnerów społecznych w opracowywaniu gminnych planów ogólnych.</w:t>
      </w:r>
    </w:p>
    <w:p w14:paraId="74E6925F" w14:textId="250B826B"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ma polegać na przyjęciu nowej ustawy o planowaniu przestrzennym. Ustawa ta, między innymi: (i) wprowadzi wymóg przygotowania i przyjęcia przez wszystkie gminy długoterminowej strategii związanej z zagospodarowaniem przestrzennym na ich terenie; (ii) wprowadzi wymóg przygotowania i przyjęcia przez wszystkie gminy ogólnych planów zagospodarowania przestrzennego, przekształconych następnie w akty prawa miejscowego, określających ogólne zasady zabudowy na terenie gminy, oraz opartych na długoterminowej strategii gminy związanej z zagospodarowaniem przestrzennym; (iii) wprowadzi wymóg, który zobowiąże inwestorów do realizacji dodatkowych projektów na rzecz gminy przy realizacji nowych projektów deweloperskich, co ma na celu m.in. ograniczenie rozwoju budownictwa mieszkaniowego bez wystarczającej oferty usługowej</w:t>
      </w:r>
      <w:r w:rsidR="00D37DF9">
        <w:rPr>
          <w:rFonts w:ascii="Times New Roman" w:eastAsia="Times New Roman" w:hAnsi="Times New Roman" w:cs="Times New Roman"/>
          <w:color w:val="000000" w:themeColor="text1"/>
          <w:sz w:val="24"/>
          <w:szCs w:val="24"/>
          <w:lang w:val="pl-PL"/>
        </w:rPr>
        <w:t xml:space="preserve"> (np. sklepy)</w:t>
      </w:r>
      <w:r w:rsidRPr="00AF7348">
        <w:rPr>
          <w:rFonts w:ascii="Times New Roman" w:eastAsia="Times New Roman" w:hAnsi="Times New Roman" w:cs="Times New Roman"/>
          <w:color w:val="000000" w:themeColor="text1"/>
          <w:sz w:val="24"/>
          <w:szCs w:val="24"/>
          <w:lang w:val="pl-PL"/>
        </w:rPr>
        <w:t>; (iv) określi proces, w ramach którego zainteresowane strony mogą uczestniczyć w opracowywaniu strategii i planów ogólnych w gminach.</w:t>
      </w:r>
    </w:p>
    <w:p w14:paraId="2D2050E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marca 2023 roku.</w:t>
      </w:r>
    </w:p>
    <w:p w14:paraId="0E27B00A" w14:textId="77777777" w:rsidR="005E03A6" w:rsidRPr="00AF7348" w:rsidRDefault="005E03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6BB8E3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A1.3.1 Wdrożenie reformy planowania i zagospodarowania przestrzennego</w:t>
      </w:r>
    </w:p>
    <w:p w14:paraId="34C0C2E3" w14:textId="00698474" w:rsidR="007C4506" w:rsidRPr="00AF7348" w:rsidRDefault="14317EC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ma </w:t>
      </w:r>
      <w:r w:rsidR="00176103">
        <w:rPr>
          <w:rFonts w:ascii="Times New Roman" w:eastAsia="Times New Roman" w:hAnsi="Times New Roman" w:cs="Times New Roman"/>
          <w:color w:val="000000" w:themeColor="text1"/>
          <w:sz w:val="24"/>
          <w:szCs w:val="24"/>
          <w:lang w:val="pl-PL"/>
        </w:rPr>
        <w:t>na celu</w:t>
      </w:r>
      <w:r w:rsidRPr="00AF7348">
        <w:rPr>
          <w:rFonts w:ascii="Times New Roman" w:eastAsia="Times New Roman" w:hAnsi="Times New Roman" w:cs="Times New Roman"/>
          <w:color w:val="000000" w:themeColor="text1"/>
          <w:sz w:val="24"/>
          <w:szCs w:val="24"/>
          <w:lang w:val="pl-PL"/>
        </w:rPr>
        <w:t xml:space="preserve"> wsparcie wdrażania reformy planowania przestrzennego, określonej w reformie A.1.3 komponentu A. Celem inwestycji jest zapewnienie wsparcia dla gmin w </w:t>
      </w:r>
      <w:r w:rsidRPr="00AF7348">
        <w:rPr>
          <w:rFonts w:ascii="Times New Roman" w:eastAsia="Times New Roman" w:hAnsi="Times New Roman" w:cs="Times New Roman"/>
          <w:color w:val="000000" w:themeColor="text1"/>
          <w:sz w:val="24"/>
          <w:szCs w:val="24"/>
          <w:lang w:val="pl-PL"/>
        </w:rPr>
        <w:lastRenderedPageBreak/>
        <w:t xml:space="preserve">zakresie przygotowania strategii rozwoju oraz ogólnych planów zagospodarowania przestrzennego, tak aby wszystkie gminy w Polsce przyjęły nowe ogólne plany zagospodarowania przestrzennego. Inwestycja składa się z trzech rodzajów działań: (i) zapewnienie wsparcia technicznego w zakresie przygotowania planów zagospodarowania przestrzennego; (ii) zapewnienie gminom materiałów edukacyjnych (takich jak webinaria i podręczniki); (iii) zapewnienie ukierunkowanych szkoleń dla planistów zaangażowanych w opracowywanie planów ogólnych w gminach, z myślą o przeszkoleniu co najmniej 1700 pracowników. </w:t>
      </w:r>
    </w:p>
    <w:p w14:paraId="7AE89B59" w14:textId="2AD08AC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60061E4C"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6F7E985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A1.4 Reforma na rzecz poprawienia warunków konkurencyjności i ochrony producentów/konsumentów w sektorze rolnym</w:t>
      </w:r>
      <w:r w:rsidRPr="00AF7348">
        <w:rPr>
          <w:rFonts w:ascii="Times New Roman" w:eastAsia="Times New Roman" w:hAnsi="Times New Roman" w:cs="Times New Roman"/>
          <w:b/>
          <w:bCs/>
          <w:color w:val="000000"/>
          <w:sz w:val="24"/>
          <w:szCs w:val="24"/>
          <w:lang w:val="pl-PL"/>
        </w:rPr>
        <w:t xml:space="preserve"> </w:t>
      </w:r>
    </w:p>
    <w:p w14:paraId="596AE543" w14:textId="6819F4C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celem reformy jest wzmocnienie pozycji konsumentów i producentów w łańcuchu dostaw produktów rolno-spożywczych z myślą o zwiększeniu inwestycji i poprawie odporności wszystkich podmiotów sektora rolno-spożywczego, w szczególności MŚP i drobnych producentów. Aby to osiągnąć reforma ma </w:t>
      </w:r>
      <w:r w:rsidR="00176103">
        <w:rPr>
          <w:rFonts w:ascii="Times New Roman" w:eastAsia="Times New Roman" w:hAnsi="Times New Roman" w:cs="Times New Roman"/>
          <w:color w:val="000000" w:themeColor="text1"/>
          <w:sz w:val="24"/>
          <w:szCs w:val="24"/>
          <w:lang w:val="pl-PL"/>
        </w:rPr>
        <w:t>na celu</w:t>
      </w:r>
      <w:r w:rsidRPr="00AF7348">
        <w:rPr>
          <w:rFonts w:ascii="Times New Roman" w:eastAsia="Times New Roman" w:hAnsi="Times New Roman" w:cs="Times New Roman"/>
          <w:color w:val="000000" w:themeColor="text1"/>
          <w:sz w:val="24"/>
          <w:szCs w:val="24"/>
          <w:lang w:val="pl-PL"/>
        </w:rPr>
        <w:t>: (i) stworz</w:t>
      </w:r>
      <w:r w:rsidR="00176103">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w:t>
      </w:r>
      <w:r w:rsidR="00176103">
        <w:rPr>
          <w:rFonts w:ascii="Times New Roman" w:eastAsia="Times New Roman" w:hAnsi="Times New Roman" w:cs="Times New Roman"/>
          <w:color w:val="000000" w:themeColor="text1"/>
          <w:sz w:val="24"/>
          <w:szCs w:val="24"/>
          <w:lang w:val="pl-PL"/>
        </w:rPr>
        <w:t>zbioru</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zasad i dobrych praktyk w relacjach wertykalnych w łańcuchu dostaw produktów rolno-spożywczych; (ii) udoskonal</w:t>
      </w:r>
      <w:r w:rsidR="00176103">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system</w:t>
      </w:r>
      <w:r w:rsidR="00176103">
        <w:rPr>
          <w:rFonts w:ascii="Times New Roman" w:eastAsia="Times New Roman" w:hAnsi="Times New Roman" w:cs="Times New Roman"/>
          <w:color w:val="000000" w:themeColor="text1"/>
          <w:sz w:val="24"/>
          <w:szCs w:val="24"/>
          <w:lang w:val="pl-PL"/>
        </w:rPr>
        <w:t>u</w:t>
      </w:r>
      <w:r w:rsidRPr="00AF7348">
        <w:rPr>
          <w:rFonts w:ascii="Times New Roman" w:eastAsia="Times New Roman" w:hAnsi="Times New Roman" w:cs="Times New Roman"/>
          <w:color w:val="000000" w:themeColor="text1"/>
          <w:sz w:val="24"/>
          <w:szCs w:val="24"/>
          <w:lang w:val="pl-PL"/>
        </w:rPr>
        <w:t xml:space="preserve"> egzekwowania umów w sektorze rolno-spożywczym, aby zapobiec wykorzystywaniu przewagi kontraktowej; oraz (iii) zwiększ</w:t>
      </w:r>
      <w:r w:rsidR="00176103">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przejrzystość rynku.</w:t>
      </w:r>
    </w:p>
    <w:p w14:paraId="13D07B45" w14:textId="77777777" w:rsidR="007C4506" w:rsidRPr="00AF7348" w:rsidRDefault="00B31839" w:rsidP="625DFE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Reforma obejmie nową ustawę o zwalczaniu nieuczciwego wykorzystywania przewagi kontraktowej w sektorze rolno-spożywczym, która wykracza poza Dyrektywę w sprawie nieuczciwych praktyk handlowych 2019/633. Reforma: </w:t>
      </w:r>
    </w:p>
    <w:p w14:paraId="0D41D984" w14:textId="068DFB56" w:rsidR="007C4506" w:rsidRPr="00AF7348" w:rsidRDefault="3E139247" w:rsidP="004E5B4E">
      <w:pPr>
        <w:pStyle w:val="Normal0"/>
        <w:numPr>
          <w:ilvl w:val="0"/>
          <w:numId w:val="20"/>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Oprócz listy nieuczciwych praktyk handlowych określonych w Dyrektywie 2019/633, wprowadzi ogólną definicję nieuczciwych praktyk handlowych. W szczególności, praktyki handlowe będą uznawane przez Urząd Ochrony Konkurencji i Konsumentów (UOKiK) za nieuczciwe, jeżeli (i) są sprzeczne z wymaganiami dotyczącymi dobrych praktyk handlowych; (ii) w istotny sposób naruszają lub mogą naruszyć interesy innych stron umowy. </w:t>
      </w:r>
    </w:p>
    <w:p w14:paraId="0D24AE66" w14:textId="46D1187D" w:rsidR="007C4506" w:rsidRPr="00AF7348" w:rsidRDefault="00176103" w:rsidP="004E5B4E">
      <w:pPr>
        <w:pStyle w:val="Normal0"/>
        <w:numPr>
          <w:ilvl w:val="0"/>
          <w:numId w:val="20"/>
        </w:numPr>
        <w:pBdr>
          <w:top w:val="nil"/>
          <w:left w:val="nil"/>
          <w:bottom w:val="nil"/>
          <w:right w:val="nil"/>
          <w:between w:val="nil"/>
        </w:pBdr>
        <w:spacing w:before="120" w:after="120" w:line="240" w:lineRule="auto"/>
        <w:jc w:val="both"/>
        <w:rPr>
          <w:rFonts w:ascii="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Będzie c</w:t>
      </w:r>
      <w:r w:rsidR="5D4892F3" w:rsidRPr="00AF7348">
        <w:rPr>
          <w:rFonts w:ascii="Times New Roman" w:eastAsia="Times New Roman" w:hAnsi="Times New Roman" w:cs="Times New Roman"/>
          <w:color w:val="000000" w:themeColor="text1"/>
          <w:sz w:val="24"/>
          <w:szCs w:val="24"/>
          <w:lang w:val="pl-PL"/>
        </w:rPr>
        <w:t>hroni</w:t>
      </w:r>
      <w:r>
        <w:rPr>
          <w:rFonts w:ascii="Times New Roman" w:eastAsia="Times New Roman" w:hAnsi="Times New Roman" w:cs="Times New Roman"/>
          <w:color w:val="000000" w:themeColor="text1"/>
          <w:sz w:val="24"/>
          <w:szCs w:val="24"/>
          <w:lang w:val="pl-PL"/>
        </w:rPr>
        <w:t>ć</w:t>
      </w:r>
      <w:r w:rsidR="5D4892F3" w:rsidRPr="00AF7348">
        <w:rPr>
          <w:rFonts w:ascii="Times New Roman" w:eastAsia="Times New Roman" w:hAnsi="Times New Roman" w:cs="Times New Roman"/>
          <w:color w:val="000000" w:themeColor="text1"/>
          <w:sz w:val="24"/>
          <w:szCs w:val="24"/>
          <w:lang w:val="pl-PL"/>
        </w:rPr>
        <w:t xml:space="preserve"> wszystkie podmioty handlowe, w tym nabywców produktów rolnych i spożywczych. </w:t>
      </w:r>
    </w:p>
    <w:p w14:paraId="5330F3D7" w14:textId="38E256BF"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Reforma obejmie również sporządzenie śródokresowego przeglądu nowego prawa, któr</w:t>
      </w:r>
      <w:r w:rsidR="00CA7BCC">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powin</w:t>
      </w:r>
      <w:r w:rsidR="00CA7BCC">
        <w:rPr>
          <w:rFonts w:ascii="Times New Roman" w:eastAsia="Times New Roman" w:hAnsi="Times New Roman" w:cs="Times New Roman"/>
          <w:color w:val="000000" w:themeColor="text1"/>
          <w:sz w:val="24"/>
          <w:szCs w:val="24"/>
          <w:lang w:val="pl-PL"/>
        </w:rPr>
        <w:t>no</w:t>
      </w:r>
      <w:r w:rsidRPr="00AF7348">
        <w:rPr>
          <w:rFonts w:ascii="Times New Roman" w:eastAsia="Times New Roman" w:hAnsi="Times New Roman" w:cs="Times New Roman"/>
          <w:color w:val="000000" w:themeColor="text1"/>
          <w:sz w:val="24"/>
          <w:szCs w:val="24"/>
          <w:lang w:val="pl-PL"/>
        </w:rPr>
        <w:t xml:space="preserve"> zawierać ocenę, czy osiągnięto założone cele, oraz określać kierunki działań mających na celu rozwiązanie potencjalnych problemów związanych z wdrożeniem</w:t>
      </w:r>
      <w:r w:rsidR="00CA7BCC">
        <w:rPr>
          <w:rFonts w:ascii="Times New Roman" w:eastAsia="Times New Roman" w:hAnsi="Times New Roman" w:cs="Times New Roman"/>
          <w:color w:val="000000" w:themeColor="text1"/>
          <w:sz w:val="24"/>
          <w:szCs w:val="24"/>
          <w:lang w:val="pl-PL"/>
        </w:rPr>
        <w:t xml:space="preserve"> tego prawa</w:t>
      </w:r>
      <w:r w:rsidRPr="00AF7348">
        <w:rPr>
          <w:rFonts w:ascii="Times New Roman" w:eastAsia="Times New Roman" w:hAnsi="Times New Roman" w:cs="Times New Roman"/>
          <w:color w:val="000000" w:themeColor="text1"/>
          <w:sz w:val="24"/>
          <w:szCs w:val="24"/>
          <w:lang w:val="pl-PL"/>
        </w:rPr>
        <w:t xml:space="preserve">. </w:t>
      </w:r>
    </w:p>
    <w:p w14:paraId="438DC91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2025 roku.</w:t>
      </w:r>
    </w:p>
    <w:p w14:paraId="7002D965"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950385F" w14:textId="5C3865FE" w:rsidR="007C4506" w:rsidRPr="00AF7348" w:rsidRDefault="148C626A" w:rsidP="1F60146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A1.4.1 Inwestycje na rzecz dywersyfikacji i skracania łańcucha dostaw produktów rolnych i spożywczych oraz budowy odporności podmiotów uczestniczących w łańcuchu</w:t>
      </w:r>
    </w:p>
    <w:p w14:paraId="634BF464" w14:textId="1C3D749A" w:rsidR="007C4506" w:rsidRPr="00AF7348" w:rsidRDefault="1E70FAA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176103">
        <w:rPr>
          <w:rFonts w:ascii="Times New Roman" w:eastAsia="Times New Roman" w:hAnsi="Times New Roman" w:cs="Times New Roman"/>
          <w:color w:val="000000" w:themeColor="text1"/>
          <w:sz w:val="24"/>
          <w:szCs w:val="24"/>
          <w:lang w:val="pl-PL"/>
        </w:rPr>
        <w:t>celem</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tej inwestycji jest zwiększenie konkurencyjności i odporności sektorów rolno-spożywczego i rybołówstwa w Polsce. Aby to osiągnąć inwestycja ma </w:t>
      </w:r>
      <w:r w:rsidR="00176103">
        <w:rPr>
          <w:rFonts w:ascii="Times New Roman" w:eastAsia="Times New Roman" w:hAnsi="Times New Roman" w:cs="Times New Roman"/>
          <w:color w:val="000000" w:themeColor="text1"/>
          <w:sz w:val="24"/>
          <w:szCs w:val="24"/>
          <w:lang w:val="pl-PL"/>
        </w:rPr>
        <w:t>na celu</w:t>
      </w:r>
      <w:r w:rsidRPr="00AF7348">
        <w:rPr>
          <w:rFonts w:ascii="Times New Roman" w:eastAsia="Times New Roman" w:hAnsi="Times New Roman" w:cs="Times New Roman"/>
          <w:color w:val="000000" w:themeColor="text1"/>
          <w:sz w:val="24"/>
          <w:szCs w:val="24"/>
          <w:lang w:val="pl-PL"/>
        </w:rPr>
        <w:t>: (i) wsp</w:t>
      </w:r>
      <w:r w:rsidR="00176103">
        <w:rPr>
          <w:rFonts w:ascii="Times New Roman" w:eastAsia="Times New Roman" w:hAnsi="Times New Roman" w:cs="Times New Roman"/>
          <w:color w:val="000000" w:themeColor="text1"/>
          <w:sz w:val="24"/>
          <w:szCs w:val="24"/>
          <w:lang w:val="pl-PL"/>
        </w:rPr>
        <w:t>arcie</w:t>
      </w:r>
      <w:r w:rsidRPr="00AF7348">
        <w:rPr>
          <w:rFonts w:ascii="Times New Roman" w:eastAsia="Times New Roman" w:hAnsi="Times New Roman" w:cs="Times New Roman"/>
          <w:color w:val="000000" w:themeColor="text1"/>
          <w:sz w:val="24"/>
          <w:szCs w:val="24"/>
          <w:lang w:val="pl-PL"/>
        </w:rPr>
        <w:t xml:space="preserve"> zielon</w:t>
      </w:r>
      <w:r w:rsidR="00176103">
        <w:rPr>
          <w:rFonts w:ascii="Times New Roman" w:eastAsia="Times New Roman" w:hAnsi="Times New Roman" w:cs="Times New Roman"/>
          <w:color w:val="000000" w:themeColor="text1"/>
          <w:sz w:val="24"/>
          <w:szCs w:val="24"/>
          <w:lang w:val="pl-PL"/>
        </w:rPr>
        <w:t>ej</w:t>
      </w:r>
      <w:r w:rsidRPr="00AF7348">
        <w:rPr>
          <w:rFonts w:ascii="Times New Roman" w:eastAsia="Times New Roman" w:hAnsi="Times New Roman" w:cs="Times New Roman"/>
          <w:color w:val="000000" w:themeColor="text1"/>
          <w:sz w:val="24"/>
          <w:szCs w:val="24"/>
          <w:lang w:val="pl-PL"/>
        </w:rPr>
        <w:t xml:space="preserve"> i cyfrow</w:t>
      </w:r>
      <w:r w:rsidR="00176103">
        <w:rPr>
          <w:rFonts w:ascii="Times New Roman" w:eastAsia="Times New Roman" w:hAnsi="Times New Roman" w:cs="Times New Roman"/>
          <w:color w:val="000000" w:themeColor="text1"/>
          <w:sz w:val="24"/>
          <w:szCs w:val="24"/>
          <w:lang w:val="pl-PL"/>
        </w:rPr>
        <w:t>ej</w:t>
      </w:r>
      <w:r w:rsidRPr="00AF7348">
        <w:rPr>
          <w:rFonts w:ascii="Times New Roman" w:eastAsia="Times New Roman" w:hAnsi="Times New Roman" w:cs="Times New Roman"/>
          <w:color w:val="000000" w:themeColor="text1"/>
          <w:sz w:val="24"/>
          <w:szCs w:val="24"/>
          <w:lang w:val="pl-PL"/>
        </w:rPr>
        <w:t xml:space="preserve"> transformacj</w:t>
      </w:r>
      <w:r w:rsidR="00176103">
        <w:rPr>
          <w:rFonts w:ascii="Times New Roman" w:eastAsia="Times New Roman" w:hAnsi="Times New Roman" w:cs="Times New Roman"/>
          <w:color w:val="000000" w:themeColor="text1"/>
          <w:sz w:val="24"/>
          <w:szCs w:val="24"/>
          <w:lang w:val="pl-PL"/>
        </w:rPr>
        <w:t>i</w:t>
      </w:r>
      <w:r w:rsidRPr="00AF7348">
        <w:rPr>
          <w:rFonts w:ascii="Times New Roman" w:eastAsia="Times New Roman" w:hAnsi="Times New Roman" w:cs="Times New Roman"/>
          <w:color w:val="000000" w:themeColor="text1"/>
          <w:sz w:val="24"/>
          <w:szCs w:val="24"/>
          <w:lang w:val="pl-PL"/>
        </w:rPr>
        <w:t xml:space="preserve"> w sektorach rolno-spożywczym i rybołówstwa; (ii) skróc</w:t>
      </w:r>
      <w:r w:rsidR="00176103">
        <w:rPr>
          <w:rFonts w:ascii="Times New Roman" w:eastAsia="Times New Roman" w:hAnsi="Times New Roman" w:cs="Times New Roman"/>
          <w:color w:val="000000" w:themeColor="text1"/>
          <w:sz w:val="24"/>
          <w:szCs w:val="24"/>
          <w:lang w:val="pl-PL"/>
        </w:rPr>
        <w:t>enie</w:t>
      </w:r>
      <w:r w:rsidRPr="00AF7348">
        <w:rPr>
          <w:rFonts w:ascii="Times New Roman" w:eastAsia="Times New Roman" w:hAnsi="Times New Roman" w:cs="Times New Roman"/>
          <w:color w:val="000000" w:themeColor="text1"/>
          <w:sz w:val="24"/>
          <w:szCs w:val="24"/>
          <w:lang w:val="pl-PL"/>
        </w:rPr>
        <w:t xml:space="preserve"> </w:t>
      </w:r>
      <w:r w:rsidR="006B3000">
        <w:rPr>
          <w:rFonts w:ascii="Times New Roman" w:eastAsia="Times New Roman" w:hAnsi="Times New Roman" w:cs="Times New Roman"/>
          <w:color w:val="000000" w:themeColor="text1"/>
          <w:sz w:val="24"/>
          <w:szCs w:val="24"/>
          <w:lang w:val="pl-PL"/>
        </w:rPr>
        <w:t xml:space="preserve">i zbudowanie odporności </w:t>
      </w:r>
      <w:r w:rsidRPr="00AF7348">
        <w:rPr>
          <w:rFonts w:ascii="Times New Roman" w:eastAsia="Times New Roman" w:hAnsi="Times New Roman" w:cs="Times New Roman"/>
          <w:color w:val="000000" w:themeColor="text1"/>
          <w:sz w:val="24"/>
          <w:szCs w:val="24"/>
          <w:lang w:val="pl-PL"/>
        </w:rPr>
        <w:t>łańcuch</w:t>
      </w:r>
      <w:r w:rsidR="00176103">
        <w:rPr>
          <w:rFonts w:ascii="Times New Roman" w:eastAsia="Times New Roman" w:hAnsi="Times New Roman" w:cs="Times New Roman"/>
          <w:color w:val="000000" w:themeColor="text1"/>
          <w:sz w:val="24"/>
          <w:szCs w:val="24"/>
          <w:lang w:val="pl-PL"/>
        </w:rPr>
        <w:t>a</w:t>
      </w:r>
      <w:r w:rsidRPr="00AF7348">
        <w:rPr>
          <w:rFonts w:ascii="Times New Roman" w:eastAsia="Times New Roman" w:hAnsi="Times New Roman" w:cs="Times New Roman"/>
          <w:color w:val="000000" w:themeColor="text1"/>
          <w:sz w:val="24"/>
          <w:szCs w:val="24"/>
          <w:lang w:val="pl-PL"/>
        </w:rPr>
        <w:t xml:space="preserve"> dostaw w sektorach rolno-spożywczym i rybołówstwa oraz akwakultury, w szczególności poprzez wspieranie lokalnych MŚP, drobnych producentów i rybaków; (iii) zapobiega</w:t>
      </w:r>
      <w:r w:rsidR="00176103">
        <w:rPr>
          <w:rFonts w:ascii="Times New Roman" w:eastAsia="Times New Roman" w:hAnsi="Times New Roman" w:cs="Times New Roman"/>
          <w:color w:val="000000" w:themeColor="text1"/>
          <w:sz w:val="24"/>
          <w:szCs w:val="24"/>
          <w:lang w:val="pl-PL"/>
        </w:rPr>
        <w:t>nie</w:t>
      </w:r>
      <w:r w:rsidRPr="00AF7348">
        <w:rPr>
          <w:rFonts w:ascii="Times New Roman" w:eastAsia="Times New Roman" w:hAnsi="Times New Roman" w:cs="Times New Roman"/>
          <w:color w:val="000000" w:themeColor="text1"/>
          <w:sz w:val="24"/>
          <w:szCs w:val="24"/>
          <w:lang w:val="pl-PL"/>
        </w:rPr>
        <w:t xml:space="preserve"> marnotrawieniu żywności oraz zaj</w:t>
      </w:r>
      <w:r w:rsidR="00176103">
        <w:rPr>
          <w:rFonts w:ascii="Times New Roman" w:eastAsia="Times New Roman" w:hAnsi="Times New Roman" w:cs="Times New Roman"/>
          <w:color w:val="000000" w:themeColor="text1"/>
          <w:sz w:val="24"/>
          <w:szCs w:val="24"/>
          <w:lang w:val="pl-PL"/>
        </w:rPr>
        <w:t>ęcie</w:t>
      </w:r>
      <w:r w:rsidRPr="00AF7348">
        <w:rPr>
          <w:rFonts w:ascii="Times New Roman" w:eastAsia="Times New Roman" w:hAnsi="Times New Roman" w:cs="Times New Roman"/>
          <w:color w:val="000000" w:themeColor="text1"/>
          <w:sz w:val="24"/>
          <w:szCs w:val="24"/>
          <w:lang w:val="pl-PL"/>
        </w:rPr>
        <w:t xml:space="preserve"> się tzw. białymi plamami oraz barierami technicznymi związanymi z redystrybucją żywności.</w:t>
      </w:r>
    </w:p>
    <w:p w14:paraId="0DB136C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r w:rsidRPr="00AF7348">
        <w:rPr>
          <w:rFonts w:ascii="Times New Roman" w:eastAsia="Times New Roman" w:hAnsi="Times New Roman" w:cs="Times New Roman"/>
          <w:color w:val="000000"/>
          <w:sz w:val="24"/>
          <w:szCs w:val="24"/>
          <w:lang w:val="pl-PL"/>
        </w:rPr>
        <w:t>Na inwestycję składają się następujące inicjatywy:</w:t>
      </w:r>
    </w:p>
    <w:p w14:paraId="7A1C7060" w14:textId="7D54588B" w:rsidR="007C4506" w:rsidRPr="00AF7348" w:rsidRDefault="0A87BA0A" w:rsidP="004E5B4E">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Budowa oraz modernizacja lokalnych centrów </w:t>
      </w:r>
      <w:proofErr w:type="spellStart"/>
      <w:r w:rsidRPr="00AF7348">
        <w:rPr>
          <w:rFonts w:ascii="Times New Roman" w:eastAsia="Times New Roman" w:hAnsi="Times New Roman" w:cs="Times New Roman"/>
          <w:color w:val="000000" w:themeColor="text1"/>
          <w:sz w:val="24"/>
          <w:szCs w:val="24"/>
          <w:lang w:val="pl-PL"/>
        </w:rPr>
        <w:t>magazynowo-dystrybucyjnych</w:t>
      </w:r>
      <w:proofErr w:type="spellEnd"/>
      <w:r w:rsidRPr="00AF7348">
        <w:rPr>
          <w:rFonts w:ascii="Times New Roman" w:eastAsia="Times New Roman" w:hAnsi="Times New Roman" w:cs="Times New Roman"/>
          <w:color w:val="000000" w:themeColor="text1"/>
          <w:sz w:val="24"/>
          <w:szCs w:val="24"/>
          <w:lang w:val="pl-PL"/>
        </w:rPr>
        <w:t xml:space="preserve">, rynków hurtowych i </w:t>
      </w:r>
      <w:r w:rsidR="006B3000">
        <w:rPr>
          <w:rFonts w:ascii="Times New Roman" w:eastAsia="Times New Roman" w:hAnsi="Times New Roman" w:cs="Times New Roman"/>
          <w:color w:val="000000" w:themeColor="text1"/>
          <w:sz w:val="24"/>
          <w:szCs w:val="24"/>
          <w:lang w:val="pl-PL"/>
        </w:rPr>
        <w:t xml:space="preserve">lokalnych </w:t>
      </w:r>
      <w:r w:rsidRPr="00AF7348">
        <w:rPr>
          <w:rFonts w:ascii="Times New Roman" w:eastAsia="Times New Roman" w:hAnsi="Times New Roman" w:cs="Times New Roman"/>
          <w:color w:val="000000" w:themeColor="text1"/>
          <w:sz w:val="24"/>
          <w:szCs w:val="24"/>
          <w:lang w:val="pl-PL"/>
        </w:rPr>
        <w:t xml:space="preserve">rynków żywności, </w:t>
      </w:r>
      <w:r w:rsidR="006B3000">
        <w:rPr>
          <w:rFonts w:ascii="Times New Roman" w:eastAsia="Times New Roman" w:hAnsi="Times New Roman" w:cs="Times New Roman"/>
          <w:color w:val="000000" w:themeColor="text1"/>
          <w:sz w:val="24"/>
          <w:szCs w:val="24"/>
          <w:lang w:val="pl-PL"/>
        </w:rPr>
        <w:t xml:space="preserve">oraz spółdzielni </w:t>
      </w:r>
      <w:r w:rsidRPr="00AF7348">
        <w:rPr>
          <w:rFonts w:ascii="Times New Roman" w:eastAsia="Times New Roman" w:hAnsi="Times New Roman" w:cs="Times New Roman"/>
          <w:color w:val="000000" w:themeColor="text1"/>
          <w:sz w:val="24"/>
          <w:szCs w:val="24"/>
          <w:lang w:val="pl-PL"/>
        </w:rPr>
        <w:t xml:space="preserve">w tym </w:t>
      </w:r>
      <w:r w:rsidR="006B3000">
        <w:rPr>
          <w:rFonts w:ascii="Times New Roman" w:eastAsia="Times New Roman" w:hAnsi="Times New Roman" w:cs="Times New Roman"/>
          <w:color w:val="000000" w:themeColor="text1"/>
          <w:sz w:val="24"/>
          <w:szCs w:val="24"/>
          <w:lang w:val="pl-PL"/>
        </w:rPr>
        <w:t xml:space="preserve">renowacja lub </w:t>
      </w:r>
      <w:r w:rsidRPr="00AF7348">
        <w:rPr>
          <w:rFonts w:ascii="Times New Roman" w:eastAsia="Times New Roman" w:hAnsi="Times New Roman" w:cs="Times New Roman"/>
          <w:color w:val="000000" w:themeColor="text1"/>
          <w:sz w:val="24"/>
          <w:szCs w:val="24"/>
          <w:lang w:val="pl-PL"/>
        </w:rPr>
        <w:t xml:space="preserve">modernizacja infrastruktury </w:t>
      </w:r>
      <w:r w:rsidR="006B3000">
        <w:rPr>
          <w:rFonts w:ascii="Times New Roman" w:eastAsia="Times New Roman" w:hAnsi="Times New Roman" w:cs="Times New Roman"/>
          <w:color w:val="000000" w:themeColor="text1"/>
          <w:sz w:val="24"/>
          <w:szCs w:val="24"/>
          <w:lang w:val="pl-PL"/>
        </w:rPr>
        <w:t xml:space="preserve">logistycznej i </w:t>
      </w:r>
      <w:r w:rsidRPr="00AF7348">
        <w:rPr>
          <w:rFonts w:ascii="Times New Roman" w:eastAsia="Times New Roman" w:hAnsi="Times New Roman" w:cs="Times New Roman"/>
          <w:color w:val="000000" w:themeColor="text1"/>
          <w:sz w:val="24"/>
          <w:szCs w:val="24"/>
          <w:lang w:val="pl-PL"/>
        </w:rPr>
        <w:t>ICT (technologii informacyjno-telekomunikacyjnych)</w:t>
      </w:r>
      <w:r w:rsidR="006B3000">
        <w:rPr>
          <w:rFonts w:ascii="Times New Roman" w:eastAsia="Times New Roman" w:hAnsi="Times New Roman" w:cs="Times New Roman"/>
          <w:color w:val="000000" w:themeColor="text1"/>
          <w:sz w:val="24"/>
          <w:szCs w:val="24"/>
          <w:lang w:val="pl-PL"/>
        </w:rPr>
        <w:t>, termomodernizacja budynków</w:t>
      </w:r>
      <w:r w:rsidRPr="00AF7348">
        <w:rPr>
          <w:rFonts w:ascii="Times New Roman" w:eastAsia="Times New Roman" w:hAnsi="Times New Roman" w:cs="Times New Roman"/>
          <w:color w:val="000000" w:themeColor="text1"/>
          <w:sz w:val="24"/>
          <w:szCs w:val="24"/>
          <w:lang w:val="pl-PL"/>
        </w:rPr>
        <w:t>.</w:t>
      </w:r>
    </w:p>
    <w:p w14:paraId="59E7583C" w14:textId="76E355E6" w:rsidR="007C4506" w:rsidRPr="00AF7348" w:rsidRDefault="52996E59" w:rsidP="004E5B4E">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Wsparcie dla MŚP i mikroprzedsiębiorstw zajmujących się przetwórstwem rolno-spożywczym, w tym w sektorze rybołówstwa i akwakultury, obejmujące zakup maszyn i urządzeń, łącznie ze środkami transportu, a także rozbudowę i modernizację infrastruktury zakładu.</w:t>
      </w:r>
    </w:p>
    <w:p w14:paraId="506769C6" w14:textId="1E0BAB26" w:rsidR="007C4506" w:rsidRPr="006B3000" w:rsidRDefault="006B3000" w:rsidP="006B3000">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BF27A8">
        <w:rPr>
          <w:rFonts w:ascii="Times New Roman" w:eastAsia="Times New Roman" w:hAnsi="Times New Roman" w:cs="Times New Roman"/>
          <w:color w:val="000000" w:themeColor="text1"/>
          <w:sz w:val="24"/>
          <w:szCs w:val="24"/>
          <w:lang w:val="pl-PL"/>
        </w:rPr>
        <w:t xml:space="preserve">Wsparcie rolników i rybaków w przetwórstwie i obrocie produktami rolno-spożywczymi, w tym budowa i modernizacja infrastruktury oraz zakup nowych maszyn i urządzeń, w tym dla przetwórstwa, sprzętu transportowego i przechowywania produktów. Wsparcie obejmie również organizację sprzedaży produktów rolno-spożywczych w Internecie wraz z organizacją </w:t>
      </w:r>
      <w:proofErr w:type="spellStart"/>
      <w:r w:rsidRPr="00BF27A8">
        <w:rPr>
          <w:rFonts w:ascii="Times New Roman" w:eastAsia="Times New Roman" w:hAnsi="Times New Roman" w:cs="Times New Roman"/>
          <w:color w:val="000000" w:themeColor="text1"/>
          <w:sz w:val="24"/>
          <w:szCs w:val="24"/>
          <w:lang w:val="pl-PL"/>
        </w:rPr>
        <w:t>dostaw</w:t>
      </w:r>
      <w:r>
        <w:rPr>
          <w:rFonts w:ascii="Times New Roman" w:eastAsia="Times New Roman" w:hAnsi="Times New Roman" w:cs="Times New Roman"/>
          <w:color w:val="000000" w:themeColor="text1"/>
          <w:sz w:val="24"/>
          <w:szCs w:val="24"/>
          <w:lang w:val="pl-PL"/>
        </w:rPr>
        <w:t>W</w:t>
      </w:r>
      <w:r w:rsidR="0A87BA0A" w:rsidRPr="006B3000">
        <w:rPr>
          <w:rFonts w:ascii="Times New Roman" w:eastAsia="Times New Roman" w:hAnsi="Times New Roman" w:cs="Times New Roman"/>
          <w:color w:val="000000" w:themeColor="text1"/>
          <w:sz w:val="24"/>
          <w:szCs w:val="24"/>
          <w:lang w:val="pl-PL"/>
        </w:rPr>
        <w:t>sparcie</w:t>
      </w:r>
      <w:proofErr w:type="spellEnd"/>
      <w:r w:rsidR="0A87BA0A" w:rsidRPr="006B3000">
        <w:rPr>
          <w:rFonts w:ascii="Times New Roman" w:eastAsia="Times New Roman" w:hAnsi="Times New Roman" w:cs="Times New Roman"/>
          <w:color w:val="000000" w:themeColor="text1"/>
          <w:sz w:val="24"/>
          <w:szCs w:val="24"/>
          <w:lang w:val="pl-PL"/>
        </w:rPr>
        <w:t xml:space="preserve"> dla organizacji charytatywnych z sektora rolno-spożywczego na modernizację budynków, infrastruktury i sprzętu, w tym środków transportu. Wsparcie obejmuje rozwój systemów informatycznych i aplikacji cyfrowych.</w:t>
      </w:r>
    </w:p>
    <w:p w14:paraId="0E8DE975" w14:textId="77777777" w:rsidR="007C4506" w:rsidRPr="00AF7348" w:rsidRDefault="0A87BA0A" w:rsidP="004E5B4E">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Wsparcie dla rolników we wdrażaniu rozwiązań z zakresu Rolnictwa 4.0. Obejmuje to zakup czujników, stołów i sprzętu cyfrowego, a także zakup i serwis rozwiązań cyfrowych, takich jak aplikacje i oprogramowanie.</w:t>
      </w:r>
    </w:p>
    <w:p w14:paraId="38D3DC9E" w14:textId="79348166" w:rsidR="007C4506" w:rsidRPr="00AF7348" w:rsidRDefault="67EA1E96" w:rsidP="004E5B4E">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Wsparcie dla rolników oraz producentów z sektora rybołówstwa i akwakultury związane z zieloną transformacją. Obejmuje to </w:t>
      </w:r>
      <w:r w:rsidR="000F75AA">
        <w:rPr>
          <w:rFonts w:ascii="Times New Roman" w:eastAsia="Times New Roman" w:hAnsi="Times New Roman" w:cs="Times New Roman"/>
          <w:color w:val="000000" w:themeColor="text1"/>
          <w:sz w:val="24"/>
          <w:szCs w:val="24"/>
          <w:lang w:val="pl-PL"/>
        </w:rPr>
        <w:t>modernizację</w:t>
      </w:r>
      <w:r w:rsidRPr="00AF7348">
        <w:rPr>
          <w:rFonts w:ascii="Times New Roman" w:eastAsia="Times New Roman" w:hAnsi="Times New Roman" w:cs="Times New Roman"/>
          <w:color w:val="000000" w:themeColor="text1"/>
          <w:sz w:val="24"/>
          <w:szCs w:val="24"/>
          <w:lang w:val="pl-PL"/>
        </w:rPr>
        <w:t xml:space="preserve"> infrastruktury producentów, w tym wymianę dachów zawierających materiały szkodliwe dla zdrowia lub środowiska, a także wymianę słupów impregnowanych kreozotem na plantacjach chmielu.</w:t>
      </w:r>
    </w:p>
    <w:p w14:paraId="0DBE6088" w14:textId="505989CD" w:rsidR="0040111E" w:rsidRPr="00AF7348" w:rsidRDefault="067FE4C0" w:rsidP="3E31AB6F">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działanie to nie spowoduje znaczącej szkody dla celów środowiskowych w rozumieniu art. 17 Rozporządzenia (UE) 2020/852, biorąc pod uwagę opis środków i działań ograniczających określonych w </w:t>
      </w:r>
      <w:r w:rsidR="00947F10">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947F10">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947F10">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947F10">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947F10">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dporności zgodnie z Wytycznymi Technicznymi Dotyczącymi Zasady DNSH - Nie Czyń </w:t>
      </w:r>
      <w:r w:rsidR="00176103">
        <w:rPr>
          <w:rFonts w:ascii="Times New Roman" w:eastAsia="Times New Roman" w:hAnsi="Times New Roman" w:cs="Times New Roman"/>
          <w:color w:val="000000" w:themeColor="text1"/>
          <w:sz w:val="24"/>
          <w:szCs w:val="24"/>
          <w:lang w:val="pl-PL"/>
        </w:rPr>
        <w:t>Znaczącej</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176103">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i/>
          <w:iCs/>
          <w:color w:val="000000" w:themeColor="text1"/>
          <w:sz w:val="24"/>
          <w:szCs w:val="24"/>
          <w:lang w:val="pl-PL"/>
        </w:rPr>
        <w:t xml:space="preserve">DNSH Technical </w:t>
      </w:r>
      <w:proofErr w:type="spellStart"/>
      <w:r w:rsidRPr="00AF7348">
        <w:rPr>
          <w:rFonts w:ascii="Times New Roman" w:eastAsia="Times New Roman" w:hAnsi="Times New Roman" w:cs="Times New Roman"/>
          <w:i/>
          <w:iCs/>
          <w:color w:val="000000" w:themeColor="text1"/>
          <w:sz w:val="24"/>
          <w:szCs w:val="24"/>
          <w:lang w:val="pl-PL"/>
        </w:rPr>
        <w:t>Guidance</w:t>
      </w:r>
      <w:proofErr w:type="spellEnd"/>
      <w:r w:rsidRPr="00AF734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w:t>
      </w:r>
    </w:p>
    <w:p w14:paraId="0FF964B5" w14:textId="78C08BC1" w:rsidR="007C4506" w:rsidRPr="00AF7348" w:rsidRDefault="067FE4C0" w:rsidP="3E31AB6F">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Oznacza to, że:</w:t>
      </w:r>
    </w:p>
    <w:p w14:paraId="07D3218A" w14:textId="5732FEF1" w:rsidR="007C4506" w:rsidRPr="00AF7348" w:rsidRDefault="13C4F12F" w:rsidP="004E5B4E">
      <w:pPr>
        <w:pStyle w:val="Normal0"/>
        <w:numPr>
          <w:ilvl w:val="0"/>
          <w:numId w:val="6"/>
        </w:numPr>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Zakupione samochody ciężarowe oraz inne pojazdy ciężkie będą wyłącznie samochodami </w:t>
      </w:r>
      <w:r w:rsidR="00176103">
        <w:rPr>
          <w:rFonts w:ascii="Times New Roman" w:eastAsia="Times New Roman" w:hAnsi="Times New Roman" w:cs="Times New Roman"/>
          <w:color w:val="000000" w:themeColor="text1"/>
          <w:sz w:val="24"/>
          <w:szCs w:val="24"/>
          <w:lang w:val="pl-PL"/>
        </w:rPr>
        <w:t xml:space="preserve">o </w:t>
      </w:r>
      <w:r w:rsidRPr="00AF7348">
        <w:rPr>
          <w:rFonts w:ascii="Times New Roman" w:eastAsia="Times New Roman" w:hAnsi="Times New Roman" w:cs="Times New Roman"/>
          <w:color w:val="000000" w:themeColor="text1"/>
          <w:sz w:val="24"/>
          <w:szCs w:val="24"/>
          <w:lang w:val="pl-PL"/>
        </w:rPr>
        <w:t>zerowej emisji</w:t>
      </w:r>
      <w:r w:rsidRPr="00AF7348">
        <w:rPr>
          <w:rStyle w:val="Odwoanieprzypisudolnego"/>
          <w:rFonts w:ascii="Times New Roman" w:eastAsia="Times New Roman" w:hAnsi="Times New Roman" w:cs="Times New Roman"/>
          <w:color w:val="000000" w:themeColor="text1"/>
          <w:sz w:val="24"/>
          <w:szCs w:val="24"/>
          <w:lang w:val="pl-PL"/>
        </w:rPr>
        <w:footnoteReference w:id="7"/>
      </w:r>
      <w:r w:rsidRPr="00AF7348">
        <w:rPr>
          <w:rFonts w:ascii="Times New Roman" w:eastAsia="Times New Roman" w:hAnsi="Times New Roman" w:cs="Times New Roman"/>
          <w:color w:val="000000" w:themeColor="text1"/>
          <w:sz w:val="24"/>
          <w:szCs w:val="24"/>
          <w:lang w:val="pl-PL"/>
        </w:rPr>
        <w:t>, niskiej emisji</w:t>
      </w:r>
      <w:r w:rsidRPr="00AF7348">
        <w:rPr>
          <w:rStyle w:val="Odwoanieprzypisudolnego"/>
          <w:rFonts w:ascii="Times New Roman" w:eastAsia="Times New Roman" w:hAnsi="Times New Roman" w:cs="Times New Roman"/>
          <w:color w:val="000000" w:themeColor="text1"/>
          <w:sz w:val="24"/>
          <w:szCs w:val="24"/>
          <w:lang w:val="pl-PL"/>
        </w:rPr>
        <w:footnoteReference w:id="8"/>
      </w:r>
      <w:r w:rsidRPr="00AF7348">
        <w:rPr>
          <w:rFonts w:ascii="Times New Roman" w:eastAsia="Times New Roman" w:hAnsi="Times New Roman" w:cs="Times New Roman"/>
          <w:color w:val="000000" w:themeColor="text1"/>
          <w:sz w:val="24"/>
          <w:szCs w:val="24"/>
          <w:lang w:val="pl-PL"/>
        </w:rPr>
        <w:t xml:space="preserve"> lub pojazdami LNG/CNG, napędzanymi biogazem/</w:t>
      </w:r>
      <w:proofErr w:type="spellStart"/>
      <w:r w:rsidRPr="00AF7348">
        <w:rPr>
          <w:rFonts w:ascii="Times New Roman" w:eastAsia="Times New Roman" w:hAnsi="Times New Roman" w:cs="Times New Roman"/>
          <w:color w:val="000000" w:themeColor="text1"/>
          <w:sz w:val="24"/>
          <w:szCs w:val="24"/>
          <w:lang w:val="pl-PL"/>
        </w:rPr>
        <w:t>biometanem</w:t>
      </w:r>
      <w:proofErr w:type="spellEnd"/>
      <w:r w:rsidRPr="00AF7348">
        <w:rPr>
          <w:rFonts w:ascii="Times New Roman" w:eastAsia="Times New Roman" w:hAnsi="Times New Roman" w:cs="Times New Roman"/>
          <w:color w:val="000000" w:themeColor="text1"/>
          <w:sz w:val="24"/>
          <w:szCs w:val="24"/>
          <w:lang w:val="pl-PL"/>
        </w:rPr>
        <w:t xml:space="preserve">. Pojazdy specjalnego przeznaczenia również mają spełniać zasady określone wyżej. Pojazdy napędzane biopaliwami, </w:t>
      </w:r>
      <w:proofErr w:type="spellStart"/>
      <w:r w:rsidRPr="00AF7348">
        <w:rPr>
          <w:rFonts w:ascii="Times New Roman" w:eastAsia="Times New Roman" w:hAnsi="Times New Roman" w:cs="Times New Roman"/>
          <w:color w:val="000000" w:themeColor="text1"/>
          <w:sz w:val="24"/>
          <w:szCs w:val="24"/>
          <w:lang w:val="pl-PL"/>
        </w:rPr>
        <w:t>biopłynami</w:t>
      </w:r>
      <w:proofErr w:type="spellEnd"/>
      <w:r w:rsidRPr="00AF7348">
        <w:rPr>
          <w:rFonts w:ascii="Times New Roman" w:eastAsia="Times New Roman" w:hAnsi="Times New Roman" w:cs="Times New Roman"/>
          <w:color w:val="000000" w:themeColor="text1"/>
          <w:sz w:val="24"/>
          <w:szCs w:val="24"/>
          <w:lang w:val="pl-PL"/>
        </w:rPr>
        <w:t xml:space="preserve"> i paliwami z biomasy mają: (i) spełniać kryteria zrównoważonego rozwoju i ograniczenia emisji gazów cieplarnianych określone w art. 29-31 oraz przepisy dotyczące biopaliw na bazie żywności i paszy określone w art. 26 Dyrektywy w sprawie promowania stosowania energii ze źródeł odnawialnych (Dyrektywa 2018/2001/UE, dalej zwana REDII) oraz powiązanych aktów wykonawczych i delegowanych; oraz (ii) dawać pewność, że w ramach programu wspieranego przez REDII stosowane w nich będą wyłącznie biopaliwa, </w:t>
      </w:r>
      <w:proofErr w:type="spellStart"/>
      <w:r w:rsidRPr="00AF7348">
        <w:rPr>
          <w:rFonts w:ascii="Times New Roman" w:eastAsia="Times New Roman" w:hAnsi="Times New Roman" w:cs="Times New Roman"/>
          <w:color w:val="000000" w:themeColor="text1"/>
          <w:sz w:val="24"/>
          <w:szCs w:val="24"/>
          <w:lang w:val="pl-PL"/>
        </w:rPr>
        <w:t>biopłyny</w:t>
      </w:r>
      <w:proofErr w:type="spellEnd"/>
      <w:r w:rsidRPr="00AF7348">
        <w:rPr>
          <w:rFonts w:ascii="Times New Roman" w:eastAsia="Times New Roman" w:hAnsi="Times New Roman" w:cs="Times New Roman"/>
          <w:color w:val="000000" w:themeColor="text1"/>
          <w:sz w:val="24"/>
          <w:szCs w:val="24"/>
          <w:lang w:val="pl-PL"/>
        </w:rPr>
        <w:t xml:space="preserve"> i paliwa z biomasy zgodne z Rozporządzeniem RRF; </w:t>
      </w:r>
      <w:r w:rsidRPr="00AF7348">
        <w:rPr>
          <w:rFonts w:ascii="Times New Roman" w:eastAsia="Times New Roman" w:hAnsi="Times New Roman" w:cs="Times New Roman"/>
          <w:color w:val="000000" w:themeColor="text1"/>
          <w:sz w:val="24"/>
          <w:szCs w:val="24"/>
          <w:lang w:val="pl-PL"/>
        </w:rPr>
        <w:lastRenderedPageBreak/>
        <w:t xml:space="preserve">oraz (iii) zostać uzupełnione "środkami wspierającymi” udowadniającymi, że udział biopaliw, </w:t>
      </w:r>
      <w:proofErr w:type="spellStart"/>
      <w:r w:rsidRPr="00AF7348">
        <w:rPr>
          <w:rFonts w:ascii="Times New Roman" w:eastAsia="Times New Roman" w:hAnsi="Times New Roman" w:cs="Times New Roman"/>
          <w:color w:val="000000" w:themeColor="text1"/>
          <w:sz w:val="24"/>
          <w:szCs w:val="24"/>
          <w:lang w:val="pl-PL"/>
        </w:rPr>
        <w:t>biopłynów</w:t>
      </w:r>
      <w:proofErr w:type="spellEnd"/>
      <w:r w:rsidRPr="00AF7348">
        <w:rPr>
          <w:rFonts w:ascii="Times New Roman" w:eastAsia="Times New Roman" w:hAnsi="Times New Roman" w:cs="Times New Roman"/>
          <w:color w:val="000000" w:themeColor="text1"/>
          <w:sz w:val="24"/>
          <w:szCs w:val="24"/>
          <w:lang w:val="pl-PL"/>
        </w:rPr>
        <w:t xml:space="preserve"> i paliw z biomasy w krajowym </w:t>
      </w:r>
      <w:proofErr w:type="spellStart"/>
      <w:r w:rsidR="00176103">
        <w:rPr>
          <w:rFonts w:ascii="Times New Roman" w:eastAsia="Times New Roman" w:hAnsi="Times New Roman" w:cs="Times New Roman"/>
          <w:color w:val="000000" w:themeColor="text1"/>
          <w:sz w:val="24"/>
          <w:szCs w:val="24"/>
          <w:lang w:val="pl-PL"/>
        </w:rPr>
        <w:t>miksie</w:t>
      </w:r>
      <w:proofErr w:type="spellEnd"/>
      <w:r w:rsidR="00176103">
        <w:rPr>
          <w:rFonts w:ascii="Times New Roman" w:eastAsia="Times New Roman" w:hAnsi="Times New Roman" w:cs="Times New Roman"/>
          <w:color w:val="000000" w:themeColor="text1"/>
          <w:sz w:val="24"/>
          <w:szCs w:val="24"/>
          <w:lang w:val="pl-PL"/>
        </w:rPr>
        <w:t xml:space="preserve"> będzie</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wzrasta</w:t>
      </w:r>
      <w:r w:rsidR="00176103">
        <w:rPr>
          <w:rFonts w:ascii="Times New Roman" w:eastAsia="Times New Roman" w:hAnsi="Times New Roman" w:cs="Times New Roman"/>
          <w:color w:val="000000" w:themeColor="text1"/>
          <w:sz w:val="24"/>
          <w:szCs w:val="24"/>
          <w:lang w:val="pl-PL"/>
        </w:rPr>
        <w:t>ł</w:t>
      </w:r>
      <w:r w:rsidRPr="00AF7348">
        <w:rPr>
          <w:rFonts w:ascii="Times New Roman" w:eastAsia="Times New Roman" w:hAnsi="Times New Roman" w:cs="Times New Roman"/>
          <w:color w:val="000000" w:themeColor="text1"/>
          <w:sz w:val="24"/>
          <w:szCs w:val="24"/>
          <w:lang w:val="pl-PL"/>
        </w:rPr>
        <w:t xml:space="preserve"> z czasem.</w:t>
      </w:r>
    </w:p>
    <w:p w14:paraId="1A5E92A6" w14:textId="1F94AE3A" w:rsidR="007C4506" w:rsidRPr="00AF7348" w:rsidRDefault="7E42FEC5" w:rsidP="004E5B4E">
      <w:pPr>
        <w:pStyle w:val="Normal0"/>
        <w:numPr>
          <w:ilvl w:val="0"/>
          <w:numId w:val="6"/>
        </w:numPr>
        <w:pBdr>
          <w:top w:val="nil"/>
          <w:left w:val="nil"/>
          <w:bottom w:val="nil"/>
          <w:right w:val="nil"/>
          <w:between w:val="nil"/>
        </w:pBdr>
        <w:spacing w:before="120" w:after="120" w:line="257" w:lineRule="auto"/>
        <w:jc w:val="both"/>
        <w:rPr>
          <w:rFonts w:ascii="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Wszystkie remonty budynków muszą być przeprowadzane zgodnie z Dyrektywą dotyczącą charakterystyki energetycznej budynków (</w:t>
      </w:r>
      <w:r w:rsidRPr="00AF7348">
        <w:rPr>
          <w:rFonts w:ascii="Times New Roman" w:eastAsia="Times New Roman" w:hAnsi="Times New Roman" w:cs="Times New Roman"/>
          <w:i/>
          <w:iCs/>
          <w:color w:val="000000" w:themeColor="text1"/>
          <w:sz w:val="24"/>
          <w:szCs w:val="24"/>
          <w:lang w:val="pl-PL"/>
        </w:rPr>
        <w:t>Dyrektywa 2018/844/UE</w:t>
      </w:r>
      <w:r w:rsidRPr="00AF7348">
        <w:rPr>
          <w:rFonts w:ascii="Times New Roman" w:eastAsia="Times New Roman" w:hAnsi="Times New Roman" w:cs="Times New Roman"/>
          <w:color w:val="000000" w:themeColor="text1"/>
          <w:sz w:val="24"/>
          <w:szCs w:val="24"/>
          <w:lang w:val="pl-PL"/>
        </w:rPr>
        <w:t>).</w:t>
      </w:r>
    </w:p>
    <w:p w14:paraId="6F4671D3" w14:textId="045C815F" w:rsidR="007C4506" w:rsidRPr="00AF7348" w:rsidRDefault="53A2005F" w:rsidP="004E5B4E">
      <w:pPr>
        <w:pStyle w:val="Normal0"/>
        <w:numPr>
          <w:ilvl w:val="0"/>
          <w:numId w:val="6"/>
        </w:numPr>
        <w:pBdr>
          <w:top w:val="nil"/>
          <w:left w:val="nil"/>
          <w:bottom w:val="nil"/>
          <w:right w:val="nil"/>
          <w:between w:val="nil"/>
        </w:pBdr>
        <w:spacing w:before="120" w:after="120" w:line="257" w:lineRule="auto"/>
        <w:jc w:val="both"/>
        <w:rPr>
          <w:rFonts w:ascii="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Zakłady wytwarzające energię z biogazu muszą spełniać kryteria zrównoważonego rozwoju i ograniczenia emisji gazów cieplarnianych określone w art. 29-31 oraz przepisy dotyczące biopaliw na bazie żywności i paszy określone w art. 26 Dyrektywy w sprawie promowania stosowania energii ze źródeł odnawialnych (</w:t>
      </w:r>
      <w:r w:rsidRPr="00AF7348">
        <w:rPr>
          <w:rFonts w:ascii="Times New Roman" w:eastAsia="Times New Roman" w:hAnsi="Times New Roman" w:cs="Times New Roman"/>
          <w:i/>
          <w:iCs/>
          <w:color w:val="000000" w:themeColor="text1"/>
          <w:sz w:val="24"/>
          <w:szCs w:val="24"/>
          <w:lang w:val="pl-PL"/>
        </w:rPr>
        <w:t>Dyrektywa 2018/2001/UE</w:t>
      </w:r>
      <w:r w:rsidRPr="00AF7348">
        <w:rPr>
          <w:rFonts w:ascii="Times New Roman" w:eastAsia="Times New Roman" w:hAnsi="Times New Roman" w:cs="Times New Roman"/>
          <w:color w:val="000000" w:themeColor="text1"/>
          <w:sz w:val="24"/>
          <w:szCs w:val="24"/>
          <w:lang w:val="pl-PL"/>
        </w:rPr>
        <w:t>) oraz powiązanych aktów wykonawczych i delegowanych</w:t>
      </w:r>
    </w:p>
    <w:p w14:paraId="31D496BC" w14:textId="77777777" w:rsidR="007C4506" w:rsidRPr="00AF7348" w:rsidRDefault="1D59FF4A" w:rsidP="28D0ECD1">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31 grudnia 2025 roku. </w:t>
      </w:r>
    </w:p>
    <w:p w14:paraId="3DEEC669" w14:textId="77777777" w:rsidR="00F14EAE" w:rsidRPr="00AF7348" w:rsidRDefault="00F14EAE" w:rsidP="28D0ECD1">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p>
    <w:p w14:paraId="0AF336A8" w14:textId="133979FF"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4"/>
          <w:szCs w:val="24"/>
          <w:lang w:val="pl-PL"/>
        </w:rPr>
      </w:pPr>
      <w:proofErr w:type="spellStart"/>
      <w:r w:rsidRPr="00AF7348">
        <w:rPr>
          <w:rFonts w:ascii="Times New Roman" w:eastAsia="Times New Roman" w:hAnsi="Times New Roman" w:cs="Times New Roman"/>
          <w:b/>
          <w:bCs/>
          <w:color w:val="000000" w:themeColor="text1"/>
          <w:sz w:val="24"/>
          <w:szCs w:val="24"/>
          <w:lang w:val="pl-PL"/>
        </w:rPr>
        <w:t>Podkomponent</w:t>
      </w:r>
      <w:proofErr w:type="spellEnd"/>
      <w:r w:rsidRPr="00AF7348">
        <w:rPr>
          <w:rFonts w:ascii="Times New Roman" w:eastAsia="Times New Roman" w:hAnsi="Times New Roman" w:cs="Times New Roman"/>
          <w:b/>
          <w:bCs/>
          <w:color w:val="000000" w:themeColor="text1"/>
          <w:sz w:val="24"/>
          <w:szCs w:val="24"/>
          <w:lang w:val="pl-PL"/>
        </w:rPr>
        <w:t xml:space="preserve"> A2 - Rozwój narodowego systemu innowacji: wzmocnienie koordynacji, stymulowanie potencjału innowacyjnego oraz współpracy pomiędzy przedsiębiorstwami i organizacjami badawczymi, w tym w zakresie technologii środowiskowych</w:t>
      </w:r>
    </w:p>
    <w:p w14:paraId="1F09EAF4" w14:textId="77777777" w:rsidR="002248AA" w:rsidRPr="00AF7348" w:rsidRDefault="002248AA"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p>
    <w:p w14:paraId="61169AC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A2.1 Przyspieszenie procesów robotyzacji i cyfryzacji i innowacji</w:t>
      </w:r>
    </w:p>
    <w:p w14:paraId="6E9B63D8" w14:textId="600150B4"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w:t>
      </w:r>
      <w:r w:rsidRPr="00AF7348">
        <w:rPr>
          <w:rFonts w:ascii="Times New Roman" w:eastAsia="Times New Roman" w:hAnsi="Times New Roman" w:cs="Times New Roman"/>
          <w:color w:val="000000"/>
          <w:lang w:val="pl-PL"/>
        </w:rPr>
        <w:t xml:space="preserve"> ma</w:t>
      </w:r>
      <w:r w:rsidR="00AF7348">
        <w:rPr>
          <w:rFonts w:ascii="Times New Roman" w:eastAsia="Times New Roman" w:hAnsi="Times New Roman" w:cs="Times New Roman"/>
          <w:color w:val="000000"/>
          <w:lang w:val="pl-PL"/>
        </w:rPr>
        <w:t xml:space="preserve"> </w:t>
      </w:r>
      <w:r w:rsidRPr="00AF7348">
        <w:rPr>
          <w:rFonts w:ascii="Times New Roman" w:eastAsia="Times New Roman" w:hAnsi="Times New Roman" w:cs="Times New Roman"/>
          <w:color w:val="000000"/>
          <w:sz w:val="24"/>
          <w:szCs w:val="24"/>
          <w:lang w:val="pl-PL"/>
        </w:rPr>
        <w:t xml:space="preserve">na celu zwiększenie popytu na wiedzę i innowacje oraz ich efektywne wykorzystanie w przedsiębiorstwach, w ramach gospodarki cyfrowej. </w:t>
      </w:r>
    </w:p>
    <w:p w14:paraId="3F058D9F" w14:textId="5F6449F4" w:rsidR="007C4506" w:rsidRPr="00AF7348" w:rsidRDefault="0F4C87B1" w:rsidP="00B50CE5">
      <w:pPr>
        <w:pStyle w:val="Normal0"/>
        <w:pBdr>
          <w:top w:val="nil"/>
          <w:left w:val="nil"/>
          <w:bottom w:val="nil"/>
          <w:right w:val="nil"/>
          <w:between w:val="nil"/>
        </w:pBdr>
        <w:spacing w:before="120" w:after="120" w:line="240" w:lineRule="auto"/>
        <w:jc w:val="both"/>
        <w:rPr>
          <w:rFonts w:ascii="Times New Roman" w:hAnsi="Times New Roman" w:cs="Times New Roman"/>
          <w:lang w:val="pl-PL"/>
        </w:rPr>
      </w:pPr>
      <w:r w:rsidRPr="00AF7348">
        <w:rPr>
          <w:rFonts w:ascii="Times New Roman" w:eastAsia="Times New Roman" w:hAnsi="Times New Roman" w:cs="Times New Roman"/>
          <w:color w:val="000000" w:themeColor="text1"/>
          <w:sz w:val="24"/>
          <w:szCs w:val="24"/>
          <w:lang w:val="pl-PL"/>
        </w:rPr>
        <w:t xml:space="preserve">Reforma polega na wprowadzeniu systemowych preferencji podatkowych dla przedsiębiorstw realizujących proces cyfryzacji </w:t>
      </w:r>
      <w:r w:rsidR="00176103">
        <w:rPr>
          <w:rFonts w:ascii="Times New Roman" w:eastAsia="Times New Roman" w:hAnsi="Times New Roman" w:cs="Times New Roman"/>
          <w:color w:val="000000" w:themeColor="text1"/>
          <w:sz w:val="24"/>
          <w:szCs w:val="24"/>
          <w:lang w:val="pl-PL"/>
        </w:rPr>
        <w:t xml:space="preserve">poprzez </w:t>
      </w:r>
      <w:r w:rsidRPr="00AF7348">
        <w:rPr>
          <w:rFonts w:ascii="Times New Roman" w:eastAsia="Times New Roman" w:hAnsi="Times New Roman" w:cs="Times New Roman"/>
          <w:color w:val="000000" w:themeColor="text1"/>
          <w:sz w:val="24"/>
          <w:szCs w:val="24"/>
          <w:lang w:val="pl-PL"/>
        </w:rPr>
        <w:t xml:space="preserve"> inwestycj</w:t>
      </w:r>
      <w:r w:rsidR="00176103">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w robotyzację i digitalizację. </w:t>
      </w:r>
      <w:r w:rsidR="000F75AA">
        <w:rPr>
          <w:rFonts w:ascii="Times New Roman" w:eastAsia="Times New Roman" w:hAnsi="Times New Roman" w:cs="Times New Roman"/>
          <w:color w:val="000000" w:themeColor="text1"/>
          <w:sz w:val="24"/>
          <w:szCs w:val="24"/>
          <w:lang w:val="pl-PL"/>
        </w:rPr>
        <w:t>Ulga</w:t>
      </w:r>
      <w:r w:rsidRPr="00AF7348">
        <w:rPr>
          <w:rFonts w:ascii="Times New Roman" w:eastAsia="Times New Roman" w:hAnsi="Times New Roman" w:cs="Times New Roman"/>
          <w:color w:val="000000" w:themeColor="text1"/>
          <w:sz w:val="24"/>
          <w:szCs w:val="24"/>
          <w:lang w:val="pl-PL"/>
        </w:rPr>
        <w:t xml:space="preserve"> podatkow</w:t>
      </w:r>
      <w:r w:rsidR="000F75AA">
        <w:rPr>
          <w:rFonts w:ascii="Times New Roman" w:eastAsia="Times New Roman" w:hAnsi="Times New Roman" w:cs="Times New Roman"/>
          <w:color w:val="000000" w:themeColor="text1"/>
          <w:sz w:val="24"/>
          <w:szCs w:val="24"/>
          <w:lang w:val="pl-PL"/>
        </w:rPr>
        <w:t>a</w:t>
      </w:r>
      <w:r w:rsidRPr="00AF7348">
        <w:rPr>
          <w:rFonts w:ascii="Times New Roman" w:eastAsia="Times New Roman" w:hAnsi="Times New Roman" w:cs="Times New Roman"/>
          <w:color w:val="000000" w:themeColor="text1"/>
          <w:sz w:val="24"/>
          <w:szCs w:val="24"/>
          <w:lang w:val="pl-PL"/>
        </w:rPr>
        <w:t xml:space="preserve"> </w:t>
      </w:r>
      <w:r w:rsidR="000F75AA">
        <w:rPr>
          <w:rFonts w:ascii="Times New Roman" w:eastAsia="Times New Roman" w:hAnsi="Times New Roman" w:cs="Times New Roman"/>
          <w:color w:val="000000" w:themeColor="text1"/>
          <w:sz w:val="24"/>
          <w:szCs w:val="24"/>
          <w:lang w:val="pl-PL"/>
        </w:rPr>
        <w:t>przyjmie</w:t>
      </w:r>
      <w:r w:rsidRPr="00AF7348">
        <w:rPr>
          <w:rFonts w:ascii="Times New Roman" w:eastAsia="Times New Roman" w:hAnsi="Times New Roman" w:cs="Times New Roman"/>
          <w:color w:val="000000" w:themeColor="text1"/>
          <w:sz w:val="24"/>
          <w:szCs w:val="24"/>
          <w:lang w:val="pl-PL"/>
        </w:rPr>
        <w:t xml:space="preserve"> formę </w:t>
      </w:r>
      <w:r w:rsidR="000F75AA">
        <w:rPr>
          <w:rFonts w:ascii="Times New Roman" w:eastAsia="Times New Roman" w:hAnsi="Times New Roman" w:cs="Times New Roman"/>
          <w:color w:val="000000" w:themeColor="text1"/>
          <w:sz w:val="24"/>
          <w:szCs w:val="24"/>
          <w:lang w:val="pl-PL"/>
        </w:rPr>
        <w:t>dodatkowego odliczenia od</w:t>
      </w:r>
      <w:r w:rsidRPr="00AF7348">
        <w:rPr>
          <w:rFonts w:ascii="Times New Roman" w:eastAsia="Times New Roman" w:hAnsi="Times New Roman" w:cs="Times New Roman"/>
          <w:color w:val="000000" w:themeColor="text1"/>
          <w:sz w:val="24"/>
          <w:szCs w:val="24"/>
          <w:lang w:val="pl-PL"/>
        </w:rPr>
        <w:t xml:space="preserve"> podatk</w:t>
      </w:r>
      <w:r w:rsidR="000F75AA">
        <w:rPr>
          <w:rFonts w:ascii="Times New Roman" w:eastAsia="Times New Roman" w:hAnsi="Times New Roman" w:cs="Times New Roman"/>
          <w:color w:val="000000" w:themeColor="text1"/>
          <w:sz w:val="24"/>
          <w:szCs w:val="24"/>
          <w:lang w:val="pl-PL"/>
        </w:rPr>
        <w:t>u</w:t>
      </w:r>
      <w:r w:rsidRPr="00AF7348">
        <w:rPr>
          <w:rFonts w:ascii="Times New Roman" w:eastAsia="Times New Roman" w:hAnsi="Times New Roman" w:cs="Times New Roman"/>
          <w:color w:val="000000" w:themeColor="text1"/>
          <w:sz w:val="24"/>
          <w:szCs w:val="24"/>
          <w:lang w:val="pl-PL"/>
        </w:rPr>
        <w:t xml:space="preserve"> </w:t>
      </w:r>
      <w:r w:rsidR="000F75AA">
        <w:rPr>
          <w:rFonts w:ascii="Times New Roman" w:eastAsia="Times New Roman" w:hAnsi="Times New Roman" w:cs="Times New Roman"/>
          <w:color w:val="000000" w:themeColor="text1"/>
          <w:sz w:val="24"/>
          <w:szCs w:val="24"/>
          <w:lang w:val="pl-PL"/>
        </w:rPr>
        <w:t>kosztów</w:t>
      </w:r>
      <w:r w:rsidRPr="00AF7348">
        <w:rPr>
          <w:rFonts w:ascii="Times New Roman" w:eastAsia="Times New Roman" w:hAnsi="Times New Roman" w:cs="Times New Roman"/>
          <w:color w:val="000000" w:themeColor="text1"/>
          <w:sz w:val="24"/>
          <w:szCs w:val="24"/>
          <w:lang w:val="pl-PL"/>
        </w:rPr>
        <w:t xml:space="preserve"> zakup robotów. </w:t>
      </w:r>
    </w:p>
    <w:p w14:paraId="2C641F87" w14:textId="77777777" w:rsidR="007C4506" w:rsidRPr="00AF7348" w:rsidRDefault="68E1984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2022 roku.</w:t>
      </w:r>
    </w:p>
    <w:p w14:paraId="3656B9AB"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F7F5F8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A2.1.1 Inwestycje wspierające robotyzację i cyfryzację w przedsiębiorstwach</w:t>
      </w:r>
      <w:r w:rsidRPr="00AF7348">
        <w:rPr>
          <w:rFonts w:ascii="Times New Roman" w:eastAsia="Times New Roman" w:hAnsi="Times New Roman" w:cs="Times New Roman"/>
          <w:b/>
          <w:bCs/>
          <w:color w:val="000000"/>
          <w:sz w:val="24"/>
          <w:szCs w:val="24"/>
          <w:lang w:val="pl-PL"/>
        </w:rPr>
        <w:t xml:space="preserve"> </w:t>
      </w:r>
    </w:p>
    <w:p w14:paraId="752F31DE" w14:textId="25760CA1" w:rsidR="007C4506" w:rsidRPr="00AF7348" w:rsidRDefault="0017610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tej inwestycji jest wspieranie projektów wprowadzających innowacyjne rozwiązania mające na celu transformację cyfrową.</w:t>
      </w:r>
    </w:p>
    <w:p w14:paraId="622D9F0F" w14:textId="75FF4AE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polega na </w:t>
      </w:r>
      <w:r w:rsidR="00947F10">
        <w:rPr>
          <w:rFonts w:ascii="Times New Roman" w:eastAsia="Times New Roman" w:hAnsi="Times New Roman" w:cs="Times New Roman"/>
          <w:color w:val="000000" w:themeColor="text1"/>
          <w:sz w:val="24"/>
          <w:szCs w:val="24"/>
          <w:lang w:val="pl-PL"/>
        </w:rPr>
        <w:t>cyfryzacji</w:t>
      </w:r>
      <w:r w:rsidRPr="00AF7348">
        <w:rPr>
          <w:rFonts w:ascii="Times New Roman" w:eastAsia="Times New Roman" w:hAnsi="Times New Roman" w:cs="Times New Roman"/>
          <w:color w:val="000000" w:themeColor="text1"/>
          <w:sz w:val="24"/>
          <w:szCs w:val="24"/>
          <w:lang w:val="pl-PL"/>
        </w:rPr>
        <w:t xml:space="preserve"> procesów biznesowych, wspieraniu przejścia na Przemysł 4.0, ze szczególnym uwzględnieniem robotyzacji i technologii </w:t>
      </w:r>
      <w:r w:rsidR="00176103">
        <w:rPr>
          <w:rFonts w:ascii="Times New Roman" w:eastAsia="Times New Roman" w:hAnsi="Times New Roman" w:cs="Times New Roman"/>
          <w:color w:val="000000" w:themeColor="text1"/>
          <w:sz w:val="24"/>
          <w:szCs w:val="24"/>
          <w:lang w:val="pl-PL"/>
        </w:rPr>
        <w:t>operacyjnych</w:t>
      </w:r>
      <w:r w:rsidRPr="00AF7348">
        <w:rPr>
          <w:rFonts w:ascii="Times New Roman" w:eastAsia="Times New Roman" w:hAnsi="Times New Roman" w:cs="Times New Roman"/>
          <w:color w:val="000000" w:themeColor="text1"/>
          <w:sz w:val="24"/>
          <w:szCs w:val="24"/>
          <w:lang w:val="pl-PL"/>
        </w:rPr>
        <w:t xml:space="preserve">. Wspierane będzie również wykorzystanie technologii opartych na chmurze i sztucznej inteligencji w integracji i zarządzaniu procesami produkcyjnymi i biznesowymi; wdrażanie inteligentnych linii produkcyjnych, budowa inteligentnych fabryk; stosowanie nowoczesnych technologii cyfrowych redukujących emisje </w:t>
      </w:r>
      <w:r w:rsidR="00176103">
        <w:rPr>
          <w:rFonts w:ascii="Times New Roman" w:eastAsia="Times New Roman" w:hAnsi="Times New Roman" w:cs="Times New Roman"/>
          <w:color w:val="000000" w:themeColor="text1"/>
          <w:sz w:val="24"/>
          <w:szCs w:val="24"/>
          <w:lang w:val="pl-PL"/>
        </w:rPr>
        <w:t>środowiskowe</w:t>
      </w:r>
      <w:r w:rsidRPr="00AF7348">
        <w:rPr>
          <w:rFonts w:ascii="Times New Roman" w:eastAsia="Times New Roman" w:hAnsi="Times New Roman" w:cs="Times New Roman"/>
          <w:color w:val="000000" w:themeColor="text1"/>
          <w:sz w:val="24"/>
          <w:szCs w:val="24"/>
          <w:lang w:val="pl-PL"/>
        </w:rPr>
        <w:t xml:space="preserve"> (w szczególności gazów cieplarnianych) oraz zmniejszających zużycie zasobów naturalnych a także wpływ procesów produkcyjnych i biznesowych na środowisko.</w:t>
      </w:r>
    </w:p>
    <w:p w14:paraId="5AFC7AC4"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3E62BDBC"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p>
    <w:p w14:paraId="07445389" w14:textId="755E515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A2.2 Stworzenie warunków do przejścia na model gospodarki o obiegu zamkniętym GOZ</w:t>
      </w:r>
    </w:p>
    <w:p w14:paraId="2E41BD47" w14:textId="703E91B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stworzenie odpowiednich ram prawnych dla funkcjonowania handlu surowcami wtórnymi. Wprowadzi </w:t>
      </w:r>
      <w:r w:rsidR="00176103">
        <w:rPr>
          <w:rFonts w:ascii="Times New Roman" w:eastAsia="Times New Roman" w:hAnsi="Times New Roman" w:cs="Times New Roman"/>
          <w:color w:val="000000" w:themeColor="text1"/>
          <w:sz w:val="24"/>
          <w:szCs w:val="24"/>
          <w:lang w:val="pl-PL"/>
        </w:rPr>
        <w:t xml:space="preserve">ona </w:t>
      </w:r>
      <w:r w:rsidRPr="00AF7348">
        <w:rPr>
          <w:rFonts w:ascii="Times New Roman" w:eastAsia="Times New Roman" w:hAnsi="Times New Roman" w:cs="Times New Roman"/>
          <w:color w:val="000000" w:themeColor="text1"/>
          <w:sz w:val="24"/>
          <w:szCs w:val="24"/>
          <w:lang w:val="pl-PL"/>
        </w:rPr>
        <w:t xml:space="preserve">również regulacje dotyczące </w:t>
      </w:r>
      <w:r w:rsidR="00176103">
        <w:rPr>
          <w:rFonts w:ascii="Times New Roman" w:eastAsia="Times New Roman" w:hAnsi="Times New Roman" w:cs="Times New Roman"/>
          <w:color w:val="000000" w:themeColor="text1"/>
          <w:sz w:val="24"/>
          <w:szCs w:val="24"/>
          <w:lang w:val="pl-PL"/>
        </w:rPr>
        <w:t>utraty</w:t>
      </w:r>
      <w:r w:rsidR="00176103"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statusu odpadu dla kluczowych odpadów przemysłowych (o największym potencjale ekonomicznym) oraz wdroży definicję surowca wtórnego, co ułatwi obrót i wykorzystanie odpadów jako surowców</w:t>
      </w:r>
      <w:r w:rsidR="00176103">
        <w:rPr>
          <w:rFonts w:ascii="Times New Roman" w:eastAsia="Times New Roman" w:hAnsi="Times New Roman" w:cs="Times New Roman"/>
          <w:color w:val="000000" w:themeColor="text1"/>
          <w:sz w:val="24"/>
          <w:szCs w:val="24"/>
          <w:lang w:val="pl-PL"/>
        </w:rPr>
        <w:t xml:space="preserve"> wtórnych</w:t>
      </w:r>
      <w:r w:rsidRPr="00AF7348">
        <w:rPr>
          <w:rFonts w:ascii="Times New Roman" w:eastAsia="Times New Roman" w:hAnsi="Times New Roman" w:cs="Times New Roman"/>
          <w:color w:val="000000" w:themeColor="text1"/>
          <w:sz w:val="24"/>
          <w:szCs w:val="24"/>
          <w:lang w:val="pl-PL"/>
        </w:rPr>
        <w:t xml:space="preserve">. </w:t>
      </w:r>
    </w:p>
    <w:p w14:paraId="4B9F17DB" w14:textId="0AFFA3D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 xml:space="preserve">Reforma stworzy ramy dla rozwoju rynku surowców wtórnych, ułatwiające gospodarowanie tymi materiałami, co doprowadzi do ograniczenia eksploatacji złóż surowców naturalnych, zastępując surowcami wtórnymi surowce i produkty pierwotne. Reforma </w:t>
      </w:r>
      <w:r w:rsidR="00FF3740">
        <w:rPr>
          <w:rFonts w:ascii="Times New Roman" w:eastAsia="Times New Roman" w:hAnsi="Times New Roman" w:cs="Times New Roman"/>
          <w:color w:val="000000"/>
          <w:sz w:val="24"/>
          <w:szCs w:val="24"/>
          <w:lang w:val="pl-PL"/>
        </w:rPr>
        <w:t>do</w:t>
      </w:r>
      <w:r w:rsidRPr="00AF7348">
        <w:rPr>
          <w:rFonts w:ascii="Times New Roman" w:eastAsia="Times New Roman" w:hAnsi="Times New Roman" w:cs="Times New Roman"/>
          <w:color w:val="000000"/>
          <w:sz w:val="24"/>
          <w:szCs w:val="24"/>
          <w:lang w:val="pl-PL"/>
        </w:rPr>
        <w:t>prowadzi do zmniejszenia ilości odpadów składowanych na hałdach.</w:t>
      </w:r>
    </w:p>
    <w:p w14:paraId="462D9EF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2024 roku.</w:t>
      </w:r>
    </w:p>
    <w:p w14:paraId="049F31CB"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73D571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A2.2.1 Inwestycje we wdrażanie technologii i innowacji środowiskowych, w tym związanych z GOZ</w:t>
      </w:r>
    </w:p>
    <w:p w14:paraId="1020E616" w14:textId="2B69885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Zadaniem tej inwestycji jest wspieranie wykorzystywania surowców wtórnych, w tym poprzez finansowanie m.in. infrastruktury badawczo-rozwojowej służącej opracowywaniu technologii wykorzystywania odpadów jako surowców wtórnych tak, aby stworzyć bardziej wydajną gospodarkę.</w:t>
      </w:r>
    </w:p>
    <w:p w14:paraId="2A25D3EB" w14:textId="130A767B" w:rsidR="007C4506" w:rsidRPr="00AF7348" w:rsidRDefault="00B31839" w:rsidP="114A6A6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składa się z dwóch działań. W ramach pierwszego działania wspierane będą projekty MŚP służące opracowaniu i wdrożeniu zielonych technologii związanych z gospodarką o obiegu zamkniętym, co doprowadzi do poprawy zarządzania surowcami, zwiększenia efektywności energetycznej i zmiany filozofii przedsiębiorstw w kierunku zerowej ilości odpadów. </w:t>
      </w:r>
    </w:p>
    <w:p w14:paraId="4C80D150" w14:textId="230F5ABB"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tego działania zostanie zakończone do 31 marca 2025 roku.</w:t>
      </w:r>
    </w:p>
    <w:p w14:paraId="17A13EDE" w14:textId="0C3E28E9" w:rsidR="007C4506" w:rsidRPr="00AF7348" w:rsidRDefault="00B31839" w:rsidP="114A6A6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 ramach drugiego działania finansowane będą projekty wspierające rozwój technologii przyczyniających się do tworzenia rynku surowców wtórnych.</w:t>
      </w:r>
    </w:p>
    <w:p w14:paraId="78110455" w14:textId="0BB17536"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tego działania zostanie zakończone do 30 września 2025 roku.</w:t>
      </w:r>
    </w:p>
    <w:p w14:paraId="6C05423B" w14:textId="567744D4" w:rsidR="007C4506" w:rsidRPr="00AF7348" w:rsidRDefault="0D514F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hAnsi="Times New Roman" w:cs="Times New Roman"/>
          <w:color w:val="000000"/>
          <w:sz w:val="24"/>
          <w:szCs w:val="24"/>
          <w:lang w:val="pl-PL"/>
        </w:rPr>
        <w:t xml:space="preserve">Wybór beneficjentów </w:t>
      </w:r>
      <w:r w:rsidRPr="00AF7348">
        <w:rPr>
          <w:rFonts w:ascii="Times New Roman" w:hAnsi="Times New Roman" w:cs="Times New Roman"/>
          <w:color w:val="000000" w:themeColor="text1"/>
          <w:sz w:val="24"/>
          <w:szCs w:val="24"/>
          <w:lang w:val="pl-PL"/>
        </w:rPr>
        <w:t>odbywać się będzie zgodnie z</w:t>
      </w:r>
      <w:r w:rsidRPr="00AF7348">
        <w:rPr>
          <w:rFonts w:ascii="Times New Roman" w:hAnsi="Times New Roman" w:cs="Times New Roman"/>
          <w:lang w:val="pl-PL"/>
        </w:rPr>
        <w:t xml:space="preserve"> </w:t>
      </w:r>
      <w:r w:rsidRPr="00AF7348">
        <w:rPr>
          <w:rFonts w:ascii="Times New Roman" w:hAnsi="Times New Roman" w:cs="Times New Roman"/>
          <w:color w:val="000000"/>
          <w:sz w:val="24"/>
          <w:szCs w:val="24"/>
          <w:lang w:val="pl-PL"/>
        </w:rPr>
        <w:t xml:space="preserve">określonymi kryteriami wyboru, z zachowaniem zasad niedyskryminacji i przejrzystości. Projekty </w:t>
      </w:r>
      <w:r w:rsidRPr="00AF7348">
        <w:rPr>
          <w:rFonts w:ascii="Times New Roman" w:hAnsi="Times New Roman" w:cs="Times New Roman"/>
          <w:color w:val="000000" w:themeColor="text1"/>
          <w:sz w:val="24"/>
          <w:szCs w:val="24"/>
          <w:lang w:val="pl-PL"/>
        </w:rPr>
        <w:t>będą dotyczyć</w:t>
      </w:r>
      <w:r w:rsidRPr="00AF7348">
        <w:rPr>
          <w:rFonts w:ascii="Times New Roman" w:hAnsi="Times New Roman" w:cs="Times New Roman"/>
          <w:color w:val="000000"/>
          <w:sz w:val="24"/>
          <w:szCs w:val="24"/>
          <w:lang w:val="pl-PL"/>
        </w:rPr>
        <w:t xml:space="preserve"> opracowania i wdrożenia lub zastosowania rozwiązań z zakresu zielonego przemysłu, które mają skutkować zwiększeniem efektywności energetycznej w procesach produkcyjnych i operacyjnych, lub zmniejszeniem ilości odpadów pochodzących z tych procesów, lub ponownym wykorzystaniem lub recyklingiem odpadów, lub zmniejszeniem emisji gazów cieplarnianych. Dla zapewnienia zgodności działania z Wytycznymi Technicznymi Dotyczącymi Zasady DNSH - Nie Czyń </w:t>
      </w:r>
      <w:r w:rsidR="00176103">
        <w:rPr>
          <w:rFonts w:ascii="Times New Roman" w:hAnsi="Times New Roman" w:cs="Times New Roman"/>
          <w:color w:val="000000"/>
          <w:sz w:val="24"/>
          <w:szCs w:val="24"/>
          <w:lang w:val="pl-PL"/>
        </w:rPr>
        <w:t>Znaczącej</w:t>
      </w:r>
      <w:r w:rsidR="00176103" w:rsidRPr="00AF7348">
        <w:rPr>
          <w:rFonts w:ascii="Times New Roman" w:hAnsi="Times New Roman" w:cs="Times New Roman"/>
          <w:color w:val="000000"/>
          <w:sz w:val="24"/>
          <w:szCs w:val="24"/>
          <w:lang w:val="pl-PL"/>
        </w:rPr>
        <w:t xml:space="preserve"> </w:t>
      </w:r>
      <w:r w:rsidRPr="00AF7348">
        <w:rPr>
          <w:rFonts w:ascii="Times New Roman" w:hAnsi="Times New Roman" w:cs="Times New Roman"/>
          <w:color w:val="000000"/>
          <w:sz w:val="24"/>
          <w:szCs w:val="24"/>
          <w:lang w:val="pl-PL"/>
        </w:rPr>
        <w:t>Szk</w:t>
      </w:r>
      <w:r w:rsidR="00176103">
        <w:rPr>
          <w:rFonts w:ascii="Times New Roman" w:hAnsi="Times New Roman" w:cs="Times New Roman"/>
          <w:color w:val="000000"/>
          <w:sz w:val="24"/>
          <w:szCs w:val="24"/>
          <w:lang w:val="pl-PL"/>
        </w:rPr>
        <w:t>ody</w:t>
      </w:r>
      <w:r w:rsidRPr="00AF7348">
        <w:rPr>
          <w:rFonts w:ascii="Times New Roman" w:hAnsi="Times New Roman" w:cs="Times New Roman"/>
          <w:color w:val="000000"/>
          <w:sz w:val="24"/>
          <w:szCs w:val="24"/>
          <w:lang w:val="pl-PL"/>
        </w:rPr>
        <w:t xml:space="preserve"> (</w:t>
      </w:r>
      <w:r w:rsidRPr="00C770F4">
        <w:rPr>
          <w:rFonts w:ascii="Times New Roman" w:hAnsi="Times New Roman" w:cs="Times New Roman"/>
          <w:i/>
          <w:iCs/>
          <w:color w:val="000000"/>
          <w:sz w:val="24"/>
          <w:szCs w:val="24"/>
          <w:lang w:val="pl-PL"/>
        </w:rPr>
        <w:t xml:space="preserve">DNSH Technical </w:t>
      </w:r>
      <w:proofErr w:type="spellStart"/>
      <w:r w:rsidRPr="00C770F4">
        <w:rPr>
          <w:rFonts w:ascii="Times New Roman" w:hAnsi="Times New Roman" w:cs="Times New Roman"/>
          <w:i/>
          <w:iCs/>
          <w:color w:val="000000"/>
          <w:sz w:val="24"/>
          <w:szCs w:val="24"/>
          <w:lang w:val="pl-PL"/>
        </w:rPr>
        <w:t>Guidance</w:t>
      </w:r>
      <w:proofErr w:type="spellEnd"/>
      <w:r w:rsidRPr="00C770F4">
        <w:rPr>
          <w:rFonts w:ascii="Times New Roman" w:hAnsi="Times New Roman" w:cs="Times New Roman"/>
          <w:i/>
          <w:iCs/>
          <w:color w:val="000000"/>
          <w:sz w:val="24"/>
          <w:szCs w:val="24"/>
          <w:lang w:val="pl-PL"/>
        </w:rPr>
        <w:t>, 2021/C</w:t>
      </w:r>
      <w:r w:rsidRPr="00C770F4">
        <w:rPr>
          <w:rFonts w:ascii="Times New Roman" w:hAnsi="Times New Roman" w:cs="Times New Roman"/>
          <w:i/>
          <w:iCs/>
          <w:color w:val="000000" w:themeColor="text1"/>
          <w:sz w:val="24"/>
          <w:szCs w:val="24"/>
          <w:lang w:val="pl-PL"/>
        </w:rPr>
        <w:t xml:space="preserve"> </w:t>
      </w:r>
      <w:r w:rsidRPr="00C770F4">
        <w:rPr>
          <w:rFonts w:ascii="Times New Roman" w:hAnsi="Times New Roman" w:cs="Times New Roman"/>
          <w:i/>
          <w:iCs/>
          <w:color w:val="000000"/>
          <w:sz w:val="24"/>
          <w:szCs w:val="24"/>
          <w:lang w:val="pl-PL"/>
        </w:rPr>
        <w:t>58/01</w:t>
      </w:r>
      <w:r w:rsidRPr="00AF7348">
        <w:rPr>
          <w:rFonts w:ascii="Times New Roman" w:hAnsi="Times New Roman" w:cs="Times New Roman"/>
          <w:color w:val="000000"/>
          <w:sz w:val="24"/>
          <w:szCs w:val="24"/>
          <w:lang w:val="pl-PL"/>
        </w:rPr>
        <w:t>), kryteria kwalifikowalności zawarte w zakresie wymagań i obowiązków dotyczących przyszłych zaproszeń do składania projektów wykluczają następującą listę działań (i) działalność związana z paliwami kopalnymi, w tym ich dalsze wykorzystanie</w:t>
      </w:r>
      <w:r w:rsidRPr="00AF7348">
        <w:rPr>
          <w:rFonts w:ascii="Times New Roman" w:hAnsi="Times New Roman" w:cs="Times New Roman"/>
          <w:color w:val="000000"/>
          <w:sz w:val="24"/>
          <w:szCs w:val="24"/>
          <w:vertAlign w:val="superscript"/>
          <w:lang w:val="pl-PL"/>
        </w:rPr>
        <w:footnoteReference w:id="9"/>
      </w:r>
      <w:r w:rsidRPr="00AF7348">
        <w:rPr>
          <w:rFonts w:ascii="Times New Roman" w:hAnsi="Times New Roman" w:cs="Times New Roman"/>
          <w:color w:val="000000"/>
          <w:sz w:val="24"/>
          <w:szCs w:val="24"/>
          <w:lang w:val="pl-PL"/>
        </w:rPr>
        <w:t>, (ii) działalność w ramach unijnego systemu handlu emisjami (ETS) osiągająca prognozowane emisje gazów cieplarnianych równe lub wyższe niż odpowiednie poziomy odniesienia</w:t>
      </w:r>
      <w:r w:rsidRPr="00AF7348">
        <w:rPr>
          <w:rFonts w:ascii="Times New Roman" w:hAnsi="Times New Roman" w:cs="Times New Roman"/>
          <w:color w:val="000000"/>
          <w:sz w:val="24"/>
          <w:szCs w:val="24"/>
          <w:vertAlign w:val="superscript"/>
          <w:lang w:val="pl-PL"/>
        </w:rPr>
        <w:footnoteReference w:id="10"/>
      </w:r>
      <w:r w:rsidRPr="00AF7348">
        <w:rPr>
          <w:rFonts w:ascii="Times New Roman" w:hAnsi="Times New Roman" w:cs="Times New Roman"/>
          <w:color w:val="000000"/>
          <w:sz w:val="24"/>
          <w:szCs w:val="24"/>
          <w:lang w:val="pl-PL"/>
        </w:rPr>
        <w:t xml:space="preserve">; (iii) działalność związana ze składowiskami </w:t>
      </w:r>
      <w:r w:rsidRPr="00AF7348">
        <w:rPr>
          <w:rFonts w:ascii="Times New Roman" w:hAnsi="Times New Roman" w:cs="Times New Roman"/>
          <w:color w:val="000000"/>
          <w:sz w:val="24"/>
          <w:szCs w:val="24"/>
          <w:lang w:val="pl-PL"/>
        </w:rPr>
        <w:lastRenderedPageBreak/>
        <w:t>odpadów, spalarniami</w:t>
      </w:r>
      <w:r w:rsidRPr="00AF7348">
        <w:rPr>
          <w:rFonts w:ascii="Times New Roman" w:hAnsi="Times New Roman" w:cs="Times New Roman"/>
          <w:color w:val="000000"/>
          <w:sz w:val="24"/>
          <w:szCs w:val="24"/>
          <w:vertAlign w:val="superscript"/>
          <w:lang w:val="pl-PL"/>
        </w:rPr>
        <w:footnoteReference w:id="11"/>
      </w:r>
      <w:r w:rsidRPr="00AF7348">
        <w:rPr>
          <w:rFonts w:ascii="Times New Roman" w:hAnsi="Times New Roman" w:cs="Times New Roman"/>
          <w:color w:val="000000"/>
          <w:sz w:val="24"/>
          <w:szCs w:val="24"/>
          <w:lang w:val="pl-PL"/>
        </w:rPr>
        <w:t xml:space="preserve"> i zakładami mechaniczno-biologicznego przetwarzania odpadów</w:t>
      </w:r>
      <w:r w:rsidRPr="00AF7348">
        <w:rPr>
          <w:rFonts w:ascii="Times New Roman" w:hAnsi="Times New Roman" w:cs="Times New Roman"/>
          <w:color w:val="000000"/>
          <w:sz w:val="24"/>
          <w:szCs w:val="24"/>
          <w:vertAlign w:val="superscript"/>
          <w:lang w:val="pl-PL"/>
        </w:rPr>
        <w:footnoteReference w:id="12"/>
      </w:r>
      <w:r w:rsidRPr="00AF7348">
        <w:rPr>
          <w:rFonts w:ascii="Times New Roman" w:hAnsi="Times New Roman" w:cs="Times New Roman"/>
          <w:color w:val="000000"/>
          <w:sz w:val="24"/>
          <w:szCs w:val="24"/>
          <w:lang w:val="pl-PL"/>
        </w:rPr>
        <w:t>; oraz (iv) działalność, w której długotrwał</w:t>
      </w:r>
      <w:r w:rsidR="008577CD">
        <w:rPr>
          <w:rFonts w:ascii="Times New Roman" w:hAnsi="Times New Roman" w:cs="Times New Roman"/>
          <w:color w:val="000000"/>
          <w:sz w:val="24"/>
          <w:szCs w:val="24"/>
          <w:lang w:val="pl-PL"/>
        </w:rPr>
        <w:t>e</w:t>
      </w:r>
      <w:r w:rsidRPr="00AF7348">
        <w:rPr>
          <w:rFonts w:ascii="Times New Roman" w:hAnsi="Times New Roman" w:cs="Times New Roman"/>
          <w:color w:val="000000"/>
          <w:sz w:val="24"/>
          <w:szCs w:val="24"/>
          <w:lang w:val="pl-PL"/>
        </w:rPr>
        <w:t xml:space="preserve">  unieszkodliwiani</w:t>
      </w:r>
      <w:r w:rsidR="008577CD">
        <w:rPr>
          <w:rFonts w:ascii="Times New Roman" w:hAnsi="Times New Roman" w:cs="Times New Roman"/>
          <w:color w:val="000000"/>
          <w:sz w:val="24"/>
          <w:szCs w:val="24"/>
          <w:lang w:val="pl-PL"/>
        </w:rPr>
        <w:t>e</w:t>
      </w:r>
      <w:r w:rsidRPr="00AF7348">
        <w:rPr>
          <w:rFonts w:ascii="Times New Roman" w:hAnsi="Times New Roman" w:cs="Times New Roman"/>
          <w:color w:val="000000"/>
          <w:sz w:val="24"/>
          <w:szCs w:val="24"/>
          <w:lang w:val="pl-PL"/>
        </w:rPr>
        <w:t xml:space="preserve"> odpadów może powodować szkody dla środowiska. </w:t>
      </w:r>
    </w:p>
    <w:p w14:paraId="5312826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CD85426" w14:textId="17A066E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A2.3 Zapewnienie instytucjonalnych i prawnych podstaw rozwoju </w:t>
      </w:r>
      <w:r w:rsidR="008670FD">
        <w:rPr>
          <w:rFonts w:ascii="Times New Roman" w:eastAsia="Times New Roman" w:hAnsi="Times New Roman" w:cs="Times New Roman"/>
          <w:b/>
          <w:bCs/>
          <w:color w:val="000000"/>
          <w:sz w:val="24"/>
          <w:szCs w:val="24"/>
          <w:u w:val="single"/>
          <w:lang w:val="pl-PL"/>
        </w:rPr>
        <w:t>bezzałogowych statków powietrznych (</w:t>
      </w:r>
      <w:r w:rsidRPr="00AF7348">
        <w:rPr>
          <w:rFonts w:ascii="Times New Roman" w:eastAsia="Times New Roman" w:hAnsi="Times New Roman" w:cs="Times New Roman"/>
          <w:b/>
          <w:bCs/>
          <w:color w:val="000000"/>
          <w:sz w:val="24"/>
          <w:szCs w:val="24"/>
          <w:u w:val="single"/>
          <w:lang w:val="pl-PL"/>
        </w:rPr>
        <w:t>BSP</w:t>
      </w:r>
      <w:r w:rsidR="008670FD">
        <w:rPr>
          <w:rFonts w:ascii="Times New Roman" w:eastAsia="Times New Roman" w:hAnsi="Times New Roman" w:cs="Times New Roman"/>
          <w:b/>
          <w:bCs/>
          <w:color w:val="000000"/>
          <w:sz w:val="24"/>
          <w:szCs w:val="24"/>
          <w:u w:val="single"/>
          <w:lang w:val="pl-PL"/>
        </w:rPr>
        <w:t>)</w:t>
      </w:r>
    </w:p>
    <w:p w14:paraId="0FE7ABA8" w14:textId="77777777" w:rsidR="007C4506" w:rsidRPr="00AF7348" w:rsidRDefault="2496414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Celem reformy jest powołanie podmiotu, który będzie wspierał testowanie i wdrażanie nowych rozwiązań opartych na BSP, w szczególności na obszarach zurbanizowanych.</w:t>
      </w:r>
    </w:p>
    <w:p w14:paraId="6C2A1E4A" w14:textId="7244FF16" w:rsidR="007C4506" w:rsidRPr="00AF7348" w:rsidRDefault="1AE77B86"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Reforma przyzna Polskiej Agencji Żeglugi Powietrznej prawo do posiadania udziałów w spółkach prawa handlowego oraz upoważni ją lub jej podmioty zależne do prowadzenia projektów pilotażowych wspierających wdrażanie modeli biznesowych i usług opartych na BSP. Polska Agencja Żeglugi Powietrznej będzie również pełnić rolę podmiotu świadczącego specjalistyczne usługi dla BSP w ramach planowanej sieci centrów kompetencji.</w:t>
      </w:r>
    </w:p>
    <w:p w14:paraId="154D2A37" w14:textId="322BF0EA" w:rsidR="007C4506" w:rsidRPr="00AF7348" w:rsidRDefault="185D1D4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2023 roku.</w:t>
      </w:r>
    </w:p>
    <w:p w14:paraId="62486C05" w14:textId="77777777" w:rsidR="0422F8D3" w:rsidRPr="00AF7348" w:rsidRDefault="0422F8D3" w:rsidP="0422F8D3">
      <w:pPr>
        <w:pStyle w:val="Normal0"/>
        <w:spacing w:before="120" w:after="120" w:line="240" w:lineRule="auto"/>
        <w:jc w:val="both"/>
        <w:rPr>
          <w:rFonts w:ascii="Times New Roman" w:eastAsia="Times New Roman" w:hAnsi="Times New Roman" w:cs="Times New Roman"/>
          <w:b/>
          <w:bCs/>
          <w:color w:val="000000" w:themeColor="text1"/>
          <w:sz w:val="24"/>
          <w:szCs w:val="24"/>
          <w:u w:val="single"/>
          <w:lang w:val="pl-PL"/>
        </w:rPr>
      </w:pPr>
    </w:p>
    <w:p w14:paraId="6E889D12" w14:textId="724876AF" w:rsidR="007C4506" w:rsidRPr="00AF7348" w:rsidRDefault="05BEB465"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A2.3.1 Rozbudowa i wyposażenie centrów kompetencji (specjalistyczne ośrodki szkoleniowe, ośrodki wsparcia wdrożeń, centra monitorowania) oraz infrastruktura do zarządzania </w:t>
      </w:r>
      <w:r w:rsidR="000F75AA">
        <w:rPr>
          <w:rFonts w:ascii="Times New Roman" w:eastAsia="Times New Roman" w:hAnsi="Times New Roman" w:cs="Times New Roman"/>
          <w:b/>
          <w:bCs/>
          <w:color w:val="000000" w:themeColor="text1"/>
          <w:sz w:val="24"/>
          <w:szCs w:val="24"/>
          <w:u w:val="single"/>
          <w:lang w:val="pl-PL"/>
        </w:rPr>
        <w:t>przemysłem</w:t>
      </w:r>
      <w:r w:rsidRPr="00AF7348">
        <w:rPr>
          <w:rFonts w:ascii="Times New Roman" w:eastAsia="Times New Roman" w:hAnsi="Times New Roman" w:cs="Times New Roman"/>
          <w:b/>
          <w:bCs/>
          <w:color w:val="000000" w:themeColor="text1"/>
          <w:sz w:val="24"/>
          <w:szCs w:val="24"/>
          <w:u w:val="single"/>
          <w:lang w:val="pl-PL"/>
        </w:rPr>
        <w:t xml:space="preserve"> </w:t>
      </w:r>
      <w:r w:rsidR="008577CD">
        <w:rPr>
          <w:rFonts w:ascii="Times New Roman" w:eastAsia="Times New Roman" w:hAnsi="Times New Roman" w:cs="Times New Roman"/>
          <w:b/>
          <w:bCs/>
          <w:color w:val="000000" w:themeColor="text1"/>
          <w:sz w:val="24"/>
          <w:szCs w:val="24"/>
          <w:u w:val="single"/>
          <w:lang w:val="pl-PL"/>
        </w:rPr>
        <w:t xml:space="preserve">pojazdów </w:t>
      </w:r>
      <w:r w:rsidRPr="00AF7348">
        <w:rPr>
          <w:rFonts w:ascii="Times New Roman" w:eastAsia="Times New Roman" w:hAnsi="Times New Roman" w:cs="Times New Roman"/>
          <w:b/>
          <w:bCs/>
          <w:color w:val="000000" w:themeColor="text1"/>
          <w:sz w:val="24"/>
          <w:szCs w:val="24"/>
          <w:u w:val="single"/>
          <w:lang w:val="pl-PL"/>
        </w:rPr>
        <w:t>bezzałogowych, jako ekosystem innowacji</w:t>
      </w:r>
    </w:p>
    <w:p w14:paraId="02823E03" w14:textId="0B622765" w:rsidR="007C4506" w:rsidRPr="00AF7348" w:rsidRDefault="008577C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66E7BAD6" w:rsidRPr="00AF7348">
        <w:rPr>
          <w:rFonts w:ascii="Times New Roman" w:eastAsia="Times New Roman" w:hAnsi="Times New Roman" w:cs="Times New Roman"/>
          <w:color w:val="000000" w:themeColor="text1"/>
          <w:sz w:val="24"/>
          <w:szCs w:val="24"/>
          <w:lang w:val="pl-PL"/>
        </w:rPr>
        <w:t xml:space="preserve">tej inwestycji jest stworzenie zintegrowanego systemu centrów kompetencji i projektów pilotażowych oraz infrastruktury dla </w:t>
      </w:r>
      <w:r>
        <w:rPr>
          <w:rFonts w:ascii="Times New Roman" w:eastAsia="Times New Roman" w:hAnsi="Times New Roman" w:cs="Times New Roman"/>
          <w:color w:val="000000" w:themeColor="text1"/>
          <w:sz w:val="24"/>
          <w:szCs w:val="24"/>
          <w:lang w:val="pl-PL"/>
        </w:rPr>
        <w:t>pojazdów bezzałogowych</w:t>
      </w:r>
      <w:r w:rsidR="66E7BAD6" w:rsidRPr="00AF7348">
        <w:rPr>
          <w:rFonts w:ascii="Times New Roman" w:eastAsia="Times New Roman" w:hAnsi="Times New Roman" w:cs="Times New Roman"/>
          <w:color w:val="000000" w:themeColor="text1"/>
          <w:sz w:val="24"/>
          <w:szCs w:val="24"/>
          <w:lang w:val="pl-PL"/>
        </w:rPr>
        <w:t>.</w:t>
      </w:r>
    </w:p>
    <w:p w14:paraId="28594C88" w14:textId="4F8DF51A" w:rsidR="007C4506" w:rsidRPr="00AF7348" w:rsidRDefault="7C0DBC6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polega na realizacji lokalnych centrów i infrastruktury dla </w:t>
      </w:r>
      <w:r w:rsidR="008577CD">
        <w:rPr>
          <w:rFonts w:ascii="Times New Roman" w:eastAsia="Times New Roman" w:hAnsi="Times New Roman" w:cs="Times New Roman"/>
          <w:color w:val="000000" w:themeColor="text1"/>
          <w:sz w:val="24"/>
          <w:szCs w:val="24"/>
          <w:lang w:val="pl-PL"/>
        </w:rPr>
        <w:t>pojazdów bezzałogowych</w:t>
      </w:r>
      <w:r w:rsidRPr="00AF7348">
        <w:rPr>
          <w:rFonts w:ascii="Times New Roman" w:eastAsia="Times New Roman" w:hAnsi="Times New Roman" w:cs="Times New Roman"/>
          <w:color w:val="000000" w:themeColor="text1"/>
          <w:sz w:val="24"/>
          <w:szCs w:val="24"/>
          <w:lang w:val="pl-PL"/>
        </w:rPr>
        <w:t>. Lokalne centra i/lub infrastruktura będą wdrażane w dziesięciu lokalizacjach. Kluczowymi elementami wspieranego projektu będzie infrastruktura naziemna, lokalne centra zarządzania danymi i ruchem wraz z wdrożonymi cyfrowymi usługami i ich producentami.</w:t>
      </w:r>
    </w:p>
    <w:p w14:paraId="4A33597F" w14:textId="1400D51E"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Drugi element inwestycji będzie polegał na testowaniu i wdrażaniu usług związanych z </w:t>
      </w:r>
      <w:r w:rsidR="008577CD">
        <w:rPr>
          <w:rFonts w:ascii="Times New Roman" w:eastAsia="Times New Roman" w:hAnsi="Times New Roman" w:cs="Times New Roman"/>
          <w:color w:val="000000" w:themeColor="text1"/>
          <w:sz w:val="24"/>
          <w:szCs w:val="24"/>
          <w:lang w:val="pl-PL"/>
        </w:rPr>
        <w:t>pojazdami bezzałogowymi</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w projektach pilotażowych realizowanych w poszczególnych centrach kompetencyjnych. Projekty pilotażowe będą realizowane w ramach specjalistycznych programów w obszarach autonomicznej koordynacji ruchu, kluczowych obiektów infrastrukturalnych (porty i infrastruktura energetyczna), służb porządku publicznego (bezpieczeństwo i ochrona ludności) oraz mobilności miejskiej.</w:t>
      </w:r>
    </w:p>
    <w:p w14:paraId="609773F7"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4101652C"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0998E2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A2.4 Wzmocnienie mechanizmów współpracy pomiędzy sektorem nauki oraz przemysłem</w:t>
      </w:r>
    </w:p>
    <w:p w14:paraId="0D368E6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 xml:space="preserve">Reforma składa się z dwóch działań. Celem pierwszego działania jest dopuszczenie uniwersytetów i ośrodków badawczych do udziału w spółkach. Oczekuje się, że doprowadzi to do większej interdyscyplinarności i elastyczności transferu technologii. </w:t>
      </w:r>
    </w:p>
    <w:p w14:paraId="5A09F544" w14:textId="7EFC9E3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Pierwszym działaniem w ramach tej reformy będzie rozszerzenie kategorii podmiotów, z którymi uczelnie mogą tworzyć spółki celowe. Będą to ośrodki badawcze, instytuty Polskiej Akademii Nauk oraz instytuty Sieci </w:t>
      </w:r>
      <w:r w:rsidR="008577CD">
        <w:rPr>
          <w:rFonts w:ascii="Times New Roman" w:eastAsia="Times New Roman" w:hAnsi="Times New Roman" w:cs="Times New Roman"/>
          <w:color w:val="000000" w:themeColor="text1"/>
          <w:sz w:val="24"/>
          <w:szCs w:val="24"/>
          <w:lang w:val="pl-PL"/>
        </w:rPr>
        <w:t>Badawczej</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Łukasiewicz. Reforma pozwoli na tworzenie spółek celowych przeznaczonych specjalnie do komercjalizacji wyników prac badawczo-rozwojowych.</w:t>
      </w:r>
    </w:p>
    <w:p w14:paraId="20127AE4" w14:textId="4D741D7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zakończon</w:t>
      </w:r>
      <w:r w:rsidR="00663CF6">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 do 31 marca 2022 roku.</w:t>
      </w:r>
    </w:p>
    <w:p w14:paraId="5C185861" w14:textId="25ECB081" w:rsidR="007C4506" w:rsidRPr="00AF7348" w:rsidRDefault="4BEECC2D"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Drugie działanie w ramach tej reformy ma na celu ustalenie, dla placówek badawczych i jednostek podległych Ministerstwu Rolnictwa i Rozwoju Wsi, zasad korzystania z laboratoriów, infrastruktury badawczej i transferu wiedzy w ramach współpracy nauka-nauka i nauka-biznes. Zasady przyznawania pomocy mają być zgodne z zasadą niedyskryminacji i przejrzystości.</w:t>
      </w:r>
    </w:p>
    <w:p w14:paraId="229874DD" w14:textId="3734A678"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zakończon</w:t>
      </w:r>
      <w:r w:rsidR="00663CF6">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 do 31 marca 2022 roku.</w:t>
      </w:r>
    </w:p>
    <w:p w14:paraId="4B99056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3D0BAB0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A2.4.1 Inwestycje w rozbudowę potencjału badawczego</w:t>
      </w:r>
    </w:p>
    <w:p w14:paraId="60EB99DB" w14:textId="79E31A97" w:rsidR="007C4506" w:rsidRPr="00AF7348" w:rsidRDefault="008577C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08769F7B" w:rsidRPr="00AF7348">
        <w:rPr>
          <w:rFonts w:ascii="Times New Roman" w:eastAsia="Times New Roman" w:hAnsi="Times New Roman" w:cs="Times New Roman"/>
          <w:color w:val="000000" w:themeColor="text1"/>
          <w:sz w:val="24"/>
          <w:szCs w:val="24"/>
          <w:lang w:val="pl-PL"/>
        </w:rPr>
        <w:t xml:space="preserve">tej inwestycji jest zacieśnienie współpracy pomiędzy instytucjami zajmującymi się badaniami i innowacjami, placówkami naukowymi a sektorem biznesu. Przyczyni się to do zwiększenia liczby wysokiej jakości wyników </w:t>
      </w:r>
      <w:r>
        <w:rPr>
          <w:rFonts w:ascii="Times New Roman" w:eastAsia="Times New Roman" w:hAnsi="Times New Roman" w:cs="Times New Roman"/>
          <w:color w:val="000000" w:themeColor="text1"/>
          <w:sz w:val="24"/>
          <w:szCs w:val="24"/>
          <w:lang w:val="pl-PL"/>
        </w:rPr>
        <w:t xml:space="preserve">prac </w:t>
      </w:r>
      <w:r w:rsidR="08769F7B" w:rsidRPr="00AF7348">
        <w:rPr>
          <w:rFonts w:ascii="Times New Roman" w:eastAsia="Times New Roman" w:hAnsi="Times New Roman" w:cs="Times New Roman"/>
          <w:color w:val="000000" w:themeColor="text1"/>
          <w:sz w:val="24"/>
          <w:szCs w:val="24"/>
          <w:lang w:val="pl-PL"/>
        </w:rPr>
        <w:t xml:space="preserve">B + R o </w:t>
      </w:r>
      <w:r w:rsidR="00410628">
        <w:rPr>
          <w:rFonts w:ascii="Times New Roman" w:eastAsia="Times New Roman" w:hAnsi="Times New Roman" w:cs="Times New Roman"/>
          <w:color w:val="000000" w:themeColor="text1"/>
          <w:sz w:val="24"/>
          <w:szCs w:val="24"/>
          <w:lang w:val="pl-PL"/>
        </w:rPr>
        <w:t>dużym</w:t>
      </w:r>
      <w:r w:rsidR="08769F7B" w:rsidRPr="00AF7348">
        <w:rPr>
          <w:rFonts w:ascii="Times New Roman" w:eastAsia="Times New Roman" w:hAnsi="Times New Roman" w:cs="Times New Roman"/>
          <w:color w:val="000000" w:themeColor="text1"/>
          <w:sz w:val="24"/>
          <w:szCs w:val="24"/>
          <w:lang w:val="pl-PL"/>
        </w:rPr>
        <w:t xml:space="preserve"> potencjale komercjalizacji.</w:t>
      </w:r>
    </w:p>
    <w:p w14:paraId="6D6FDD9E" w14:textId="19A793B7" w:rsidR="00141808" w:rsidRPr="00AF7348" w:rsidRDefault="2DCD1556" w:rsidP="0014180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polega na finansowaniu infrastruktury badawczej w ramach Sieci Badawczej Łukasiewicz, Polskiej Mapy Drogowej Infrastruktury Badawczej oraz instytucji rolno-spożywczych i jednostek podległych Ministerstwu Rolnictwa i Rozwoju Wsi. </w:t>
      </w:r>
    </w:p>
    <w:p w14:paraId="0839BA2B" w14:textId="67F87B4E" w:rsidR="00141808" w:rsidRPr="00AF7348" w:rsidRDefault="05AB898E" w:rsidP="0014180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Dla zapewnienia zgodności działania z Wytycznymi Technicznymi Dotyczącymi Zasady DNSH - Nie Czyń </w:t>
      </w:r>
      <w:r w:rsidR="008577CD">
        <w:rPr>
          <w:rFonts w:ascii="Times New Roman" w:eastAsia="Times New Roman" w:hAnsi="Times New Roman" w:cs="Times New Roman"/>
          <w:color w:val="000000" w:themeColor="text1"/>
          <w:sz w:val="24"/>
          <w:szCs w:val="24"/>
          <w:lang w:val="pl-PL"/>
        </w:rPr>
        <w:t>Znaczącej</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8577CD">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410628">
        <w:rPr>
          <w:rFonts w:ascii="Times New Roman" w:eastAsia="Times New Roman" w:hAnsi="Times New Roman" w:cs="Times New Roman"/>
          <w:i/>
          <w:iCs/>
          <w:color w:val="000000" w:themeColor="text1"/>
          <w:sz w:val="24"/>
          <w:szCs w:val="24"/>
          <w:lang w:val="pl-PL"/>
        </w:rPr>
        <w:t xml:space="preserve">DNSH Technical </w:t>
      </w:r>
      <w:proofErr w:type="spellStart"/>
      <w:r w:rsidRPr="00410628">
        <w:rPr>
          <w:rFonts w:ascii="Times New Roman" w:eastAsia="Times New Roman" w:hAnsi="Times New Roman" w:cs="Times New Roman"/>
          <w:i/>
          <w:iCs/>
          <w:color w:val="000000" w:themeColor="text1"/>
          <w:sz w:val="24"/>
          <w:szCs w:val="24"/>
          <w:lang w:val="pl-PL"/>
        </w:rPr>
        <w:t>Guidance</w:t>
      </w:r>
      <w:proofErr w:type="spellEnd"/>
      <w:r w:rsidRPr="0041062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kryteria kwalifikowalności zawarte w zakresie wymagań i obowiązków dotyczących przyszłych zaproszeń do składania projektów wykluczają następującą listę działań (i) działalność związana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13"/>
      </w:r>
      <w:r w:rsidRPr="00AF7348">
        <w:rPr>
          <w:rFonts w:ascii="Times New Roman" w:eastAsia="Times New Roman" w:hAnsi="Times New Roman" w:cs="Times New Roman"/>
          <w:color w:val="000000" w:themeColor="text1"/>
          <w:sz w:val="24"/>
          <w:szCs w:val="24"/>
          <w:lang w:val="pl-PL"/>
        </w:rPr>
        <w:t>, (ii) działalność w ramach unijnego 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14"/>
      </w:r>
      <w:r w:rsidRPr="00AF7348">
        <w:rPr>
          <w:rFonts w:ascii="Times New Roman" w:eastAsia="Times New Roman" w:hAnsi="Times New Roman" w:cs="Times New Roman"/>
          <w:color w:val="000000" w:themeColor="text1"/>
          <w:sz w:val="24"/>
          <w:szCs w:val="24"/>
          <w:lang w:val="pl-PL"/>
        </w:rPr>
        <w:t>; (iii) działalność związana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15"/>
      </w:r>
      <w:r w:rsidRPr="00AF7348">
        <w:rPr>
          <w:rFonts w:ascii="Times New Roman" w:eastAsia="Times New Roman" w:hAnsi="Times New Roman" w:cs="Times New Roman"/>
          <w:color w:val="000000" w:themeColor="text1"/>
          <w:sz w:val="24"/>
          <w:szCs w:val="24"/>
          <w:lang w:val="pl-PL"/>
        </w:rPr>
        <w:t xml:space="preserve"> i zakładami mechaniczno-biologicznego przetwarzania </w:t>
      </w:r>
      <w:r w:rsidRPr="00AF7348">
        <w:rPr>
          <w:rFonts w:ascii="Times New Roman" w:eastAsia="Times New Roman" w:hAnsi="Times New Roman" w:cs="Times New Roman"/>
          <w:color w:val="000000" w:themeColor="text1"/>
          <w:sz w:val="24"/>
          <w:szCs w:val="24"/>
          <w:lang w:val="pl-PL"/>
        </w:rPr>
        <w:lastRenderedPageBreak/>
        <w:t>odpadów</w:t>
      </w:r>
      <w:r w:rsidRPr="00AF7348">
        <w:rPr>
          <w:rStyle w:val="Odwoanieprzypisudolnego"/>
          <w:rFonts w:ascii="Times New Roman" w:eastAsia="Times New Roman" w:hAnsi="Times New Roman" w:cs="Times New Roman"/>
          <w:color w:val="000000" w:themeColor="text1"/>
          <w:sz w:val="24"/>
          <w:szCs w:val="24"/>
          <w:lang w:val="pl-PL"/>
        </w:rPr>
        <w:footnoteReference w:id="16"/>
      </w:r>
      <w:r w:rsidRPr="00AF7348">
        <w:rPr>
          <w:rFonts w:ascii="Times New Roman" w:eastAsia="Times New Roman" w:hAnsi="Times New Roman" w:cs="Times New Roman"/>
          <w:color w:val="000000" w:themeColor="text1"/>
          <w:sz w:val="24"/>
          <w:szCs w:val="24"/>
          <w:lang w:val="pl-PL"/>
        </w:rPr>
        <w:t>; oraz (iv) działalność, w której długotrwał</w:t>
      </w:r>
      <w:r w:rsidR="008577CD">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unieszkodliwiani</w:t>
      </w:r>
      <w:r w:rsidR="008577CD">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odpadów może powodować szkody dla środowiska. </w:t>
      </w:r>
    </w:p>
    <w:p w14:paraId="201AAA4B" w14:textId="76001FD6" w:rsidR="007C4506" w:rsidRPr="00AF7348" w:rsidRDefault="279AD3DA" w:rsidP="0014180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Następujące działania B+R+I w ramach tej inwestycji uznaje się za zgodne z Wytycznymi Technicznymi Dotyczącymi Zasady DNSH - Nie Czyń </w:t>
      </w:r>
      <w:r w:rsidR="008577CD">
        <w:rPr>
          <w:rFonts w:ascii="Times New Roman" w:eastAsia="Times New Roman" w:hAnsi="Times New Roman" w:cs="Times New Roman"/>
          <w:color w:val="000000" w:themeColor="text1"/>
          <w:sz w:val="24"/>
          <w:szCs w:val="24"/>
          <w:lang w:val="pl-PL"/>
        </w:rPr>
        <w:t>Znaczącej</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8577CD">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A564DE">
        <w:rPr>
          <w:rFonts w:ascii="Times New Roman" w:eastAsia="Times New Roman" w:hAnsi="Times New Roman" w:cs="Times New Roman"/>
          <w:i/>
          <w:iCs/>
          <w:color w:val="000000" w:themeColor="text1"/>
          <w:sz w:val="24"/>
          <w:szCs w:val="24"/>
          <w:lang w:val="pl-PL"/>
        </w:rPr>
        <w:t xml:space="preserve">DNSH Technical </w:t>
      </w:r>
      <w:proofErr w:type="spellStart"/>
      <w:r w:rsidRPr="00A564DE">
        <w:rPr>
          <w:rFonts w:ascii="Times New Roman" w:eastAsia="Times New Roman" w:hAnsi="Times New Roman" w:cs="Times New Roman"/>
          <w:i/>
          <w:iCs/>
          <w:color w:val="000000" w:themeColor="text1"/>
          <w:sz w:val="24"/>
          <w:szCs w:val="24"/>
          <w:lang w:val="pl-PL"/>
        </w:rPr>
        <w:t>Guidance</w:t>
      </w:r>
      <w:proofErr w:type="spellEnd"/>
      <w:r w:rsidRPr="00A564DE">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(i) działania B+R+I skutkujące neutralnymi technologicznie wynikami na poziomie ich zastosowania; (ii) działania B+R+I wspierające rozwiązania alternatywne o niewielkim wpływie na środowisko, jeżeli takie istnieją; lub (iii) działania B+R+I, w danym sektorze, koncentrujące się przede wszystkim na opracowywaniu rozwiązań alternatywnych o możliwie najmniejszym wpływie na środowisko w przypadku czynności, dla których nie istnieją technologicznie i ekonomicznie wykonalne rozwiązania alternatywne o takim niewielkim wpływie.</w:t>
      </w:r>
    </w:p>
    <w:p w14:paraId="69F816B6" w14:textId="59BDCE8C" w:rsidR="007C4506" w:rsidRPr="00AF7348" w:rsidRDefault="200DEC7A" w:rsidP="62F76288">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7D6BE619" w14:textId="77777777" w:rsidR="0002330F" w:rsidRPr="00AF7348" w:rsidRDefault="0002330F" w:rsidP="33C998F7">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5CCFB21C" w14:textId="318E4154"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4"/>
          <w:szCs w:val="24"/>
          <w:lang w:val="pl-PL"/>
        </w:rPr>
      </w:pPr>
      <w:proofErr w:type="spellStart"/>
      <w:r w:rsidRPr="00AF7348">
        <w:rPr>
          <w:rFonts w:ascii="Times New Roman" w:eastAsia="Times New Roman" w:hAnsi="Times New Roman" w:cs="Times New Roman"/>
          <w:b/>
          <w:bCs/>
          <w:color w:val="000000" w:themeColor="text1"/>
          <w:sz w:val="24"/>
          <w:szCs w:val="24"/>
          <w:lang w:val="pl-PL"/>
        </w:rPr>
        <w:t>Podkomponent</w:t>
      </w:r>
      <w:proofErr w:type="spellEnd"/>
      <w:r w:rsidRPr="00AF7348">
        <w:rPr>
          <w:rFonts w:ascii="Times New Roman" w:eastAsia="Times New Roman" w:hAnsi="Times New Roman" w:cs="Times New Roman"/>
          <w:b/>
          <w:bCs/>
          <w:color w:val="000000" w:themeColor="text1"/>
          <w:sz w:val="24"/>
          <w:szCs w:val="24"/>
          <w:lang w:val="pl-PL"/>
        </w:rPr>
        <w:t xml:space="preserve"> A3 - Edukacja dla nowoczesnej gospodarki</w:t>
      </w:r>
    </w:p>
    <w:p w14:paraId="396CF71A" w14:textId="77777777" w:rsidR="002248AA" w:rsidRPr="00AF7348" w:rsidRDefault="002248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8E45630" w14:textId="33EE0164" w:rsidR="00DD7DAC" w:rsidRPr="00AF7348" w:rsidRDefault="67AB9BF0" w:rsidP="1B117666">
      <w:pPr>
        <w:pStyle w:val="Normal0"/>
        <w:pBdr>
          <w:top w:val="nil"/>
          <w:left w:val="nil"/>
          <w:bottom w:val="nil"/>
          <w:right w:val="nil"/>
          <w:between w:val="nil"/>
        </w:pBdr>
        <w:spacing w:before="60" w:after="60" w:line="240" w:lineRule="auto"/>
        <w:jc w:val="both"/>
        <w:rPr>
          <w:rFonts w:ascii="Times New Roman" w:eastAsia="Times New Roman" w:hAnsi="Times New Roman" w:cs="Times New Roman"/>
          <w:b/>
          <w:bCs/>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A3.1 Kadry dla nowoczesnej gospodarki: poprawa dostosowania umiejętności i kwalifikacji do wymogów rynku pracy w związku z wdrażaniem nowych technologii w gospodarce oraz zieloną i cyfrową transformacją</w:t>
      </w:r>
    </w:p>
    <w:p w14:paraId="4D56A643" w14:textId="77777777" w:rsidR="004073CB" w:rsidRPr="00AF7348" w:rsidRDefault="004073CB">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themeColor="text1"/>
          <w:sz w:val="24"/>
          <w:szCs w:val="24"/>
          <w:lang w:val="pl-PL"/>
        </w:rPr>
      </w:pPr>
    </w:p>
    <w:p w14:paraId="0357DF2E" w14:textId="7923D6AB"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Głównym celem reformy jest przygotowanie kadry pracowniczej do funkcjonowania w nowoczesnej gospodarce oraz poprawa dostosowania umiejętności i kwalifikacji do wymogów rynku pracy w związku z wdrażaniem nowych technologii w gospodarce oraz zieloną i cyfrową transformacją. Zadaniem reformy jest utworzenie Branżowych Centrów Umiejętności (</w:t>
      </w:r>
      <w:proofErr w:type="spellStart"/>
      <w:r w:rsidRPr="00AF7348">
        <w:rPr>
          <w:rFonts w:ascii="Times New Roman" w:eastAsia="Times New Roman" w:hAnsi="Times New Roman" w:cs="Times New Roman"/>
          <w:i/>
          <w:iCs/>
          <w:color w:val="000000" w:themeColor="text1"/>
          <w:sz w:val="24"/>
          <w:szCs w:val="24"/>
          <w:lang w:val="pl-PL"/>
        </w:rPr>
        <w:t>Sectoral</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Skills</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Centres</w:t>
      </w:r>
      <w:proofErr w:type="spellEnd"/>
      <w:r w:rsidRPr="00AF7348">
        <w:rPr>
          <w:rFonts w:ascii="Times New Roman" w:eastAsia="Times New Roman" w:hAnsi="Times New Roman" w:cs="Times New Roman"/>
          <w:color w:val="000000" w:themeColor="text1"/>
          <w:sz w:val="24"/>
          <w:szCs w:val="24"/>
          <w:lang w:val="pl-PL"/>
        </w:rPr>
        <w:t>) oraz zmiana odpowiednich przepisów prawnych tak, aby zapewnić ukierunkowane usługi w zakresie podnoszenia i zmiany kwalifikacji. Reforma służy także do wspierania współpracy pracodawców z organizatorami kształcenia zawodowego, przyczynia się do upowszechniania innowacyjnych rozwiązań oraz wspiera innowacje w kształceniu zawodowym. Należy również uwzględnić kwestię włączania osób niepełnosprawnych. Tak określone Centra Umiejętności będą uzupełniać istniejącą ofertę kształcenia i szkolenia zawodowego na poziomie średnim i wyższym a także proces uczenia się przez całe życie.</w:t>
      </w:r>
    </w:p>
    <w:p w14:paraId="139CAF24" w14:textId="0859A1F1"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obejmie </w:t>
      </w:r>
      <w:r w:rsidR="008577CD">
        <w:rPr>
          <w:rFonts w:ascii="Times New Roman" w:eastAsia="Times New Roman" w:hAnsi="Times New Roman" w:cs="Times New Roman"/>
          <w:color w:val="000000" w:themeColor="text1"/>
          <w:sz w:val="24"/>
          <w:szCs w:val="24"/>
          <w:lang w:val="pl-PL"/>
        </w:rPr>
        <w:t>nowelizację</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Ustawy o systemie oświaty oraz Karty Nauczyciela. Nastąpi to po przeprowadzeniu procesu przeglądu, w ścisłej współpracy z partnerami społecznymi, władzami regionalnymi, branżami i innymi zainteresowanymi stronami. Zmiana Ustawy o systemie oświaty obejmie plan rozwoju Sieci Centrów Umiejętności (</w:t>
      </w:r>
      <w:proofErr w:type="spellStart"/>
      <w:r w:rsidRPr="00AF7348">
        <w:rPr>
          <w:rFonts w:ascii="Times New Roman" w:eastAsia="Times New Roman" w:hAnsi="Times New Roman" w:cs="Times New Roman"/>
          <w:i/>
          <w:iCs/>
          <w:color w:val="000000" w:themeColor="text1"/>
          <w:sz w:val="24"/>
          <w:szCs w:val="24"/>
          <w:lang w:val="pl-PL"/>
        </w:rPr>
        <w:t>Skills</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Centres</w:t>
      </w:r>
      <w:proofErr w:type="spellEnd"/>
      <w:r w:rsidRPr="00AF7348">
        <w:rPr>
          <w:rFonts w:ascii="Times New Roman" w:eastAsia="Times New Roman" w:hAnsi="Times New Roman" w:cs="Times New Roman"/>
          <w:i/>
          <w:iCs/>
          <w:color w:val="000000" w:themeColor="text1"/>
          <w:sz w:val="24"/>
          <w:szCs w:val="24"/>
          <w:lang w:val="pl-PL"/>
        </w:rPr>
        <w:t>' Network</w:t>
      </w:r>
      <w:r w:rsidRPr="00AF7348">
        <w:rPr>
          <w:rFonts w:ascii="Times New Roman" w:eastAsia="Times New Roman" w:hAnsi="Times New Roman" w:cs="Times New Roman"/>
          <w:color w:val="000000" w:themeColor="text1"/>
          <w:sz w:val="24"/>
          <w:szCs w:val="24"/>
          <w:lang w:val="pl-PL"/>
        </w:rPr>
        <w:t xml:space="preserve">), określi miejsce i rolę Centrów Umiejętności w systemie kształcenia i szkolenia, zasady i warunki zatrudniania pracowników w tych Centrach, ustanowi przepisy dotyczące cyklicznych przeglądów zapewniających nadzór nad zarządzaniem Centrami Umiejętności i ich trwałością po 2026 roku, a także dostosuje istniejący system zarządzania, wprowadzając odpowiednie przepisy dotyczące zarządzania Centrami, z uwzględnieniem pracodawców (w tym </w:t>
      </w:r>
      <w:r w:rsidR="000F75AA">
        <w:rPr>
          <w:rFonts w:ascii="Times New Roman" w:eastAsia="Times New Roman" w:hAnsi="Times New Roman" w:cs="Times New Roman"/>
          <w:color w:val="000000" w:themeColor="text1"/>
          <w:sz w:val="24"/>
          <w:szCs w:val="24"/>
          <w:lang w:val="pl-PL"/>
        </w:rPr>
        <w:t xml:space="preserve">przedstawicieli </w:t>
      </w:r>
      <w:r w:rsidRPr="00AF7348">
        <w:rPr>
          <w:rFonts w:ascii="Times New Roman" w:eastAsia="Times New Roman" w:hAnsi="Times New Roman" w:cs="Times New Roman"/>
          <w:color w:val="000000" w:themeColor="text1"/>
          <w:sz w:val="24"/>
          <w:szCs w:val="24"/>
          <w:lang w:val="pl-PL"/>
        </w:rPr>
        <w:t xml:space="preserve">MŚP), partnerów społecznych i innych zainteresowanych stron, w tym władz regionalnych i lokalnych. Obejmie także określenie sposobów finansowania (w tym po ustaniu wsparcia z UE), warunków szkolenia, przepisów dotyczących poradnictwa zawodowego i programów nauczania, a także zdefiniuje rodzaje oferowanych szkoleń, grupy docelowe, typy </w:t>
      </w:r>
      <w:r w:rsidRPr="00AF7348">
        <w:rPr>
          <w:rFonts w:ascii="Times New Roman" w:eastAsia="Times New Roman" w:hAnsi="Times New Roman" w:cs="Times New Roman"/>
          <w:color w:val="000000" w:themeColor="text1"/>
          <w:sz w:val="24"/>
          <w:szCs w:val="24"/>
          <w:lang w:val="pl-PL"/>
        </w:rPr>
        <w:lastRenderedPageBreak/>
        <w:t xml:space="preserve">kwalifikacji i standardów, mechanizmy zapewniania i weryfikacji jakości oraz sposób powiązania poszczególnych branż z Centrami Umiejętności. Zmiana w Karcie Nauczyciela powinna umożliwić Centrom prowadzenie ustawicznego </w:t>
      </w:r>
      <w:r w:rsidR="008577CD">
        <w:rPr>
          <w:rFonts w:ascii="Times New Roman" w:eastAsia="Times New Roman" w:hAnsi="Times New Roman" w:cs="Times New Roman"/>
          <w:color w:val="000000" w:themeColor="text1"/>
          <w:sz w:val="24"/>
          <w:szCs w:val="24"/>
          <w:lang w:val="pl-PL"/>
        </w:rPr>
        <w:t>doskonalenia zawodowego</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dla obecnych nauczycieli kształcenia zawodowego.</w:t>
      </w:r>
    </w:p>
    <w:p w14:paraId="2892FC7F" w14:textId="69AC3D58" w:rsidR="00807FAA" w:rsidRPr="00AF7348" w:rsidRDefault="00807FAA" w:rsidP="00807F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Ponadto zadaniem reformy jest koordynacja kształcenia i szkolenia zawodowego, szkolnictwa wyższego i uczenia się przez całe życie w regionach z myślą o stworzeniu trwałych i skutecznych metod współpracy i interakcji pomiędzy różnymi zainteresowanymi stronami (w dziedzinie rozwoju umiejętności) należącymi do różnych struktur zarządzania (takich jak placówki edukacyjne, instytucje rynku pracy, przedsiębiorstwa i organizacje pracodawców oraz władze lokalne).</w:t>
      </w:r>
    </w:p>
    <w:p w14:paraId="29ED6463" w14:textId="7A3CD767" w:rsidR="00807FAA" w:rsidRPr="00AF7348" w:rsidRDefault="00807FAA" w:rsidP="00807F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Zostanie to osiągnięte dzięki wejściu w życie zmian do szeregu aktów prawnych, po przeprowadzeniu procesu przeglądu istniejących mechanizmów współpracy oraz w ścisłej kooperacji z władzami lokalnymi i regionalnymi. Reforma określi prawa i obowiązki regionów w zakresie koordynacji polityki dotyczącej umiejętności oraz wpłynie na ofertę instytucji ustawicznego kształcenia w zakresie podnoszenia kwalifikacji w oparciu o operacyjne programy wdrażania (krajowej) Zintegrowanej Strategii Umiejętności 2030 na poziomie regionalnym. Zmiany te obejmą: prawne ustanowienie Regionalnych Zespołów Koordynacyjnych (po jednym na każde województwo) koordynujących politykę kształcenia i szkolenia zawodowego, szkolnictwa wyższego i uczenia się przez całe życie; strukturę zarządzania wprowadzającą odpowiedzialność regionów i partnerów społecznych; obowiązek przyjęcia operacyjnych programów wdrażania krajowej Zintegrowanej Strategii Umiejętności 2030 na poziomie regionalnym (po jednym zespole na każde województwo), aktualizowania programu co pięć lat, a także zagwarantowania, że oferta edukacyjna będzie dostosowana do zdiagnozowanych potrzeb w zakresie umiejętności. Zmiany obejmą również przepisy dotyczące funkcjonowania Biura Koordynacji (zapewniającego obsługę Regionalnych Zespołów Koordynacyjnych) oraz plan wdrażania w zakresie monitorowania i oceniania.</w:t>
      </w:r>
    </w:p>
    <w:p w14:paraId="1330F20D" w14:textId="08D94D04" w:rsidR="00807FAA" w:rsidRPr="00AF7348" w:rsidRDefault="00807FAA" w:rsidP="00807F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reformy zostanie zakończone do 31 marca 2025 roku. </w:t>
      </w:r>
    </w:p>
    <w:p w14:paraId="136C4316" w14:textId="77777777" w:rsidR="0002330F" w:rsidRPr="00AF7348" w:rsidRDefault="0002330F" w:rsidP="00807F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F8F7F17" w14:textId="38D6C5C1" w:rsidR="00014699" w:rsidRPr="00AF7348" w:rsidRDefault="00B31839" w:rsidP="16BD6518">
      <w:pPr>
        <w:pStyle w:val="Normal0"/>
        <w:pBdr>
          <w:top w:val="nil"/>
          <w:left w:val="nil"/>
          <w:bottom w:val="nil"/>
          <w:right w:val="nil"/>
          <w:between w:val="nil"/>
        </w:pBdr>
        <w:spacing w:before="60" w:after="6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A3.1.1 Wsparcie rozwoju nowoczesnego kształcenia zawodowego, szkolnictwa wyższego oraz uczenia się przez całe życie</w:t>
      </w:r>
    </w:p>
    <w:p w14:paraId="370C55E9" w14:textId="614BCC5B"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związana z reformą A3.1, ma na celu faktyczne utworzenie oraz pełną funkcjonalność sieci Branżowych Centrów Umiejętności, wspierających rozwój nowoczesnego kształcenia zawodowego, szkolnictwa wyższego oraz uczenia się przez całe życie. Obejmie stworzenie Centrów Umiejętności oraz zapewnienie kursów i programów szkolenia zawodowego, w tym dla dorosłych, studentów, młodzieży, nauczycieli kształcenia i szkolenia zawodowego oraz pracowników. Inwestycja nie obejmie zakupu gruntów. </w:t>
      </w:r>
    </w:p>
    <w:p w14:paraId="310025BF" w14:textId="71A64FD2"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Na potrzeby realizacji programów szkoleń w zakresie podnoszenia i zmiany kwalifikacji, w tym certyfikacji efektów uczenia się, we wszystkich Centrach Umiejętności szkolenie przejdzie 24 000 uczestników. Spośród tych osób co najmniej 60% będą stanowić osoby dorosłe (</w:t>
      </w:r>
      <w:r w:rsidR="008577CD">
        <w:rPr>
          <w:rFonts w:ascii="Times New Roman" w:eastAsia="Times New Roman" w:hAnsi="Times New Roman" w:cs="Times New Roman"/>
          <w:color w:val="000000" w:themeColor="text1"/>
          <w:sz w:val="24"/>
          <w:szCs w:val="24"/>
          <w:lang w:val="pl-PL"/>
        </w:rPr>
        <w:t xml:space="preserve">w wieku co </w:t>
      </w:r>
      <w:r w:rsidRPr="00AF7348">
        <w:rPr>
          <w:rFonts w:ascii="Times New Roman" w:eastAsia="Times New Roman" w:hAnsi="Times New Roman" w:cs="Times New Roman"/>
          <w:color w:val="000000" w:themeColor="text1"/>
          <w:sz w:val="24"/>
          <w:szCs w:val="24"/>
          <w:lang w:val="pl-PL"/>
        </w:rPr>
        <w:t xml:space="preserve">najmniej 25 lat - z wyłączeniem nauczycieli kształcenia i szkolenia zawodowego); co najmniej 20% będzie stanowić młodzież (w wieku od 14 do 24 lat); co najmniej 10% będą stanowić obecni nauczyciele kształcenia i szkolenia zawodowego, którzy wezmą udział w szkoleniu w ciągu pierwszych dwóch lat działalności Centrów Umiejętności (po reformie Ustawy - Karta Nauczyciela). Docelowo, każdy program podnoszenia kwalifikacji obejmie co najmniej aspekt cyfrowy i ekologiczny, w oparciu o najlepszą dostępną wiedzę i naukę. Do Centrów Umiejętności należy włączyć co najmniej 90 organizacji branżowych (dla których należy zapewnić szkolenia). </w:t>
      </w:r>
    </w:p>
    <w:p w14:paraId="0191D6C5" w14:textId="5FE7E4BE" w:rsidR="00014699" w:rsidRPr="00AF7348" w:rsidRDefault="00014699" w:rsidP="0001469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W ramach inwestycji należy również powołać co najmniej 14 funkcjonujących Regionalnych Zespołów Koordynacyjnych, a docelowo 16 Regionalnych Zespołów Koordynacyjnych (po jednym na każde województwo). Zespoły te będą koordynować politykę w zakresie kształcenia i szkolenia zawodowego oraz uczenia się przez całe życie. Inwestycja obejmie wsparcie i rozwój mechanizmów koordynacji na poziomie centralnym i regionalnym, a także wsparcie działań zespołów regionalnych przy realizacji ich zadań. </w:t>
      </w:r>
    </w:p>
    <w:p w14:paraId="52E8EA61" w14:textId="710297D6" w:rsidR="00014699" w:rsidRPr="00AF7348" w:rsidRDefault="00014699" w:rsidP="0001469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Ponadto, w ramach ogólnego celu opracowania 16 operacyjnych programów wdrożeniowych na poziomie regionalnym (po jednym na każde województwo), co najmniej 14 operacyjnych programów wdrożeniowych na poziomie regionalnym zostanie opracowanych przez powołane Regionalne Zespoły Koordynacyjne ds. kształcenia i szkolenia zawodowego oraz uczenia się przez całe życie. Będą to programy realizacji krajowej Zintegrowanej Strategii Umiejętności 2030 na poziomie regionalnym.</w:t>
      </w:r>
    </w:p>
    <w:p w14:paraId="2298B8EB" w14:textId="11F38318" w:rsidR="007C4506" w:rsidRPr="00AF7348" w:rsidRDefault="00B31839">
      <w:pPr>
        <w:pStyle w:val="Normal0"/>
        <w:pBdr>
          <w:top w:val="nil"/>
          <w:left w:val="nil"/>
          <w:bottom w:val="nil"/>
          <w:right w:val="nil"/>
          <w:between w:val="nil"/>
        </w:pBdr>
        <w:spacing w:before="60" w:after="6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0FB78278" w14:textId="2F476A18" w:rsidR="00F03401" w:rsidRPr="00AF7348" w:rsidRDefault="00F03401"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p>
    <w:p w14:paraId="2A062E5F" w14:textId="147032B0" w:rsidR="00546865" w:rsidRPr="00AF7348" w:rsidRDefault="00B31839" w:rsidP="00F07CEA">
      <w:pPr>
        <w:rPr>
          <w:rFonts w:ascii="Times New Roman" w:eastAsia="Times New Roman" w:hAnsi="Times New Roman" w:cs="Times New Roman"/>
          <w:b/>
          <w:color w:val="000000"/>
          <w:sz w:val="24"/>
          <w:szCs w:val="24"/>
          <w:lang w:val="pl-PL"/>
        </w:rPr>
      </w:pPr>
      <w:proofErr w:type="spellStart"/>
      <w:r w:rsidRPr="00AF7348">
        <w:rPr>
          <w:rFonts w:ascii="Times New Roman" w:eastAsia="Times New Roman" w:hAnsi="Times New Roman" w:cs="Times New Roman"/>
          <w:b/>
          <w:bCs/>
          <w:color w:val="000000"/>
          <w:sz w:val="24"/>
          <w:szCs w:val="24"/>
          <w:lang w:val="pl-PL"/>
        </w:rPr>
        <w:t>Podkomponent</w:t>
      </w:r>
      <w:proofErr w:type="spellEnd"/>
      <w:r w:rsidRPr="00AF7348">
        <w:rPr>
          <w:rFonts w:ascii="Times New Roman" w:eastAsia="Times New Roman" w:hAnsi="Times New Roman" w:cs="Times New Roman"/>
          <w:b/>
          <w:bCs/>
          <w:color w:val="000000"/>
          <w:sz w:val="24"/>
          <w:szCs w:val="24"/>
          <w:lang w:val="pl-PL"/>
        </w:rPr>
        <w:t xml:space="preserve"> A4 - Zwiększenie dopasowania strukturalnego, efektywności i odporności kryzysowej rynku pracy</w:t>
      </w:r>
    </w:p>
    <w:p w14:paraId="12D0269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A4.1 Efektywne instytucje na rzecz rynku pracy</w:t>
      </w:r>
      <w:r w:rsidRPr="00AF7348">
        <w:rPr>
          <w:rFonts w:ascii="Times New Roman" w:eastAsia="Times New Roman" w:hAnsi="Times New Roman" w:cs="Times New Roman"/>
          <w:b/>
          <w:bCs/>
          <w:color w:val="000000"/>
          <w:sz w:val="24"/>
          <w:szCs w:val="24"/>
          <w:lang w:val="pl-PL"/>
        </w:rPr>
        <w:t xml:space="preserve"> </w:t>
      </w:r>
    </w:p>
    <w:p w14:paraId="3FF900EA" w14:textId="1451311D"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celem reformy jest </w:t>
      </w:r>
      <w:r w:rsidR="00A45AC6">
        <w:rPr>
          <w:rFonts w:ascii="Times New Roman" w:eastAsia="Times New Roman" w:hAnsi="Times New Roman" w:cs="Times New Roman"/>
          <w:color w:val="000000" w:themeColor="text1"/>
          <w:sz w:val="24"/>
          <w:szCs w:val="24"/>
          <w:lang w:val="pl-PL"/>
        </w:rPr>
        <w:t>rozwój</w:t>
      </w:r>
      <w:r w:rsidRPr="00AF7348">
        <w:rPr>
          <w:rFonts w:ascii="Times New Roman" w:eastAsia="Times New Roman" w:hAnsi="Times New Roman" w:cs="Times New Roman"/>
          <w:color w:val="000000" w:themeColor="text1"/>
          <w:sz w:val="24"/>
          <w:szCs w:val="24"/>
          <w:lang w:val="pl-PL"/>
        </w:rPr>
        <w:t xml:space="preserve"> rynku pracy, co ma się przyczynić do zwiększenia wydajności, odporności na kryzys i globalnej konkurencyjności polskiej gospodarki. Kolejnym </w:t>
      </w:r>
      <w:r w:rsidR="008577CD">
        <w:rPr>
          <w:rFonts w:ascii="Times New Roman" w:eastAsia="Times New Roman" w:hAnsi="Times New Roman" w:cs="Times New Roman"/>
          <w:color w:val="000000" w:themeColor="text1"/>
          <w:sz w:val="24"/>
          <w:szCs w:val="24"/>
          <w:lang w:val="pl-PL"/>
        </w:rPr>
        <w:t>celem</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jest większa elastyczność i bezpieczeństwo na polskim rynku pracy. Aby to osiągnąć, reforma zakłada: (i) przeprojektowanie sposobu funkcjonowania publicznych służb zatrudnienia oraz wzmocnienie aktywnej polityki na rynku pracy; (ii) ułatwienie procesu zatrudniania pracowników zagranicznych; (iii) ułatwienie procedur rekrutacyjnych poprzez wdrożenie nowych przepisów dotyczących umów zawieranych drogą elektroniczną; oraz (iv) zbadanie metod służących większemu wykorzystaniu </w:t>
      </w:r>
      <w:r w:rsidR="00A45AC6">
        <w:rPr>
          <w:rFonts w:ascii="Times New Roman" w:eastAsia="Times New Roman" w:hAnsi="Times New Roman" w:cs="Times New Roman"/>
          <w:color w:val="000000" w:themeColor="text1"/>
          <w:sz w:val="24"/>
          <w:szCs w:val="24"/>
          <w:lang w:val="pl-PL"/>
        </w:rPr>
        <w:t>umów</w:t>
      </w:r>
      <w:r w:rsidRPr="00AF7348">
        <w:rPr>
          <w:rFonts w:ascii="Times New Roman" w:eastAsia="Times New Roman" w:hAnsi="Times New Roman" w:cs="Times New Roman"/>
          <w:color w:val="000000" w:themeColor="text1"/>
          <w:sz w:val="24"/>
          <w:szCs w:val="24"/>
          <w:lang w:val="pl-PL"/>
        </w:rPr>
        <w:t xml:space="preserve"> zbiorowych oraz stworzenie jednolitej umowy o pracę.</w:t>
      </w:r>
    </w:p>
    <w:p w14:paraId="51E05130" w14:textId="417DF13A"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obejmie nowe przepisy dotyczące publicznych służb zatrudnienia, zatrudnienia obywateli państw trzecich oraz zawierania niektórych umów o pracę drogą elektroniczną. Ponadto reforma ma polegać na przyjęciu nowych standardów i ram działania w zakresie funkcjonowania i koordynacji publicznych służb zatrudnienia. Należy przeprowadzić proces konsultacji z partnerami społecznymi na temat możliwości zawierania </w:t>
      </w:r>
      <w:r w:rsidR="00A45AC6">
        <w:rPr>
          <w:rFonts w:ascii="Times New Roman" w:eastAsia="Times New Roman" w:hAnsi="Times New Roman" w:cs="Times New Roman"/>
          <w:color w:val="000000" w:themeColor="text1"/>
          <w:sz w:val="24"/>
          <w:szCs w:val="24"/>
          <w:lang w:val="pl-PL"/>
        </w:rPr>
        <w:t>umów</w:t>
      </w:r>
      <w:r w:rsidRPr="00AF7348">
        <w:rPr>
          <w:rFonts w:ascii="Times New Roman" w:eastAsia="Times New Roman" w:hAnsi="Times New Roman" w:cs="Times New Roman"/>
          <w:color w:val="000000" w:themeColor="text1"/>
          <w:sz w:val="24"/>
          <w:szCs w:val="24"/>
          <w:lang w:val="pl-PL"/>
        </w:rPr>
        <w:t xml:space="preserve"> zbiorowych oraz dokonać kompleksowej analizy potencjalnej roli jednolitej formy umowy o pracę. Należy wprowadzić w życie odpowiednie zmiany prawne, określone w wyniku takich konsultacji i badań.</w:t>
      </w:r>
    </w:p>
    <w:p w14:paraId="230F349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września 2024 roku.</w:t>
      </w:r>
    </w:p>
    <w:p w14:paraId="1FC39945" w14:textId="77777777" w:rsidR="075E044B" w:rsidRPr="00AF7348" w:rsidRDefault="075E044B" w:rsidP="075E044B">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2FDB5F3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A4.1.1 Inwestycje wspierające reformę instytucji rynku pracy </w:t>
      </w:r>
    </w:p>
    <w:p w14:paraId="3D3584B1" w14:textId="09D5E8E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Nadrzędnym </w:t>
      </w:r>
      <w:r w:rsidR="008577CD">
        <w:rPr>
          <w:rFonts w:ascii="Times New Roman" w:eastAsia="Times New Roman" w:hAnsi="Times New Roman" w:cs="Times New Roman"/>
          <w:color w:val="000000"/>
          <w:sz w:val="24"/>
          <w:szCs w:val="24"/>
          <w:lang w:val="pl-PL"/>
        </w:rPr>
        <w:t>celem</w:t>
      </w:r>
      <w:r w:rsidR="008577CD" w:rsidRPr="00AF7348">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tej inwestycji jest zwiększenie zdolności publicznych służb zatrudnienia do wsparcia funkcjonowania rynku pracy. W tym celu inwestycja zmierza do cyfryzacji usług i narzędzi wykorzystywanych przez publiczne służby zatrudnienia, przeszkolenia pracowników tych służb oraz przeprowadzenia kampanii informacyjnej na temat nowych usług oferowanych przez publiczne służby zatrudnienia, także dla ich pierwszych przyszłych użytkowników.</w:t>
      </w:r>
    </w:p>
    <w:p w14:paraId="0883A34B" w14:textId="0111697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Inwestycje obejmą: (i) cyfryzację procesów zachodzących w publicznych służbach zatrudnienia, (ii) szkolenia dla pracowników tych służb, (iii) opracowanie nowych standardów ich działania. </w:t>
      </w:r>
    </w:p>
    <w:p w14:paraId="2C9D0204"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Wdrażanie inwestycji zostanie zakończone do 30 czerwca 2025 roku.</w:t>
      </w:r>
    </w:p>
    <w:p w14:paraId="0562CB0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6C61DB17" w14:textId="179960B8" w:rsidR="007C4506" w:rsidRPr="00AF7348" w:rsidRDefault="00B31839"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A4.2 Reforma na rzecz poprawy sytuacji rodziców na rynku pracy poprzez zwiększenie dostępu do wysokiej jakości opieki nad dziećmi do lat 3</w:t>
      </w:r>
    </w:p>
    <w:p w14:paraId="1FB01AB7" w14:textId="02F3887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Nadrzędnym celem reformy jest ułatwienie dostępu do placówek opieki nad dziećmi do lat trzech oraz zapewnienie wysokich standardów edukacyjnych i jakościowych tych usług. Aby to osiągnąć reforma</w:t>
      </w:r>
      <w:r w:rsidR="00B2132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 usprawni zarządzanie krajowymi i zewnętrznymi funduszami przeznaczonymi na tworzenie i funkcjonowanie placówek opieki nad dziećmi; (ii) wdroży stabilne długoterminowe krajowe finansowanie usług opieki nad dziećmi w wieku do lat trzech; oraz (iii) wdroży zestaw obowiązujących minimalnych standardów edukacyjnych i jakościowych dla placówek opieki nad dziećmi.</w:t>
      </w:r>
    </w:p>
    <w:p w14:paraId="354B5C47" w14:textId="521079D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polega na przyjęciu nowelizacji ustawy o opiece nad dziećmi do lat trzech oraz na ustanowieniu specjalnego wieloletniego programu tworzenia i funkcjonowania placówek opieki nad dziećmi. Nowelizacja ma m.in. scalić zarządzanie trzema odrębnymi źródłami finansowania tworzenia i funkcjonowania placówek opieki nad dziećmi: finansowaniem krajowym, Europejskim Funduszem Społecznym+ (EFS+) oraz Instrumentem na rzecz Odbudowy i Zwiększania Odporności (RRF). Reforma obejmie także opracowanie odpowiedniego systemu oraz zapewnienie wystarczających środków finansowych do stworzenia stabilnego, długoterminowego finansowania krajowego usług opieki nad dziećmi do lat trzech. Wreszcie reforma przeprowadzi strategiczny przegląd obowiązujących standardów opieki i edukacji dla dzieci do lat trzech, opracuje odpowiednie wskazówki edukacyjne i wspierające placówki opieki nad dziećmi, i na tej podstawie wprowadzi odpowiednie zmiany legislacyjne aby ustanowić zestaw obowiązkowych minimalnych standardów edukacyjnych i jakościowych dla placówek opieki nad dziećmi z myślą o zapewnieniu wysokiej jakości edukacji i opieki począwszy od najmłodszych lat. </w:t>
      </w:r>
    </w:p>
    <w:p w14:paraId="39C8C92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2024 roku.</w:t>
      </w:r>
    </w:p>
    <w:p w14:paraId="34CE0A4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1985E9C" w14:textId="77777777" w:rsidR="007C4506" w:rsidRPr="00AF7348" w:rsidRDefault="00B31839"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A4.2.1 Wsparcie programów dofinansowania miejsc opieki nad dziećmi 0-3 lat (żłobki, kluby dziecięce) w ramach Maluch+</w:t>
      </w:r>
    </w:p>
    <w:p w14:paraId="1BDCB003" w14:textId="29B3E2D7" w:rsidR="007C4506" w:rsidRPr="00AF7348" w:rsidRDefault="481D606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8577CD">
        <w:rPr>
          <w:rFonts w:ascii="Times New Roman" w:eastAsia="Times New Roman" w:hAnsi="Times New Roman" w:cs="Times New Roman"/>
          <w:color w:val="000000" w:themeColor="text1"/>
          <w:sz w:val="24"/>
          <w:szCs w:val="24"/>
          <w:lang w:val="pl-PL"/>
        </w:rPr>
        <w:t>celem</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tej inwestycji jest zwiększenie dostępności miejsc opieki nad dziećmi w wieku do lat trzech poprzez dofinansowanie kosztów budowy takich placówek oraz utworzenie systemu zarządzania ich finansowaniem. Aby to osiągnąć, inwestycja</w:t>
      </w:r>
      <w:r w:rsidR="00B2132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 wdroży system informatyczny do zarządzania finansowaniem i tworzeniem </w:t>
      </w:r>
      <w:r w:rsidR="008577CD">
        <w:rPr>
          <w:rFonts w:ascii="Times New Roman" w:eastAsia="Times New Roman" w:hAnsi="Times New Roman" w:cs="Times New Roman"/>
          <w:color w:val="000000" w:themeColor="text1"/>
          <w:sz w:val="24"/>
          <w:szCs w:val="24"/>
          <w:lang w:val="pl-PL"/>
        </w:rPr>
        <w:t>placówek opiekuńczych dla</w:t>
      </w:r>
      <w:r w:rsidRPr="00AF7348">
        <w:rPr>
          <w:rFonts w:ascii="Times New Roman" w:eastAsia="Times New Roman" w:hAnsi="Times New Roman" w:cs="Times New Roman"/>
          <w:color w:val="000000" w:themeColor="text1"/>
          <w:sz w:val="24"/>
          <w:szCs w:val="24"/>
          <w:lang w:val="pl-PL"/>
        </w:rPr>
        <w:t xml:space="preserve"> dzie</w:t>
      </w:r>
      <w:r w:rsidR="008577CD">
        <w:rPr>
          <w:rFonts w:ascii="Times New Roman" w:eastAsia="Times New Roman" w:hAnsi="Times New Roman" w:cs="Times New Roman"/>
          <w:color w:val="000000" w:themeColor="text1"/>
          <w:sz w:val="24"/>
          <w:szCs w:val="24"/>
          <w:lang w:val="pl-PL"/>
        </w:rPr>
        <w:t>ci</w:t>
      </w:r>
      <w:r w:rsidRPr="00AF7348">
        <w:rPr>
          <w:rFonts w:ascii="Times New Roman" w:eastAsia="Times New Roman" w:hAnsi="Times New Roman" w:cs="Times New Roman"/>
          <w:color w:val="000000" w:themeColor="text1"/>
          <w:sz w:val="24"/>
          <w:szCs w:val="24"/>
          <w:lang w:val="pl-PL"/>
        </w:rPr>
        <w:t xml:space="preserve"> do lat trzech</w:t>
      </w:r>
      <w:r w:rsidR="00B2132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oraz (ii) stworzy nowe miejsca w placówkach </w:t>
      </w:r>
      <w:r w:rsidR="008577CD">
        <w:rPr>
          <w:rFonts w:ascii="Times New Roman" w:eastAsia="Times New Roman" w:hAnsi="Times New Roman" w:cs="Times New Roman"/>
          <w:color w:val="000000" w:themeColor="text1"/>
          <w:sz w:val="24"/>
          <w:szCs w:val="24"/>
          <w:lang w:val="pl-PL"/>
        </w:rPr>
        <w:t xml:space="preserve">opiekuńczych </w:t>
      </w:r>
      <w:r w:rsidRPr="00AF7348">
        <w:rPr>
          <w:rFonts w:ascii="Times New Roman" w:eastAsia="Times New Roman" w:hAnsi="Times New Roman" w:cs="Times New Roman"/>
          <w:color w:val="000000" w:themeColor="text1"/>
          <w:sz w:val="24"/>
          <w:szCs w:val="24"/>
          <w:lang w:val="pl-PL"/>
        </w:rPr>
        <w:t>(żłobkach, klubach dziecięcych)</w:t>
      </w:r>
      <w:r w:rsidR="008577CD">
        <w:rPr>
          <w:rFonts w:ascii="Times New Roman" w:eastAsia="Times New Roman" w:hAnsi="Times New Roman" w:cs="Times New Roman"/>
          <w:color w:val="000000" w:themeColor="text1"/>
          <w:sz w:val="24"/>
          <w:szCs w:val="24"/>
          <w:lang w:val="pl-PL"/>
        </w:rPr>
        <w:t xml:space="preserve"> do lat trzech</w:t>
      </w:r>
      <w:r w:rsidRPr="00AF7348">
        <w:rPr>
          <w:rFonts w:ascii="Times New Roman" w:eastAsia="Times New Roman" w:hAnsi="Times New Roman" w:cs="Times New Roman"/>
          <w:color w:val="000000" w:themeColor="text1"/>
          <w:sz w:val="24"/>
          <w:szCs w:val="24"/>
          <w:lang w:val="pl-PL"/>
        </w:rPr>
        <w:t>.</w:t>
      </w:r>
    </w:p>
    <w:p w14:paraId="39BEFB4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Inwestycja polega na opracowaniu i wdrożeniu systemu informatycznego do zarządzania finansowaniem i tworzeniem miejsc opieki nad dziećmi w wieku do lat trzech. System będzie łączył różne źródła finansowania takiej opieki (fundusze europejskie, środki krajowe z budżetu centralnego, środki samorządowe).</w:t>
      </w:r>
    </w:p>
    <w:p w14:paraId="5AF032E9" w14:textId="58A29A5D" w:rsidR="007C4506" w:rsidRPr="00AF7348" w:rsidRDefault="481D606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Inwestycja obejmie również stworzenie 47</w:t>
      </w:r>
      <w:r w:rsidR="00B21321">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500 nowych miejsc w żłobkach i klubach dziecięcych poprzez budowę nowych obiektów oraz renowację (remonty i adaptacje) istniejących. W wyjątkowych przypadkach, jeśli zajdzie taka potrzeba, może to obejmować zakup nieruchomości i infrastruktury (zakup gruntów lub lokali).</w:t>
      </w:r>
    </w:p>
    <w:p w14:paraId="5E048EFC" w14:textId="4E1D62B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Należy przestrzegać wyraźnego rozgraniczenia </w:t>
      </w:r>
      <w:r w:rsidR="00B21321">
        <w:rPr>
          <w:rFonts w:ascii="Times New Roman" w:eastAsia="Times New Roman" w:hAnsi="Times New Roman" w:cs="Times New Roman"/>
          <w:color w:val="000000"/>
          <w:sz w:val="24"/>
          <w:szCs w:val="24"/>
          <w:lang w:val="pl-PL"/>
        </w:rPr>
        <w:t>po</w:t>
      </w:r>
      <w:r w:rsidRPr="00AF7348">
        <w:rPr>
          <w:rFonts w:ascii="Times New Roman" w:eastAsia="Times New Roman" w:hAnsi="Times New Roman" w:cs="Times New Roman"/>
          <w:color w:val="000000"/>
          <w:sz w:val="24"/>
          <w:szCs w:val="24"/>
          <w:lang w:val="pl-PL"/>
        </w:rPr>
        <w:t xml:space="preserve">między finansowaniem z RRF </w:t>
      </w:r>
      <w:r w:rsidR="00B21321">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finansowani</w:t>
      </w:r>
      <w:r w:rsidR="00B21321">
        <w:rPr>
          <w:rFonts w:ascii="Times New Roman" w:eastAsia="Times New Roman" w:hAnsi="Times New Roman" w:cs="Times New Roman"/>
          <w:color w:val="000000"/>
          <w:sz w:val="24"/>
          <w:szCs w:val="24"/>
          <w:lang w:val="pl-PL"/>
        </w:rPr>
        <w:t>em</w:t>
      </w:r>
      <w:r w:rsidRPr="00AF7348">
        <w:rPr>
          <w:rFonts w:ascii="Times New Roman" w:eastAsia="Times New Roman" w:hAnsi="Times New Roman" w:cs="Times New Roman"/>
          <w:color w:val="000000"/>
          <w:sz w:val="24"/>
          <w:szCs w:val="24"/>
          <w:lang w:val="pl-PL"/>
        </w:rPr>
        <w:t xml:space="preserve"> z innego funduszu europejskiego. </w:t>
      </w:r>
    </w:p>
    <w:p w14:paraId="78DFE28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62EBF3C5"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C45E4F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u w:val="single"/>
          <w:lang w:val="pl-PL"/>
        </w:rPr>
        <w:t>A4.3 Wdrożenie ram prawnych dla rozwoju ekonomii społecznej</w:t>
      </w:r>
    </w:p>
    <w:p w14:paraId="2C58F83D" w14:textId="3D3DBECF"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Nadrzędnym celem reformy jest </w:t>
      </w:r>
      <w:r w:rsidR="00B21321">
        <w:rPr>
          <w:rFonts w:ascii="Times New Roman" w:eastAsia="Times New Roman" w:hAnsi="Times New Roman" w:cs="Times New Roman"/>
          <w:color w:val="000000"/>
          <w:sz w:val="24"/>
          <w:szCs w:val="24"/>
          <w:lang w:val="pl-PL"/>
        </w:rPr>
        <w:t>wzrost</w:t>
      </w:r>
      <w:r w:rsidRPr="00AF7348">
        <w:rPr>
          <w:rFonts w:ascii="Times New Roman" w:eastAsia="Times New Roman" w:hAnsi="Times New Roman" w:cs="Times New Roman"/>
          <w:color w:val="000000"/>
          <w:sz w:val="24"/>
          <w:szCs w:val="24"/>
          <w:lang w:val="pl-PL"/>
        </w:rPr>
        <w:t xml:space="preserve"> wskaźnika aktywności zawodowej osób zagrożonych wykluczeniem społecznym oraz wspieranie </w:t>
      </w:r>
      <w:proofErr w:type="spellStart"/>
      <w:r w:rsidRPr="00AF7348">
        <w:rPr>
          <w:rFonts w:ascii="Times New Roman" w:eastAsia="Times New Roman" w:hAnsi="Times New Roman" w:cs="Times New Roman"/>
          <w:color w:val="000000"/>
          <w:sz w:val="24"/>
          <w:szCs w:val="24"/>
          <w:lang w:val="pl-PL"/>
        </w:rPr>
        <w:t>deinstytucjonalizacji</w:t>
      </w:r>
      <w:proofErr w:type="spellEnd"/>
      <w:r w:rsidRPr="00AF7348">
        <w:rPr>
          <w:rFonts w:ascii="Times New Roman" w:eastAsia="Times New Roman" w:hAnsi="Times New Roman" w:cs="Times New Roman"/>
          <w:color w:val="000000"/>
          <w:sz w:val="24"/>
          <w:szCs w:val="24"/>
          <w:lang w:val="pl-PL"/>
        </w:rPr>
        <w:t xml:space="preserve"> usług społecznych. Aby to osiągnąć, reforma zakłada określenie w przepisach prawnych ram funkcjonowania podmiotów ekonomii społecznej.</w:t>
      </w:r>
    </w:p>
    <w:p w14:paraId="2FA6F748" w14:textId="5102576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polega na </w:t>
      </w:r>
      <w:r w:rsidR="008577CD">
        <w:rPr>
          <w:rFonts w:ascii="Times New Roman" w:eastAsia="Times New Roman" w:hAnsi="Times New Roman" w:cs="Times New Roman"/>
          <w:color w:val="000000" w:themeColor="text1"/>
          <w:sz w:val="24"/>
          <w:szCs w:val="24"/>
          <w:lang w:val="pl-PL"/>
        </w:rPr>
        <w:t>przyjęciu</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ustawy o ekonomii społecznej. Ustawa określi podstawowe zasady związane z tym sektorem, w tym w szczególności zasady funkcjonowania i wspierania przedsiębiorstwa społecznego, nowe </w:t>
      </w:r>
      <w:r w:rsidR="008577CD">
        <w:rPr>
          <w:rFonts w:ascii="Times New Roman" w:eastAsia="Times New Roman" w:hAnsi="Times New Roman" w:cs="Times New Roman"/>
          <w:color w:val="000000" w:themeColor="text1"/>
          <w:sz w:val="24"/>
          <w:szCs w:val="24"/>
          <w:lang w:val="pl-PL"/>
        </w:rPr>
        <w:t>zasady</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współpracy między podmiotami ekonomii społecznej a samorządem lokalnym w realizacji usług społecznych, a także zasady koordynacji polityki w zakresie rozwoju </w:t>
      </w:r>
      <w:r w:rsidR="008577CD">
        <w:rPr>
          <w:rFonts w:ascii="Times New Roman" w:eastAsia="Times New Roman" w:hAnsi="Times New Roman" w:cs="Times New Roman"/>
          <w:color w:val="000000" w:themeColor="text1"/>
          <w:sz w:val="24"/>
          <w:szCs w:val="24"/>
          <w:lang w:val="pl-PL"/>
        </w:rPr>
        <w:t>ekonomii społecznej</w:t>
      </w:r>
      <w:r w:rsidRPr="00AF7348">
        <w:rPr>
          <w:rFonts w:ascii="Times New Roman" w:eastAsia="Times New Roman" w:hAnsi="Times New Roman" w:cs="Times New Roman"/>
          <w:color w:val="000000" w:themeColor="text1"/>
          <w:sz w:val="24"/>
          <w:szCs w:val="24"/>
          <w:lang w:val="pl-PL"/>
        </w:rPr>
        <w:t>.</w:t>
      </w:r>
    </w:p>
    <w:p w14:paraId="5036C11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2022 roku.</w:t>
      </w:r>
    </w:p>
    <w:p w14:paraId="1AC4645D" w14:textId="61E107F3" w:rsidR="007C4506" w:rsidRPr="00AF7348" w:rsidRDefault="00B31839"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A4.3.1 Programy wsparcia inwestycyjnego umożliwiające w szczególności rozwój działalności, zwiększenie udziału w realizacji usług społecznych, </w:t>
      </w:r>
      <w:proofErr w:type="spellStart"/>
      <w:r w:rsidR="008670FD">
        <w:rPr>
          <w:rFonts w:ascii="Times New Roman" w:eastAsia="Times New Roman" w:hAnsi="Times New Roman" w:cs="Times New Roman"/>
          <w:b/>
          <w:bCs/>
          <w:color w:val="000000" w:themeColor="text1"/>
          <w:sz w:val="24"/>
          <w:szCs w:val="24"/>
          <w:u w:val="single"/>
          <w:lang w:val="pl-PL"/>
        </w:rPr>
        <w:t>oraz</w:t>
      </w:r>
      <w:r w:rsidR="008577CD">
        <w:rPr>
          <w:rFonts w:ascii="Times New Roman" w:eastAsia="Times New Roman" w:hAnsi="Times New Roman" w:cs="Times New Roman"/>
          <w:b/>
          <w:bCs/>
          <w:color w:val="000000" w:themeColor="text1"/>
          <w:sz w:val="24"/>
          <w:szCs w:val="24"/>
          <w:u w:val="single"/>
          <w:lang w:val="pl-PL"/>
        </w:rPr>
        <w:t>poprawę</w:t>
      </w:r>
      <w:proofErr w:type="spellEnd"/>
      <w:r w:rsidR="008577CD" w:rsidRPr="00AF7348">
        <w:rPr>
          <w:rFonts w:ascii="Times New Roman" w:eastAsia="Times New Roman" w:hAnsi="Times New Roman" w:cs="Times New Roman"/>
          <w:b/>
          <w:bCs/>
          <w:color w:val="000000" w:themeColor="text1"/>
          <w:sz w:val="24"/>
          <w:szCs w:val="24"/>
          <w:u w:val="single"/>
          <w:lang w:val="pl-PL"/>
        </w:rPr>
        <w:t xml:space="preserve"> </w:t>
      </w:r>
      <w:r w:rsidRPr="00AF7348">
        <w:rPr>
          <w:rFonts w:ascii="Times New Roman" w:eastAsia="Times New Roman" w:hAnsi="Times New Roman" w:cs="Times New Roman"/>
          <w:b/>
          <w:bCs/>
          <w:color w:val="000000" w:themeColor="text1"/>
          <w:sz w:val="24"/>
          <w:szCs w:val="24"/>
          <w:u w:val="single"/>
          <w:lang w:val="pl-PL"/>
        </w:rPr>
        <w:t>jakości reintegracji w podmiotach ekonomii społecznej</w:t>
      </w:r>
    </w:p>
    <w:p w14:paraId="78CC3A06" w14:textId="10FAF230" w:rsidR="007C4506" w:rsidRPr="00AF7348" w:rsidRDefault="66E7BAD6"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8577CD">
        <w:rPr>
          <w:rFonts w:ascii="Times New Roman" w:eastAsia="Times New Roman" w:hAnsi="Times New Roman" w:cs="Times New Roman"/>
          <w:color w:val="000000" w:themeColor="text1"/>
          <w:sz w:val="24"/>
          <w:szCs w:val="24"/>
          <w:lang w:val="pl-PL"/>
        </w:rPr>
        <w:t>celem</w:t>
      </w:r>
      <w:r w:rsidR="008577CD"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tej inwestycji jest maksymalizacja oddziaływania podmiotów ekonomii społecznej w zakresie reintegracji społecznej i zawodowej osób zagrożonych wykluczeniem społecznym oraz wspieranie </w:t>
      </w:r>
      <w:proofErr w:type="spellStart"/>
      <w:r w:rsidRPr="00AF7348">
        <w:rPr>
          <w:rFonts w:ascii="Times New Roman" w:eastAsia="Times New Roman" w:hAnsi="Times New Roman" w:cs="Times New Roman"/>
          <w:color w:val="000000" w:themeColor="text1"/>
          <w:sz w:val="24"/>
          <w:szCs w:val="24"/>
          <w:lang w:val="pl-PL"/>
        </w:rPr>
        <w:t>deinstytucjonalizacji</w:t>
      </w:r>
      <w:proofErr w:type="spellEnd"/>
      <w:r w:rsidRPr="00AF7348">
        <w:rPr>
          <w:rFonts w:ascii="Times New Roman" w:eastAsia="Times New Roman" w:hAnsi="Times New Roman" w:cs="Times New Roman"/>
          <w:color w:val="000000" w:themeColor="text1"/>
          <w:sz w:val="24"/>
          <w:szCs w:val="24"/>
          <w:lang w:val="pl-PL"/>
        </w:rPr>
        <w:t xml:space="preserve"> usług społecznych. W tym celu inwestycja będzie ukierunkowana na pomoc podmiotom w uzyskaniu statusu przedsiębiorstwa społecznego oraz na utrzymanie miejsc pracy w podmiotach ekonomii społecznej.</w:t>
      </w:r>
    </w:p>
    <w:p w14:paraId="51B53191" w14:textId="26F42986"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Inwestycja obejmie przygotowanie oraz wdrożenie programów zapewniających dotacje kwalifikującym się podmiotom. Miarą realizacji inwestycji będzie</w:t>
      </w:r>
      <w:r w:rsidR="004E62C3">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 nadanie statusu przedsiębiorstwa społecznego 1400 podmiotom</w:t>
      </w:r>
      <w:r w:rsidR="004E62C3">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oraz (ii) zapewnienie wsparcia finansowego co najmniej 1000 podmiotom społecznym.</w:t>
      </w:r>
    </w:p>
    <w:p w14:paraId="38B298FD" w14:textId="44407BB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Wybór beneficjentów dokonywany będzie według określonych kryteriów, z poszanowaniem zasad niedyskryminacji i przejrzystości.</w:t>
      </w:r>
    </w:p>
    <w:p w14:paraId="1A28289F" w14:textId="767D8E62"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2946DB82" w14:textId="77777777" w:rsidR="00F03401" w:rsidRPr="00AF7348" w:rsidRDefault="00F0340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66CBF2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u w:val="single"/>
          <w:lang w:val="pl-PL"/>
        </w:rPr>
        <w:t>A4.4 Uelastycznienie form zatrudnienia, w tym wprowadzenie pracy zdalnej</w:t>
      </w:r>
    </w:p>
    <w:p w14:paraId="3E653869" w14:textId="5C2B14D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Nadrzędnym celem reformy jest ułatwienie godzenia obowiązków rodzinnych i zawodowych oraz pomoc w znalezieniu stałego zatrudnienia osobom z grup o niższym wskaźniku aktywności zawodowej</w:t>
      </w:r>
      <w:r w:rsidR="0012753A" w:rsidRPr="00BF27A8">
        <w:rPr>
          <w:lang w:val="pl-PL"/>
        </w:rPr>
        <w:t xml:space="preserve"> </w:t>
      </w:r>
      <w:r w:rsidR="0012753A" w:rsidRPr="0012753A">
        <w:rPr>
          <w:rFonts w:ascii="Times New Roman" w:eastAsia="Times New Roman" w:hAnsi="Times New Roman" w:cs="Times New Roman"/>
          <w:color w:val="000000"/>
          <w:sz w:val="24"/>
          <w:szCs w:val="24"/>
          <w:lang w:val="pl-PL"/>
        </w:rPr>
        <w:t xml:space="preserve">W tym celu praca zdalna i elastyczne formy organizacji czasu pracy powinny zostać zapisane w </w:t>
      </w:r>
      <w:r w:rsidR="0012753A">
        <w:rPr>
          <w:rFonts w:ascii="Times New Roman" w:eastAsia="Times New Roman" w:hAnsi="Times New Roman" w:cs="Times New Roman"/>
          <w:color w:val="000000"/>
          <w:sz w:val="24"/>
          <w:szCs w:val="24"/>
          <w:lang w:val="pl-PL"/>
        </w:rPr>
        <w:t>K</w:t>
      </w:r>
      <w:r w:rsidR="0012753A" w:rsidRPr="0012753A">
        <w:rPr>
          <w:rFonts w:ascii="Times New Roman" w:eastAsia="Times New Roman" w:hAnsi="Times New Roman" w:cs="Times New Roman"/>
          <w:color w:val="000000"/>
          <w:sz w:val="24"/>
          <w:szCs w:val="24"/>
          <w:lang w:val="pl-PL"/>
        </w:rPr>
        <w:t xml:space="preserve">odeksie </w:t>
      </w:r>
      <w:r w:rsidR="0012753A">
        <w:rPr>
          <w:rFonts w:ascii="Times New Roman" w:eastAsia="Times New Roman" w:hAnsi="Times New Roman" w:cs="Times New Roman"/>
          <w:color w:val="000000"/>
          <w:sz w:val="24"/>
          <w:szCs w:val="24"/>
          <w:lang w:val="pl-PL"/>
        </w:rPr>
        <w:t>P</w:t>
      </w:r>
      <w:r w:rsidR="0012753A" w:rsidRPr="0012753A">
        <w:rPr>
          <w:rFonts w:ascii="Times New Roman" w:eastAsia="Times New Roman" w:hAnsi="Times New Roman" w:cs="Times New Roman"/>
          <w:color w:val="000000"/>
          <w:sz w:val="24"/>
          <w:szCs w:val="24"/>
          <w:lang w:val="pl-PL"/>
        </w:rPr>
        <w:t>racy.</w:t>
      </w:r>
      <w:r w:rsidRPr="00AF7348">
        <w:rPr>
          <w:rFonts w:ascii="Times New Roman" w:eastAsia="Times New Roman" w:hAnsi="Times New Roman" w:cs="Times New Roman"/>
          <w:color w:val="000000"/>
          <w:sz w:val="24"/>
          <w:szCs w:val="24"/>
          <w:lang w:val="pl-PL"/>
        </w:rPr>
        <w:t>.</w:t>
      </w:r>
    </w:p>
    <w:p w14:paraId="0C2422C3" w14:textId="737A56F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w:t>
      </w:r>
      <w:r w:rsidR="004E62C3">
        <w:rPr>
          <w:rFonts w:ascii="Times New Roman" w:eastAsia="Times New Roman" w:hAnsi="Times New Roman" w:cs="Times New Roman"/>
          <w:color w:val="000000" w:themeColor="text1"/>
          <w:sz w:val="24"/>
          <w:szCs w:val="24"/>
          <w:lang w:val="pl-PL"/>
        </w:rPr>
        <w:t>polega</w:t>
      </w:r>
      <w:r w:rsidRPr="00AF7348">
        <w:rPr>
          <w:rFonts w:ascii="Times New Roman" w:eastAsia="Times New Roman" w:hAnsi="Times New Roman" w:cs="Times New Roman"/>
          <w:color w:val="000000" w:themeColor="text1"/>
          <w:sz w:val="24"/>
          <w:szCs w:val="24"/>
          <w:lang w:val="pl-PL"/>
        </w:rPr>
        <w:t xml:space="preserve"> na przyjęciu poprawki do Kodeksu Pracy. Nowelizacja umożliwi pracę zdalną w dowolnym czasie, a nie tylko w wyjątkowych okolicznościach, oraz wprowadzi elastyczne formy organizacji czasu pracy. Nowelizacja określi także kilka operacyjnych rozwiązań w zakresie pracy zdalnej i elastycznej, w tym: (i) możliwość pracy zdalnej poza miejscem zatrudnienia, w oparciu o ustalenia między pracownikiem a pracodawcą, (ii) określenie zasad dotyczących narzędzi pracy, które ma zapewnić pracodawca, oraz (iii) stworzenie ram dla zasad bezpieczeństwa i higieny pracy mających zastosowanie do pracy zdalnej.</w:t>
      </w:r>
    </w:p>
    <w:p w14:paraId="29520B7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września 2022 roku.</w:t>
      </w:r>
    </w:p>
    <w:p w14:paraId="5997CC1D" w14:textId="77777777" w:rsidR="00F6666E" w:rsidRPr="00AF7348" w:rsidRDefault="00F6666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647FC43" w14:textId="64C5DED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A4.4.1 Inwestycje związane z doposażeniem pracowników/przedsiębiorstw </w:t>
      </w:r>
      <w:r w:rsidR="008670FD">
        <w:rPr>
          <w:rFonts w:ascii="Times New Roman" w:eastAsia="Times New Roman" w:hAnsi="Times New Roman" w:cs="Times New Roman"/>
          <w:b/>
          <w:bCs/>
          <w:color w:val="000000"/>
          <w:sz w:val="24"/>
          <w:szCs w:val="24"/>
          <w:u w:val="single"/>
          <w:lang w:val="pl-PL"/>
        </w:rPr>
        <w:t>do</w:t>
      </w:r>
      <w:r w:rsidRPr="00AF7348">
        <w:rPr>
          <w:rFonts w:ascii="Times New Roman" w:eastAsia="Times New Roman" w:hAnsi="Times New Roman" w:cs="Times New Roman"/>
          <w:b/>
          <w:bCs/>
          <w:color w:val="000000"/>
          <w:sz w:val="24"/>
          <w:szCs w:val="24"/>
          <w:u w:val="single"/>
          <w:lang w:val="pl-PL"/>
        </w:rPr>
        <w:t xml:space="preserve"> prac</w:t>
      </w:r>
      <w:r w:rsidR="008670FD">
        <w:rPr>
          <w:rFonts w:ascii="Times New Roman" w:eastAsia="Times New Roman" w:hAnsi="Times New Roman" w:cs="Times New Roman"/>
          <w:b/>
          <w:bCs/>
          <w:color w:val="000000"/>
          <w:sz w:val="24"/>
          <w:szCs w:val="24"/>
          <w:u w:val="single"/>
          <w:lang w:val="pl-PL"/>
        </w:rPr>
        <w:t>y</w:t>
      </w:r>
      <w:r w:rsidRPr="00AF7348">
        <w:rPr>
          <w:rFonts w:ascii="Times New Roman" w:eastAsia="Times New Roman" w:hAnsi="Times New Roman" w:cs="Times New Roman"/>
          <w:b/>
          <w:bCs/>
          <w:color w:val="000000"/>
          <w:sz w:val="24"/>
          <w:szCs w:val="24"/>
          <w:u w:val="single"/>
          <w:lang w:val="pl-PL"/>
        </w:rPr>
        <w:t xml:space="preserve"> zdaln</w:t>
      </w:r>
      <w:r w:rsidR="008670FD">
        <w:rPr>
          <w:rFonts w:ascii="Times New Roman" w:eastAsia="Times New Roman" w:hAnsi="Times New Roman" w:cs="Times New Roman"/>
          <w:b/>
          <w:bCs/>
          <w:color w:val="000000"/>
          <w:sz w:val="24"/>
          <w:szCs w:val="24"/>
          <w:u w:val="single"/>
          <w:lang w:val="pl-PL"/>
        </w:rPr>
        <w:t>ej</w:t>
      </w:r>
    </w:p>
    <w:p w14:paraId="64C8C43E" w14:textId="16036867"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Nadrzędnym </w:t>
      </w:r>
      <w:r w:rsidR="0012753A">
        <w:rPr>
          <w:rFonts w:ascii="Times New Roman" w:eastAsia="Times New Roman" w:hAnsi="Times New Roman" w:cs="Times New Roman"/>
          <w:color w:val="000000" w:themeColor="text1"/>
          <w:sz w:val="24"/>
          <w:szCs w:val="24"/>
          <w:lang w:val="pl-PL"/>
        </w:rPr>
        <w:t xml:space="preserve">celem </w:t>
      </w:r>
      <w:r w:rsidRPr="00AF7348">
        <w:rPr>
          <w:rFonts w:ascii="Times New Roman" w:eastAsia="Times New Roman" w:hAnsi="Times New Roman" w:cs="Times New Roman"/>
          <w:color w:val="000000" w:themeColor="text1"/>
          <w:sz w:val="24"/>
          <w:szCs w:val="24"/>
          <w:lang w:val="pl-PL"/>
        </w:rPr>
        <w:t>tej inwestycji jest zwiększenie produktywności mikro, małych i średnich przedsiębiorstw. Aby to osiągnąć, inwestycja zakłada wyposażenie firm oraz przeszkolenie ich pracowników pod kątem pracy zdalnej.</w:t>
      </w:r>
    </w:p>
    <w:p w14:paraId="2EA30D15" w14:textId="1BC90007" w:rsidR="0002330F"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w:t>
      </w:r>
      <w:r w:rsidR="004E62C3">
        <w:rPr>
          <w:rFonts w:ascii="Times New Roman" w:eastAsia="Times New Roman" w:hAnsi="Times New Roman" w:cs="Times New Roman"/>
          <w:color w:val="000000" w:themeColor="text1"/>
          <w:sz w:val="24"/>
          <w:szCs w:val="24"/>
          <w:lang w:val="pl-PL"/>
        </w:rPr>
        <w:t>polega</w:t>
      </w:r>
      <w:r w:rsidRPr="00AF7348">
        <w:rPr>
          <w:rFonts w:ascii="Times New Roman" w:eastAsia="Times New Roman" w:hAnsi="Times New Roman" w:cs="Times New Roman"/>
          <w:color w:val="000000" w:themeColor="text1"/>
          <w:sz w:val="24"/>
          <w:szCs w:val="24"/>
          <w:lang w:val="pl-PL"/>
        </w:rPr>
        <w:t xml:space="preserve"> na realizacji programów zapewniających doradztwo i dotacje dla kwalifikujących się podmiotów celem ich lepszego przygotowania do pracy zdalnej. Miarą realizacji inwestycji będzie udzielenie doradztwa w zakresie cyfryzacji co najmniej 3000 przedsiębiorstw</w:t>
      </w:r>
      <w:r w:rsidR="0012753A">
        <w:rPr>
          <w:rFonts w:ascii="Times New Roman" w:eastAsia="Times New Roman" w:hAnsi="Times New Roman" w:cs="Times New Roman"/>
          <w:color w:val="000000" w:themeColor="text1"/>
          <w:sz w:val="24"/>
          <w:szCs w:val="24"/>
          <w:lang w:val="pl-PL"/>
        </w:rPr>
        <w:t>om</w:t>
      </w:r>
      <w:r w:rsidRPr="00AF7348">
        <w:rPr>
          <w:rFonts w:ascii="Times New Roman" w:eastAsia="Times New Roman" w:hAnsi="Times New Roman" w:cs="Times New Roman"/>
          <w:color w:val="000000" w:themeColor="text1"/>
          <w:sz w:val="24"/>
          <w:szCs w:val="24"/>
          <w:lang w:val="pl-PL"/>
        </w:rPr>
        <w:t xml:space="preserve"> oraz, jeśli w wyniku tego doradztwa okaże się to konieczne, zakup oprogramowania/licencji </w:t>
      </w:r>
      <w:r w:rsidR="00082302">
        <w:rPr>
          <w:rFonts w:ascii="Times New Roman" w:eastAsia="Times New Roman" w:hAnsi="Times New Roman" w:cs="Times New Roman"/>
          <w:color w:val="000000" w:themeColor="text1"/>
          <w:sz w:val="24"/>
          <w:szCs w:val="24"/>
          <w:lang w:val="pl-PL"/>
        </w:rPr>
        <w:t>i</w:t>
      </w:r>
      <w:r w:rsidRPr="00AF7348">
        <w:rPr>
          <w:rFonts w:ascii="Times New Roman" w:eastAsia="Times New Roman" w:hAnsi="Times New Roman" w:cs="Times New Roman"/>
          <w:color w:val="000000" w:themeColor="text1"/>
          <w:sz w:val="24"/>
          <w:szCs w:val="24"/>
          <w:lang w:val="pl-PL"/>
        </w:rPr>
        <w:t xml:space="preserve"> podniesienie kwalifikacji personelu w zakresie technologii cyfrowych. Jeśli beneficjent przeprowadził już wcześniej powyższe działania, dofinansowanie może zostać przeznaczone na zakup oprogramowania/licencji oraz podnoszenie kwalifikacji </w:t>
      </w:r>
      <w:r w:rsidR="0012753A">
        <w:rPr>
          <w:rFonts w:ascii="Times New Roman" w:eastAsia="Times New Roman" w:hAnsi="Times New Roman" w:cs="Times New Roman"/>
          <w:color w:val="000000" w:themeColor="text1"/>
          <w:sz w:val="24"/>
          <w:szCs w:val="24"/>
          <w:lang w:val="pl-PL"/>
        </w:rPr>
        <w:t>cyfrowych</w:t>
      </w:r>
      <w:r w:rsidR="0012753A"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pracowników.</w:t>
      </w:r>
      <w:r w:rsidRPr="00AF7348">
        <w:rPr>
          <w:rFonts w:ascii="Times New Roman" w:eastAsia="Times New Roman" w:hAnsi="Times New Roman" w:cs="Times New Roman"/>
          <w:color w:val="000000"/>
          <w:sz w:val="24"/>
          <w:szCs w:val="24"/>
          <w:lang w:val="pl-PL"/>
        </w:rPr>
        <w:t xml:space="preserve"> </w:t>
      </w:r>
    </w:p>
    <w:p w14:paraId="1D863E23" w14:textId="60D0358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Wybór beneficjentów odbywać się będzie zgodnie z określonymi kryteriami wyboru, z zachowaniem zasad niedyskryminacji i przejrzystości. </w:t>
      </w:r>
    </w:p>
    <w:p w14:paraId="76D4230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2025 roku.</w:t>
      </w:r>
    </w:p>
    <w:p w14:paraId="3AE0ECCD" w14:textId="77777777" w:rsidR="0040111E" w:rsidRPr="00AF7348" w:rsidRDefault="0040111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5AD9223" w14:textId="0912C06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A4.5 Przedłużanie kariery zawodowej </w:t>
      </w:r>
      <w:r w:rsidR="008670FD">
        <w:rPr>
          <w:rFonts w:ascii="Times New Roman" w:eastAsia="Times New Roman" w:hAnsi="Times New Roman" w:cs="Times New Roman"/>
          <w:b/>
          <w:bCs/>
          <w:color w:val="000000"/>
          <w:sz w:val="24"/>
          <w:szCs w:val="24"/>
          <w:u w:val="single"/>
          <w:lang w:val="pl-PL"/>
        </w:rPr>
        <w:t>i</w:t>
      </w:r>
      <w:r w:rsidRPr="00AF7348">
        <w:rPr>
          <w:rFonts w:ascii="Times New Roman" w:eastAsia="Times New Roman" w:hAnsi="Times New Roman" w:cs="Times New Roman"/>
          <w:b/>
          <w:bCs/>
          <w:color w:val="000000"/>
          <w:sz w:val="24"/>
          <w:szCs w:val="24"/>
          <w:u w:val="single"/>
          <w:lang w:val="pl-PL"/>
        </w:rPr>
        <w:t xml:space="preserve"> promowanie pracy po przekroczeniu ustawowego wieku emerytalnego</w:t>
      </w:r>
    </w:p>
    <w:p w14:paraId="279728C5" w14:textId="3EA5921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Nadrzędnym celem reformy jest zwiększenie gotowości i motywacji pracowników do pozostania na rynku pracy po osiągnięciu wieku emerytalnego. Aby to uzyskać, wprowadzona zostanie zachęta podatkowa dla osób, które osiągnęły ustawowy wiek emerytalny, ale nie chcą przechodzić na emeryturę i wolą kontynuować pracę. W ciągu dwóch lat od wprowadzenia tej zachęty zostanie opublikowane sprawozdanie oceniające jej wpływ na rzeczywisty wiek przechodzenia na emeryturę.</w:t>
      </w:r>
    </w:p>
    <w:p w14:paraId="5BAAF82F" w14:textId="24E61F4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Reforma </w:t>
      </w:r>
      <w:r w:rsidR="00082302">
        <w:rPr>
          <w:rFonts w:ascii="Times New Roman" w:eastAsia="Times New Roman" w:hAnsi="Times New Roman" w:cs="Times New Roman"/>
          <w:color w:val="000000"/>
          <w:sz w:val="24"/>
          <w:szCs w:val="24"/>
          <w:lang w:val="pl-PL"/>
        </w:rPr>
        <w:t>polega</w:t>
      </w:r>
      <w:r w:rsidRPr="00AF7348">
        <w:rPr>
          <w:rFonts w:ascii="Times New Roman" w:eastAsia="Times New Roman" w:hAnsi="Times New Roman" w:cs="Times New Roman"/>
          <w:color w:val="000000"/>
          <w:sz w:val="24"/>
          <w:szCs w:val="24"/>
          <w:lang w:val="pl-PL"/>
        </w:rPr>
        <w:t xml:space="preserve"> na przyjęciu nowelizacji ustawy o podatku dochodowym od osób fizycznych oraz ocenie jej działania. Nowelizacja zakłada obniżenie od 2023 roku podatku dochodowego od osób fizycznych dla tych, którzy osiągnęli ustawowy wiek emerytalny, ale nie chcą przechodzić na emeryturę i wolą kontynuować pracę. Zwolnieni z podatku dochodowego zostaną pracownicy mieszczący się w pierwszym progu podatkowym (85 528 zł w 2021 r.) oraz zarabiający nie więcej niż przeciętne wynagrodzenie brutto w polskiej gospodarce narodowej. W przypadku pozostałych pracowników, o wyższych zarobkach, którzy osiągnęli ustawowy wiek emerytalny, ale nie przeszli na emeryturę i kontynuują pracę, stawka podatku dochodowego od osób fizycznych zostanie obniżona. Dzięki tej zachęcie podatkowej podatnicy będą zarabiać dodatkowe kwoty odpowiadające wysokości niezapłaconego podatku dochodowego, co ma ich zachęcić do przedłuż</w:t>
      </w:r>
      <w:r w:rsidR="00082302">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nia kariery zawodowej. W ciągu dwóch lat od wprowadzenia powyższego środka należy sporządzić sprawozdanie oceniające wpływ zmian w podatku dochodowym od osób fizycznych na rzeczywisty wiek </w:t>
      </w:r>
      <w:r w:rsidR="00082302">
        <w:rPr>
          <w:rFonts w:ascii="Times New Roman" w:eastAsia="Times New Roman" w:hAnsi="Times New Roman" w:cs="Times New Roman"/>
          <w:color w:val="000000"/>
          <w:sz w:val="24"/>
          <w:szCs w:val="24"/>
          <w:lang w:val="pl-PL"/>
        </w:rPr>
        <w:t>przechodzenia</w:t>
      </w:r>
      <w:r w:rsidRPr="00AF7348">
        <w:rPr>
          <w:rFonts w:ascii="Times New Roman" w:eastAsia="Times New Roman" w:hAnsi="Times New Roman" w:cs="Times New Roman"/>
          <w:color w:val="000000"/>
          <w:sz w:val="24"/>
          <w:szCs w:val="24"/>
          <w:lang w:val="pl-PL"/>
        </w:rPr>
        <w:t xml:space="preserve"> na emeryturę. Należy w nim przeanalizować wpływ zmian na uczestnictwo w rynku pracy osób w wieku emerytalnym, stabilność systemu emerytalnego, stan finansów publicznych oraz równouprawnienie płci.</w:t>
      </w:r>
    </w:p>
    <w:p w14:paraId="39416CA2" w14:textId="578A4C1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31 grudnia 2024 roku.</w:t>
      </w:r>
    </w:p>
    <w:p w14:paraId="6F9501DD" w14:textId="77777777" w:rsidR="0002330F" w:rsidRPr="00AF7348"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077CAA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A4.6 Zwiększenie udziału niektórych grup w rynku pracy poprzez rozwój systemu opieki długoterminowej</w:t>
      </w:r>
    </w:p>
    <w:p w14:paraId="53289D32" w14:textId="2B4994FF"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Nadrzędnym celem reformy jest zwiększenie udziału w rynku pracy niektórych grup, w szczególności kobiet, poprzez rozwój systemu opieki długoterminowej w Polsce. Aby to osiągnąć, należy przeprowadzić strategiczny przegląd systemu opieki długoterminowej, a następnie wprowadzić odpowiednie zmiany legislacyjne.</w:t>
      </w:r>
    </w:p>
    <w:p w14:paraId="0422B214" w14:textId="5E398189"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Reforma zakłada opublikowanie analizy systemu opieki długoterminowej w Polsce, a następnie zmianę odpowiednich ustaw celem wdrożenia priorytetów reformy określonych w tej analizie. Analiza ma w szczególności zbadać możliwości zintegrowania społecznej i zdrowotnej opieki długoterminowej, przyspieszenia </w:t>
      </w:r>
      <w:proofErr w:type="spellStart"/>
      <w:r w:rsidRPr="00AF7348">
        <w:rPr>
          <w:rFonts w:ascii="Times New Roman" w:eastAsia="Times New Roman" w:hAnsi="Times New Roman" w:cs="Times New Roman"/>
          <w:color w:val="000000" w:themeColor="text1"/>
          <w:sz w:val="24"/>
          <w:szCs w:val="24"/>
          <w:lang w:val="pl-PL"/>
        </w:rPr>
        <w:t>deinstytucjonalizacji</w:t>
      </w:r>
      <w:proofErr w:type="spellEnd"/>
      <w:r w:rsidRPr="00AF7348">
        <w:rPr>
          <w:rFonts w:ascii="Times New Roman" w:eastAsia="Times New Roman" w:hAnsi="Times New Roman" w:cs="Times New Roman"/>
          <w:color w:val="000000" w:themeColor="text1"/>
          <w:sz w:val="24"/>
          <w:szCs w:val="24"/>
          <w:lang w:val="pl-PL"/>
        </w:rPr>
        <w:t xml:space="preserve"> tych usług, podporządkowania ich jednemu organowi, zmniejszenia fragmentaryzacji świadczenia opieki, stworzenia stabilnego systemu odpowiedniego finansowania usług opieki długoterminowej, zwłaszcza opieki środowiskowej i domowej, oraz wprowadzenia ram jakościowych dla usług opieki długoterminowej (wymagań dotyczących personelu, sprzętu, dopuszczenia świadczeniodawców opieki długoterminowej do rynku). W ramach analizy należy również zbadać możliwości zmiany świadczeń związanych z opieką, aby umożliwić kontynuowanie pracy. Analiza zostanie przeprowadzona w porozumieniu z odpowiednimi zainteresowanymi stronami, w tym z partnerami społecznymi zajmującymi się świadczeniami z zakresu opieki długoterminowej oraz władzami lokalnymi. Priorytety reformy określone w analizie zostaną wdrożone poprzez zmianę, w ramach reformy, odpowiednich ustaw.</w:t>
      </w:r>
    </w:p>
    <w:p w14:paraId="0F874AF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31 grudnia 2024 roku.</w:t>
      </w:r>
    </w:p>
    <w:p w14:paraId="3FE9F23F" w14:textId="77777777" w:rsidR="00546865" w:rsidRPr="00AF7348" w:rsidRDefault="0054686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B42C771" w14:textId="77777777" w:rsidR="007C4506" w:rsidRPr="00AF7348" w:rsidRDefault="004C514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A4.7 Ograniczenie fragmentacji rynku pracy</w:t>
      </w:r>
    </w:p>
    <w:p w14:paraId="4065AE86" w14:textId="2F6BB0D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Nadrzędnym celem reformy jest ograniczenie fragmentacji rynku pracy oraz zwiększenie bezpieczeństwa socjalnego niektórych pracowników. Aby to osiągnąć, wszystkie umowy cywilnoprawne o pracę będą podlegały składkom na ubezpieczeni</w:t>
      </w:r>
      <w:r w:rsidR="00C12DF2">
        <w:rPr>
          <w:rFonts w:ascii="Times New Roman" w:eastAsia="Times New Roman" w:hAnsi="Times New Roman" w:cs="Times New Roman"/>
          <w:color w:val="000000" w:themeColor="text1"/>
          <w:sz w:val="24"/>
          <w:szCs w:val="24"/>
          <w:lang w:val="pl-PL"/>
        </w:rPr>
        <w:t>a</w:t>
      </w:r>
      <w:r w:rsidRPr="00AF7348">
        <w:rPr>
          <w:rFonts w:ascii="Times New Roman" w:eastAsia="Times New Roman" w:hAnsi="Times New Roman" w:cs="Times New Roman"/>
          <w:color w:val="000000" w:themeColor="text1"/>
          <w:sz w:val="24"/>
          <w:szCs w:val="24"/>
          <w:lang w:val="pl-PL"/>
        </w:rPr>
        <w:t xml:space="preserve"> społeczne, z wyjątkiem umów zlecenia zawieranych z uczniami szkół średnich i studentami do 26 roku życia. </w:t>
      </w:r>
    </w:p>
    <w:p w14:paraId="25F3A1F5" w14:textId="009FFD76" w:rsidR="0002330F"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zostanie wprowadzona aktem prawnym, który zagwarantuje, że zatrudnienie na podstawie umów cywilnoprawnych będzie podlegało składkom na ubezpieczenia społeczne: emerytalne, rentowe, wypadkowe, z tytułu chorób zawodowych i chorobowe. Ponadto zniesiona zostanie zasada, zgodnie z którą składka na ubezpieczenie społeczne jest odprowadzana od minimalnego wynagrodzenia za pracę z tytułu umów cywilnoprawnych.</w:t>
      </w:r>
    </w:p>
    <w:p w14:paraId="4C1DBD9B" w14:textId="77777777" w:rsidR="007C4506"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marca 2023 roku.</w:t>
      </w:r>
    </w:p>
    <w:p w14:paraId="08CE6F91" w14:textId="40E5D4B3" w:rsidR="00082302" w:rsidRPr="00AF7348" w:rsidRDefault="0008230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sectPr w:rsidR="00082302" w:rsidRPr="00AF7348" w:rsidSect="000B24F5">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1"/>
          <w:cols w:space="720"/>
        </w:sectPr>
      </w:pPr>
    </w:p>
    <w:tbl>
      <w:tblPr>
        <w:tblStyle w:val="NormalTable0"/>
        <w:tblW w:w="153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309"/>
      </w:tblGrid>
      <w:tr w:rsidR="00AA6CB2" w:rsidRPr="009D378C" w14:paraId="3C632623" w14:textId="77777777" w:rsidTr="27342C6A">
        <w:trPr>
          <w:trHeight w:val="454"/>
        </w:trPr>
        <w:tc>
          <w:tcPr>
            <w:tcW w:w="15309" w:type="dxa"/>
            <w:tcBorders>
              <w:top w:val="nil"/>
              <w:left w:val="nil"/>
              <w:bottom w:val="nil"/>
              <w:right w:val="nil"/>
            </w:tcBorders>
            <w:shd w:val="clear" w:color="auto" w:fill="auto"/>
            <w:vAlign w:val="center"/>
          </w:tcPr>
          <w:p w14:paraId="4C9E657B" w14:textId="3A2B74B6" w:rsidR="00AA6CB2" w:rsidRPr="00AF7348" w:rsidRDefault="00AA6CB2">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A.2.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 xml:space="preserve">Kamienie milowe, </w:t>
            </w:r>
            <w:r w:rsidR="00C12DF2">
              <w:rPr>
                <w:rFonts w:ascii="Times New Roman" w:eastAsia="Times New Roman" w:hAnsi="Times New Roman" w:cs="Times New Roman"/>
                <w:b/>
                <w:bCs/>
                <w:color w:val="000000"/>
                <w:sz w:val="24"/>
                <w:szCs w:val="24"/>
                <w:lang w:val="pl-PL"/>
              </w:rPr>
              <w:t xml:space="preserve"> cele</w:t>
            </w:r>
            <w:r w:rsidRPr="00AF7348">
              <w:rPr>
                <w:rFonts w:ascii="Times New Roman" w:eastAsia="Times New Roman" w:hAnsi="Times New Roman" w:cs="Times New Roman"/>
                <w:b/>
                <w:bCs/>
                <w:color w:val="000000"/>
                <w:sz w:val="24"/>
                <w:szCs w:val="24"/>
                <w:lang w:val="pl-PL"/>
              </w:rPr>
              <w:t xml:space="preserve">, wskaźniki i harmonogram monitorowania i realizacji na potrzeby </w:t>
            </w:r>
            <w:r w:rsidR="00C12DF2" w:rsidRPr="00AF7348">
              <w:rPr>
                <w:rFonts w:ascii="Times New Roman" w:eastAsia="Times New Roman" w:hAnsi="Times New Roman" w:cs="Times New Roman"/>
                <w:b/>
                <w:bCs/>
                <w:color w:val="000000"/>
                <w:sz w:val="24"/>
                <w:szCs w:val="24"/>
                <w:lang w:val="pl-PL"/>
              </w:rPr>
              <w:t xml:space="preserve">wsparcia </w:t>
            </w:r>
            <w:r w:rsidRPr="00AF7348">
              <w:rPr>
                <w:rFonts w:ascii="Times New Roman" w:eastAsia="Times New Roman" w:hAnsi="Times New Roman" w:cs="Times New Roman"/>
                <w:b/>
                <w:bCs/>
                <w:color w:val="000000"/>
                <w:sz w:val="24"/>
                <w:szCs w:val="24"/>
                <w:lang w:val="pl-PL"/>
              </w:rPr>
              <w:t xml:space="preserve">bezzwrotnego </w:t>
            </w:r>
          </w:p>
        </w:tc>
      </w:tr>
      <w:tr w:rsidR="007C4506" w:rsidRPr="00AF7348" w14:paraId="3A8EF74F" w14:textId="77777777" w:rsidTr="27342C6A">
        <w:trPr>
          <w:trHeight w:val="454"/>
        </w:trPr>
        <w:tc>
          <w:tcPr>
            <w:tcW w:w="15309" w:type="dxa"/>
            <w:tcBorders>
              <w:top w:val="nil"/>
              <w:left w:val="nil"/>
              <w:bottom w:val="single" w:sz="4" w:space="0" w:color="000000" w:themeColor="text1"/>
              <w:right w:val="nil"/>
            </w:tcBorders>
            <w:shd w:val="clear" w:color="auto" w:fill="auto"/>
            <w:vAlign w:val="center"/>
          </w:tcPr>
          <w:p w14:paraId="4FC4C51F" w14:textId="05FF9836" w:rsidR="007C4506" w:rsidRPr="00AF7348" w:rsidRDefault="00B31839" w:rsidP="00915BB4">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A1 - OTOCZENIE BIZNESOWE</w:t>
            </w:r>
          </w:p>
        </w:tc>
      </w:tr>
      <w:tr w:rsidR="001052B5" w:rsidRPr="009D378C" w14:paraId="7E38222F" w14:textId="77777777" w:rsidTr="00A20CA7">
        <w:trPr>
          <w:trHeight w:val="454"/>
        </w:trPr>
        <w:tc>
          <w:tcPr>
            <w:tcW w:w="15309" w:type="dxa"/>
            <w:tcBorders>
              <w:top w:val="nil"/>
              <w:left w:val="nil"/>
              <w:bottom w:val="nil"/>
              <w:right w:val="nil"/>
            </w:tcBorders>
            <w:shd w:val="clear" w:color="auto" w:fill="auto"/>
            <w:vAlign w:val="center"/>
          </w:tcPr>
          <w:p w14:paraId="371A122D" w14:textId="77777777" w:rsidR="001052B5" w:rsidRPr="001A02CB"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yellow"/>
                <w:lang w:val="pl-PL"/>
              </w:rPr>
            </w:pPr>
            <w:r w:rsidRPr="001A02CB">
              <w:rPr>
                <w:rFonts w:ascii="Times New Roman" w:eastAsia="Times New Roman" w:hAnsi="Times New Roman" w:cs="Times New Roman"/>
                <w:b/>
                <w:color w:val="000000"/>
                <w:sz w:val="24"/>
                <w:szCs w:val="24"/>
                <w:lang w:val="pl-PL"/>
              </w:rPr>
              <w:t xml:space="preserve">A.2. </w:t>
            </w:r>
            <w:r w:rsidRPr="001A02CB">
              <w:rPr>
                <w:rFonts w:ascii="Times New Roman" w:eastAsia="Times New Roman" w:hAnsi="Times New Roman" w:cs="Times New Roman"/>
                <w:b/>
                <w:color w:val="000000"/>
                <w:sz w:val="24"/>
                <w:szCs w:val="24"/>
                <w:lang w:val="pl-PL"/>
              </w:rPr>
              <w:tab/>
              <w:t>Kamienie milowe, wartości docelowe, wskaźniki i harmonogram monitorowania i realizacji na potrzeby bezzwrotnego wsparcia finansowego</w:t>
            </w:r>
          </w:p>
        </w:tc>
      </w:tr>
      <w:tr w:rsidR="001052B5" w:rsidRPr="00990E60" w14:paraId="52F4D4B6" w14:textId="77777777" w:rsidTr="00A20CA7">
        <w:trPr>
          <w:trHeight w:val="454"/>
        </w:trPr>
        <w:tc>
          <w:tcPr>
            <w:tcW w:w="15309" w:type="dxa"/>
            <w:tcBorders>
              <w:top w:val="nil"/>
              <w:left w:val="nil"/>
              <w:bottom w:val="single" w:sz="4" w:space="0" w:color="000000" w:themeColor="text1"/>
              <w:right w:val="nil"/>
            </w:tcBorders>
            <w:shd w:val="clear" w:color="auto" w:fill="auto"/>
            <w:vAlign w:val="center"/>
          </w:tcPr>
          <w:p w14:paraId="4A845D1C" w14:textId="77777777" w:rsidR="001052B5" w:rsidRPr="00316B26"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yellow"/>
                <w:u w:val="single"/>
              </w:rPr>
            </w:pPr>
            <w:r w:rsidRPr="001A02CB">
              <w:rPr>
                <w:rFonts w:ascii="Times New Roman" w:eastAsia="Times New Roman" w:hAnsi="Times New Roman" w:cs="Times New Roman"/>
                <w:b/>
                <w:color w:val="000000"/>
                <w:sz w:val="24"/>
                <w:szCs w:val="24"/>
                <w:u w:val="single"/>
              </w:rPr>
              <w:t>A1 - OTOCZENIE BIZNESOWE</w:t>
            </w:r>
          </w:p>
        </w:tc>
      </w:tr>
    </w:tbl>
    <w:p w14:paraId="15912648" w14:textId="77777777" w:rsidR="001052B5" w:rsidRDefault="001052B5" w:rsidP="001052B5"/>
    <w:tbl>
      <w:tblPr>
        <w:tblW w:w="15588" w:type="dxa"/>
        <w:tblInd w:w="75" w:type="dxa"/>
        <w:tblLayout w:type="fixed"/>
        <w:tblCellMar>
          <w:left w:w="70" w:type="dxa"/>
          <w:right w:w="70" w:type="dxa"/>
        </w:tblCellMar>
        <w:tblLook w:val="04A0" w:firstRow="1" w:lastRow="0" w:firstColumn="1" w:lastColumn="0" w:noHBand="0" w:noVBand="1"/>
      </w:tblPr>
      <w:tblGrid>
        <w:gridCol w:w="985"/>
        <w:gridCol w:w="1420"/>
        <w:gridCol w:w="992"/>
        <w:gridCol w:w="2268"/>
        <w:gridCol w:w="1701"/>
        <w:gridCol w:w="1134"/>
        <w:gridCol w:w="1276"/>
        <w:gridCol w:w="1134"/>
        <w:gridCol w:w="851"/>
        <w:gridCol w:w="850"/>
        <w:gridCol w:w="2977"/>
      </w:tblGrid>
      <w:tr w:rsidR="001052B5" w:rsidRPr="00316B26" w14:paraId="4B3B1E0B" w14:textId="77777777" w:rsidTr="00A20CA7">
        <w:trPr>
          <w:trHeight w:val="1290"/>
        </w:trPr>
        <w:tc>
          <w:tcPr>
            <w:tcW w:w="985"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7C765BAA" w14:textId="77777777" w:rsidR="001052B5" w:rsidRPr="00316B26" w:rsidRDefault="001052B5" w:rsidP="00A20CA7">
            <w:pPr>
              <w:spacing w:after="0" w:line="240" w:lineRule="auto"/>
              <w:jc w:val="center"/>
              <w:rPr>
                <w:rFonts w:ascii="Times New Roman" w:eastAsia="Times New Roman" w:hAnsi="Times New Roman" w:cs="Times New Roman"/>
                <w:color w:val="000000"/>
                <w:sz w:val="18"/>
                <w:szCs w:val="18"/>
                <w:lang w:val="pl-PL" w:eastAsia="pl-PL"/>
              </w:rPr>
            </w:pPr>
            <w:proofErr w:type="spellStart"/>
            <w:r w:rsidRPr="00316B26">
              <w:rPr>
                <w:rFonts w:ascii="Times New Roman" w:eastAsia="Times New Roman" w:hAnsi="Times New Roman" w:cs="Times New Roman"/>
                <w:color w:val="000000"/>
                <w:sz w:val="18"/>
                <w:szCs w:val="18"/>
                <w:lang w:val="pl-PL" w:eastAsia="pl-PL"/>
              </w:rPr>
              <w:t>Sequential</w:t>
            </w:r>
            <w:proofErr w:type="spellEnd"/>
            <w:r w:rsidRPr="00316B26">
              <w:rPr>
                <w:rFonts w:ascii="Times New Roman" w:eastAsia="Times New Roman" w:hAnsi="Times New Roman" w:cs="Times New Roman"/>
                <w:color w:val="000000"/>
                <w:sz w:val="18"/>
                <w:szCs w:val="18"/>
                <w:lang w:val="pl-PL" w:eastAsia="pl-PL"/>
              </w:rPr>
              <w:t xml:space="preserve"> </w:t>
            </w:r>
            <w:proofErr w:type="spellStart"/>
            <w:r w:rsidRPr="00316B26">
              <w:rPr>
                <w:rFonts w:ascii="Times New Roman" w:eastAsia="Times New Roman" w:hAnsi="Times New Roman" w:cs="Times New Roman"/>
                <w:color w:val="000000"/>
                <w:sz w:val="18"/>
                <w:szCs w:val="18"/>
                <w:lang w:val="pl-PL" w:eastAsia="pl-PL"/>
              </w:rPr>
              <w:t>Number</w:t>
            </w:r>
            <w:proofErr w:type="spellEnd"/>
          </w:p>
        </w:tc>
        <w:tc>
          <w:tcPr>
            <w:tcW w:w="1420"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63A77BD9"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eastAsia="pl-PL"/>
              </w:rPr>
            </w:pPr>
            <w:r w:rsidRPr="00316B26">
              <w:rPr>
                <w:rFonts w:ascii="Times New Roman" w:eastAsia="Times New Roman" w:hAnsi="Times New Roman" w:cs="Times New Roman"/>
                <w:b/>
                <w:bCs/>
                <w:color w:val="000000"/>
                <w:sz w:val="18"/>
                <w:szCs w:val="18"/>
                <w:lang w:eastAsia="pl-PL"/>
              </w:rPr>
              <w:t>Related Measure (Reform or Investment)</w:t>
            </w:r>
          </w:p>
        </w:tc>
        <w:tc>
          <w:tcPr>
            <w:tcW w:w="992"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2B470DAC"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Milestone</w:t>
            </w:r>
            <w:proofErr w:type="spellEnd"/>
            <w:r w:rsidRPr="00316B26">
              <w:rPr>
                <w:rFonts w:ascii="Times New Roman" w:eastAsia="Times New Roman" w:hAnsi="Times New Roman" w:cs="Times New Roman"/>
                <w:b/>
                <w:bCs/>
                <w:color w:val="000000"/>
                <w:sz w:val="18"/>
                <w:szCs w:val="18"/>
                <w:lang w:val="pl-PL" w:eastAsia="pl-PL"/>
              </w:rPr>
              <w:t xml:space="preserve"> / Target</w:t>
            </w:r>
          </w:p>
        </w:tc>
        <w:tc>
          <w:tcPr>
            <w:tcW w:w="2268" w:type="dxa"/>
            <w:vMerge w:val="restart"/>
            <w:tcBorders>
              <w:top w:val="single" w:sz="4" w:space="0" w:color="auto"/>
              <w:left w:val="single" w:sz="4" w:space="0" w:color="auto"/>
              <w:bottom w:val="single" w:sz="4" w:space="0" w:color="000000"/>
              <w:right w:val="single" w:sz="4" w:space="0" w:color="auto"/>
            </w:tcBorders>
            <w:shd w:val="clear" w:color="BDD6EE" w:fill="BDD6EE"/>
            <w:noWrap/>
            <w:vAlign w:val="center"/>
            <w:hideMark/>
          </w:tcPr>
          <w:p w14:paraId="5FE45128"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Name</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550A44EB"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Qualitative</w:t>
            </w:r>
            <w:proofErr w:type="spellEnd"/>
            <w:r w:rsidRPr="00316B26">
              <w:rPr>
                <w:rFonts w:ascii="Times New Roman" w:eastAsia="Times New Roman" w:hAnsi="Times New Roman" w:cs="Times New Roman"/>
                <w:b/>
                <w:bCs/>
                <w:color w:val="000000"/>
                <w:sz w:val="18"/>
                <w:szCs w:val="18"/>
                <w:lang w:val="pl-PL" w:eastAsia="pl-PL"/>
              </w:rPr>
              <w:t xml:space="preserve"> </w:t>
            </w:r>
            <w:proofErr w:type="spellStart"/>
            <w:r w:rsidRPr="00316B26">
              <w:rPr>
                <w:rFonts w:ascii="Times New Roman" w:eastAsia="Times New Roman" w:hAnsi="Times New Roman" w:cs="Times New Roman"/>
                <w:b/>
                <w:bCs/>
                <w:color w:val="000000"/>
                <w:sz w:val="18"/>
                <w:szCs w:val="18"/>
                <w:lang w:val="pl-PL" w:eastAsia="pl-PL"/>
              </w:rPr>
              <w:t>indicators</w:t>
            </w:r>
            <w:proofErr w:type="spellEnd"/>
            <w:r w:rsidRPr="00316B26">
              <w:rPr>
                <w:rFonts w:ascii="Times New Roman" w:eastAsia="Times New Roman" w:hAnsi="Times New Roman" w:cs="Times New Roman"/>
                <w:b/>
                <w:bCs/>
                <w:color w:val="000000"/>
                <w:sz w:val="18"/>
                <w:szCs w:val="18"/>
                <w:lang w:val="pl-PL" w:eastAsia="pl-PL"/>
              </w:rPr>
              <w:t xml:space="preserve"> </w:t>
            </w:r>
            <w:r w:rsidRPr="00316B26">
              <w:rPr>
                <w:rFonts w:ascii="Times New Roman" w:eastAsia="Times New Roman" w:hAnsi="Times New Roman" w:cs="Times New Roman"/>
                <w:b/>
                <w:bCs/>
                <w:color w:val="000000"/>
                <w:sz w:val="18"/>
                <w:szCs w:val="18"/>
                <w:lang w:val="pl-PL" w:eastAsia="pl-PL"/>
              </w:rPr>
              <w:br/>
              <w:t xml:space="preserve">(for </w:t>
            </w:r>
            <w:proofErr w:type="spellStart"/>
            <w:r w:rsidRPr="00316B26">
              <w:rPr>
                <w:rFonts w:ascii="Times New Roman" w:eastAsia="Times New Roman" w:hAnsi="Times New Roman" w:cs="Times New Roman"/>
                <w:b/>
                <w:bCs/>
                <w:color w:val="000000"/>
                <w:sz w:val="18"/>
                <w:szCs w:val="18"/>
                <w:lang w:val="pl-PL" w:eastAsia="pl-PL"/>
              </w:rPr>
              <w:t>milestones</w:t>
            </w:r>
            <w:proofErr w:type="spellEnd"/>
            <w:r w:rsidRPr="00316B26">
              <w:rPr>
                <w:rFonts w:ascii="Times New Roman" w:eastAsia="Times New Roman" w:hAnsi="Times New Roman" w:cs="Times New Roman"/>
                <w:b/>
                <w:bCs/>
                <w:color w:val="000000"/>
                <w:sz w:val="18"/>
                <w:szCs w:val="18"/>
                <w:lang w:val="pl-PL" w:eastAsia="pl-PL"/>
              </w:rPr>
              <w:t>)</w:t>
            </w:r>
          </w:p>
        </w:tc>
        <w:tc>
          <w:tcPr>
            <w:tcW w:w="3544" w:type="dxa"/>
            <w:gridSpan w:val="3"/>
            <w:tcBorders>
              <w:top w:val="single" w:sz="4" w:space="0" w:color="auto"/>
              <w:left w:val="nil"/>
              <w:bottom w:val="single" w:sz="4" w:space="0" w:color="auto"/>
              <w:right w:val="single" w:sz="4" w:space="0" w:color="000000"/>
            </w:tcBorders>
            <w:shd w:val="clear" w:color="BDD6EE" w:fill="BDD6EE"/>
            <w:vAlign w:val="center"/>
            <w:hideMark/>
          </w:tcPr>
          <w:p w14:paraId="0602DFF7"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Quantitative</w:t>
            </w:r>
            <w:proofErr w:type="spellEnd"/>
            <w:r w:rsidRPr="00316B26">
              <w:rPr>
                <w:rFonts w:ascii="Times New Roman" w:eastAsia="Times New Roman" w:hAnsi="Times New Roman" w:cs="Times New Roman"/>
                <w:b/>
                <w:bCs/>
                <w:color w:val="000000"/>
                <w:sz w:val="18"/>
                <w:szCs w:val="18"/>
                <w:lang w:val="pl-PL" w:eastAsia="pl-PL"/>
              </w:rPr>
              <w:t xml:space="preserve"> </w:t>
            </w:r>
            <w:proofErr w:type="spellStart"/>
            <w:r w:rsidRPr="00316B26">
              <w:rPr>
                <w:rFonts w:ascii="Times New Roman" w:eastAsia="Times New Roman" w:hAnsi="Times New Roman" w:cs="Times New Roman"/>
                <w:b/>
                <w:bCs/>
                <w:color w:val="000000"/>
                <w:sz w:val="18"/>
                <w:szCs w:val="18"/>
                <w:lang w:val="pl-PL" w:eastAsia="pl-PL"/>
              </w:rPr>
              <w:t>indicators</w:t>
            </w:r>
            <w:proofErr w:type="spellEnd"/>
            <w:r w:rsidRPr="00316B26">
              <w:rPr>
                <w:rFonts w:ascii="Times New Roman" w:eastAsia="Times New Roman" w:hAnsi="Times New Roman" w:cs="Times New Roman"/>
                <w:b/>
                <w:bCs/>
                <w:color w:val="000000"/>
                <w:sz w:val="18"/>
                <w:szCs w:val="18"/>
                <w:lang w:val="pl-PL" w:eastAsia="pl-PL"/>
              </w:rPr>
              <w:t xml:space="preserve"> </w:t>
            </w:r>
            <w:r w:rsidRPr="00316B26">
              <w:rPr>
                <w:rFonts w:ascii="Times New Roman" w:eastAsia="Times New Roman" w:hAnsi="Times New Roman" w:cs="Times New Roman"/>
                <w:b/>
                <w:bCs/>
                <w:color w:val="000000"/>
                <w:sz w:val="18"/>
                <w:szCs w:val="18"/>
                <w:lang w:val="pl-PL" w:eastAsia="pl-PL"/>
              </w:rPr>
              <w:br/>
              <w:t xml:space="preserve">(for </w:t>
            </w:r>
            <w:proofErr w:type="spellStart"/>
            <w:r w:rsidRPr="00316B26">
              <w:rPr>
                <w:rFonts w:ascii="Times New Roman" w:eastAsia="Times New Roman" w:hAnsi="Times New Roman" w:cs="Times New Roman"/>
                <w:b/>
                <w:bCs/>
                <w:color w:val="000000"/>
                <w:sz w:val="18"/>
                <w:szCs w:val="18"/>
                <w:lang w:val="pl-PL" w:eastAsia="pl-PL"/>
              </w:rPr>
              <w:t>targets</w:t>
            </w:r>
            <w:proofErr w:type="spellEnd"/>
            <w:r w:rsidRPr="00316B26">
              <w:rPr>
                <w:rFonts w:ascii="Times New Roman" w:eastAsia="Times New Roman" w:hAnsi="Times New Roman" w:cs="Times New Roman"/>
                <w:b/>
                <w:bCs/>
                <w:color w:val="000000"/>
                <w:sz w:val="18"/>
                <w:szCs w:val="18"/>
                <w:lang w:val="pl-PL" w:eastAsia="pl-PL"/>
              </w:rPr>
              <w:t>)</w:t>
            </w:r>
          </w:p>
        </w:tc>
        <w:tc>
          <w:tcPr>
            <w:tcW w:w="1701" w:type="dxa"/>
            <w:gridSpan w:val="2"/>
            <w:tcBorders>
              <w:top w:val="single" w:sz="4" w:space="0" w:color="auto"/>
              <w:left w:val="nil"/>
              <w:bottom w:val="single" w:sz="4" w:space="0" w:color="auto"/>
              <w:right w:val="single" w:sz="4" w:space="0" w:color="auto"/>
            </w:tcBorders>
            <w:shd w:val="clear" w:color="000000" w:fill="BDD7EE"/>
            <w:vAlign w:val="center"/>
            <w:hideMark/>
          </w:tcPr>
          <w:p w14:paraId="3756AC1F" w14:textId="77777777" w:rsidR="001052B5" w:rsidRPr="00316B26" w:rsidRDefault="001052B5" w:rsidP="00A20CA7">
            <w:pPr>
              <w:spacing w:after="0" w:line="240" w:lineRule="auto"/>
              <w:jc w:val="center"/>
              <w:rPr>
                <w:rFonts w:ascii="Times New Roman" w:eastAsia="Times New Roman" w:hAnsi="Times New Roman" w:cs="Times New Roman"/>
                <w:b/>
                <w:bCs/>
                <w:sz w:val="18"/>
                <w:szCs w:val="18"/>
                <w:lang w:eastAsia="pl-PL"/>
              </w:rPr>
            </w:pPr>
            <w:r w:rsidRPr="00316B26">
              <w:rPr>
                <w:rFonts w:ascii="Times New Roman" w:eastAsia="Times New Roman" w:hAnsi="Times New Roman" w:cs="Times New Roman"/>
                <w:b/>
                <w:bCs/>
                <w:sz w:val="18"/>
                <w:szCs w:val="18"/>
                <w:lang w:eastAsia="pl-PL"/>
              </w:rPr>
              <w:t xml:space="preserve">Timeline for completion </w:t>
            </w:r>
            <w:r w:rsidRPr="00316B26">
              <w:rPr>
                <w:rFonts w:ascii="Times New Roman" w:eastAsia="Times New Roman" w:hAnsi="Times New Roman" w:cs="Times New Roman"/>
                <w:b/>
                <w:bCs/>
                <w:sz w:val="18"/>
                <w:szCs w:val="18"/>
                <w:lang w:eastAsia="pl-PL"/>
              </w:rPr>
              <w:br/>
              <w:t>(indicate the quarter and the year)</w:t>
            </w:r>
          </w:p>
        </w:tc>
        <w:tc>
          <w:tcPr>
            <w:tcW w:w="2977" w:type="dxa"/>
            <w:vMerge w:val="restart"/>
            <w:tcBorders>
              <w:top w:val="single" w:sz="4" w:space="0" w:color="auto"/>
              <w:left w:val="single" w:sz="4" w:space="0" w:color="auto"/>
              <w:bottom w:val="single" w:sz="4" w:space="0" w:color="000000"/>
              <w:right w:val="single" w:sz="4" w:space="0" w:color="auto"/>
            </w:tcBorders>
            <w:shd w:val="clear" w:color="BDD6EE" w:fill="BDD6EE"/>
            <w:vAlign w:val="center"/>
            <w:hideMark/>
          </w:tcPr>
          <w:p w14:paraId="1315ED3E"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eastAsia="pl-PL"/>
              </w:rPr>
            </w:pPr>
            <w:r w:rsidRPr="00316B26">
              <w:rPr>
                <w:rFonts w:ascii="Times New Roman" w:eastAsia="Times New Roman" w:hAnsi="Times New Roman" w:cs="Times New Roman"/>
                <w:b/>
                <w:bCs/>
                <w:color w:val="000000"/>
                <w:sz w:val="18"/>
                <w:szCs w:val="18"/>
                <w:lang w:eastAsia="pl-PL"/>
              </w:rPr>
              <w:t>Description and clear definition of each milestone and target</w:t>
            </w:r>
          </w:p>
        </w:tc>
      </w:tr>
      <w:tr w:rsidR="001052B5" w:rsidRPr="00316B26" w14:paraId="137FBFC2" w14:textId="77777777" w:rsidTr="00A20CA7">
        <w:trPr>
          <w:trHeight w:val="690"/>
        </w:trPr>
        <w:tc>
          <w:tcPr>
            <w:tcW w:w="985" w:type="dxa"/>
            <w:vMerge/>
            <w:tcBorders>
              <w:top w:val="single" w:sz="4" w:space="0" w:color="auto"/>
              <w:left w:val="single" w:sz="4" w:space="0" w:color="auto"/>
              <w:bottom w:val="single" w:sz="4" w:space="0" w:color="000000"/>
              <w:right w:val="single" w:sz="4" w:space="0" w:color="auto"/>
            </w:tcBorders>
            <w:vAlign w:val="center"/>
            <w:hideMark/>
          </w:tcPr>
          <w:p w14:paraId="35FC6084" w14:textId="77777777" w:rsidR="001052B5" w:rsidRPr="00316B26" w:rsidRDefault="001052B5" w:rsidP="00A20CA7">
            <w:pPr>
              <w:spacing w:after="0" w:line="240" w:lineRule="auto"/>
              <w:rPr>
                <w:rFonts w:ascii="Times New Roman" w:eastAsia="Times New Roman" w:hAnsi="Times New Roman" w:cs="Times New Roman"/>
                <w:color w:val="000000"/>
                <w:sz w:val="18"/>
                <w:szCs w:val="18"/>
                <w:lang w:eastAsia="pl-PL"/>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2E0F7D99"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5221AA"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eastAsia="pl-PL"/>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0E22A63"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eastAsia="pl-PL"/>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F80D136"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BDD6EE" w:fill="BDD6EE"/>
            <w:vAlign w:val="center"/>
            <w:hideMark/>
          </w:tcPr>
          <w:p w14:paraId="2BE6D5C4"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r w:rsidRPr="00316B26">
              <w:rPr>
                <w:rFonts w:ascii="Times New Roman" w:eastAsia="Times New Roman" w:hAnsi="Times New Roman" w:cs="Times New Roman"/>
                <w:b/>
                <w:bCs/>
                <w:color w:val="000000"/>
                <w:sz w:val="18"/>
                <w:szCs w:val="18"/>
                <w:lang w:val="pl-PL" w:eastAsia="pl-PL"/>
              </w:rPr>
              <w:t xml:space="preserve">Unit of </w:t>
            </w:r>
            <w:proofErr w:type="spellStart"/>
            <w:r w:rsidRPr="00316B26">
              <w:rPr>
                <w:rFonts w:ascii="Times New Roman" w:eastAsia="Times New Roman" w:hAnsi="Times New Roman" w:cs="Times New Roman"/>
                <w:b/>
                <w:bCs/>
                <w:color w:val="000000"/>
                <w:sz w:val="18"/>
                <w:szCs w:val="18"/>
                <w:lang w:val="pl-PL" w:eastAsia="pl-PL"/>
              </w:rPr>
              <w:t>measure</w:t>
            </w:r>
            <w:proofErr w:type="spellEnd"/>
          </w:p>
        </w:tc>
        <w:tc>
          <w:tcPr>
            <w:tcW w:w="1276" w:type="dxa"/>
            <w:tcBorders>
              <w:top w:val="nil"/>
              <w:left w:val="nil"/>
              <w:bottom w:val="single" w:sz="4" w:space="0" w:color="auto"/>
              <w:right w:val="single" w:sz="4" w:space="0" w:color="auto"/>
            </w:tcBorders>
            <w:shd w:val="clear" w:color="BDD6EE" w:fill="BDD6EE"/>
            <w:vAlign w:val="center"/>
            <w:hideMark/>
          </w:tcPr>
          <w:p w14:paraId="51A38F2D"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Baseline</w:t>
            </w:r>
            <w:proofErr w:type="spellEnd"/>
            <w:r w:rsidRPr="00316B26">
              <w:rPr>
                <w:rFonts w:ascii="Times New Roman" w:eastAsia="Times New Roman" w:hAnsi="Times New Roman" w:cs="Times New Roman"/>
                <w:b/>
                <w:bCs/>
                <w:color w:val="000000"/>
                <w:sz w:val="18"/>
                <w:szCs w:val="18"/>
                <w:lang w:val="pl-PL" w:eastAsia="pl-PL"/>
              </w:rPr>
              <w:t xml:space="preserve"> </w:t>
            </w:r>
          </w:p>
        </w:tc>
        <w:tc>
          <w:tcPr>
            <w:tcW w:w="1134" w:type="dxa"/>
            <w:tcBorders>
              <w:top w:val="nil"/>
              <w:left w:val="nil"/>
              <w:bottom w:val="single" w:sz="4" w:space="0" w:color="auto"/>
              <w:right w:val="single" w:sz="4" w:space="0" w:color="auto"/>
            </w:tcBorders>
            <w:shd w:val="clear" w:color="BDD6EE" w:fill="BDD6EE"/>
            <w:vAlign w:val="center"/>
            <w:hideMark/>
          </w:tcPr>
          <w:p w14:paraId="0AB89C6C"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Goal</w:t>
            </w:r>
            <w:proofErr w:type="spellEnd"/>
            <w:r w:rsidRPr="00316B26">
              <w:rPr>
                <w:rFonts w:ascii="Times New Roman" w:eastAsia="Times New Roman" w:hAnsi="Times New Roman" w:cs="Times New Roman"/>
                <w:b/>
                <w:bCs/>
                <w:color w:val="000000"/>
                <w:sz w:val="18"/>
                <w:szCs w:val="18"/>
                <w:lang w:val="pl-PL" w:eastAsia="pl-PL"/>
              </w:rPr>
              <w:t xml:space="preserve"> </w:t>
            </w:r>
          </w:p>
        </w:tc>
        <w:tc>
          <w:tcPr>
            <w:tcW w:w="851" w:type="dxa"/>
            <w:tcBorders>
              <w:top w:val="nil"/>
              <w:left w:val="nil"/>
              <w:bottom w:val="single" w:sz="4" w:space="0" w:color="auto"/>
              <w:right w:val="single" w:sz="4" w:space="0" w:color="auto"/>
            </w:tcBorders>
            <w:shd w:val="clear" w:color="BDD6EE" w:fill="BDD6EE"/>
            <w:vAlign w:val="center"/>
            <w:hideMark/>
          </w:tcPr>
          <w:p w14:paraId="6755A45D"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Quarter</w:t>
            </w:r>
            <w:proofErr w:type="spellEnd"/>
          </w:p>
        </w:tc>
        <w:tc>
          <w:tcPr>
            <w:tcW w:w="850" w:type="dxa"/>
            <w:tcBorders>
              <w:top w:val="nil"/>
              <w:left w:val="nil"/>
              <w:bottom w:val="single" w:sz="4" w:space="0" w:color="auto"/>
              <w:right w:val="single" w:sz="4" w:space="0" w:color="auto"/>
            </w:tcBorders>
            <w:shd w:val="clear" w:color="BDD6EE" w:fill="BDD6EE"/>
            <w:vAlign w:val="center"/>
            <w:hideMark/>
          </w:tcPr>
          <w:p w14:paraId="5B8F686A" w14:textId="77777777" w:rsidR="001052B5" w:rsidRPr="00316B26" w:rsidRDefault="001052B5" w:rsidP="00A20CA7">
            <w:pPr>
              <w:spacing w:after="0" w:line="240" w:lineRule="auto"/>
              <w:jc w:val="center"/>
              <w:rPr>
                <w:rFonts w:ascii="Times New Roman" w:eastAsia="Times New Roman" w:hAnsi="Times New Roman" w:cs="Times New Roman"/>
                <w:b/>
                <w:bCs/>
                <w:color w:val="000000"/>
                <w:sz w:val="18"/>
                <w:szCs w:val="18"/>
                <w:lang w:val="pl-PL" w:eastAsia="pl-PL"/>
              </w:rPr>
            </w:pPr>
            <w:proofErr w:type="spellStart"/>
            <w:r w:rsidRPr="00316B26">
              <w:rPr>
                <w:rFonts w:ascii="Times New Roman" w:eastAsia="Times New Roman" w:hAnsi="Times New Roman" w:cs="Times New Roman"/>
                <w:b/>
                <w:bCs/>
                <w:color w:val="000000"/>
                <w:sz w:val="18"/>
                <w:szCs w:val="18"/>
                <w:lang w:val="pl-PL" w:eastAsia="pl-PL"/>
              </w:rPr>
              <w:t>Year</w:t>
            </w:r>
            <w:proofErr w:type="spellEnd"/>
          </w:p>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27A5822D" w14:textId="77777777" w:rsidR="001052B5" w:rsidRPr="00316B26" w:rsidRDefault="001052B5" w:rsidP="00A20CA7">
            <w:pPr>
              <w:spacing w:after="0" w:line="240" w:lineRule="auto"/>
              <w:rPr>
                <w:rFonts w:ascii="Times New Roman" w:eastAsia="Times New Roman" w:hAnsi="Times New Roman" w:cs="Times New Roman"/>
                <w:b/>
                <w:bCs/>
                <w:color w:val="000000"/>
                <w:sz w:val="18"/>
                <w:szCs w:val="18"/>
                <w:lang w:val="pl-PL" w:eastAsia="pl-PL"/>
              </w:rPr>
            </w:pPr>
          </w:p>
        </w:tc>
      </w:tr>
      <w:tr w:rsidR="001052B5" w:rsidRPr="00316B26" w14:paraId="4FA1904D" w14:textId="77777777" w:rsidTr="00A20CA7">
        <w:trPr>
          <w:trHeight w:val="1200"/>
        </w:trPr>
        <w:tc>
          <w:tcPr>
            <w:tcW w:w="985" w:type="dxa"/>
            <w:tcBorders>
              <w:top w:val="nil"/>
              <w:left w:val="single" w:sz="4" w:space="0" w:color="auto"/>
              <w:bottom w:val="single" w:sz="4" w:space="0" w:color="auto"/>
              <w:right w:val="single" w:sz="4" w:space="0" w:color="auto"/>
            </w:tcBorders>
            <w:shd w:val="clear" w:color="000000" w:fill="C6EFCE"/>
            <w:vAlign w:val="center"/>
            <w:hideMark/>
          </w:tcPr>
          <w:p w14:paraId="26EC2CED"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bookmarkStart w:id="3" w:name="RANGE!A6"/>
            <w:r w:rsidRPr="00316B26">
              <w:rPr>
                <w:rFonts w:ascii="Times New Roman" w:eastAsia="Times New Roman" w:hAnsi="Times New Roman" w:cs="Times New Roman"/>
                <w:b/>
                <w:bCs/>
                <w:sz w:val="18"/>
                <w:szCs w:val="18"/>
                <w:lang w:val="pl-PL" w:eastAsia="pl-PL"/>
              </w:rPr>
              <w:t>A1G</w:t>
            </w:r>
            <w:bookmarkEnd w:id="3"/>
          </w:p>
        </w:tc>
        <w:tc>
          <w:tcPr>
            <w:tcW w:w="1420" w:type="dxa"/>
            <w:tcBorders>
              <w:top w:val="nil"/>
              <w:left w:val="nil"/>
              <w:bottom w:val="single" w:sz="4" w:space="0" w:color="auto"/>
              <w:right w:val="single" w:sz="4" w:space="0" w:color="auto"/>
            </w:tcBorders>
            <w:shd w:val="clear" w:color="000000" w:fill="C6EFCE"/>
            <w:vAlign w:val="center"/>
            <w:hideMark/>
          </w:tcPr>
          <w:p w14:paraId="4D8443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A1.1 Reforma ram fiskalnych</w:t>
            </w:r>
          </w:p>
        </w:tc>
        <w:tc>
          <w:tcPr>
            <w:tcW w:w="992" w:type="dxa"/>
            <w:tcBorders>
              <w:top w:val="nil"/>
              <w:left w:val="nil"/>
              <w:bottom w:val="single" w:sz="4" w:space="0" w:color="auto"/>
              <w:right w:val="single" w:sz="4" w:space="0" w:color="auto"/>
            </w:tcBorders>
            <w:shd w:val="clear" w:color="000000" w:fill="C6EFCE"/>
            <w:vAlign w:val="center"/>
            <w:hideMark/>
          </w:tcPr>
          <w:p w14:paraId="661CC4A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78B1431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Przygotowanie Koncepcji określającej strukturę i szczegółowe klasyfikacje jednolitego planu kont zintegrowanego z klasyfikacją budżetową </w:t>
            </w:r>
          </w:p>
        </w:tc>
        <w:tc>
          <w:tcPr>
            <w:tcW w:w="1701" w:type="dxa"/>
            <w:tcBorders>
              <w:top w:val="nil"/>
              <w:left w:val="nil"/>
              <w:bottom w:val="single" w:sz="4" w:space="0" w:color="auto"/>
              <w:right w:val="single" w:sz="4" w:space="0" w:color="auto"/>
            </w:tcBorders>
            <w:shd w:val="clear" w:color="000000" w:fill="C6EFCE"/>
            <w:vAlign w:val="center"/>
            <w:hideMark/>
          </w:tcPr>
          <w:p w14:paraId="436880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publikacja na stronie internetowej Ministerstwa Finansów</w:t>
            </w:r>
          </w:p>
        </w:tc>
        <w:tc>
          <w:tcPr>
            <w:tcW w:w="1134" w:type="dxa"/>
            <w:tcBorders>
              <w:top w:val="nil"/>
              <w:left w:val="nil"/>
              <w:bottom w:val="single" w:sz="4" w:space="0" w:color="auto"/>
              <w:right w:val="single" w:sz="4" w:space="0" w:color="auto"/>
            </w:tcBorders>
            <w:shd w:val="clear" w:color="000000" w:fill="C6EFCE"/>
            <w:vAlign w:val="center"/>
            <w:hideMark/>
          </w:tcPr>
          <w:p w14:paraId="1B14E8F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0C39104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 </w:t>
            </w:r>
          </w:p>
        </w:tc>
        <w:tc>
          <w:tcPr>
            <w:tcW w:w="1134" w:type="dxa"/>
            <w:tcBorders>
              <w:top w:val="nil"/>
              <w:left w:val="nil"/>
              <w:bottom w:val="single" w:sz="4" w:space="0" w:color="auto"/>
              <w:right w:val="single" w:sz="4" w:space="0" w:color="auto"/>
            </w:tcBorders>
            <w:shd w:val="clear" w:color="000000" w:fill="C6EFCE"/>
            <w:vAlign w:val="center"/>
            <w:hideMark/>
          </w:tcPr>
          <w:p w14:paraId="0431A25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7F2DF92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21BC890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58E1205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Publikacja Koncepcji na stronie Biuletynu Informacji Publicznej Ministerstwa Finansów. Koncepcja przedstawia opis i strukturę nowego systemu klasyfikacji .</w:t>
            </w:r>
          </w:p>
        </w:tc>
      </w:tr>
      <w:tr w:rsidR="001052B5" w:rsidRPr="009D378C" w14:paraId="799B3B9E" w14:textId="77777777" w:rsidTr="00A20CA7">
        <w:trPr>
          <w:trHeight w:val="315"/>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0429C1C1"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A2G</w:t>
            </w:r>
          </w:p>
        </w:tc>
        <w:tc>
          <w:tcPr>
            <w:tcW w:w="1420" w:type="dxa"/>
            <w:tcBorders>
              <w:top w:val="nil"/>
              <w:left w:val="nil"/>
              <w:bottom w:val="single" w:sz="4" w:space="0" w:color="auto"/>
              <w:right w:val="single" w:sz="4" w:space="0" w:color="auto"/>
            </w:tcBorders>
            <w:shd w:val="clear" w:color="000000" w:fill="C6EFCE"/>
            <w:vAlign w:val="center"/>
            <w:hideMark/>
          </w:tcPr>
          <w:p w14:paraId="50FAAC2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A1.1 Reforma ram fiskalnych</w:t>
            </w:r>
          </w:p>
        </w:tc>
        <w:tc>
          <w:tcPr>
            <w:tcW w:w="992" w:type="dxa"/>
            <w:tcBorders>
              <w:top w:val="nil"/>
              <w:left w:val="nil"/>
              <w:bottom w:val="single" w:sz="4" w:space="0" w:color="auto"/>
              <w:right w:val="single" w:sz="4" w:space="0" w:color="auto"/>
            </w:tcBorders>
            <w:shd w:val="clear" w:color="000000" w:fill="C6EFCE"/>
            <w:vAlign w:val="center"/>
            <w:hideMark/>
          </w:tcPr>
          <w:p w14:paraId="3BAC3AD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595A8460" w14:textId="70AC9981"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nowelizacji ustawy o finansach publicznych opracowanej przez Ministerstwo Finansów, wdrażającej nowy system budżetowy, w tym nowy system klasyfikacji budżetu, nowy model zarządzania budżetem i </w:t>
            </w:r>
            <w:r w:rsidR="00267240">
              <w:rPr>
                <w:rFonts w:ascii="Times New Roman" w:eastAsia="Times New Roman" w:hAnsi="Times New Roman" w:cs="Times New Roman"/>
                <w:sz w:val="18"/>
                <w:szCs w:val="18"/>
                <w:lang w:val="pl-PL" w:eastAsia="pl-PL"/>
              </w:rPr>
              <w:t xml:space="preserve"> ponownie zdefiniowane </w:t>
            </w:r>
            <w:r w:rsidRPr="00316B26">
              <w:rPr>
                <w:rFonts w:ascii="Times New Roman" w:eastAsia="Times New Roman" w:hAnsi="Times New Roman" w:cs="Times New Roman"/>
                <w:sz w:val="18"/>
                <w:szCs w:val="18"/>
                <w:lang w:val="pl-PL" w:eastAsia="pl-PL"/>
              </w:rPr>
              <w:t xml:space="preserve"> średniookresow</w:t>
            </w:r>
            <w:r w:rsidR="00267240">
              <w:rPr>
                <w:rFonts w:ascii="Times New Roman" w:eastAsia="Times New Roman" w:hAnsi="Times New Roman" w:cs="Times New Roman"/>
                <w:sz w:val="18"/>
                <w:szCs w:val="18"/>
                <w:lang w:val="pl-PL" w:eastAsia="pl-PL"/>
              </w:rPr>
              <w:t>e</w:t>
            </w:r>
            <w:r w:rsidRPr="00316B26">
              <w:rPr>
                <w:rFonts w:ascii="Times New Roman" w:eastAsia="Times New Roman" w:hAnsi="Times New Roman" w:cs="Times New Roman"/>
                <w:sz w:val="18"/>
                <w:szCs w:val="18"/>
                <w:lang w:val="pl-PL" w:eastAsia="pl-PL"/>
              </w:rPr>
              <w:t xml:space="preserve"> ram</w:t>
            </w:r>
            <w:r w:rsidR="00267240">
              <w:rPr>
                <w:rFonts w:ascii="Times New Roman" w:eastAsia="Times New Roman" w:hAnsi="Times New Roman" w:cs="Times New Roman"/>
                <w:sz w:val="18"/>
                <w:szCs w:val="18"/>
                <w:lang w:val="pl-PL" w:eastAsia="pl-PL"/>
              </w:rPr>
              <w:t>y</w:t>
            </w:r>
            <w:r w:rsidRPr="00316B26">
              <w:rPr>
                <w:rFonts w:ascii="Times New Roman" w:eastAsia="Times New Roman" w:hAnsi="Times New Roman" w:cs="Times New Roman"/>
                <w:sz w:val="18"/>
                <w:szCs w:val="18"/>
                <w:lang w:val="pl-PL" w:eastAsia="pl-PL"/>
              </w:rPr>
              <w:t xml:space="preserve"> budżetow</w:t>
            </w:r>
            <w:r w:rsidR="00267240">
              <w:rPr>
                <w:rFonts w:ascii="Times New Roman" w:eastAsia="Times New Roman" w:hAnsi="Times New Roman" w:cs="Times New Roman"/>
                <w:sz w:val="18"/>
                <w:szCs w:val="18"/>
                <w:lang w:val="pl-PL" w:eastAsia="pl-PL"/>
              </w:rPr>
              <w:t>e</w:t>
            </w:r>
          </w:p>
        </w:tc>
        <w:tc>
          <w:tcPr>
            <w:tcW w:w="1701" w:type="dxa"/>
            <w:tcBorders>
              <w:top w:val="nil"/>
              <w:left w:val="nil"/>
              <w:bottom w:val="single" w:sz="4" w:space="0" w:color="auto"/>
              <w:right w:val="single" w:sz="4" w:space="0" w:color="auto"/>
            </w:tcBorders>
            <w:shd w:val="clear" w:color="000000" w:fill="C6EFCE"/>
            <w:vAlign w:val="center"/>
            <w:hideMark/>
          </w:tcPr>
          <w:p w14:paraId="0095462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w nowelizacji ustawy o finansach publicznych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79B0C92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0E22344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13CCCC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2488DC9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31834EB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156FB5B9" w14:textId="2889D96F"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nowelizacji ustawy o finansach publicznych w celu wdrożenia nowego systemu budżetowego, w tym nowego systemu klasyfikacji budżetowej, nowego modelu zarządzania budżetem oraz </w:t>
            </w:r>
            <w:r w:rsidR="00267240">
              <w:rPr>
                <w:rFonts w:ascii="Times New Roman" w:eastAsia="Times New Roman" w:hAnsi="Times New Roman" w:cs="Times New Roman"/>
                <w:sz w:val="18"/>
                <w:szCs w:val="18"/>
                <w:lang w:val="pl-PL" w:eastAsia="pl-PL"/>
              </w:rPr>
              <w:t>ponownie zdefiniowanych</w:t>
            </w:r>
            <w:r w:rsidRPr="00316B26">
              <w:rPr>
                <w:rFonts w:ascii="Times New Roman" w:eastAsia="Times New Roman" w:hAnsi="Times New Roman" w:cs="Times New Roman"/>
                <w:sz w:val="18"/>
                <w:szCs w:val="18"/>
                <w:lang w:val="pl-PL" w:eastAsia="pl-PL"/>
              </w:rPr>
              <w:t xml:space="preserve"> średniookresowych ram budżetowych.</w:t>
            </w:r>
            <w:r w:rsidRPr="00316B26">
              <w:rPr>
                <w:rFonts w:ascii="Times New Roman" w:eastAsia="Times New Roman" w:hAnsi="Times New Roman" w:cs="Times New Roman"/>
                <w:sz w:val="18"/>
                <w:szCs w:val="18"/>
                <w:lang w:val="pl-PL" w:eastAsia="pl-PL"/>
              </w:rPr>
              <w:br/>
              <w:t xml:space="preserve">Nowy system klasyfikacji integruje istniejącą klasyfikację budżetową i klasyfikację wykonania zadań oraz łączy je ze standardowym planem kont. Transakcje są rejestrowane na tej samej podstawie, co ma poprawić jakość danych w sprawozdawczości budżetowej, finansowej i statystycznej. Nowy system powinien zawierać pewną liczbę odrębnych segmentów </w:t>
            </w:r>
            <w:r w:rsidRPr="00316B26">
              <w:rPr>
                <w:rFonts w:ascii="Times New Roman" w:eastAsia="Times New Roman" w:hAnsi="Times New Roman" w:cs="Times New Roman"/>
                <w:sz w:val="18"/>
                <w:szCs w:val="18"/>
                <w:lang w:val="pl-PL" w:eastAsia="pl-PL"/>
              </w:rPr>
              <w:lastRenderedPageBreak/>
              <w:t>wraz ze strukturami kodowania danych w tych segmentach, które powinny odpowiadać potrzebom informacyjnym różnych użytkowników systemu.</w:t>
            </w:r>
          </w:p>
        </w:tc>
      </w:tr>
      <w:tr w:rsidR="001052B5" w:rsidRPr="00316B26" w14:paraId="66B40741" w14:textId="77777777" w:rsidTr="00A20CA7">
        <w:trPr>
          <w:trHeight w:val="15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534B0C31"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A3G</w:t>
            </w:r>
          </w:p>
        </w:tc>
        <w:tc>
          <w:tcPr>
            <w:tcW w:w="1420" w:type="dxa"/>
            <w:tcBorders>
              <w:top w:val="nil"/>
              <w:left w:val="nil"/>
              <w:bottom w:val="single" w:sz="4" w:space="0" w:color="auto"/>
              <w:right w:val="single" w:sz="4" w:space="0" w:color="auto"/>
            </w:tcBorders>
            <w:shd w:val="clear" w:color="000000" w:fill="C6EFCE"/>
            <w:vAlign w:val="center"/>
            <w:hideMark/>
          </w:tcPr>
          <w:p w14:paraId="011F8DF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A1.1 Reforma ram fiskalnych</w:t>
            </w:r>
          </w:p>
        </w:tc>
        <w:tc>
          <w:tcPr>
            <w:tcW w:w="992" w:type="dxa"/>
            <w:tcBorders>
              <w:top w:val="nil"/>
              <w:left w:val="nil"/>
              <w:bottom w:val="single" w:sz="4" w:space="0" w:color="auto"/>
              <w:right w:val="single" w:sz="4" w:space="0" w:color="auto"/>
            </w:tcBorders>
            <w:shd w:val="clear" w:color="000000" w:fill="C6EFCE"/>
            <w:vAlign w:val="center"/>
            <w:hideMark/>
          </w:tcPr>
          <w:p w14:paraId="32951DB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1DA27E3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Wejście w życie nowelizacji ustawy o finansach publicznych rozszerzającej zakres stabilizującej reguły wydatkowej (SRW) o państwowe fundusze celowe</w:t>
            </w:r>
          </w:p>
        </w:tc>
        <w:tc>
          <w:tcPr>
            <w:tcW w:w="1701" w:type="dxa"/>
            <w:tcBorders>
              <w:top w:val="nil"/>
              <w:left w:val="nil"/>
              <w:bottom w:val="single" w:sz="4" w:space="0" w:color="auto"/>
              <w:right w:val="single" w:sz="4" w:space="0" w:color="auto"/>
            </w:tcBorders>
            <w:shd w:val="clear" w:color="000000" w:fill="C6EFCE"/>
            <w:vAlign w:val="center"/>
            <w:hideMark/>
          </w:tcPr>
          <w:p w14:paraId="7DD06C1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w nowelizacji ustawy o finansach publicznych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3FD0873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3DE00FC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7CA84C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0F55DD8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Q3</w:t>
            </w:r>
          </w:p>
        </w:tc>
        <w:tc>
          <w:tcPr>
            <w:tcW w:w="850" w:type="dxa"/>
            <w:tcBorders>
              <w:top w:val="nil"/>
              <w:left w:val="nil"/>
              <w:bottom w:val="single" w:sz="4" w:space="0" w:color="auto"/>
              <w:right w:val="single" w:sz="4" w:space="0" w:color="auto"/>
            </w:tcBorders>
            <w:shd w:val="clear" w:color="000000" w:fill="C6EFCE"/>
            <w:vAlign w:val="center"/>
            <w:hideMark/>
          </w:tcPr>
          <w:p w14:paraId="6C20663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2021</w:t>
            </w:r>
          </w:p>
        </w:tc>
        <w:tc>
          <w:tcPr>
            <w:tcW w:w="2977" w:type="dxa"/>
            <w:tcBorders>
              <w:top w:val="nil"/>
              <w:left w:val="nil"/>
              <w:bottom w:val="single" w:sz="4" w:space="0" w:color="auto"/>
              <w:right w:val="single" w:sz="4" w:space="0" w:color="auto"/>
            </w:tcBorders>
            <w:shd w:val="clear" w:color="000000" w:fill="C6EFCE"/>
            <w:vAlign w:val="center"/>
            <w:hideMark/>
          </w:tcPr>
          <w:p w14:paraId="31FD8A6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Wejście w życie nowelizacji ustawy o finansach publicznych w zakresie rozszerzenia zakresu stosowania stabilizującej reguły wydatkowej (SRW).</w:t>
            </w:r>
            <w:r w:rsidRPr="00316B26">
              <w:rPr>
                <w:rFonts w:ascii="Times New Roman" w:eastAsia="Times New Roman" w:hAnsi="Times New Roman" w:cs="Times New Roman"/>
                <w:sz w:val="18"/>
                <w:szCs w:val="18"/>
                <w:lang w:val="pl-PL" w:eastAsia="pl-PL"/>
              </w:rPr>
              <w:br/>
              <w:t>Zakładane efekty zmian to objęcie zakresem SRW większej liczby jednostek sektora instytucji rządowych i samorządowych (państwowych funduszy celowych), co pozwoli na zwiększenie przejrzystości i efektywności zarządzania finansami publicznymi. Za przygotowanie poprawki odpowiada Ministerstwo Finansów.</w:t>
            </w:r>
          </w:p>
        </w:tc>
      </w:tr>
      <w:tr w:rsidR="001052B5" w:rsidRPr="009D378C" w14:paraId="3AC303AE" w14:textId="77777777" w:rsidTr="00A20CA7">
        <w:trPr>
          <w:trHeight w:val="599"/>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23874765"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A4G</w:t>
            </w:r>
          </w:p>
        </w:tc>
        <w:tc>
          <w:tcPr>
            <w:tcW w:w="1420" w:type="dxa"/>
            <w:tcBorders>
              <w:top w:val="nil"/>
              <w:left w:val="nil"/>
              <w:bottom w:val="single" w:sz="4" w:space="0" w:color="auto"/>
              <w:right w:val="single" w:sz="4" w:space="0" w:color="auto"/>
            </w:tcBorders>
            <w:shd w:val="clear" w:color="000000" w:fill="C6EFCE"/>
            <w:vAlign w:val="center"/>
            <w:hideMark/>
          </w:tcPr>
          <w:p w14:paraId="17CAAE0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A1.1 Reforma ram fiskalnych</w:t>
            </w:r>
          </w:p>
        </w:tc>
        <w:tc>
          <w:tcPr>
            <w:tcW w:w="992" w:type="dxa"/>
            <w:tcBorders>
              <w:top w:val="nil"/>
              <w:left w:val="nil"/>
              <w:bottom w:val="single" w:sz="4" w:space="0" w:color="auto"/>
              <w:right w:val="single" w:sz="4" w:space="0" w:color="auto"/>
            </w:tcBorders>
            <w:shd w:val="clear" w:color="000000" w:fill="C6EFCE"/>
            <w:vAlign w:val="center"/>
            <w:hideMark/>
          </w:tcPr>
          <w:p w14:paraId="55842A0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4A4DFBD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Przegląd funkcjonowania stabilizującej reguły wydatkowej w latach 2019-2023 w celu: oceny skuteczności reguły, w tym stosowania klauzuli wyjścia i klauzuli powrotu, analizy wpływu zmian w przepisach UE na formułę stabilizującej reguły wydatkowej </w:t>
            </w:r>
          </w:p>
        </w:tc>
        <w:tc>
          <w:tcPr>
            <w:tcW w:w="1701" w:type="dxa"/>
            <w:tcBorders>
              <w:top w:val="nil"/>
              <w:left w:val="nil"/>
              <w:bottom w:val="single" w:sz="4" w:space="0" w:color="auto"/>
              <w:right w:val="single" w:sz="4" w:space="0" w:color="auto"/>
            </w:tcBorders>
            <w:shd w:val="clear" w:color="000000" w:fill="C6EFCE"/>
            <w:vAlign w:val="center"/>
            <w:hideMark/>
          </w:tcPr>
          <w:p w14:paraId="2CC2DC5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Publikacja w Biuletynie Informacji Publicznej na stronie internetowej Ministerstwa Finansów</w:t>
            </w:r>
          </w:p>
        </w:tc>
        <w:tc>
          <w:tcPr>
            <w:tcW w:w="1134" w:type="dxa"/>
            <w:tcBorders>
              <w:top w:val="nil"/>
              <w:left w:val="nil"/>
              <w:bottom w:val="single" w:sz="4" w:space="0" w:color="auto"/>
              <w:right w:val="single" w:sz="4" w:space="0" w:color="auto"/>
            </w:tcBorders>
            <w:shd w:val="clear" w:color="000000" w:fill="C6EFCE"/>
            <w:vAlign w:val="center"/>
            <w:hideMark/>
          </w:tcPr>
          <w:p w14:paraId="4A8AE34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4D3DB1B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2D7D00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3C53D9B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77D3CDB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1386F07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Opublikowanie przeglądu funkcjonowania stabilizującej reguły wydatkowej, ze szczególnym uwzględnieniem jej zakresu, po pięciu latach jej funkcjonowania (przegląd w latach 2019-2023). Przegląd jest publikowany na stronie internetowej Ministerstwa Finansów.</w:t>
            </w:r>
            <w:r w:rsidRPr="00316B26">
              <w:rPr>
                <w:rFonts w:ascii="Times New Roman" w:eastAsia="Times New Roman" w:hAnsi="Times New Roman" w:cs="Times New Roman"/>
                <w:sz w:val="18"/>
                <w:szCs w:val="18"/>
                <w:lang w:val="pl-PL" w:eastAsia="pl-PL"/>
              </w:rPr>
              <w:br/>
              <w:t>SRW została wprowadzona w 2013 r. jako narzędzie wspierające prowadzenie polityki fiskalnej. W 2018 r. przeprowadzono przegląd funkcjonowania SRW za pierwsze 5 lat. Kolejny przegląd obejmie lata 2019-2023. Analiza funkcjonowania SRW pozwoli na przygotowanie rekomendacji, dotyczących m.in. spełnienia celów i parametrów formuły SRW oraz jej zakresu.</w:t>
            </w:r>
          </w:p>
        </w:tc>
      </w:tr>
      <w:tr w:rsidR="001052B5" w:rsidRPr="009D378C" w14:paraId="65E286B1" w14:textId="77777777" w:rsidTr="00A20CA7">
        <w:trPr>
          <w:trHeight w:val="1733"/>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667101E0"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A5G</w:t>
            </w:r>
          </w:p>
        </w:tc>
        <w:tc>
          <w:tcPr>
            <w:tcW w:w="1420" w:type="dxa"/>
            <w:tcBorders>
              <w:top w:val="nil"/>
              <w:left w:val="nil"/>
              <w:bottom w:val="single" w:sz="4" w:space="0" w:color="auto"/>
              <w:right w:val="single" w:sz="4" w:space="0" w:color="auto"/>
            </w:tcBorders>
            <w:shd w:val="clear" w:color="000000" w:fill="C6EFCE"/>
            <w:vAlign w:val="center"/>
            <w:hideMark/>
          </w:tcPr>
          <w:p w14:paraId="1861DC2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A1.2 Dalsze ograniczenia obciążeń regulacyjnych i administracyjnych (kontynuacja kompleksowej reformy prawa gospodarczego)</w:t>
            </w:r>
          </w:p>
        </w:tc>
        <w:tc>
          <w:tcPr>
            <w:tcW w:w="992" w:type="dxa"/>
            <w:tcBorders>
              <w:top w:val="nil"/>
              <w:left w:val="nil"/>
              <w:bottom w:val="single" w:sz="4" w:space="0" w:color="auto"/>
              <w:right w:val="single" w:sz="4" w:space="0" w:color="auto"/>
            </w:tcBorders>
            <w:shd w:val="clear" w:color="000000" w:fill="C6EFCE"/>
            <w:vAlign w:val="center"/>
            <w:hideMark/>
          </w:tcPr>
          <w:p w14:paraId="7D47554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349E61F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pakietu legislacyjnego w celu zmniejszenia obciążeń administracyjnych dla przedsiębiorstw i obywateli </w:t>
            </w:r>
          </w:p>
        </w:tc>
        <w:tc>
          <w:tcPr>
            <w:tcW w:w="1701" w:type="dxa"/>
            <w:tcBorders>
              <w:top w:val="nil"/>
              <w:left w:val="nil"/>
              <w:bottom w:val="single" w:sz="4" w:space="0" w:color="auto"/>
              <w:right w:val="single" w:sz="4" w:space="0" w:color="auto"/>
            </w:tcBorders>
            <w:shd w:val="clear" w:color="000000" w:fill="C6EFCE"/>
            <w:vAlign w:val="center"/>
            <w:hideMark/>
          </w:tcPr>
          <w:p w14:paraId="3B2172B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Przepisy wskazujące na wejście w życie pakietu legislacyjnego</w:t>
            </w:r>
          </w:p>
        </w:tc>
        <w:tc>
          <w:tcPr>
            <w:tcW w:w="1134" w:type="dxa"/>
            <w:tcBorders>
              <w:top w:val="nil"/>
              <w:left w:val="nil"/>
              <w:bottom w:val="single" w:sz="4" w:space="0" w:color="auto"/>
              <w:right w:val="single" w:sz="4" w:space="0" w:color="auto"/>
            </w:tcBorders>
            <w:shd w:val="clear" w:color="000000" w:fill="C6EFCE"/>
            <w:vAlign w:val="center"/>
            <w:hideMark/>
          </w:tcPr>
          <w:p w14:paraId="0D398CA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73D4A2E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3F7B3EE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762917D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2184202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64D1F64B" w14:textId="4B673CA2"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w:t>
            </w:r>
            <w:r w:rsidR="00267240">
              <w:rPr>
                <w:rFonts w:ascii="Times New Roman" w:eastAsia="Times New Roman" w:hAnsi="Times New Roman" w:cs="Times New Roman"/>
                <w:sz w:val="18"/>
                <w:szCs w:val="18"/>
                <w:lang w:val="pl-PL" w:eastAsia="pl-PL"/>
              </w:rPr>
              <w:t>pakietu</w:t>
            </w:r>
            <w:r w:rsidR="00267240" w:rsidRPr="00316B26">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prawnego, którego celem jest wyeliminowanie barier prawnych wpływających na klimat inwestycyjny, w szczególności poprzez:</w:t>
            </w:r>
            <w:r w:rsidRPr="00316B26">
              <w:rPr>
                <w:rFonts w:ascii="Times New Roman" w:eastAsia="Times New Roman" w:hAnsi="Times New Roman" w:cs="Times New Roman"/>
                <w:sz w:val="18"/>
                <w:szCs w:val="18"/>
                <w:lang w:val="pl-PL" w:eastAsia="pl-PL"/>
              </w:rPr>
              <w:br/>
              <w:t xml:space="preserve">1. Wprowadzenie uproszczeń procedur administracyjnych i/lub procedur milczącej zgody w co najmniej 12 procedurach, w szczególności związanych z zawodami marynarzy oraz handlem i dystrybucją napojów alkoholowych;                                                                                   </w:t>
            </w:r>
            <w:r w:rsidRPr="00316B26">
              <w:rPr>
                <w:rFonts w:ascii="Times New Roman" w:eastAsia="Times New Roman" w:hAnsi="Times New Roman" w:cs="Times New Roman"/>
                <w:sz w:val="18"/>
                <w:szCs w:val="18"/>
                <w:lang w:val="pl-PL" w:eastAsia="pl-PL"/>
              </w:rPr>
              <w:br/>
              <w:t>2. Odstąpienie od procedury dwuinstancyjnej w co najmniej 10 procedurach, związanych w szczególności z zasobami geologicznymi i zawodową służbą wojskową;</w:t>
            </w:r>
            <w:r w:rsidRPr="00316B26">
              <w:rPr>
                <w:rFonts w:ascii="Times New Roman" w:eastAsia="Times New Roman" w:hAnsi="Times New Roman" w:cs="Times New Roman"/>
                <w:sz w:val="18"/>
                <w:szCs w:val="18"/>
                <w:lang w:val="pl-PL" w:eastAsia="pl-PL"/>
              </w:rPr>
              <w:br/>
              <w:t>3. Cyfryzacja sposobu załatwiania wniosków w co najmniej 8 procedurach administracyjnych, związanych np. ze składaniem przez organizatorów turystyki i przedsiębiorców deklaracji do Ubezpieczeniowego Funduszu Gwarancyjnego oraz składaniem wniosków o przyznanie świadczeń socjalnych przez studentów, a także dotyczących postępowania geodezyjnego;</w:t>
            </w:r>
            <w:r w:rsidRPr="00316B26">
              <w:rPr>
                <w:rFonts w:ascii="Times New Roman" w:eastAsia="Times New Roman" w:hAnsi="Times New Roman" w:cs="Times New Roman"/>
                <w:sz w:val="18"/>
                <w:szCs w:val="18"/>
                <w:lang w:val="pl-PL" w:eastAsia="pl-PL"/>
              </w:rPr>
              <w:br/>
              <w:t xml:space="preserve">4. Wprowadzenie innych racjonalizacji procedur administracyjnych (jak np. ograniczenie liczby dokumentów czy mniej formalności do spełnienia) w niektórych procedurach administracyjnych związanych w szczególności z wprowadzeniem szeregu usprawnień w procesie planowania przestrzennego, w procesie budowlanym oraz w procesie scalania gruntów; </w:t>
            </w:r>
            <w:r w:rsidRPr="00316B26">
              <w:rPr>
                <w:rFonts w:ascii="Times New Roman" w:eastAsia="Times New Roman" w:hAnsi="Times New Roman" w:cs="Times New Roman"/>
                <w:sz w:val="18"/>
                <w:szCs w:val="18"/>
                <w:lang w:val="pl-PL" w:eastAsia="pl-PL"/>
              </w:rPr>
              <w:br/>
              <w:t xml:space="preserve">5. Wydłużenie terminu realizacji obowiązków przedsiębiorców i osób fizycznych wobec administracji w niektórych przypadkach procedur </w:t>
            </w:r>
            <w:r w:rsidRPr="00316B26">
              <w:rPr>
                <w:rFonts w:ascii="Times New Roman" w:eastAsia="Times New Roman" w:hAnsi="Times New Roman" w:cs="Times New Roman"/>
                <w:sz w:val="18"/>
                <w:szCs w:val="18"/>
                <w:lang w:val="pl-PL" w:eastAsia="pl-PL"/>
              </w:rPr>
              <w:lastRenderedPageBreak/>
              <w:t xml:space="preserve">administracyjnych, np. wydłużenie z 30 do 60 dni terminu na rejestrację samochodu zakupionego w innym państwie członkowskim czy wydłużenie terminu na wykorzystanie bonu turystycznego z 31.03.2022 r. do 30.09.2022 r. </w:t>
            </w:r>
          </w:p>
        </w:tc>
      </w:tr>
      <w:tr w:rsidR="001052B5" w:rsidRPr="009D378C" w14:paraId="013180B5" w14:textId="77777777" w:rsidTr="00A20CA7">
        <w:trPr>
          <w:trHeight w:val="18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3E562046"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A6G</w:t>
            </w:r>
          </w:p>
        </w:tc>
        <w:tc>
          <w:tcPr>
            <w:tcW w:w="1420" w:type="dxa"/>
            <w:tcBorders>
              <w:top w:val="nil"/>
              <w:left w:val="nil"/>
              <w:bottom w:val="single" w:sz="4" w:space="0" w:color="auto"/>
              <w:right w:val="single" w:sz="4" w:space="0" w:color="auto"/>
            </w:tcBorders>
            <w:shd w:val="clear" w:color="000000" w:fill="C6EFCE"/>
            <w:vAlign w:val="center"/>
            <w:hideMark/>
          </w:tcPr>
          <w:p w14:paraId="0920ED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A1.2 Dalsze ograniczenia obciążeń regulacyjnych i administracyjnych (kontynuacja kompleksowej reformy prawa gospodarczego)</w:t>
            </w:r>
          </w:p>
        </w:tc>
        <w:tc>
          <w:tcPr>
            <w:tcW w:w="992" w:type="dxa"/>
            <w:tcBorders>
              <w:top w:val="nil"/>
              <w:left w:val="nil"/>
              <w:bottom w:val="single" w:sz="4" w:space="0" w:color="auto"/>
              <w:right w:val="single" w:sz="4" w:space="0" w:color="auto"/>
            </w:tcBorders>
            <w:shd w:val="clear" w:color="000000" w:fill="C6EFCE"/>
            <w:vAlign w:val="center"/>
            <w:hideMark/>
          </w:tcPr>
          <w:p w14:paraId="4F4254A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3EB7736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nowelizacji ustawy o wspieraniu nowych inwestycji </w:t>
            </w:r>
          </w:p>
        </w:tc>
        <w:tc>
          <w:tcPr>
            <w:tcW w:w="1701" w:type="dxa"/>
            <w:tcBorders>
              <w:top w:val="nil"/>
              <w:left w:val="nil"/>
              <w:bottom w:val="single" w:sz="4" w:space="0" w:color="auto"/>
              <w:right w:val="single" w:sz="4" w:space="0" w:color="auto"/>
            </w:tcBorders>
            <w:shd w:val="clear" w:color="000000" w:fill="C6EFCE"/>
            <w:vAlign w:val="center"/>
            <w:hideMark/>
          </w:tcPr>
          <w:p w14:paraId="1ED1ED6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w nowelizacji ustawy o wspieraniu nowych inwestycji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768CBBB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10094F2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02DE9D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0C70240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4522513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2023</w:t>
            </w:r>
          </w:p>
        </w:tc>
        <w:tc>
          <w:tcPr>
            <w:tcW w:w="2977" w:type="dxa"/>
            <w:tcBorders>
              <w:top w:val="nil"/>
              <w:left w:val="nil"/>
              <w:bottom w:val="single" w:sz="4" w:space="0" w:color="auto"/>
              <w:right w:val="single" w:sz="4" w:space="0" w:color="auto"/>
            </w:tcBorders>
            <w:shd w:val="clear" w:color="000000" w:fill="C6EFCE"/>
            <w:vAlign w:val="center"/>
            <w:hideMark/>
          </w:tcPr>
          <w:p w14:paraId="5091B74A" w14:textId="7BAAF62B"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w:t>
            </w:r>
            <w:r w:rsidR="00267240">
              <w:rPr>
                <w:rFonts w:ascii="Times New Roman" w:eastAsia="Times New Roman" w:hAnsi="Times New Roman" w:cs="Times New Roman"/>
                <w:sz w:val="18"/>
                <w:szCs w:val="18"/>
                <w:lang w:val="pl-PL" w:eastAsia="pl-PL"/>
              </w:rPr>
              <w:t xml:space="preserve">nowelizacji </w:t>
            </w:r>
            <w:r w:rsidRPr="00316B26">
              <w:rPr>
                <w:rFonts w:ascii="Times New Roman" w:eastAsia="Times New Roman" w:hAnsi="Times New Roman" w:cs="Times New Roman"/>
                <w:sz w:val="18"/>
                <w:szCs w:val="18"/>
                <w:lang w:val="pl-PL" w:eastAsia="pl-PL"/>
              </w:rPr>
              <w:t>ustawy o wspieraniu nowych inwestycji, która dotyczy:</w:t>
            </w:r>
            <w:r w:rsidRPr="00316B26">
              <w:rPr>
                <w:rFonts w:ascii="Times New Roman" w:eastAsia="Times New Roman" w:hAnsi="Times New Roman" w:cs="Times New Roman"/>
                <w:sz w:val="18"/>
                <w:szCs w:val="18"/>
                <w:lang w:val="pl-PL" w:eastAsia="pl-PL"/>
              </w:rPr>
              <w:br/>
              <w:t>1) zwiększenia powierzchni specjalnych stref ekonomicznych w Polsce o 30%;</w:t>
            </w:r>
            <w:r w:rsidRPr="00316B26">
              <w:rPr>
                <w:rFonts w:ascii="Times New Roman" w:eastAsia="Times New Roman" w:hAnsi="Times New Roman" w:cs="Times New Roman"/>
                <w:sz w:val="18"/>
                <w:szCs w:val="18"/>
                <w:lang w:val="pl-PL" w:eastAsia="pl-PL"/>
              </w:rPr>
              <w:br/>
              <w:t>2) określenia nowego modelu udzielania wsparcia finansowego przedsiębiorcom podejmującym działalność w specjalnych strefach ekonomicznych, w formie ulg podatkowych i dopłat do zakupu terenów inwestycyjnych.</w:t>
            </w:r>
            <w:r w:rsidRPr="00316B26">
              <w:rPr>
                <w:rFonts w:ascii="Times New Roman" w:eastAsia="Times New Roman" w:hAnsi="Times New Roman" w:cs="Times New Roman"/>
                <w:sz w:val="18"/>
                <w:szCs w:val="18"/>
                <w:lang w:val="pl-PL" w:eastAsia="pl-PL"/>
              </w:rPr>
              <w:br/>
              <w:t>Nowa ustawa będzie w pełni zgodna z wymogami UE w zakresie pomocy państwa oraz z wytycznymi technicznymi dla zasady „nie czyń poważnych szkód” (2021/C58/01).</w:t>
            </w:r>
          </w:p>
        </w:tc>
      </w:tr>
      <w:tr w:rsidR="001052B5" w:rsidRPr="009D378C" w14:paraId="6AEEB96D" w14:textId="77777777" w:rsidTr="00A20CA7">
        <w:trPr>
          <w:trHeight w:val="3292"/>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632345AA"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A7G</w:t>
            </w:r>
          </w:p>
        </w:tc>
        <w:tc>
          <w:tcPr>
            <w:tcW w:w="1420" w:type="dxa"/>
            <w:tcBorders>
              <w:top w:val="nil"/>
              <w:left w:val="nil"/>
              <w:bottom w:val="single" w:sz="4" w:space="0" w:color="auto"/>
              <w:right w:val="single" w:sz="4" w:space="0" w:color="auto"/>
            </w:tcBorders>
            <w:shd w:val="clear" w:color="000000" w:fill="C6EFCE"/>
            <w:vAlign w:val="center"/>
            <w:hideMark/>
          </w:tcPr>
          <w:p w14:paraId="5B34878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A1.2.1 Inwestycje dla przedsiębiorstw w produkty, usługi i kompetencje pracowników oraz kadry związane z dywersyfikacją działalności</w:t>
            </w:r>
          </w:p>
        </w:tc>
        <w:tc>
          <w:tcPr>
            <w:tcW w:w="992" w:type="dxa"/>
            <w:tcBorders>
              <w:top w:val="nil"/>
              <w:left w:val="nil"/>
              <w:bottom w:val="single" w:sz="4" w:space="0" w:color="auto"/>
              <w:right w:val="single" w:sz="4" w:space="0" w:color="auto"/>
            </w:tcBorders>
            <w:shd w:val="clear" w:color="000000" w:fill="C6EFCE"/>
            <w:vAlign w:val="center"/>
            <w:hideMark/>
          </w:tcPr>
          <w:p w14:paraId="093FA2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69480B4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Liczba MŚP i mikroprzedsiębiorstw z sektorów </w:t>
            </w:r>
            <w:proofErr w:type="spellStart"/>
            <w:r w:rsidRPr="00316B26">
              <w:rPr>
                <w:rFonts w:ascii="Times New Roman" w:eastAsia="Times New Roman" w:hAnsi="Times New Roman" w:cs="Times New Roman"/>
                <w:sz w:val="18"/>
                <w:szCs w:val="18"/>
                <w:lang w:val="pl-PL" w:eastAsia="pl-PL"/>
              </w:rPr>
              <w:t>HoReCa</w:t>
            </w:r>
            <w:proofErr w:type="spellEnd"/>
            <w:r w:rsidRPr="00316B26">
              <w:rPr>
                <w:rFonts w:ascii="Times New Roman" w:eastAsia="Times New Roman" w:hAnsi="Times New Roman" w:cs="Times New Roman"/>
                <w:sz w:val="18"/>
                <w:szCs w:val="18"/>
                <w:lang w:val="pl-PL" w:eastAsia="pl-PL"/>
              </w:rPr>
              <w:t>, turystyka, kultura, które zmodernizowały swoją działalność gospodarczą</w:t>
            </w:r>
          </w:p>
        </w:tc>
        <w:tc>
          <w:tcPr>
            <w:tcW w:w="1701" w:type="dxa"/>
            <w:tcBorders>
              <w:top w:val="nil"/>
              <w:left w:val="nil"/>
              <w:bottom w:val="single" w:sz="4" w:space="0" w:color="auto"/>
              <w:right w:val="single" w:sz="4" w:space="0" w:color="auto"/>
            </w:tcBorders>
            <w:shd w:val="clear" w:color="000000" w:fill="C6EFCE"/>
            <w:vAlign w:val="center"/>
            <w:hideMark/>
          </w:tcPr>
          <w:p w14:paraId="0BE5025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noWrap/>
            <w:vAlign w:val="center"/>
            <w:hideMark/>
          </w:tcPr>
          <w:p w14:paraId="6B97F79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4001F48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260DEFE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2500</w:t>
            </w:r>
          </w:p>
        </w:tc>
        <w:tc>
          <w:tcPr>
            <w:tcW w:w="851" w:type="dxa"/>
            <w:tcBorders>
              <w:top w:val="nil"/>
              <w:left w:val="nil"/>
              <w:bottom w:val="single" w:sz="4" w:space="0" w:color="auto"/>
              <w:right w:val="single" w:sz="4" w:space="0" w:color="auto"/>
            </w:tcBorders>
            <w:shd w:val="clear" w:color="000000" w:fill="C6EFCE"/>
            <w:vAlign w:val="center"/>
            <w:hideMark/>
          </w:tcPr>
          <w:p w14:paraId="7FBA229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22CF319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2024</w:t>
            </w:r>
          </w:p>
        </w:tc>
        <w:tc>
          <w:tcPr>
            <w:tcW w:w="2977" w:type="dxa"/>
            <w:tcBorders>
              <w:top w:val="nil"/>
              <w:left w:val="nil"/>
              <w:bottom w:val="single" w:sz="4" w:space="0" w:color="auto"/>
              <w:right w:val="single" w:sz="4" w:space="0" w:color="auto"/>
            </w:tcBorders>
            <w:shd w:val="clear" w:color="000000" w:fill="C6EFCE"/>
            <w:vAlign w:val="center"/>
            <w:hideMark/>
          </w:tcPr>
          <w:p w14:paraId="01AD284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Co najmniej 2500 MŚP i mikroprzedsiębiorstw z sektora </w:t>
            </w:r>
            <w:proofErr w:type="spellStart"/>
            <w:r w:rsidRPr="00316B26">
              <w:rPr>
                <w:rFonts w:ascii="Times New Roman" w:eastAsia="Times New Roman" w:hAnsi="Times New Roman" w:cs="Times New Roman"/>
                <w:sz w:val="18"/>
                <w:szCs w:val="18"/>
                <w:lang w:val="pl-PL" w:eastAsia="pl-PL"/>
              </w:rPr>
              <w:t>HoReCa</w:t>
            </w:r>
            <w:proofErr w:type="spellEnd"/>
            <w:r w:rsidRPr="00316B26">
              <w:rPr>
                <w:rFonts w:ascii="Times New Roman" w:eastAsia="Times New Roman" w:hAnsi="Times New Roman" w:cs="Times New Roman"/>
                <w:sz w:val="18"/>
                <w:szCs w:val="18"/>
                <w:lang w:val="pl-PL" w:eastAsia="pl-PL"/>
              </w:rPr>
              <w:t>, kultury i turystyki zrealizowało projekty mające na celu unowocześnienie prowadzonej działalności. Projekty będą obejmować następujące trzy rodzaje działań:</w:t>
            </w:r>
            <w:r w:rsidRPr="00316B26">
              <w:rPr>
                <w:rFonts w:ascii="Times New Roman" w:eastAsia="Times New Roman" w:hAnsi="Times New Roman" w:cs="Times New Roman"/>
                <w:sz w:val="18"/>
                <w:szCs w:val="18"/>
                <w:lang w:val="pl-PL" w:eastAsia="pl-PL"/>
              </w:rPr>
              <w:br/>
              <w:t xml:space="preserve">1) Inwestycje w projektowanie i produkcję ich towarów i usług, takie jak: (i) zakup maszyn i urządzeń niezbędnych do wprowadzenia na rynek nowych produktów/usług; (ii) roboty budowlane, w tym budowa nowych linii produkcyjnych; (iii) inwestycje związane z transformacją ekologiczną, w szczególności w celu zachęcenia do zapobiegania powstawaniu odpadów, recyklingu/ponownego wykorzystania </w:t>
            </w:r>
            <w:r w:rsidRPr="00316B26">
              <w:rPr>
                <w:rFonts w:ascii="Times New Roman" w:eastAsia="Times New Roman" w:hAnsi="Times New Roman" w:cs="Times New Roman"/>
                <w:sz w:val="18"/>
                <w:szCs w:val="18"/>
                <w:lang w:val="pl-PL" w:eastAsia="pl-PL"/>
              </w:rPr>
              <w:lastRenderedPageBreak/>
              <w:t>odpadów oraz wdrażania rozwiązań w zakresie energii odnawialnej;</w:t>
            </w:r>
            <w:r w:rsidRPr="00316B26">
              <w:rPr>
                <w:rFonts w:ascii="Times New Roman" w:eastAsia="Times New Roman" w:hAnsi="Times New Roman" w:cs="Times New Roman"/>
                <w:sz w:val="18"/>
                <w:szCs w:val="18"/>
                <w:lang w:val="pl-PL" w:eastAsia="pl-PL"/>
              </w:rPr>
              <w:br/>
              <w:t>2) Usługi doradcze w zakresie realizacji projektów;</w:t>
            </w:r>
            <w:r w:rsidRPr="00316B26">
              <w:rPr>
                <w:rFonts w:ascii="Times New Roman" w:eastAsia="Times New Roman" w:hAnsi="Times New Roman" w:cs="Times New Roman"/>
                <w:sz w:val="18"/>
                <w:szCs w:val="18"/>
                <w:lang w:val="pl-PL" w:eastAsia="pl-PL"/>
              </w:rPr>
              <w:br/>
              <w:t>3) Podnoszenie kwalifikacji/przekwalifikowanie pracowników poprzez prowadzenie szkoleń z zakresu nowych rozwiązań informatycznych, nowych technologii, analizy potrzeb klientów, zarządzania informacją/danymi oraz zarządzania ryzykiem.</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 xml:space="preserve">Inwestycja zapewni zrównoważoną realizację wszystkich rodzajów projektów opisanych </w:t>
            </w:r>
            <w:proofErr w:type="spellStart"/>
            <w:r w:rsidRPr="00316B26">
              <w:rPr>
                <w:rFonts w:ascii="Times New Roman" w:eastAsia="Times New Roman" w:hAnsi="Times New Roman" w:cs="Times New Roman"/>
                <w:sz w:val="18"/>
                <w:szCs w:val="18"/>
                <w:lang w:val="pl-PL" w:eastAsia="pl-PL"/>
              </w:rPr>
              <w:t>ww</w:t>
            </w:r>
            <w:proofErr w:type="spellEnd"/>
            <w:r w:rsidRPr="00316B26">
              <w:rPr>
                <w:rFonts w:ascii="Times New Roman" w:eastAsia="Times New Roman" w:hAnsi="Times New Roman" w:cs="Times New Roman"/>
                <w:sz w:val="18"/>
                <w:szCs w:val="18"/>
                <w:lang w:val="pl-PL" w:eastAsia="pl-PL"/>
              </w:rPr>
              <w:t xml:space="preserve"> wskaźniku,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Inwestycje w ramach tego środka muszą być w pełni zgodne z wytycznymi technicznymi DNSH (2021/C 58/01).</w:t>
            </w:r>
          </w:p>
        </w:tc>
      </w:tr>
      <w:tr w:rsidR="001052B5" w:rsidRPr="009D378C" w14:paraId="54400E62" w14:textId="77777777" w:rsidTr="00A20CA7">
        <w:trPr>
          <w:trHeight w:val="3402"/>
        </w:trPr>
        <w:tc>
          <w:tcPr>
            <w:tcW w:w="985" w:type="dxa"/>
            <w:tcBorders>
              <w:top w:val="nil"/>
              <w:left w:val="single" w:sz="4" w:space="0" w:color="auto"/>
              <w:bottom w:val="single" w:sz="4" w:space="0" w:color="auto"/>
              <w:right w:val="single" w:sz="4" w:space="0" w:color="auto"/>
            </w:tcBorders>
            <w:shd w:val="clear" w:color="000000" w:fill="C6EFCE"/>
            <w:vAlign w:val="center"/>
            <w:hideMark/>
          </w:tcPr>
          <w:p w14:paraId="634C8D0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lastRenderedPageBreak/>
              <w:t>A8G</w:t>
            </w:r>
          </w:p>
        </w:tc>
        <w:tc>
          <w:tcPr>
            <w:tcW w:w="1420" w:type="dxa"/>
            <w:tcBorders>
              <w:top w:val="nil"/>
              <w:left w:val="nil"/>
              <w:bottom w:val="single" w:sz="4" w:space="0" w:color="auto"/>
              <w:right w:val="single" w:sz="4" w:space="0" w:color="auto"/>
            </w:tcBorders>
            <w:shd w:val="clear" w:color="000000" w:fill="C6EFCE"/>
            <w:vAlign w:val="center"/>
            <w:hideMark/>
          </w:tcPr>
          <w:p w14:paraId="0ACBFF4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A1.2.1 Inwestycje dla przedsiębiorstw w produkty, usługi i kompetencje pracowników oraz kadry związane z dywersyfikacją działalności</w:t>
            </w:r>
          </w:p>
        </w:tc>
        <w:tc>
          <w:tcPr>
            <w:tcW w:w="992" w:type="dxa"/>
            <w:tcBorders>
              <w:top w:val="nil"/>
              <w:left w:val="nil"/>
              <w:bottom w:val="single" w:sz="4" w:space="0" w:color="auto"/>
              <w:right w:val="single" w:sz="4" w:space="0" w:color="auto"/>
            </w:tcBorders>
            <w:shd w:val="clear" w:color="000000" w:fill="C6EFCE"/>
            <w:vAlign w:val="center"/>
            <w:hideMark/>
          </w:tcPr>
          <w:p w14:paraId="4F0CC1D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37757C1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W2 - Liczba MŚP i mikroprzedsiębiorstw z sektorów </w:t>
            </w:r>
            <w:proofErr w:type="spellStart"/>
            <w:r w:rsidRPr="00316B26">
              <w:rPr>
                <w:rFonts w:ascii="Times New Roman" w:eastAsia="Times New Roman" w:hAnsi="Times New Roman" w:cs="Times New Roman"/>
                <w:sz w:val="18"/>
                <w:szCs w:val="18"/>
                <w:lang w:val="pl-PL" w:eastAsia="pl-PL"/>
              </w:rPr>
              <w:t>HoReCa</w:t>
            </w:r>
            <w:proofErr w:type="spellEnd"/>
            <w:r w:rsidRPr="00316B26">
              <w:rPr>
                <w:rFonts w:ascii="Times New Roman" w:eastAsia="Times New Roman" w:hAnsi="Times New Roman" w:cs="Times New Roman"/>
                <w:sz w:val="18"/>
                <w:szCs w:val="18"/>
                <w:lang w:val="pl-PL" w:eastAsia="pl-PL"/>
              </w:rPr>
              <w:t>, turystyka, kultura, które zmodernizowały swoją działalność gospodarczą</w:t>
            </w:r>
          </w:p>
        </w:tc>
        <w:tc>
          <w:tcPr>
            <w:tcW w:w="1701" w:type="dxa"/>
            <w:tcBorders>
              <w:top w:val="nil"/>
              <w:left w:val="nil"/>
              <w:bottom w:val="single" w:sz="4" w:space="0" w:color="auto"/>
              <w:right w:val="single" w:sz="4" w:space="0" w:color="auto"/>
            </w:tcBorders>
            <w:shd w:val="clear" w:color="000000" w:fill="C6EFCE"/>
            <w:vAlign w:val="center"/>
            <w:hideMark/>
          </w:tcPr>
          <w:p w14:paraId="3127866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45B1E4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46A4E72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2500</w:t>
            </w:r>
          </w:p>
        </w:tc>
        <w:tc>
          <w:tcPr>
            <w:tcW w:w="1134" w:type="dxa"/>
            <w:tcBorders>
              <w:top w:val="nil"/>
              <w:left w:val="nil"/>
              <w:bottom w:val="single" w:sz="4" w:space="0" w:color="auto"/>
              <w:right w:val="single" w:sz="4" w:space="0" w:color="auto"/>
            </w:tcBorders>
            <w:shd w:val="clear" w:color="000000" w:fill="C6EFCE"/>
            <w:vAlign w:val="center"/>
            <w:hideMark/>
          </w:tcPr>
          <w:p w14:paraId="3F45865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5000</w:t>
            </w:r>
          </w:p>
        </w:tc>
        <w:tc>
          <w:tcPr>
            <w:tcW w:w="851" w:type="dxa"/>
            <w:tcBorders>
              <w:top w:val="nil"/>
              <w:left w:val="nil"/>
              <w:bottom w:val="single" w:sz="4" w:space="0" w:color="auto"/>
              <w:right w:val="single" w:sz="4" w:space="0" w:color="auto"/>
            </w:tcBorders>
            <w:shd w:val="clear" w:color="000000" w:fill="C6EFCE"/>
            <w:vAlign w:val="center"/>
            <w:hideMark/>
          </w:tcPr>
          <w:p w14:paraId="693F54A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3DA05CF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2026</w:t>
            </w:r>
          </w:p>
        </w:tc>
        <w:tc>
          <w:tcPr>
            <w:tcW w:w="2977" w:type="dxa"/>
            <w:tcBorders>
              <w:top w:val="nil"/>
              <w:left w:val="nil"/>
              <w:bottom w:val="single" w:sz="4" w:space="0" w:color="auto"/>
              <w:right w:val="single" w:sz="4" w:space="0" w:color="auto"/>
            </w:tcBorders>
            <w:shd w:val="clear" w:color="000000" w:fill="C6EFCE"/>
            <w:vAlign w:val="center"/>
            <w:hideMark/>
          </w:tcPr>
          <w:p w14:paraId="4C1B740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Co najmniej 5000 MŚP i mikroprzedsiębiorstw z sektora </w:t>
            </w:r>
            <w:proofErr w:type="spellStart"/>
            <w:r w:rsidRPr="00316B26">
              <w:rPr>
                <w:rFonts w:ascii="Times New Roman" w:eastAsia="Times New Roman" w:hAnsi="Times New Roman" w:cs="Times New Roman"/>
                <w:sz w:val="18"/>
                <w:szCs w:val="18"/>
                <w:lang w:val="pl-PL" w:eastAsia="pl-PL"/>
              </w:rPr>
              <w:t>HoReCa</w:t>
            </w:r>
            <w:proofErr w:type="spellEnd"/>
            <w:r w:rsidRPr="00316B26">
              <w:rPr>
                <w:rFonts w:ascii="Times New Roman" w:eastAsia="Times New Roman" w:hAnsi="Times New Roman" w:cs="Times New Roman"/>
                <w:sz w:val="18"/>
                <w:szCs w:val="18"/>
                <w:lang w:val="pl-PL" w:eastAsia="pl-PL"/>
              </w:rPr>
              <w:t>, kultury i turystyki zrealizowało projekty mające na celu unowocześnienie prowadzonej działalności. Projekty będą obejmować następujące trzy rodzaje działań:</w:t>
            </w:r>
            <w:r w:rsidRPr="00316B26">
              <w:rPr>
                <w:rFonts w:ascii="Times New Roman" w:eastAsia="Times New Roman" w:hAnsi="Times New Roman" w:cs="Times New Roman"/>
                <w:sz w:val="18"/>
                <w:szCs w:val="18"/>
                <w:lang w:val="pl-PL" w:eastAsia="pl-PL"/>
              </w:rPr>
              <w:br/>
              <w:t>1) Inwestycje w projektowanie i produkcję ich towarów i usług, takie jak: (i) zakup maszyn i urządzeń niezbędnych do wprowadzenia na rynek nowych produktów/usług; (ii) roboty budowlane, w tym budowa nowych linii produkcyjnych; (iii) inwestycje związane z transformacją ekologiczną, w szczególności w celu zachęcenia do zapobiegania powstawaniu odpadów, recyklingu/ponownego wykorzystania odpadów oraz wdrażania rozwiązań w zakresie energii odnawialnej;</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lastRenderedPageBreak/>
              <w:t>2) Usługi doradcze w zakresie realizacji projektów;</w:t>
            </w:r>
            <w:r w:rsidRPr="00316B26">
              <w:rPr>
                <w:rFonts w:ascii="Times New Roman" w:eastAsia="Times New Roman" w:hAnsi="Times New Roman" w:cs="Times New Roman"/>
                <w:sz w:val="18"/>
                <w:szCs w:val="18"/>
                <w:lang w:val="pl-PL" w:eastAsia="pl-PL"/>
              </w:rPr>
              <w:br/>
              <w:t>3) Podnoszenie kwalifikacji/przekwalifikowanie pracowników poprzez prowadzenie szkoleń z zakresu nowych rozwiązań informatycznych, nowych technologii, analizy potrzeb klientów, zarządzania informacją/danymi oraz zarządzania ryzykiem.</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we wskaźniku,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Inwestycje w ramach tego środka muszą być w pełni zgodne z wytycznymi technicznymi DNSH (2021/C 58/01).</w:t>
            </w:r>
          </w:p>
        </w:tc>
      </w:tr>
      <w:tr w:rsidR="001052B5" w:rsidRPr="009D378C" w14:paraId="41628631" w14:textId="77777777" w:rsidTr="00A20CA7">
        <w:trPr>
          <w:trHeight w:val="5985"/>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3874A283"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A9G</w:t>
            </w:r>
          </w:p>
        </w:tc>
        <w:tc>
          <w:tcPr>
            <w:tcW w:w="1420" w:type="dxa"/>
            <w:tcBorders>
              <w:top w:val="nil"/>
              <w:left w:val="nil"/>
              <w:bottom w:val="single" w:sz="4" w:space="0" w:color="auto"/>
              <w:right w:val="single" w:sz="4" w:space="0" w:color="auto"/>
            </w:tcBorders>
            <w:shd w:val="clear" w:color="000000" w:fill="C6EFCE"/>
            <w:vAlign w:val="center"/>
            <w:hideMark/>
          </w:tcPr>
          <w:p w14:paraId="6D8B5E6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A1.2.2 Wsparcie przygotowania terenów inwestycyjnych pod potrzeby inwestycji o kluczowym znaczeniu dla gospodarki </w:t>
            </w:r>
          </w:p>
        </w:tc>
        <w:tc>
          <w:tcPr>
            <w:tcW w:w="992" w:type="dxa"/>
            <w:tcBorders>
              <w:top w:val="nil"/>
              <w:left w:val="nil"/>
              <w:bottom w:val="single" w:sz="4" w:space="0" w:color="auto"/>
              <w:right w:val="single" w:sz="4" w:space="0" w:color="auto"/>
            </w:tcBorders>
            <w:shd w:val="clear" w:color="000000" w:fill="C6EFCE"/>
            <w:vAlign w:val="center"/>
            <w:hideMark/>
          </w:tcPr>
          <w:p w14:paraId="16B21F1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4A60794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Przyjęcie ostatecznego wyboru terenów inwestycyjnych do przygotowania </w:t>
            </w:r>
          </w:p>
        </w:tc>
        <w:tc>
          <w:tcPr>
            <w:tcW w:w="1701" w:type="dxa"/>
            <w:tcBorders>
              <w:top w:val="nil"/>
              <w:left w:val="nil"/>
              <w:bottom w:val="single" w:sz="4" w:space="0" w:color="auto"/>
              <w:right w:val="single" w:sz="4" w:space="0" w:color="auto"/>
            </w:tcBorders>
            <w:shd w:val="clear" w:color="000000" w:fill="C6EFCE"/>
            <w:vAlign w:val="center"/>
            <w:hideMark/>
          </w:tcPr>
          <w:p w14:paraId="72192ED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                                         </w:t>
            </w:r>
          </w:p>
        </w:tc>
        <w:tc>
          <w:tcPr>
            <w:tcW w:w="1134" w:type="dxa"/>
            <w:tcBorders>
              <w:top w:val="nil"/>
              <w:left w:val="nil"/>
              <w:bottom w:val="single" w:sz="4" w:space="0" w:color="auto"/>
              <w:right w:val="single" w:sz="4" w:space="0" w:color="auto"/>
            </w:tcBorders>
            <w:shd w:val="clear" w:color="000000" w:fill="C6EFCE"/>
            <w:vAlign w:val="center"/>
            <w:hideMark/>
          </w:tcPr>
          <w:p w14:paraId="4B26179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0F62D11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CFC612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59271FE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4CFFD6D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452EDBDA" w14:textId="3B140A1A" w:rsidR="00267240" w:rsidRDefault="00267240" w:rsidP="00A20CA7">
            <w:pPr>
              <w:spacing w:after="0" w:line="240" w:lineRule="auto"/>
              <w:rPr>
                <w:rFonts w:ascii="Times New Roman" w:eastAsia="Times New Roman" w:hAnsi="Times New Roman" w:cs="Times New Roman"/>
                <w:sz w:val="18"/>
                <w:szCs w:val="18"/>
                <w:lang w:val="pl-PL" w:eastAsia="pl-PL"/>
              </w:rPr>
            </w:pPr>
            <w:r w:rsidRPr="00267240">
              <w:rPr>
                <w:rFonts w:ascii="Times New Roman" w:eastAsia="Times New Roman" w:hAnsi="Times New Roman" w:cs="Times New Roman"/>
                <w:sz w:val="18"/>
                <w:szCs w:val="18"/>
                <w:lang w:val="pl-PL" w:eastAsia="pl-PL"/>
              </w:rPr>
              <w:t xml:space="preserve">Przyjęcie ostatecznego wyboru obszarów inwestycyjnych, które </w:t>
            </w:r>
            <w:r>
              <w:rPr>
                <w:rFonts w:ascii="Times New Roman" w:eastAsia="Times New Roman" w:hAnsi="Times New Roman" w:cs="Times New Roman"/>
                <w:sz w:val="18"/>
                <w:szCs w:val="18"/>
                <w:lang w:val="pl-PL" w:eastAsia="pl-PL"/>
              </w:rPr>
              <w:t>będą rozwijane</w:t>
            </w:r>
            <w:r w:rsidRPr="00267240">
              <w:rPr>
                <w:rFonts w:ascii="Times New Roman" w:eastAsia="Times New Roman" w:hAnsi="Times New Roman" w:cs="Times New Roman"/>
                <w:sz w:val="18"/>
                <w:szCs w:val="18"/>
                <w:lang w:val="pl-PL" w:eastAsia="pl-PL"/>
              </w:rPr>
              <w:t>.</w:t>
            </w:r>
          </w:p>
          <w:p w14:paraId="79B2DB80" w14:textId="77777777" w:rsidR="005A254E" w:rsidRPr="005A254E" w:rsidRDefault="001052B5" w:rsidP="005A254E">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Wsparcie w ramach tej inwestycji składać się będzie z:</w:t>
            </w:r>
            <w:r w:rsidRPr="00316B26">
              <w:rPr>
                <w:rFonts w:ascii="Times New Roman" w:eastAsia="Times New Roman" w:hAnsi="Times New Roman" w:cs="Times New Roman"/>
                <w:sz w:val="18"/>
                <w:szCs w:val="18"/>
                <w:lang w:val="pl-PL" w:eastAsia="pl-PL"/>
              </w:rPr>
              <w:br/>
              <w:t>1) Zapewnienie środków na scalanie gruntów, w tym wyjątkowo na zakup gruntów;</w:t>
            </w:r>
            <w:r w:rsidRPr="00316B26">
              <w:rPr>
                <w:rFonts w:ascii="Times New Roman" w:eastAsia="Times New Roman" w:hAnsi="Times New Roman" w:cs="Times New Roman"/>
                <w:sz w:val="18"/>
                <w:szCs w:val="18"/>
                <w:lang w:val="pl-PL" w:eastAsia="pl-PL"/>
              </w:rPr>
              <w:br/>
              <w:t>2) Zapewnienie środków na budowę niezbędnej infrastruktury, w tym budowę obiektów produkcyjnych i magazynowych oraz infrastruktury mediów (m.in. woda, gaz, energia);</w:t>
            </w:r>
            <w:r w:rsidRPr="00316B26">
              <w:rPr>
                <w:rFonts w:ascii="Times New Roman" w:eastAsia="Times New Roman" w:hAnsi="Times New Roman" w:cs="Times New Roman"/>
                <w:sz w:val="18"/>
                <w:szCs w:val="18"/>
                <w:lang w:val="pl-PL" w:eastAsia="pl-PL"/>
              </w:rPr>
              <w:br/>
              <w:t>3) Zapewnienie wsparcia technicznego władzom lokalnym i regionalnym.</w:t>
            </w:r>
            <w:r w:rsidRPr="00316B26">
              <w:rPr>
                <w:rFonts w:ascii="Times New Roman" w:eastAsia="Times New Roman" w:hAnsi="Times New Roman" w:cs="Times New Roman"/>
                <w:sz w:val="18"/>
                <w:szCs w:val="18"/>
                <w:lang w:val="pl-PL" w:eastAsia="pl-PL"/>
              </w:rPr>
              <w:br/>
              <w:t>Za przygotowanie kryteriów odpowiada Ministerstwo Rozwoju i Technologii.</w:t>
            </w:r>
            <w:r w:rsidRPr="00316B26">
              <w:rPr>
                <w:rFonts w:ascii="Times New Roman" w:eastAsia="Times New Roman" w:hAnsi="Times New Roman" w:cs="Times New Roman"/>
                <w:sz w:val="18"/>
                <w:szCs w:val="18"/>
                <w:lang w:val="pl-PL" w:eastAsia="pl-PL"/>
              </w:rPr>
              <w:br/>
              <w:t>Przy tworzeniu kryteriów uwzględnia się następujące warunki:</w:t>
            </w:r>
            <w:r w:rsidRPr="00316B26">
              <w:rPr>
                <w:rFonts w:ascii="Times New Roman" w:eastAsia="Times New Roman" w:hAnsi="Times New Roman" w:cs="Times New Roman"/>
                <w:sz w:val="18"/>
                <w:szCs w:val="18"/>
                <w:lang w:val="pl-PL" w:eastAsia="pl-PL"/>
              </w:rPr>
              <w:br/>
              <w:t>a) preferowane są tereny inwestycyjne znajdujące się w regionach najbardziej dotkniętych pandemią COVID-19, co określa się na podstawie wzrostu stopy bezrobocia w 2020 r. oraz spadku produktu krajowego brutto w 2020 r.;</w:t>
            </w:r>
            <w:r w:rsidRPr="00316B26">
              <w:rPr>
                <w:rFonts w:ascii="Times New Roman" w:eastAsia="Times New Roman" w:hAnsi="Times New Roman" w:cs="Times New Roman"/>
                <w:sz w:val="18"/>
                <w:szCs w:val="18"/>
                <w:lang w:val="pl-PL" w:eastAsia="pl-PL"/>
              </w:rPr>
              <w:br/>
              <w:t>b) preferowane są tereny inwestycyjne, które znajdują się w regionach najsłabiej rozwiniętych, co określa się na podstawie poziomu produktu krajowego brutto na mieszkańca w 2019 r. (niższy PKB na mieszkańca oznacza słabiej rozwinięty) oraz stopy bezrobocia w 2019 r. (wyższa stopa bezrobocia oznacza słabiej rozwinięty);</w:t>
            </w:r>
            <w:r w:rsidRPr="00316B26">
              <w:rPr>
                <w:rFonts w:ascii="Times New Roman" w:eastAsia="Times New Roman" w:hAnsi="Times New Roman" w:cs="Times New Roman"/>
                <w:sz w:val="18"/>
                <w:szCs w:val="18"/>
                <w:lang w:val="pl-PL" w:eastAsia="pl-PL"/>
              </w:rPr>
              <w:br/>
              <w:t>c) preferowane są obszary położone w regionach o największych potrzebach inwestycyjnych w zakresie środowiska i klimatu;</w:t>
            </w:r>
            <w:r w:rsidRPr="00316B26">
              <w:rPr>
                <w:rFonts w:ascii="Times New Roman" w:eastAsia="Times New Roman" w:hAnsi="Times New Roman" w:cs="Times New Roman"/>
                <w:sz w:val="18"/>
                <w:szCs w:val="18"/>
                <w:lang w:val="pl-PL" w:eastAsia="pl-PL"/>
              </w:rPr>
              <w:br/>
              <w:t>d) preferowane są projekty o najwyższym poziomie dojrzałości.</w:t>
            </w:r>
            <w:r w:rsidRPr="00316B26">
              <w:rPr>
                <w:rFonts w:ascii="Times New Roman" w:eastAsia="Times New Roman" w:hAnsi="Times New Roman" w:cs="Times New Roman"/>
                <w:sz w:val="18"/>
                <w:szCs w:val="18"/>
                <w:lang w:val="pl-PL" w:eastAsia="pl-PL"/>
              </w:rPr>
              <w:br/>
              <w:t>Kryteria te są zgodne z zasadami przejrzystości i niedyskryminacji.</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lastRenderedPageBreak/>
              <w:t xml:space="preserve">Środek należy wdrożyć w pełnej zgodności z Wytycznymi technicznymi DNSH (2021/C 58/01). W szczególności należy zapewnić zgodność wspieranych inwestycji z art. 6 ust. 3 i art. 12 dyrektywy siedliskowej oraz art. 5 dyrektywy ptasiej oraz, w razie potrzeby, należy przeprowadzić ocenę oddziaływania na środowisko (OOŚ) lub z dyrektywą OOŚ. Wszystkie projekty inwestycyjne finansowane w ramach tego komponentu, które wymagają decyzji OOŚ, muszą być zgodne z dyrektywą 2011/92/UE zmienioną dyrektywą 2014/52/UE. W szczególności wszystkie nowe przedsięwzięcia wymagające przeprowadzenia OOŚ będą dopuszczone na podstawie nowej ustawy z dnia 30 marca 2021 r. o zmianie ustawy o udostępnianiu informacji o środowisku i jego ochronie, udziale społeczeństwa w ochronie środowiska oraz o ocenach oddziaływania na środowisko oraz niektórych innych ustaw. </w:t>
            </w:r>
            <w:r w:rsidR="005A254E" w:rsidRPr="005A254E">
              <w:rPr>
                <w:rFonts w:ascii="Times New Roman" w:eastAsia="Times New Roman" w:hAnsi="Times New Roman" w:cs="Times New Roman"/>
                <w:sz w:val="18"/>
                <w:szCs w:val="18"/>
                <w:lang w:val="pl-PL" w:eastAsia="pl-PL"/>
              </w:rPr>
              <w:t>Przepisy "Wytycznych w sprawie działań naprawczych dla projektów współfinansowanych z funduszy UE, których dotyczy naruszenie 2016/2046", przekazanych Polsce w dniu 23 lutego 2021 r. (sygn. Ares(2021)1423319), stosuje się do uwzględnienia przy realizacji wszystkich przedsięwzięć inwestycyjnych, dla których wystąpiono o wydanie decyzji o środowiskowych uwarunkowaniach lub pozwolenia na budowę lub zagospodarowania terenu przed wejściem w życie ustawy z dnia 30 marca 2021 r.</w:t>
            </w:r>
          </w:p>
          <w:p w14:paraId="5D9BB5E9" w14:textId="77777777" w:rsidR="005A254E" w:rsidRPr="005A254E" w:rsidRDefault="005A254E" w:rsidP="005A254E">
            <w:pPr>
              <w:spacing w:after="0" w:line="240" w:lineRule="auto"/>
              <w:rPr>
                <w:rFonts w:ascii="Times New Roman" w:eastAsia="Times New Roman" w:hAnsi="Times New Roman" w:cs="Times New Roman"/>
                <w:sz w:val="18"/>
                <w:szCs w:val="18"/>
                <w:lang w:val="pl-PL" w:eastAsia="pl-PL"/>
              </w:rPr>
            </w:pPr>
          </w:p>
          <w:p w14:paraId="0DE265A8" w14:textId="528DED5D" w:rsidR="001052B5" w:rsidRPr="00316B26" w:rsidRDefault="001052B5" w:rsidP="005A254E">
            <w:pPr>
              <w:spacing w:after="0" w:line="240" w:lineRule="auto"/>
              <w:rPr>
                <w:rFonts w:ascii="Times New Roman" w:eastAsia="Times New Roman" w:hAnsi="Times New Roman" w:cs="Times New Roman"/>
                <w:sz w:val="18"/>
                <w:szCs w:val="18"/>
                <w:lang w:val="pl-PL" w:eastAsia="pl-PL"/>
              </w:rPr>
            </w:pPr>
          </w:p>
        </w:tc>
      </w:tr>
      <w:tr w:rsidR="001052B5" w:rsidRPr="009D378C" w14:paraId="5605CE9E" w14:textId="77777777" w:rsidTr="00A20CA7">
        <w:trPr>
          <w:trHeight w:val="15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7BC2ED6C"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A10G</w:t>
            </w:r>
          </w:p>
        </w:tc>
        <w:tc>
          <w:tcPr>
            <w:tcW w:w="1420" w:type="dxa"/>
            <w:tcBorders>
              <w:top w:val="nil"/>
              <w:left w:val="nil"/>
              <w:bottom w:val="single" w:sz="4" w:space="0" w:color="auto"/>
              <w:right w:val="single" w:sz="4" w:space="0" w:color="auto"/>
            </w:tcBorders>
            <w:shd w:val="clear" w:color="000000" w:fill="C6EFCE"/>
            <w:vAlign w:val="center"/>
            <w:hideMark/>
          </w:tcPr>
          <w:p w14:paraId="001B50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A1.2.2 Wsparcie przygotowania terenów inwestycyjnych pod potrzeby inwestycji o kluczowym znaczeniu dla gospodarki </w:t>
            </w:r>
          </w:p>
        </w:tc>
        <w:tc>
          <w:tcPr>
            <w:tcW w:w="992" w:type="dxa"/>
            <w:tcBorders>
              <w:top w:val="nil"/>
              <w:left w:val="nil"/>
              <w:bottom w:val="single" w:sz="4" w:space="0" w:color="auto"/>
              <w:right w:val="single" w:sz="4" w:space="0" w:color="auto"/>
            </w:tcBorders>
            <w:shd w:val="clear" w:color="000000" w:fill="C6EFCE"/>
            <w:vAlign w:val="center"/>
            <w:hideMark/>
          </w:tcPr>
          <w:p w14:paraId="32EA54A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62BF1ED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W1 - Hektary uzbrojonych terenów inwestycyjnych</w:t>
            </w:r>
          </w:p>
        </w:tc>
        <w:tc>
          <w:tcPr>
            <w:tcW w:w="1701" w:type="dxa"/>
            <w:tcBorders>
              <w:top w:val="nil"/>
              <w:left w:val="nil"/>
              <w:bottom w:val="single" w:sz="4" w:space="0" w:color="auto"/>
              <w:right w:val="single" w:sz="4" w:space="0" w:color="auto"/>
            </w:tcBorders>
            <w:shd w:val="clear" w:color="000000" w:fill="C6EFCE"/>
            <w:vAlign w:val="center"/>
            <w:hideMark/>
          </w:tcPr>
          <w:p w14:paraId="590F8DA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44BA0E3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30BF556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14860</w:t>
            </w:r>
          </w:p>
        </w:tc>
        <w:tc>
          <w:tcPr>
            <w:tcW w:w="1134" w:type="dxa"/>
            <w:tcBorders>
              <w:top w:val="nil"/>
              <w:left w:val="nil"/>
              <w:bottom w:val="single" w:sz="4" w:space="0" w:color="auto"/>
              <w:right w:val="single" w:sz="4" w:space="0" w:color="auto"/>
            </w:tcBorders>
            <w:shd w:val="clear" w:color="000000" w:fill="C6EFCE"/>
            <w:vAlign w:val="center"/>
            <w:hideMark/>
          </w:tcPr>
          <w:p w14:paraId="373D187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17660</w:t>
            </w:r>
          </w:p>
        </w:tc>
        <w:tc>
          <w:tcPr>
            <w:tcW w:w="851" w:type="dxa"/>
            <w:tcBorders>
              <w:top w:val="nil"/>
              <w:left w:val="nil"/>
              <w:bottom w:val="single" w:sz="4" w:space="0" w:color="auto"/>
              <w:right w:val="single" w:sz="4" w:space="0" w:color="auto"/>
            </w:tcBorders>
            <w:shd w:val="clear" w:color="000000" w:fill="C6EFCE"/>
            <w:vAlign w:val="center"/>
            <w:hideMark/>
          </w:tcPr>
          <w:p w14:paraId="3DDFFC8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54E7671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2023</w:t>
            </w:r>
          </w:p>
        </w:tc>
        <w:tc>
          <w:tcPr>
            <w:tcW w:w="2977" w:type="dxa"/>
            <w:tcBorders>
              <w:top w:val="nil"/>
              <w:left w:val="nil"/>
              <w:bottom w:val="single" w:sz="4" w:space="0" w:color="auto"/>
              <w:right w:val="single" w:sz="4" w:space="0" w:color="auto"/>
            </w:tcBorders>
            <w:shd w:val="clear" w:color="000000" w:fill="C6EFCE"/>
            <w:vAlign w:val="center"/>
            <w:hideMark/>
          </w:tcPr>
          <w:p w14:paraId="4C6B937C" w14:textId="07C5522B"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17660 ha czynnych terenów inwestycyjnych w Polsce (2</w:t>
            </w:r>
            <w:r w:rsidR="00E81501">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800 nowych ha).</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 xml:space="preserve">Budowa terenów inwestycyjnych powinna zawierać szczegółowe kryteria wyboru w celu zapewnienia zgodności z Wytycznymi technicznymi „Nie wyrządzać znaczącej szkody” (2021/C 58/01) poprzez zastosowanie listy </w:t>
            </w:r>
            <w:proofErr w:type="spellStart"/>
            <w:r w:rsidRPr="00316B26">
              <w:rPr>
                <w:rFonts w:ascii="Times New Roman" w:eastAsia="Times New Roman" w:hAnsi="Times New Roman" w:cs="Times New Roman"/>
                <w:sz w:val="18"/>
                <w:szCs w:val="18"/>
                <w:lang w:val="pl-PL" w:eastAsia="pl-PL"/>
              </w:rPr>
              <w:t>wykluczeń</w:t>
            </w:r>
            <w:proofErr w:type="spellEnd"/>
            <w:r w:rsidRPr="00316B26">
              <w:rPr>
                <w:rFonts w:ascii="Times New Roman" w:eastAsia="Times New Roman" w:hAnsi="Times New Roman" w:cs="Times New Roman"/>
                <w:sz w:val="18"/>
                <w:szCs w:val="18"/>
                <w:lang w:val="pl-PL" w:eastAsia="pl-PL"/>
              </w:rPr>
              <w:t>.</w:t>
            </w:r>
          </w:p>
        </w:tc>
      </w:tr>
      <w:tr w:rsidR="001052B5" w:rsidRPr="009D378C" w14:paraId="631CD573" w14:textId="77777777" w:rsidTr="00A20CA7">
        <w:trPr>
          <w:trHeight w:val="15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37D463AF"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A11G</w:t>
            </w:r>
          </w:p>
        </w:tc>
        <w:tc>
          <w:tcPr>
            <w:tcW w:w="1420" w:type="dxa"/>
            <w:tcBorders>
              <w:top w:val="nil"/>
              <w:left w:val="nil"/>
              <w:bottom w:val="single" w:sz="4" w:space="0" w:color="auto"/>
              <w:right w:val="single" w:sz="4" w:space="0" w:color="auto"/>
            </w:tcBorders>
            <w:shd w:val="clear" w:color="000000" w:fill="C6EFCE"/>
            <w:vAlign w:val="center"/>
            <w:hideMark/>
          </w:tcPr>
          <w:p w14:paraId="6A00F3B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A1.2.2 Wsparcie przygotowania terenów inwestycyjnych pod potrzeby inwestycji o kluczowym znaczeniu dla gospodarki </w:t>
            </w:r>
          </w:p>
        </w:tc>
        <w:tc>
          <w:tcPr>
            <w:tcW w:w="992" w:type="dxa"/>
            <w:tcBorders>
              <w:top w:val="nil"/>
              <w:left w:val="nil"/>
              <w:bottom w:val="single" w:sz="4" w:space="0" w:color="auto"/>
              <w:right w:val="single" w:sz="4" w:space="0" w:color="auto"/>
            </w:tcBorders>
            <w:shd w:val="clear" w:color="000000" w:fill="C6EFCE"/>
            <w:vAlign w:val="center"/>
            <w:hideMark/>
          </w:tcPr>
          <w:p w14:paraId="41925D5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2714A73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W2 - Hektary uzbrojonych terenów inwestycyjnych</w:t>
            </w:r>
          </w:p>
        </w:tc>
        <w:tc>
          <w:tcPr>
            <w:tcW w:w="1701" w:type="dxa"/>
            <w:tcBorders>
              <w:top w:val="nil"/>
              <w:left w:val="nil"/>
              <w:bottom w:val="single" w:sz="4" w:space="0" w:color="auto"/>
              <w:right w:val="single" w:sz="4" w:space="0" w:color="auto"/>
            </w:tcBorders>
            <w:shd w:val="clear" w:color="000000" w:fill="C6EFCE"/>
            <w:vAlign w:val="center"/>
            <w:hideMark/>
          </w:tcPr>
          <w:p w14:paraId="5E60523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303F8C6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10FB407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17660</w:t>
            </w:r>
          </w:p>
        </w:tc>
        <w:tc>
          <w:tcPr>
            <w:tcW w:w="1134" w:type="dxa"/>
            <w:tcBorders>
              <w:top w:val="nil"/>
              <w:left w:val="nil"/>
              <w:bottom w:val="single" w:sz="4" w:space="0" w:color="auto"/>
              <w:right w:val="single" w:sz="4" w:space="0" w:color="auto"/>
            </w:tcBorders>
            <w:shd w:val="clear" w:color="000000" w:fill="C6EFCE"/>
            <w:vAlign w:val="center"/>
            <w:hideMark/>
          </w:tcPr>
          <w:p w14:paraId="11E5BDC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19060</w:t>
            </w:r>
          </w:p>
        </w:tc>
        <w:tc>
          <w:tcPr>
            <w:tcW w:w="851" w:type="dxa"/>
            <w:tcBorders>
              <w:top w:val="nil"/>
              <w:left w:val="nil"/>
              <w:bottom w:val="single" w:sz="4" w:space="0" w:color="auto"/>
              <w:right w:val="single" w:sz="4" w:space="0" w:color="auto"/>
            </w:tcBorders>
            <w:shd w:val="clear" w:color="000000" w:fill="C6EFCE"/>
            <w:vAlign w:val="center"/>
            <w:hideMark/>
          </w:tcPr>
          <w:p w14:paraId="35AF126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1861C45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79B65662" w14:textId="40280AAA"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w:t>
            </w:r>
            <w:r w:rsidR="00E81501">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9060 ha czynnych terenów inwestycyjnych w Polsce (4</w:t>
            </w:r>
            <w:r w:rsidR="00E81501">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200 nowych ha).</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 xml:space="preserve">Budowa terenów inwestycyjnych powinna zawierać szczegółowe kryteria wyboru w celu zapewnienia zgodności z Wytycznymi technicznymi „Nie wyrządzać znaczącej szkody” (2021/C 58/01) poprzez zastosowanie listy </w:t>
            </w:r>
            <w:proofErr w:type="spellStart"/>
            <w:r w:rsidRPr="00316B26">
              <w:rPr>
                <w:rFonts w:ascii="Times New Roman" w:eastAsia="Times New Roman" w:hAnsi="Times New Roman" w:cs="Times New Roman"/>
                <w:sz w:val="18"/>
                <w:szCs w:val="18"/>
                <w:lang w:val="pl-PL" w:eastAsia="pl-PL"/>
              </w:rPr>
              <w:t>wykluczeń</w:t>
            </w:r>
            <w:proofErr w:type="spellEnd"/>
            <w:r w:rsidRPr="00316B26">
              <w:rPr>
                <w:rFonts w:ascii="Times New Roman" w:eastAsia="Times New Roman" w:hAnsi="Times New Roman" w:cs="Times New Roman"/>
                <w:sz w:val="18"/>
                <w:szCs w:val="18"/>
                <w:lang w:val="pl-PL" w:eastAsia="pl-PL"/>
              </w:rPr>
              <w:t>.</w:t>
            </w:r>
          </w:p>
        </w:tc>
      </w:tr>
      <w:tr w:rsidR="001052B5" w:rsidRPr="009D378C" w14:paraId="1EE74470" w14:textId="77777777" w:rsidTr="00A20CA7">
        <w:trPr>
          <w:trHeight w:val="1733"/>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643593B0"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A12G</w:t>
            </w:r>
          </w:p>
        </w:tc>
        <w:tc>
          <w:tcPr>
            <w:tcW w:w="1420" w:type="dxa"/>
            <w:tcBorders>
              <w:top w:val="nil"/>
              <w:left w:val="nil"/>
              <w:bottom w:val="single" w:sz="4" w:space="0" w:color="auto"/>
              <w:right w:val="single" w:sz="4" w:space="0" w:color="auto"/>
            </w:tcBorders>
            <w:shd w:val="clear" w:color="000000" w:fill="C6EFCE"/>
            <w:vAlign w:val="center"/>
            <w:hideMark/>
          </w:tcPr>
          <w:p w14:paraId="766FAAE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 Reforma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34FBD28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3BC78B6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Wejście w życie nowej  ustawy o planowaniu i zagospodarowaniu przestrzennym </w:t>
            </w:r>
          </w:p>
        </w:tc>
        <w:tc>
          <w:tcPr>
            <w:tcW w:w="1701" w:type="dxa"/>
            <w:tcBorders>
              <w:top w:val="nil"/>
              <w:left w:val="nil"/>
              <w:bottom w:val="single" w:sz="4" w:space="0" w:color="auto"/>
              <w:right w:val="single" w:sz="4" w:space="0" w:color="auto"/>
            </w:tcBorders>
            <w:shd w:val="clear" w:color="000000" w:fill="C6EFCE"/>
            <w:vAlign w:val="center"/>
            <w:hideMark/>
          </w:tcPr>
          <w:p w14:paraId="713D02B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ustawy o planowaniu i zagospodarowaniu przestrzennym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4C9E9ED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7C4189E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795377C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1226A44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6F79C87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2023</w:t>
            </w:r>
          </w:p>
        </w:tc>
        <w:tc>
          <w:tcPr>
            <w:tcW w:w="2977" w:type="dxa"/>
            <w:tcBorders>
              <w:top w:val="nil"/>
              <w:left w:val="nil"/>
              <w:bottom w:val="single" w:sz="4" w:space="0" w:color="auto"/>
              <w:right w:val="single" w:sz="4" w:space="0" w:color="auto"/>
            </w:tcBorders>
            <w:shd w:val="clear" w:color="000000" w:fill="C6EFCE"/>
            <w:vAlign w:val="center"/>
            <w:hideMark/>
          </w:tcPr>
          <w:p w14:paraId="2E0C09F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Po przeprowadzeniu konsultacji społecznych, wejście w życie nowej ustawy o planowaniu przestrzennym, która:</w:t>
            </w:r>
            <w:r w:rsidRPr="00316B26">
              <w:rPr>
                <w:rFonts w:ascii="Times New Roman" w:eastAsia="Times New Roman" w:hAnsi="Times New Roman" w:cs="Times New Roman"/>
                <w:sz w:val="18"/>
                <w:szCs w:val="18"/>
                <w:lang w:val="pl-PL" w:eastAsia="pl-PL"/>
              </w:rPr>
              <w:br/>
              <w:t>1) wprowadzi wymóg przygotowania i przyjęcia przez wszystkie gminy długoterminowej strategii związanej z zagospodarowaniem przestrzennym w gminie;</w:t>
            </w:r>
            <w:r w:rsidRPr="00316B26">
              <w:rPr>
                <w:rFonts w:ascii="Times New Roman" w:eastAsia="Times New Roman" w:hAnsi="Times New Roman" w:cs="Times New Roman"/>
                <w:sz w:val="18"/>
                <w:szCs w:val="18"/>
                <w:lang w:val="pl-PL" w:eastAsia="pl-PL"/>
              </w:rPr>
              <w:br/>
              <w:t>2) wprowadzi obowiązek sporządzania i uchwalania przez wszystkie gminy ogólnych planów zagospodarowania przestrzennego, przekształcanych w akty prawa miejscowego, które powinny określać ogólne zasady zabudowy na obszarze gminy i opierać się na długofalowej strategii rozwoju gminy;</w:t>
            </w:r>
            <w:r w:rsidRPr="00316B26">
              <w:rPr>
                <w:rFonts w:ascii="Times New Roman" w:eastAsia="Times New Roman" w:hAnsi="Times New Roman" w:cs="Times New Roman"/>
                <w:sz w:val="18"/>
                <w:szCs w:val="18"/>
                <w:lang w:val="pl-PL" w:eastAsia="pl-PL"/>
              </w:rPr>
              <w:br/>
              <w:t xml:space="preserve">3) wprowadzi wymóg, który zobowiąże inwestorów do realizacji dodatkowych przedsięwzięć na rzecz gminy przy budowie nowych inwestycji deweloperskich, w celu </w:t>
            </w:r>
            <w:r w:rsidRPr="00316B26">
              <w:rPr>
                <w:rFonts w:ascii="Times New Roman" w:eastAsia="Times New Roman" w:hAnsi="Times New Roman" w:cs="Times New Roman"/>
                <w:sz w:val="18"/>
                <w:szCs w:val="18"/>
                <w:lang w:val="pl-PL" w:eastAsia="pl-PL"/>
              </w:rPr>
              <w:lastRenderedPageBreak/>
              <w:t>m.in. ograniczenia rozwoju budownictwa mieszkaniowego bez wystarczającego zapewnienia infrastruktury;</w:t>
            </w:r>
            <w:r w:rsidRPr="00316B26">
              <w:rPr>
                <w:rFonts w:ascii="Times New Roman" w:eastAsia="Times New Roman" w:hAnsi="Times New Roman" w:cs="Times New Roman"/>
                <w:sz w:val="18"/>
                <w:szCs w:val="18"/>
                <w:lang w:val="pl-PL" w:eastAsia="pl-PL"/>
              </w:rPr>
              <w:br/>
              <w:t xml:space="preserve">4) określi proces, w którym interesariusze mogą uczestniczyć w opracowywaniu strategii i planów ogólnych w gminach. </w:t>
            </w:r>
          </w:p>
        </w:tc>
      </w:tr>
      <w:tr w:rsidR="001052B5" w:rsidRPr="009D378C" w14:paraId="67508EC7" w14:textId="77777777" w:rsidTr="00A20CA7">
        <w:trPr>
          <w:trHeight w:val="5116"/>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2939524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lastRenderedPageBreak/>
              <w:t>A13G</w:t>
            </w:r>
          </w:p>
        </w:tc>
        <w:tc>
          <w:tcPr>
            <w:tcW w:w="1420" w:type="dxa"/>
            <w:tcBorders>
              <w:top w:val="nil"/>
              <w:left w:val="nil"/>
              <w:bottom w:val="single" w:sz="4" w:space="0" w:color="auto"/>
              <w:right w:val="single" w:sz="4" w:space="0" w:color="auto"/>
            </w:tcBorders>
            <w:shd w:val="clear" w:color="000000" w:fill="C6EFCE"/>
            <w:vAlign w:val="center"/>
            <w:hideMark/>
          </w:tcPr>
          <w:p w14:paraId="1715721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2CC6941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592C88A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Publikacja dokumentu określającego mechanizm alokacji oraz indykatywną kwotę wsparcia, jakie ma otrzymać każda gmina w Polsce na wdrożenie reformy zagospodarowania przestrzennego </w:t>
            </w:r>
          </w:p>
        </w:tc>
        <w:tc>
          <w:tcPr>
            <w:tcW w:w="1701" w:type="dxa"/>
            <w:tcBorders>
              <w:top w:val="nil"/>
              <w:left w:val="nil"/>
              <w:bottom w:val="single" w:sz="4" w:space="0" w:color="auto"/>
              <w:right w:val="single" w:sz="4" w:space="0" w:color="auto"/>
            </w:tcBorders>
            <w:shd w:val="clear" w:color="000000" w:fill="C6EFCE"/>
            <w:vAlign w:val="center"/>
            <w:hideMark/>
          </w:tcPr>
          <w:p w14:paraId="1C844FE2" w14:textId="1F82E550"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r w:rsidR="004820A6">
              <w:rPr>
                <w:rFonts w:ascii="Times New Roman" w:eastAsia="Times New Roman" w:hAnsi="Times New Roman" w:cs="Times New Roman"/>
                <w:sz w:val="18"/>
                <w:szCs w:val="18"/>
                <w:lang w:val="pl-PL" w:eastAsia="pl-PL"/>
              </w:rPr>
              <w:t>Publikacja na stronie internetowej Ministerstwa Rozwoju i Technologii</w:t>
            </w:r>
          </w:p>
        </w:tc>
        <w:tc>
          <w:tcPr>
            <w:tcW w:w="1134" w:type="dxa"/>
            <w:tcBorders>
              <w:top w:val="nil"/>
              <w:left w:val="nil"/>
              <w:bottom w:val="single" w:sz="4" w:space="0" w:color="auto"/>
              <w:right w:val="single" w:sz="4" w:space="0" w:color="auto"/>
            </w:tcBorders>
            <w:shd w:val="clear" w:color="000000" w:fill="C6EFCE"/>
            <w:vAlign w:val="center"/>
            <w:hideMark/>
          </w:tcPr>
          <w:p w14:paraId="1AF94E5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693E629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195A6ED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3D5BECD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Q3</w:t>
            </w:r>
          </w:p>
        </w:tc>
        <w:tc>
          <w:tcPr>
            <w:tcW w:w="850" w:type="dxa"/>
            <w:tcBorders>
              <w:top w:val="nil"/>
              <w:left w:val="nil"/>
              <w:bottom w:val="single" w:sz="4" w:space="0" w:color="auto"/>
              <w:right w:val="single" w:sz="4" w:space="0" w:color="auto"/>
            </w:tcBorders>
            <w:shd w:val="clear" w:color="000000" w:fill="C6EFCE"/>
            <w:vAlign w:val="center"/>
            <w:hideMark/>
          </w:tcPr>
          <w:p w14:paraId="0A9A358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59031BD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Publikacja po przeprowadzeniu konsultacji społecznych dokumentu określającego mechanizm alokacji oraz indykatywną kwotę wsparcia, jakie każda gmina otrzyma na wdrożenie reformy zagospodarowania przestrzennego określonej w kamieniu milowym A12G. W szczególności dokument powinien wskazywać wysokość wsparcie, które ma być udzielone każdej gminie, i wyjaśnij, na jaki rodzaj działalności wsparcie ma być wykorzystane.</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Wszystkie gminy w Polsce otrzymają wsparcie na realizację tego działania. Kwota wsparcia, która ma zostać przyznana każdej gminie, powinna uwzględniać liczbę ludności i wielkość obszaru gminy (większe wsparcie otrzymają gminy o większej gęstości zaludnienia/rozległości), przy jednoczesnym uwzględnieniu specyficznych potrzeb gmin.</w:t>
            </w:r>
          </w:p>
        </w:tc>
      </w:tr>
      <w:tr w:rsidR="001052B5" w:rsidRPr="009D378C" w14:paraId="6A243513" w14:textId="77777777" w:rsidTr="00A20CA7">
        <w:trPr>
          <w:trHeight w:val="18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1882498D"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A14G</w:t>
            </w:r>
          </w:p>
        </w:tc>
        <w:tc>
          <w:tcPr>
            <w:tcW w:w="1420" w:type="dxa"/>
            <w:tcBorders>
              <w:top w:val="nil"/>
              <w:left w:val="nil"/>
              <w:bottom w:val="single" w:sz="4" w:space="0" w:color="auto"/>
              <w:right w:val="single" w:sz="4" w:space="0" w:color="auto"/>
            </w:tcBorders>
            <w:shd w:val="clear" w:color="000000" w:fill="C6EFCE"/>
            <w:vAlign w:val="center"/>
            <w:hideMark/>
          </w:tcPr>
          <w:p w14:paraId="594C773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658686B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74EC1A5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Pracownicy samorządów i planiści przestrzenni, którzy ukończyli kurs dotyczący nowej ustawy o planowaniu i zagospodarowaniu przestrzennym </w:t>
            </w:r>
          </w:p>
        </w:tc>
        <w:tc>
          <w:tcPr>
            <w:tcW w:w="1701" w:type="dxa"/>
            <w:tcBorders>
              <w:top w:val="nil"/>
              <w:left w:val="nil"/>
              <w:bottom w:val="single" w:sz="4" w:space="0" w:color="auto"/>
              <w:right w:val="single" w:sz="4" w:space="0" w:color="auto"/>
            </w:tcBorders>
            <w:shd w:val="clear" w:color="000000" w:fill="C6EFCE"/>
            <w:vAlign w:val="center"/>
            <w:hideMark/>
          </w:tcPr>
          <w:p w14:paraId="20BB43F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4B2C065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72FD2C9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75A4CB5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850</w:t>
            </w:r>
          </w:p>
        </w:tc>
        <w:tc>
          <w:tcPr>
            <w:tcW w:w="851" w:type="dxa"/>
            <w:tcBorders>
              <w:top w:val="nil"/>
              <w:left w:val="nil"/>
              <w:bottom w:val="single" w:sz="4" w:space="0" w:color="auto"/>
              <w:right w:val="single" w:sz="4" w:space="0" w:color="auto"/>
            </w:tcBorders>
            <w:shd w:val="clear" w:color="000000" w:fill="C6EFCE"/>
            <w:vAlign w:val="center"/>
            <w:hideMark/>
          </w:tcPr>
          <w:p w14:paraId="4E1A8A4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6B37710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2024</w:t>
            </w:r>
          </w:p>
        </w:tc>
        <w:tc>
          <w:tcPr>
            <w:tcW w:w="2977" w:type="dxa"/>
            <w:tcBorders>
              <w:top w:val="nil"/>
              <w:left w:val="nil"/>
              <w:bottom w:val="single" w:sz="4" w:space="0" w:color="auto"/>
              <w:right w:val="single" w:sz="4" w:space="0" w:color="auto"/>
            </w:tcBorders>
            <w:shd w:val="clear" w:color="000000" w:fill="C6EFCE"/>
            <w:vAlign w:val="center"/>
            <w:hideMark/>
          </w:tcPr>
          <w:p w14:paraId="48F7EBF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850 pracowników z władz lokalnych i planistów ukończyło kurs dotyczący nowej ustawy o planowaniu przestrzennym, określonej w kamieniu milowym A12G.</w:t>
            </w:r>
          </w:p>
        </w:tc>
      </w:tr>
      <w:tr w:rsidR="001052B5" w:rsidRPr="009D378C" w14:paraId="761E2FCC" w14:textId="77777777" w:rsidTr="00A20CA7">
        <w:trPr>
          <w:trHeight w:val="1591"/>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0A150BA6"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A15G</w:t>
            </w:r>
          </w:p>
        </w:tc>
        <w:tc>
          <w:tcPr>
            <w:tcW w:w="1420" w:type="dxa"/>
            <w:tcBorders>
              <w:top w:val="nil"/>
              <w:left w:val="nil"/>
              <w:bottom w:val="single" w:sz="4" w:space="0" w:color="auto"/>
              <w:right w:val="single" w:sz="4" w:space="0" w:color="auto"/>
            </w:tcBorders>
            <w:shd w:val="clear" w:color="000000" w:fill="C6EFCE"/>
            <w:vAlign w:val="center"/>
            <w:hideMark/>
          </w:tcPr>
          <w:p w14:paraId="646C887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32BB262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50B45EF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W2 - Pracownicy samorządów i planiści przestrzenni, którzy ukończyli kurs dotyczący nowej ustawy o planowaniu i zagospodarowaniu przestrzennym </w:t>
            </w:r>
          </w:p>
        </w:tc>
        <w:tc>
          <w:tcPr>
            <w:tcW w:w="1701" w:type="dxa"/>
            <w:tcBorders>
              <w:top w:val="nil"/>
              <w:left w:val="nil"/>
              <w:bottom w:val="single" w:sz="4" w:space="0" w:color="auto"/>
              <w:right w:val="single" w:sz="4" w:space="0" w:color="auto"/>
            </w:tcBorders>
            <w:shd w:val="clear" w:color="000000" w:fill="C6EFCE"/>
            <w:vAlign w:val="center"/>
            <w:hideMark/>
          </w:tcPr>
          <w:p w14:paraId="32AD1D8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3652830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167AA71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850</w:t>
            </w:r>
          </w:p>
        </w:tc>
        <w:tc>
          <w:tcPr>
            <w:tcW w:w="1134" w:type="dxa"/>
            <w:tcBorders>
              <w:top w:val="nil"/>
              <w:left w:val="nil"/>
              <w:bottom w:val="single" w:sz="4" w:space="0" w:color="auto"/>
              <w:right w:val="single" w:sz="4" w:space="0" w:color="auto"/>
            </w:tcBorders>
            <w:shd w:val="clear" w:color="000000" w:fill="C6EFCE"/>
            <w:vAlign w:val="center"/>
            <w:hideMark/>
          </w:tcPr>
          <w:p w14:paraId="7A68487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1700</w:t>
            </w:r>
          </w:p>
        </w:tc>
        <w:tc>
          <w:tcPr>
            <w:tcW w:w="851" w:type="dxa"/>
            <w:tcBorders>
              <w:top w:val="nil"/>
              <w:left w:val="nil"/>
              <w:bottom w:val="single" w:sz="4" w:space="0" w:color="auto"/>
              <w:right w:val="single" w:sz="4" w:space="0" w:color="auto"/>
            </w:tcBorders>
            <w:shd w:val="clear" w:color="000000" w:fill="C6EFCE"/>
            <w:vAlign w:val="center"/>
            <w:hideMark/>
          </w:tcPr>
          <w:p w14:paraId="0DB0B86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4F9FF44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2026</w:t>
            </w:r>
          </w:p>
        </w:tc>
        <w:tc>
          <w:tcPr>
            <w:tcW w:w="2977" w:type="dxa"/>
            <w:tcBorders>
              <w:top w:val="nil"/>
              <w:left w:val="nil"/>
              <w:bottom w:val="single" w:sz="4" w:space="0" w:color="auto"/>
              <w:right w:val="single" w:sz="4" w:space="0" w:color="auto"/>
            </w:tcBorders>
            <w:shd w:val="clear" w:color="000000" w:fill="C6EFCE"/>
            <w:vAlign w:val="center"/>
            <w:hideMark/>
          </w:tcPr>
          <w:p w14:paraId="466A467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1700 pracowników z władz lokalnych i planistów ukończyło kurs dotyczący nowej ustawy o planowaniu przestrzennym, określonej w kamieniu milowym A12G.</w:t>
            </w:r>
          </w:p>
        </w:tc>
      </w:tr>
      <w:tr w:rsidR="001052B5" w:rsidRPr="009D378C" w14:paraId="6F1F99E6" w14:textId="77777777" w:rsidTr="00A20CA7">
        <w:trPr>
          <w:trHeight w:val="1414"/>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7F1CACE0"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A16G</w:t>
            </w:r>
          </w:p>
        </w:tc>
        <w:tc>
          <w:tcPr>
            <w:tcW w:w="1420" w:type="dxa"/>
            <w:tcBorders>
              <w:top w:val="nil"/>
              <w:left w:val="nil"/>
              <w:bottom w:val="single" w:sz="4" w:space="0" w:color="auto"/>
              <w:right w:val="single" w:sz="4" w:space="0" w:color="auto"/>
            </w:tcBorders>
            <w:shd w:val="clear" w:color="000000" w:fill="C6EFCE"/>
            <w:vAlign w:val="center"/>
            <w:hideMark/>
          </w:tcPr>
          <w:p w14:paraId="0A2112A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31D62FB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00F17A8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Udział gmin, które uchwaliły ogólne plany zagospodarowania przestrzennego </w:t>
            </w:r>
          </w:p>
        </w:tc>
        <w:tc>
          <w:tcPr>
            <w:tcW w:w="1701" w:type="dxa"/>
            <w:tcBorders>
              <w:top w:val="nil"/>
              <w:left w:val="nil"/>
              <w:bottom w:val="single" w:sz="4" w:space="0" w:color="auto"/>
              <w:right w:val="single" w:sz="4" w:space="0" w:color="auto"/>
            </w:tcBorders>
            <w:shd w:val="clear" w:color="000000" w:fill="C6EFCE"/>
            <w:vAlign w:val="center"/>
            <w:hideMark/>
          </w:tcPr>
          <w:p w14:paraId="4AF5D72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44C75D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procent</w:t>
            </w:r>
          </w:p>
        </w:tc>
        <w:tc>
          <w:tcPr>
            <w:tcW w:w="1276" w:type="dxa"/>
            <w:tcBorders>
              <w:top w:val="nil"/>
              <w:left w:val="nil"/>
              <w:bottom w:val="single" w:sz="4" w:space="0" w:color="auto"/>
              <w:right w:val="single" w:sz="4" w:space="0" w:color="auto"/>
            </w:tcBorders>
            <w:shd w:val="clear" w:color="000000" w:fill="C6EFCE"/>
            <w:vAlign w:val="center"/>
            <w:hideMark/>
          </w:tcPr>
          <w:p w14:paraId="1450DF7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7D9AB55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25</w:t>
            </w:r>
          </w:p>
        </w:tc>
        <w:tc>
          <w:tcPr>
            <w:tcW w:w="851" w:type="dxa"/>
            <w:tcBorders>
              <w:top w:val="nil"/>
              <w:left w:val="nil"/>
              <w:bottom w:val="single" w:sz="4" w:space="0" w:color="auto"/>
              <w:right w:val="single" w:sz="4" w:space="0" w:color="auto"/>
            </w:tcBorders>
            <w:shd w:val="clear" w:color="000000" w:fill="C6EFCE"/>
            <w:vAlign w:val="center"/>
            <w:hideMark/>
          </w:tcPr>
          <w:p w14:paraId="332AEEB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1115D4D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2024</w:t>
            </w:r>
          </w:p>
        </w:tc>
        <w:tc>
          <w:tcPr>
            <w:tcW w:w="2977" w:type="dxa"/>
            <w:tcBorders>
              <w:top w:val="nil"/>
              <w:left w:val="nil"/>
              <w:bottom w:val="single" w:sz="4" w:space="0" w:color="auto"/>
              <w:right w:val="single" w:sz="4" w:space="0" w:color="auto"/>
            </w:tcBorders>
            <w:shd w:val="clear" w:color="000000" w:fill="C6EFCE"/>
            <w:vAlign w:val="center"/>
            <w:hideMark/>
          </w:tcPr>
          <w:p w14:paraId="0D93834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25% gmin przygotowało i przyjęło ogólny plan zagospodarowania przestrzennego, zgodnie z wymogami nowego prawa określonego w kamieniu milowym A12G.</w:t>
            </w:r>
          </w:p>
        </w:tc>
      </w:tr>
      <w:tr w:rsidR="001052B5" w:rsidRPr="009D378C" w14:paraId="6E63AE03" w14:textId="77777777" w:rsidTr="00A20CA7">
        <w:trPr>
          <w:trHeight w:val="1406"/>
        </w:trPr>
        <w:tc>
          <w:tcPr>
            <w:tcW w:w="985" w:type="dxa"/>
            <w:tcBorders>
              <w:top w:val="nil"/>
              <w:left w:val="single" w:sz="4" w:space="0" w:color="auto"/>
              <w:bottom w:val="single" w:sz="4" w:space="0" w:color="auto"/>
              <w:right w:val="single" w:sz="4" w:space="0" w:color="auto"/>
            </w:tcBorders>
            <w:shd w:val="clear" w:color="000000" w:fill="C6EFCE"/>
            <w:vAlign w:val="center"/>
            <w:hideMark/>
          </w:tcPr>
          <w:p w14:paraId="2A5FF05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A17G</w:t>
            </w:r>
          </w:p>
        </w:tc>
        <w:tc>
          <w:tcPr>
            <w:tcW w:w="1420" w:type="dxa"/>
            <w:tcBorders>
              <w:top w:val="nil"/>
              <w:left w:val="nil"/>
              <w:bottom w:val="single" w:sz="4" w:space="0" w:color="auto"/>
              <w:right w:val="single" w:sz="4" w:space="0" w:color="auto"/>
            </w:tcBorders>
            <w:shd w:val="clear" w:color="000000" w:fill="C6EFCE"/>
            <w:vAlign w:val="center"/>
            <w:hideMark/>
          </w:tcPr>
          <w:p w14:paraId="3D94D12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A1.3.1 Wdrożenie reformy planowania i zagospodarowania przestrzennego</w:t>
            </w:r>
          </w:p>
        </w:tc>
        <w:tc>
          <w:tcPr>
            <w:tcW w:w="992" w:type="dxa"/>
            <w:tcBorders>
              <w:top w:val="nil"/>
              <w:left w:val="nil"/>
              <w:bottom w:val="single" w:sz="4" w:space="0" w:color="auto"/>
              <w:right w:val="single" w:sz="4" w:space="0" w:color="auto"/>
            </w:tcBorders>
            <w:shd w:val="clear" w:color="000000" w:fill="C6EFCE"/>
            <w:vAlign w:val="center"/>
            <w:hideMark/>
          </w:tcPr>
          <w:p w14:paraId="112906A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6DF04E8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W2 - Udział gmin, które uchwaliły ogólne plany zagospodarowania przestrzennego </w:t>
            </w:r>
          </w:p>
        </w:tc>
        <w:tc>
          <w:tcPr>
            <w:tcW w:w="1701" w:type="dxa"/>
            <w:tcBorders>
              <w:top w:val="nil"/>
              <w:left w:val="nil"/>
              <w:bottom w:val="single" w:sz="4" w:space="0" w:color="auto"/>
              <w:right w:val="single" w:sz="4" w:space="0" w:color="auto"/>
            </w:tcBorders>
            <w:shd w:val="clear" w:color="000000" w:fill="C6EFCE"/>
            <w:vAlign w:val="center"/>
            <w:hideMark/>
          </w:tcPr>
          <w:p w14:paraId="3701EE3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01D2F1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procent</w:t>
            </w:r>
          </w:p>
        </w:tc>
        <w:tc>
          <w:tcPr>
            <w:tcW w:w="1276" w:type="dxa"/>
            <w:tcBorders>
              <w:top w:val="nil"/>
              <w:left w:val="nil"/>
              <w:bottom w:val="single" w:sz="4" w:space="0" w:color="auto"/>
              <w:right w:val="single" w:sz="4" w:space="0" w:color="auto"/>
            </w:tcBorders>
            <w:shd w:val="clear" w:color="000000" w:fill="C6EFCE"/>
            <w:vAlign w:val="center"/>
            <w:hideMark/>
          </w:tcPr>
          <w:p w14:paraId="5AA36CA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25</w:t>
            </w:r>
          </w:p>
        </w:tc>
        <w:tc>
          <w:tcPr>
            <w:tcW w:w="1134" w:type="dxa"/>
            <w:tcBorders>
              <w:top w:val="nil"/>
              <w:left w:val="nil"/>
              <w:bottom w:val="single" w:sz="4" w:space="0" w:color="auto"/>
              <w:right w:val="single" w:sz="4" w:space="0" w:color="auto"/>
            </w:tcBorders>
            <w:shd w:val="clear" w:color="000000" w:fill="C6EFCE"/>
            <w:vAlign w:val="center"/>
            <w:hideMark/>
          </w:tcPr>
          <w:p w14:paraId="4A8C157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100%</w:t>
            </w:r>
          </w:p>
        </w:tc>
        <w:tc>
          <w:tcPr>
            <w:tcW w:w="851" w:type="dxa"/>
            <w:tcBorders>
              <w:top w:val="nil"/>
              <w:left w:val="nil"/>
              <w:bottom w:val="single" w:sz="4" w:space="0" w:color="auto"/>
              <w:right w:val="single" w:sz="4" w:space="0" w:color="auto"/>
            </w:tcBorders>
            <w:shd w:val="clear" w:color="000000" w:fill="C6EFCE"/>
            <w:vAlign w:val="center"/>
            <w:hideMark/>
          </w:tcPr>
          <w:p w14:paraId="7B20450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2006073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2026</w:t>
            </w:r>
          </w:p>
        </w:tc>
        <w:tc>
          <w:tcPr>
            <w:tcW w:w="2977" w:type="dxa"/>
            <w:tcBorders>
              <w:top w:val="nil"/>
              <w:left w:val="nil"/>
              <w:bottom w:val="single" w:sz="4" w:space="0" w:color="auto"/>
              <w:right w:val="single" w:sz="4" w:space="0" w:color="auto"/>
            </w:tcBorders>
            <w:shd w:val="clear" w:color="000000" w:fill="C6EFCE"/>
            <w:vAlign w:val="center"/>
            <w:hideMark/>
          </w:tcPr>
          <w:p w14:paraId="224FE72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100% gmin przygotowało i przyjęło ogólny plan zagospodarowania przestrzennego, zgodnie z wymogami nowego prawa określonego w kamieniu milowym A12G.</w:t>
            </w:r>
          </w:p>
        </w:tc>
      </w:tr>
      <w:tr w:rsidR="001052B5" w:rsidRPr="009D378C" w14:paraId="48861429" w14:textId="77777777" w:rsidTr="00A20CA7">
        <w:trPr>
          <w:trHeight w:val="471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0117AA0C"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A18G</w:t>
            </w:r>
          </w:p>
        </w:tc>
        <w:tc>
          <w:tcPr>
            <w:tcW w:w="1420" w:type="dxa"/>
            <w:tcBorders>
              <w:top w:val="nil"/>
              <w:left w:val="nil"/>
              <w:bottom w:val="single" w:sz="4" w:space="0" w:color="auto"/>
              <w:right w:val="single" w:sz="4" w:space="0" w:color="auto"/>
            </w:tcBorders>
            <w:shd w:val="clear" w:color="000000" w:fill="C6EFCE"/>
            <w:vAlign w:val="center"/>
            <w:hideMark/>
          </w:tcPr>
          <w:p w14:paraId="03E332B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 Reforma na rzecz poprawienia warunków konkurencyjności i ochrony producentów/ konsumentów w sektorze rolnym</w:t>
            </w:r>
          </w:p>
        </w:tc>
        <w:tc>
          <w:tcPr>
            <w:tcW w:w="992" w:type="dxa"/>
            <w:tcBorders>
              <w:top w:val="nil"/>
              <w:left w:val="nil"/>
              <w:bottom w:val="single" w:sz="4" w:space="0" w:color="auto"/>
              <w:right w:val="single" w:sz="4" w:space="0" w:color="auto"/>
            </w:tcBorders>
            <w:shd w:val="clear" w:color="000000" w:fill="C6EFCE"/>
            <w:vAlign w:val="center"/>
            <w:hideMark/>
          </w:tcPr>
          <w:p w14:paraId="3E1CDA8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73F8B97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Wejście w życie nowej ustawy w celu zwalczania nieuczciwych praktyk handlowych w relacjach między przedsiębiorcami w łańcuchu dostaw produktów rolnych i spożywczych</w:t>
            </w:r>
          </w:p>
        </w:tc>
        <w:tc>
          <w:tcPr>
            <w:tcW w:w="1701" w:type="dxa"/>
            <w:tcBorders>
              <w:top w:val="nil"/>
              <w:left w:val="nil"/>
              <w:bottom w:val="single" w:sz="4" w:space="0" w:color="auto"/>
              <w:right w:val="single" w:sz="4" w:space="0" w:color="auto"/>
            </w:tcBorders>
            <w:shd w:val="clear" w:color="000000" w:fill="C6EFCE"/>
            <w:vAlign w:val="center"/>
            <w:hideMark/>
          </w:tcPr>
          <w:p w14:paraId="27F07A0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Przepis w nowej ustawie o zwalczaniu nieuczciwych praktyk handlowych w relacjach między przedsiębiorcami w łańcuchu dostaw produktów rolno-spożywczych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4F85356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445F983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225FA5B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4A6428C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7F7C497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5E1AE31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Po przeprowadzeniu konsultacji społecznych, wejście w życie nowej ustawy mającej na celu zwalczanie nieuczciwego wykorzystywania przewagi kontraktowej w sektorze handlu produktami rolnymi i spożywczymi, która zapewni:</w:t>
            </w:r>
            <w:r w:rsidRPr="00316B26">
              <w:rPr>
                <w:rFonts w:ascii="Times New Roman" w:eastAsia="Times New Roman" w:hAnsi="Times New Roman" w:cs="Times New Roman"/>
                <w:sz w:val="18"/>
                <w:szCs w:val="18"/>
                <w:lang w:val="pl-PL" w:eastAsia="pl-PL"/>
              </w:rPr>
              <w:br/>
              <w:t xml:space="preserve">1) podstawę do lepszego funkcjonowania łańcucha dostaw żywności i zatwierdzić zbiór zasad dotyczących dobrych praktyk w zakresie stosunków wertykalnych w łańcuchu dostaw żywności, a także zapewnić minimalną harmonizację norm, jak przewidziano w dyrektywie (UE) 2019/633; </w:t>
            </w:r>
            <w:r w:rsidRPr="00316B26">
              <w:rPr>
                <w:rFonts w:ascii="Times New Roman" w:eastAsia="Times New Roman" w:hAnsi="Times New Roman" w:cs="Times New Roman"/>
                <w:sz w:val="18"/>
                <w:szCs w:val="18"/>
                <w:lang w:val="pl-PL" w:eastAsia="pl-PL"/>
              </w:rPr>
              <w:br/>
              <w:t xml:space="preserve">2) ochronę wszystkich transakcji handlowych dotyczących produktów rolnych i spożywczych przed nieuczciwymi praktykami handlowymi; </w:t>
            </w:r>
            <w:r w:rsidRPr="00316B26">
              <w:rPr>
                <w:rFonts w:ascii="Times New Roman" w:eastAsia="Times New Roman" w:hAnsi="Times New Roman" w:cs="Times New Roman"/>
                <w:sz w:val="18"/>
                <w:szCs w:val="18"/>
                <w:lang w:val="pl-PL" w:eastAsia="pl-PL"/>
              </w:rPr>
              <w:br/>
              <w:t xml:space="preserve">3) wyjście poza dyrektywę Parlamentu Europejskiego i Rady (UE) 2019/633 z dnia 17 kwietnia 2019 r. w sprawie </w:t>
            </w:r>
            <w:r w:rsidRPr="00316B26">
              <w:rPr>
                <w:rFonts w:ascii="Times New Roman" w:eastAsia="Times New Roman" w:hAnsi="Times New Roman" w:cs="Times New Roman"/>
                <w:sz w:val="18"/>
                <w:szCs w:val="18"/>
                <w:lang w:val="pl-PL" w:eastAsia="pl-PL"/>
              </w:rPr>
              <w:lastRenderedPageBreak/>
              <w:t xml:space="preserve">nieuczciwych praktyk handlowych w stosunkach między przedsiębiorstwami w łańcuchu dostaw produktów rolnych i spożywczych. </w:t>
            </w:r>
            <w:r w:rsidRPr="00316B26">
              <w:rPr>
                <w:rFonts w:ascii="Times New Roman" w:eastAsia="Times New Roman" w:hAnsi="Times New Roman" w:cs="Times New Roman"/>
                <w:sz w:val="18"/>
                <w:szCs w:val="18"/>
                <w:lang w:val="pl-PL" w:eastAsia="pl-PL"/>
              </w:rPr>
              <w:br/>
              <w:t xml:space="preserve">Ustawa ta wykracza poza dyrektywę o nieuczciwych praktykach handlowych w następujący sposób: </w:t>
            </w:r>
            <w:r w:rsidRPr="00316B26">
              <w:rPr>
                <w:rFonts w:ascii="Times New Roman" w:eastAsia="Times New Roman" w:hAnsi="Times New Roman" w:cs="Times New Roman"/>
                <w:sz w:val="18"/>
                <w:szCs w:val="18"/>
                <w:lang w:val="pl-PL" w:eastAsia="pl-PL"/>
              </w:rPr>
              <w:br/>
              <w:t>a) Podczas gdy dyrektywa zawiera zamkniętą listę nieuczciwych praktyk handlowych, nowa ustawa wprowadza, oprócz tej listy, otwartą definicję nieuczciwych praktyk handlowych. W szczególności takie dodatkowe praktyki handlowe zostaną uznane przez Urząd Ochrony Konkurencji i Konsumentów (UOKiK) za nieuczciwe, jeżeli (i) są sprzeczne z wymogami dobrych obyczajów handlowych; (ii) w sposób istotny naruszają lub mogą istotnie naruszyć interes drugiej strony umowy;</w:t>
            </w:r>
            <w:r w:rsidRPr="00316B26">
              <w:rPr>
                <w:rFonts w:ascii="Times New Roman" w:eastAsia="Times New Roman" w:hAnsi="Times New Roman" w:cs="Times New Roman"/>
                <w:sz w:val="18"/>
                <w:szCs w:val="18"/>
                <w:lang w:val="pl-PL" w:eastAsia="pl-PL"/>
              </w:rPr>
              <w:br/>
              <w:t xml:space="preserve">b) Podczas gdy dyrektywa chroni jedynie dostawców produktów rolnych i spożywczych, nowe prawo chroni wszystkie podmioty handlowe, w tym nabywców produktów rolnych i spożywczych. </w:t>
            </w:r>
            <w:r w:rsidRPr="00316B26">
              <w:rPr>
                <w:rFonts w:ascii="Times New Roman" w:eastAsia="Times New Roman" w:hAnsi="Times New Roman" w:cs="Times New Roman"/>
                <w:sz w:val="18"/>
                <w:szCs w:val="18"/>
                <w:lang w:val="pl-PL" w:eastAsia="pl-PL"/>
              </w:rPr>
              <w:br/>
              <w:t>Reforma pozwoli Urzędowi Ochrony Konkurencji i Konsumentów nie tylko na badanie spraw zgłaszanych przez uczestników rynku, ale także na podejmowanie własnych dochodzeń.</w:t>
            </w:r>
          </w:p>
        </w:tc>
      </w:tr>
      <w:tr w:rsidR="001052B5" w:rsidRPr="009D378C" w14:paraId="53159C9E" w14:textId="77777777" w:rsidTr="00A20CA7">
        <w:trPr>
          <w:trHeight w:val="15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5AC054F1"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A19G</w:t>
            </w:r>
          </w:p>
        </w:tc>
        <w:tc>
          <w:tcPr>
            <w:tcW w:w="1420" w:type="dxa"/>
            <w:tcBorders>
              <w:top w:val="nil"/>
              <w:left w:val="nil"/>
              <w:bottom w:val="single" w:sz="4" w:space="0" w:color="auto"/>
              <w:right w:val="single" w:sz="4" w:space="0" w:color="auto"/>
            </w:tcBorders>
            <w:shd w:val="clear" w:color="000000" w:fill="C6EFCE"/>
            <w:vAlign w:val="center"/>
            <w:hideMark/>
          </w:tcPr>
          <w:p w14:paraId="1F87788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 Reforma na rzecz poprawienia warunków konkurencyjności i ochrony producentów/ konsumentów w sektorze rolnym</w:t>
            </w:r>
          </w:p>
        </w:tc>
        <w:tc>
          <w:tcPr>
            <w:tcW w:w="992" w:type="dxa"/>
            <w:tcBorders>
              <w:top w:val="nil"/>
              <w:left w:val="nil"/>
              <w:bottom w:val="single" w:sz="4" w:space="0" w:color="auto"/>
              <w:right w:val="single" w:sz="4" w:space="0" w:color="auto"/>
            </w:tcBorders>
            <w:shd w:val="clear" w:color="000000" w:fill="C6EFCE"/>
            <w:vAlign w:val="center"/>
            <w:hideMark/>
          </w:tcPr>
          <w:p w14:paraId="2B2841E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42758A8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Przyjęcie śródokresowego przeglądu nowej ustawy w celu zwalczania nieuczciwych praktyk handlowych w relacjach między przedsiębiorstwami w łańcuchu dostaw produktów rolnych i spożywczych</w:t>
            </w:r>
          </w:p>
        </w:tc>
        <w:tc>
          <w:tcPr>
            <w:tcW w:w="1701" w:type="dxa"/>
            <w:tcBorders>
              <w:top w:val="nil"/>
              <w:left w:val="nil"/>
              <w:bottom w:val="single" w:sz="4" w:space="0" w:color="auto"/>
              <w:right w:val="single" w:sz="4" w:space="0" w:color="auto"/>
            </w:tcBorders>
            <w:shd w:val="clear" w:color="000000" w:fill="C6EFCE"/>
            <w:vAlign w:val="center"/>
            <w:hideMark/>
          </w:tcPr>
          <w:p w14:paraId="3250DCD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Publikacja na stronie internetowej Urzędu Ochrony Konkurencji i Konsumentów informacji o przyjęciu przeglądu śródokresowego</w:t>
            </w:r>
          </w:p>
        </w:tc>
        <w:tc>
          <w:tcPr>
            <w:tcW w:w="1134" w:type="dxa"/>
            <w:tcBorders>
              <w:top w:val="nil"/>
              <w:left w:val="nil"/>
              <w:bottom w:val="single" w:sz="4" w:space="0" w:color="auto"/>
              <w:right w:val="single" w:sz="4" w:space="0" w:color="auto"/>
            </w:tcBorders>
            <w:shd w:val="clear" w:color="000000" w:fill="C6EFCE"/>
            <w:vAlign w:val="center"/>
            <w:hideMark/>
          </w:tcPr>
          <w:p w14:paraId="63354F5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0F30B22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A2ECF2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50CD7D8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Q2</w:t>
            </w:r>
          </w:p>
        </w:tc>
        <w:tc>
          <w:tcPr>
            <w:tcW w:w="850" w:type="dxa"/>
            <w:tcBorders>
              <w:top w:val="nil"/>
              <w:left w:val="nil"/>
              <w:bottom w:val="single" w:sz="4" w:space="0" w:color="auto"/>
              <w:right w:val="single" w:sz="4" w:space="0" w:color="auto"/>
            </w:tcBorders>
            <w:shd w:val="clear" w:color="000000" w:fill="C6EFCE"/>
            <w:vAlign w:val="center"/>
            <w:hideMark/>
          </w:tcPr>
          <w:p w14:paraId="7655A1F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4E349A7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Przegląd, który jest przesyłany do Komisji wraz z oceną dyrektywy dotyczącej nieuczciwych praktyk handlowych, zawiera ocenę, czy cele reformy dotyczącej nieuczciwych praktyk handlowych w sektorze rolnym zostały osiągnięte, oraz określa możliwości działania w celu rozwiązania potencjalnych problemów z wdrażaniem.   </w:t>
            </w:r>
          </w:p>
        </w:tc>
      </w:tr>
      <w:tr w:rsidR="001052B5" w:rsidRPr="009D378C" w14:paraId="5A899231" w14:textId="77777777" w:rsidTr="00A20CA7">
        <w:trPr>
          <w:trHeight w:val="210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7F2642BE"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A20G</w:t>
            </w:r>
          </w:p>
        </w:tc>
        <w:tc>
          <w:tcPr>
            <w:tcW w:w="1420" w:type="dxa"/>
            <w:tcBorders>
              <w:top w:val="nil"/>
              <w:left w:val="nil"/>
              <w:bottom w:val="single" w:sz="4" w:space="0" w:color="auto"/>
              <w:right w:val="single" w:sz="4" w:space="0" w:color="auto"/>
            </w:tcBorders>
            <w:shd w:val="clear" w:color="000000" w:fill="C6EFCE"/>
            <w:vAlign w:val="center"/>
            <w:hideMark/>
          </w:tcPr>
          <w:p w14:paraId="79DB820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7519703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6BF29DB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Przyjęcie kryteriów wyboru beneficjentów dla wszystkich projektów w ramach tej inwestycji </w:t>
            </w:r>
          </w:p>
        </w:tc>
        <w:tc>
          <w:tcPr>
            <w:tcW w:w="1701" w:type="dxa"/>
            <w:tcBorders>
              <w:top w:val="nil"/>
              <w:left w:val="nil"/>
              <w:bottom w:val="single" w:sz="4" w:space="0" w:color="auto"/>
              <w:right w:val="single" w:sz="4" w:space="0" w:color="auto"/>
            </w:tcBorders>
            <w:shd w:val="clear" w:color="000000" w:fill="C6EFCE"/>
            <w:vAlign w:val="center"/>
            <w:hideMark/>
          </w:tcPr>
          <w:p w14:paraId="55991DB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Opublikowanie na stronie internetowej Ministerstwa Rolnictwa i Rozwoju Wsi oraz Agencji Restrukturyzacji i Modernizacji Rolnictwa informacji o przyjęciu kryteriów</w:t>
            </w:r>
          </w:p>
        </w:tc>
        <w:tc>
          <w:tcPr>
            <w:tcW w:w="1134" w:type="dxa"/>
            <w:tcBorders>
              <w:top w:val="nil"/>
              <w:left w:val="nil"/>
              <w:bottom w:val="single" w:sz="4" w:space="0" w:color="auto"/>
              <w:right w:val="single" w:sz="4" w:space="0" w:color="auto"/>
            </w:tcBorders>
            <w:shd w:val="clear" w:color="000000" w:fill="C6EFCE"/>
            <w:vAlign w:val="center"/>
            <w:hideMark/>
          </w:tcPr>
          <w:p w14:paraId="6E15E42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276" w:type="dxa"/>
            <w:tcBorders>
              <w:top w:val="nil"/>
              <w:left w:val="nil"/>
              <w:bottom w:val="single" w:sz="4" w:space="0" w:color="auto"/>
              <w:right w:val="single" w:sz="4" w:space="0" w:color="auto"/>
            </w:tcBorders>
            <w:shd w:val="clear" w:color="000000" w:fill="C6EFCE"/>
            <w:vAlign w:val="center"/>
            <w:hideMark/>
          </w:tcPr>
          <w:p w14:paraId="58DE6A8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7A8DBD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5407709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Q1</w:t>
            </w:r>
          </w:p>
        </w:tc>
        <w:tc>
          <w:tcPr>
            <w:tcW w:w="850" w:type="dxa"/>
            <w:tcBorders>
              <w:top w:val="nil"/>
              <w:left w:val="nil"/>
              <w:bottom w:val="single" w:sz="4" w:space="0" w:color="auto"/>
              <w:right w:val="single" w:sz="4" w:space="0" w:color="auto"/>
            </w:tcBorders>
            <w:shd w:val="clear" w:color="000000" w:fill="C6EFCE"/>
            <w:vAlign w:val="center"/>
            <w:hideMark/>
          </w:tcPr>
          <w:p w14:paraId="3C766F3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2022</w:t>
            </w:r>
          </w:p>
        </w:tc>
        <w:tc>
          <w:tcPr>
            <w:tcW w:w="2977" w:type="dxa"/>
            <w:tcBorders>
              <w:top w:val="nil"/>
              <w:left w:val="nil"/>
              <w:bottom w:val="single" w:sz="4" w:space="0" w:color="auto"/>
              <w:right w:val="single" w:sz="4" w:space="0" w:color="auto"/>
            </w:tcBorders>
            <w:shd w:val="clear" w:color="000000" w:fill="C6EFCE"/>
            <w:vAlign w:val="center"/>
            <w:hideMark/>
          </w:tcPr>
          <w:p w14:paraId="2695C3E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Po przeprowadzeniu konsultacji społecznych, przyjęcie kryteriów wyboru beneficjentów dla wszystkich projektów w ramach tej inwestycji. Kryteria wyboru są zgodne z zasadami niedyskryminacji i przejrzystości.</w:t>
            </w:r>
            <w:r w:rsidRPr="00316B26">
              <w:rPr>
                <w:rFonts w:ascii="Times New Roman" w:eastAsia="Times New Roman" w:hAnsi="Times New Roman" w:cs="Times New Roman"/>
                <w:sz w:val="18"/>
                <w:szCs w:val="18"/>
                <w:lang w:val="pl-PL" w:eastAsia="pl-PL"/>
              </w:rPr>
              <w:br/>
              <w:t>Kryteria wyboru dają pierwszeństwo następującym obszarom: (i) cyfryzacja; (ii) tworzenie miejsc pracy; (iii) ochrona środowiska i zrównoważone praktyki produkcji żywności; (iv) gospodarka o obiegu zamkniętym, w tym działania związane z zapobieganiem marnotrawieniu żywności.</w:t>
            </w:r>
            <w:r w:rsidRPr="00316B26">
              <w:rPr>
                <w:rFonts w:ascii="Times New Roman" w:eastAsia="Times New Roman" w:hAnsi="Times New Roman" w:cs="Times New Roman"/>
                <w:sz w:val="18"/>
                <w:szCs w:val="18"/>
                <w:lang w:val="pl-PL" w:eastAsia="pl-PL"/>
              </w:rPr>
              <w:br/>
              <w:t>Proces składania i weryfikacji wniosków przeprowadza Agencja Restrukturyzacji i Modernizacji Rolnictwa (ARiMR) w celu zapewnienia spójności, przejrzystości i zapobiegania podwójnemu finansowaniu.</w:t>
            </w:r>
          </w:p>
        </w:tc>
      </w:tr>
      <w:tr w:rsidR="001052B5" w:rsidRPr="009D378C" w14:paraId="2D68BD2B" w14:textId="77777777" w:rsidTr="00A20CA7">
        <w:trPr>
          <w:trHeight w:val="3402"/>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6ABA45C1"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t>A21G</w:t>
            </w:r>
          </w:p>
        </w:tc>
        <w:tc>
          <w:tcPr>
            <w:tcW w:w="1420" w:type="dxa"/>
            <w:tcBorders>
              <w:top w:val="nil"/>
              <w:left w:val="nil"/>
              <w:bottom w:val="single" w:sz="4" w:space="0" w:color="auto"/>
              <w:right w:val="single" w:sz="4" w:space="0" w:color="auto"/>
            </w:tcBorders>
            <w:shd w:val="clear" w:color="000000" w:fill="C6EFCE"/>
            <w:vAlign w:val="center"/>
            <w:hideMark/>
          </w:tcPr>
          <w:p w14:paraId="0712E2CB"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7A934BE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7FD2D12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Wybudowane lub zmodernizowane centra dystrybucyjno-magazynowe oraz zmodernizowane rynki hurtowe </w:t>
            </w:r>
          </w:p>
        </w:tc>
        <w:tc>
          <w:tcPr>
            <w:tcW w:w="1701" w:type="dxa"/>
            <w:tcBorders>
              <w:top w:val="nil"/>
              <w:left w:val="nil"/>
              <w:bottom w:val="single" w:sz="4" w:space="0" w:color="auto"/>
              <w:right w:val="single" w:sz="4" w:space="0" w:color="auto"/>
            </w:tcBorders>
            <w:shd w:val="clear" w:color="000000" w:fill="C6EFCE"/>
            <w:vAlign w:val="center"/>
            <w:hideMark/>
          </w:tcPr>
          <w:p w14:paraId="55AF8E7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4AF9C42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6AE6B9D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3075989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72</w:t>
            </w:r>
          </w:p>
        </w:tc>
        <w:tc>
          <w:tcPr>
            <w:tcW w:w="851" w:type="dxa"/>
            <w:tcBorders>
              <w:top w:val="nil"/>
              <w:left w:val="nil"/>
              <w:bottom w:val="single" w:sz="4" w:space="0" w:color="auto"/>
              <w:right w:val="single" w:sz="4" w:space="0" w:color="auto"/>
            </w:tcBorders>
            <w:shd w:val="clear" w:color="000000" w:fill="C6EFCE"/>
            <w:vAlign w:val="center"/>
            <w:hideMark/>
          </w:tcPr>
          <w:p w14:paraId="2A6AFCE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6575A21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19B55F00" w14:textId="5C8AC9DC" w:rsidR="00E81501"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Wybudowano lub zmodernizowano 72 centra dystrybucyjne i magazynowe oraz rynki hurtowe (w tym spółdzielnie). Celem jest stworzenie zestawu niezależnych centrów dystrybucji i przechowywania na poziomie lokalnym, aby zdywersyfikować i skrócić łańcuch dostaw żywności, a także zachęcić do bardziej zrównoważonych praktyk produkcyjnych w sektorze rolno-spożywczym, zwłaszcza poprzez zapobieganie marnotrawieniu żywności. </w:t>
            </w:r>
          </w:p>
          <w:p w14:paraId="2D77BEDA" w14:textId="4C144064"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Inwestycja obejm</w:t>
            </w:r>
            <w:r>
              <w:rPr>
                <w:rFonts w:ascii="Times New Roman" w:eastAsia="Times New Roman" w:hAnsi="Times New Roman" w:cs="Times New Roman"/>
                <w:sz w:val="18"/>
                <w:szCs w:val="18"/>
                <w:lang w:val="pl-PL" w:eastAsia="pl-PL"/>
              </w:rPr>
              <w:t>ie</w:t>
            </w:r>
            <w:r w:rsidRPr="00B30329">
              <w:rPr>
                <w:rFonts w:ascii="Times New Roman" w:eastAsia="Times New Roman" w:hAnsi="Times New Roman" w:cs="Times New Roman"/>
                <w:sz w:val="18"/>
                <w:szCs w:val="18"/>
                <w:lang w:val="pl-PL" w:eastAsia="pl-PL"/>
              </w:rPr>
              <w:t>:</w:t>
            </w:r>
          </w:p>
          <w:p w14:paraId="1618E70B" w14:textId="71092EA2"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 xml:space="preserve">(i) budowę lub modernizację budynków i odpowiedniej infrastruktury, takiej jak obiekty magazynowe, pakowania, załadunku i sprzedaży, zaplecze socjalne i laboratoria. Ponadto inwestycje obejmą zakup paneli słonecznych oraz budowę instalacji do odzyskiwania </w:t>
            </w:r>
            <w:r w:rsidRPr="00B30329">
              <w:rPr>
                <w:rFonts w:ascii="Times New Roman" w:eastAsia="Times New Roman" w:hAnsi="Times New Roman" w:cs="Times New Roman"/>
                <w:sz w:val="18"/>
                <w:szCs w:val="18"/>
                <w:lang w:val="pl-PL" w:eastAsia="pl-PL"/>
              </w:rPr>
              <w:lastRenderedPageBreak/>
              <w:t>ciepła, pieców na biomasę i czynników chłodniczych o ograniczonym lub neutralnym wpływie na środowisko. Modernizacja budynków obejm</w:t>
            </w:r>
            <w:r>
              <w:rPr>
                <w:rFonts w:ascii="Times New Roman" w:eastAsia="Times New Roman" w:hAnsi="Times New Roman" w:cs="Times New Roman"/>
                <w:sz w:val="18"/>
                <w:szCs w:val="18"/>
                <w:lang w:val="pl-PL" w:eastAsia="pl-PL"/>
              </w:rPr>
              <w:t>i</w:t>
            </w:r>
            <w:r w:rsidRPr="00B30329">
              <w:rPr>
                <w:rFonts w:ascii="Times New Roman" w:eastAsia="Times New Roman" w:hAnsi="Times New Roman" w:cs="Times New Roman"/>
                <w:sz w:val="18"/>
                <w:szCs w:val="18"/>
                <w:lang w:val="pl-PL" w:eastAsia="pl-PL"/>
              </w:rPr>
              <w:t>e również inwestycje w termomodernizację budynków, budowę instalacji do przetwarzania odpadów oraz budowę instalacji oszczędzających wodę i energię.</w:t>
            </w:r>
          </w:p>
          <w:p w14:paraId="302AEA39" w14:textId="5896DC1C"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(ii) zakup i instalacj</w:t>
            </w:r>
            <w:r>
              <w:rPr>
                <w:rFonts w:ascii="Times New Roman" w:eastAsia="Times New Roman" w:hAnsi="Times New Roman" w:cs="Times New Roman"/>
                <w:sz w:val="18"/>
                <w:szCs w:val="18"/>
                <w:lang w:val="pl-PL" w:eastAsia="pl-PL"/>
              </w:rPr>
              <w:t>ę</w:t>
            </w:r>
            <w:r w:rsidRPr="00B30329">
              <w:rPr>
                <w:rFonts w:ascii="Times New Roman" w:eastAsia="Times New Roman" w:hAnsi="Times New Roman" w:cs="Times New Roman"/>
                <w:sz w:val="18"/>
                <w:szCs w:val="18"/>
                <w:lang w:val="pl-PL" w:eastAsia="pl-PL"/>
              </w:rPr>
              <w:t xml:space="preserve"> maszyn i urządzeń do przechowywania, sprzedaży, pakowania i transportu produktów rolno-spożywczych</w:t>
            </w:r>
          </w:p>
          <w:p w14:paraId="796861BF" w14:textId="0B2779CA"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(iii) Zakup i instalacj</w:t>
            </w:r>
            <w:r>
              <w:rPr>
                <w:rFonts w:ascii="Times New Roman" w:eastAsia="Times New Roman" w:hAnsi="Times New Roman" w:cs="Times New Roman"/>
                <w:sz w:val="18"/>
                <w:szCs w:val="18"/>
                <w:lang w:val="pl-PL" w:eastAsia="pl-PL"/>
              </w:rPr>
              <w:t>ę</w:t>
            </w:r>
            <w:r w:rsidRPr="00B30329">
              <w:rPr>
                <w:rFonts w:ascii="Times New Roman" w:eastAsia="Times New Roman" w:hAnsi="Times New Roman" w:cs="Times New Roman"/>
                <w:sz w:val="18"/>
                <w:szCs w:val="18"/>
                <w:lang w:val="pl-PL" w:eastAsia="pl-PL"/>
              </w:rPr>
              <w:t xml:space="preserve"> systemów informatycznych do obsługi, magazynowania i wprowadzania do obrotu produktów spożywczych, w tym systemów związanych z zarządzaniem i księgowością.</w:t>
            </w:r>
          </w:p>
          <w:p w14:paraId="347AE2CF" w14:textId="77777777"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(iv) Zakup nowych specjalistycznych środków transportu do zarządzania magazynem (takich jak wózki widłowe) oraz do transportu produktów rolno-spożywczych (takich jak cysterny, silosy, chłodnie i izotermy). Sprzęt transportowy powinien być kupowany w pełnej zgodności z Wytycznymi Technicznymi DNSH (2021/C58/01)).</w:t>
            </w:r>
          </w:p>
          <w:p w14:paraId="695BF3F1" w14:textId="77777777" w:rsidR="00B30329" w:rsidRPr="00B30329" w:rsidRDefault="00B30329" w:rsidP="00B30329">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(v) Inwestycje związane z przestrzeganiem certyfikowanych systemów zarządzania jakością</w:t>
            </w:r>
          </w:p>
          <w:p w14:paraId="6CD7C9E1" w14:textId="62B55485" w:rsidR="001052B5" w:rsidRPr="00316B26" w:rsidRDefault="00B30329" w:rsidP="00A20CA7">
            <w:pPr>
              <w:spacing w:after="0" w:line="240" w:lineRule="auto"/>
              <w:rPr>
                <w:rFonts w:ascii="Times New Roman" w:eastAsia="Times New Roman" w:hAnsi="Times New Roman" w:cs="Times New Roman"/>
                <w:sz w:val="18"/>
                <w:szCs w:val="18"/>
                <w:lang w:val="pl-PL" w:eastAsia="pl-PL"/>
              </w:rPr>
            </w:pPr>
            <w:r w:rsidRPr="00B30329">
              <w:rPr>
                <w:rFonts w:ascii="Times New Roman" w:eastAsia="Times New Roman" w:hAnsi="Times New Roman" w:cs="Times New Roman"/>
                <w:sz w:val="18"/>
                <w:szCs w:val="18"/>
                <w:lang w:val="pl-PL" w:eastAsia="pl-PL"/>
              </w:rPr>
              <w:t>(vi) Opłaty z góry za patenty i licencje.</w:t>
            </w:r>
            <w:r w:rsidR="001052B5"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001052B5" w:rsidRPr="00316B26">
              <w:rPr>
                <w:rFonts w:ascii="Times New Roman" w:eastAsia="Times New Roman" w:hAnsi="Times New Roman" w:cs="Times New Roman"/>
                <w:sz w:val="18"/>
                <w:szCs w:val="18"/>
                <w:lang w:val="pl-PL" w:eastAsia="pl-PL"/>
              </w:rPr>
              <w:br/>
            </w:r>
            <w:r w:rsidR="001052B5" w:rsidRPr="00316B26">
              <w:rPr>
                <w:rFonts w:ascii="Times New Roman" w:eastAsia="Times New Roman" w:hAnsi="Times New Roman" w:cs="Times New Roman"/>
                <w:sz w:val="18"/>
                <w:szCs w:val="18"/>
                <w:lang w:val="pl-PL" w:eastAsia="pl-PL"/>
              </w:rPr>
              <w:br/>
              <w:t xml:space="preserve">Inwestycje będą realizowane zgodnie z Wytycznymi Technicznymi DNSH (2021/C 58/01), w szczególności w odniesieniu do wymagań związanych z </w:t>
            </w:r>
            <w:r w:rsidR="001052B5" w:rsidRPr="00316B26">
              <w:rPr>
                <w:rFonts w:ascii="Times New Roman" w:eastAsia="Times New Roman" w:hAnsi="Times New Roman" w:cs="Times New Roman"/>
                <w:sz w:val="18"/>
                <w:szCs w:val="18"/>
                <w:lang w:val="pl-PL" w:eastAsia="pl-PL"/>
              </w:rPr>
              <w:lastRenderedPageBreak/>
              <w:t>efektywnością energetyczną, energią odnawialną i gospodarką odpadami.</w:t>
            </w:r>
          </w:p>
        </w:tc>
      </w:tr>
      <w:tr w:rsidR="001052B5" w:rsidRPr="009D378C" w14:paraId="3C6461E7" w14:textId="77777777" w:rsidTr="00A20CA7">
        <w:trPr>
          <w:trHeight w:val="5103"/>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262DDAFD"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A22G</w:t>
            </w:r>
          </w:p>
        </w:tc>
        <w:tc>
          <w:tcPr>
            <w:tcW w:w="1420" w:type="dxa"/>
            <w:tcBorders>
              <w:top w:val="nil"/>
              <w:left w:val="nil"/>
              <w:bottom w:val="single" w:sz="4" w:space="0" w:color="auto"/>
              <w:right w:val="single" w:sz="4" w:space="0" w:color="auto"/>
            </w:tcBorders>
            <w:shd w:val="clear" w:color="000000" w:fill="C6EFCE"/>
            <w:vAlign w:val="center"/>
            <w:hideMark/>
          </w:tcPr>
          <w:p w14:paraId="4836D08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79E9F8B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1FF6ACF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MŚP z sektora rolno-spożywczego, które zakończyło projekty modernizacji infrastruktury i wyposażenia </w:t>
            </w:r>
          </w:p>
        </w:tc>
        <w:tc>
          <w:tcPr>
            <w:tcW w:w="1701" w:type="dxa"/>
            <w:tcBorders>
              <w:top w:val="nil"/>
              <w:left w:val="nil"/>
              <w:bottom w:val="single" w:sz="4" w:space="0" w:color="auto"/>
              <w:right w:val="single" w:sz="4" w:space="0" w:color="auto"/>
            </w:tcBorders>
            <w:shd w:val="clear" w:color="000000" w:fill="C6EFCE"/>
            <w:vAlign w:val="center"/>
            <w:hideMark/>
          </w:tcPr>
          <w:p w14:paraId="55565393"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BD1120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4EAE934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1A53FB4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400</w:t>
            </w:r>
          </w:p>
        </w:tc>
        <w:tc>
          <w:tcPr>
            <w:tcW w:w="851" w:type="dxa"/>
            <w:tcBorders>
              <w:top w:val="nil"/>
              <w:left w:val="nil"/>
              <w:bottom w:val="single" w:sz="4" w:space="0" w:color="auto"/>
              <w:right w:val="single" w:sz="4" w:space="0" w:color="auto"/>
            </w:tcBorders>
            <w:shd w:val="clear" w:color="000000" w:fill="C6EFCE"/>
            <w:vAlign w:val="center"/>
            <w:hideMark/>
          </w:tcPr>
          <w:p w14:paraId="22DCBF3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09A19A8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2024</w:t>
            </w:r>
          </w:p>
        </w:tc>
        <w:tc>
          <w:tcPr>
            <w:tcW w:w="2977" w:type="dxa"/>
            <w:tcBorders>
              <w:top w:val="nil"/>
              <w:left w:val="nil"/>
              <w:bottom w:val="single" w:sz="4" w:space="0" w:color="auto"/>
              <w:right w:val="single" w:sz="4" w:space="0" w:color="auto"/>
            </w:tcBorders>
            <w:shd w:val="clear" w:color="000000" w:fill="C6EFCE"/>
            <w:vAlign w:val="center"/>
            <w:hideMark/>
          </w:tcPr>
          <w:p w14:paraId="17B2AB5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400 MŚP z sektora rolno-spożywczego i rybackiego zakończyło projekty modernizacji infrastruktury i wyposażenia. Inwestycje obejmują następujące rodzaje działalności:</w:t>
            </w:r>
            <w:r w:rsidRPr="00316B26">
              <w:rPr>
                <w:rFonts w:ascii="Times New Roman" w:eastAsia="Times New Roman" w:hAnsi="Times New Roman" w:cs="Times New Roman"/>
                <w:sz w:val="18"/>
                <w:szCs w:val="18"/>
                <w:lang w:val="pl-PL" w:eastAsia="pl-PL"/>
              </w:rPr>
              <w:br/>
              <w:t>1) Budowa lub modernizacja budynków i odpowiedniej infrastruktury, takiej jak obiekty produkcyjne, magazynowe i laboratoria. Wsparciem objęte zostaną także zielone inwestycje, takie jak budowa obiektów składowania i zagospodarowania odpadów, oczyszczalni ścieków i biogazowni. Ponadto inwestycje obejmą zakup paneli słonecznych oraz budowę instalacji odzysku ciepła, pieców na biomasę i czynników chłodniczych o zmniejszonym lub neutralnym wpływie na środowisko.</w:t>
            </w:r>
            <w:r w:rsidRPr="00316B26">
              <w:rPr>
                <w:rFonts w:ascii="Times New Roman" w:eastAsia="Times New Roman" w:hAnsi="Times New Roman" w:cs="Times New Roman"/>
                <w:sz w:val="18"/>
                <w:szCs w:val="18"/>
                <w:lang w:val="pl-PL" w:eastAsia="pl-PL"/>
              </w:rPr>
              <w:br/>
              <w:t>2) Zakup i montaż maszyn i urządzeń do przechowywania, przetwarzania i sprzedaży produktów rolno-spożywczych, produktów rybołówstwa i akwakultury.</w:t>
            </w:r>
            <w:r w:rsidRPr="00316B26">
              <w:rPr>
                <w:rFonts w:ascii="Times New Roman" w:eastAsia="Times New Roman" w:hAnsi="Times New Roman" w:cs="Times New Roman"/>
                <w:sz w:val="18"/>
                <w:szCs w:val="18"/>
                <w:lang w:val="pl-PL" w:eastAsia="pl-PL"/>
              </w:rPr>
              <w:br/>
              <w:t xml:space="preserve">3) Zakup i instalacja systemów informatycznych wspierających procesy produkcyjne, magazynowe i sprzedażowe, w tym zarządcze i </w:t>
            </w:r>
            <w:r w:rsidRPr="00316B26">
              <w:rPr>
                <w:rFonts w:ascii="Times New Roman" w:eastAsia="Times New Roman" w:hAnsi="Times New Roman" w:cs="Times New Roman"/>
                <w:sz w:val="18"/>
                <w:szCs w:val="18"/>
                <w:lang w:val="pl-PL" w:eastAsia="pl-PL"/>
              </w:rPr>
              <w:lastRenderedPageBreak/>
              <w:t>księgowe.</w:t>
            </w:r>
            <w:r w:rsidRPr="00316B26">
              <w:rPr>
                <w:rFonts w:ascii="Times New Roman" w:eastAsia="Times New Roman" w:hAnsi="Times New Roman" w:cs="Times New Roman"/>
                <w:sz w:val="18"/>
                <w:szCs w:val="18"/>
                <w:lang w:val="pl-PL" w:eastAsia="pl-PL"/>
              </w:rPr>
              <w:br/>
              <w:t xml:space="preserve">4) Zakup nowych </w:t>
            </w:r>
            <w:proofErr w:type="spellStart"/>
            <w:r w:rsidRPr="00316B26">
              <w:rPr>
                <w:rFonts w:ascii="Times New Roman" w:eastAsia="Times New Roman" w:hAnsi="Times New Roman" w:cs="Times New Roman"/>
                <w:sz w:val="18"/>
                <w:szCs w:val="18"/>
                <w:lang w:val="pl-PL" w:eastAsia="pl-PL"/>
              </w:rPr>
              <w:t>bezemisyjnych</w:t>
            </w:r>
            <w:proofErr w:type="spellEnd"/>
            <w:r w:rsidRPr="00316B26">
              <w:rPr>
                <w:rFonts w:ascii="Times New Roman" w:eastAsia="Times New Roman" w:hAnsi="Times New Roman" w:cs="Times New Roman"/>
                <w:sz w:val="18"/>
                <w:szCs w:val="18"/>
                <w:lang w:val="pl-PL" w:eastAsia="pl-PL"/>
              </w:rPr>
              <w:t xml:space="preserve"> lub niskoemisyjnych specjalistycznych środków transportu do gospodarki magazynowej (takich jak wózki widłowe) oraz do transportu produktów rolno-spożywczych i owoców morza (takich jak cysterny, silosy, chłodnie i izotermy).</w:t>
            </w:r>
            <w:r w:rsidRPr="00316B26">
              <w:rPr>
                <w:rFonts w:ascii="Times New Roman" w:eastAsia="Times New Roman" w:hAnsi="Times New Roman" w:cs="Times New Roman"/>
                <w:sz w:val="18"/>
                <w:szCs w:val="18"/>
                <w:lang w:val="pl-PL" w:eastAsia="pl-PL"/>
              </w:rPr>
              <w:br/>
              <w:t>5) Inwestycje związane z przestrzeganiem certyfikowanych systemów zarządzania jakością.</w:t>
            </w:r>
            <w:r w:rsidRPr="00316B26">
              <w:rPr>
                <w:rFonts w:ascii="Times New Roman" w:eastAsia="Times New Roman" w:hAnsi="Times New Roman" w:cs="Times New Roman"/>
                <w:sz w:val="18"/>
                <w:szCs w:val="18"/>
                <w:lang w:val="pl-PL" w:eastAsia="pl-PL"/>
              </w:rPr>
              <w:br/>
              <w:t>6) Opłaty z góry za patenty i licencje.</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będzie realizowana w pełnej zgodności z Wytycznymi Technicznymi DNSH (2021/C 58/01), w szczególności w zakresie wymagań związanych z efektywnością energetyczną, energią odnawialną, gospodarką odpadami i urządzeniami transportowymi.</w:t>
            </w:r>
          </w:p>
        </w:tc>
      </w:tr>
      <w:tr w:rsidR="001052B5" w:rsidRPr="009D378C" w14:paraId="4A7865ED" w14:textId="77777777" w:rsidTr="00A20CA7">
        <w:trPr>
          <w:trHeight w:val="3402"/>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720CBC52"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A23G</w:t>
            </w:r>
          </w:p>
        </w:tc>
        <w:tc>
          <w:tcPr>
            <w:tcW w:w="1420" w:type="dxa"/>
            <w:tcBorders>
              <w:top w:val="nil"/>
              <w:left w:val="nil"/>
              <w:bottom w:val="single" w:sz="4" w:space="0" w:color="auto"/>
              <w:right w:val="single" w:sz="4" w:space="0" w:color="auto"/>
            </w:tcBorders>
            <w:shd w:val="clear" w:color="000000" w:fill="C6EFCE"/>
            <w:vAlign w:val="center"/>
            <w:hideMark/>
          </w:tcPr>
          <w:p w14:paraId="6DA19B16"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6BC77A3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5EA8D7D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W2 - MŚP z sektora rolno-spożywczego, które zakończyły projekty modernizacji infrastruktury i wyposażeni</w:t>
            </w:r>
          </w:p>
        </w:tc>
        <w:tc>
          <w:tcPr>
            <w:tcW w:w="1701" w:type="dxa"/>
            <w:tcBorders>
              <w:top w:val="nil"/>
              <w:left w:val="nil"/>
              <w:bottom w:val="single" w:sz="4" w:space="0" w:color="auto"/>
              <w:right w:val="single" w:sz="4" w:space="0" w:color="auto"/>
            </w:tcBorders>
            <w:shd w:val="clear" w:color="000000" w:fill="C6EFCE"/>
            <w:vAlign w:val="center"/>
            <w:hideMark/>
          </w:tcPr>
          <w:p w14:paraId="0E6C313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7A7C41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2A1BB04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400</w:t>
            </w:r>
          </w:p>
        </w:tc>
        <w:tc>
          <w:tcPr>
            <w:tcW w:w="1134" w:type="dxa"/>
            <w:tcBorders>
              <w:top w:val="nil"/>
              <w:left w:val="nil"/>
              <w:bottom w:val="single" w:sz="4" w:space="0" w:color="auto"/>
              <w:right w:val="single" w:sz="4" w:space="0" w:color="auto"/>
            </w:tcBorders>
            <w:shd w:val="clear" w:color="000000" w:fill="C6EFCE"/>
            <w:vAlign w:val="center"/>
            <w:hideMark/>
          </w:tcPr>
          <w:p w14:paraId="0345830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800</w:t>
            </w:r>
          </w:p>
        </w:tc>
        <w:tc>
          <w:tcPr>
            <w:tcW w:w="851" w:type="dxa"/>
            <w:tcBorders>
              <w:top w:val="nil"/>
              <w:left w:val="nil"/>
              <w:bottom w:val="single" w:sz="4" w:space="0" w:color="auto"/>
              <w:right w:val="single" w:sz="4" w:space="0" w:color="auto"/>
            </w:tcBorders>
            <w:shd w:val="clear" w:color="000000" w:fill="C6EFCE"/>
            <w:vAlign w:val="center"/>
            <w:hideMark/>
          </w:tcPr>
          <w:p w14:paraId="1CC0A67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25BE236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0A611BE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800 MŚP z sektora rolno-spożywczego i rybackiego zakończyło projekty modernizacji infrastruktury i wyposażenia. Inwestycje obejmują następujące rodzaje działalności:</w:t>
            </w:r>
            <w:r w:rsidRPr="00316B26">
              <w:rPr>
                <w:rFonts w:ascii="Times New Roman" w:eastAsia="Times New Roman" w:hAnsi="Times New Roman" w:cs="Times New Roman"/>
                <w:sz w:val="18"/>
                <w:szCs w:val="18"/>
                <w:lang w:val="pl-PL" w:eastAsia="pl-PL"/>
              </w:rPr>
              <w:br/>
              <w:t xml:space="preserve">1) Budowa lub modernizacja budynków i odpowiedniej infrastruktury, takiej jak obiekty produkcyjne, magazynowe i laboratoria. Wsparciem objęte zostaną także zielone inwestycje, takie jak budowa obiektów składowania i zagospodarowania odpadów, oczyszczalni ścieków i biogazowni. Ponadto inwestycje obejmą zakup paneli słonecznych oraz budowę </w:t>
            </w:r>
            <w:r w:rsidRPr="00316B26">
              <w:rPr>
                <w:rFonts w:ascii="Times New Roman" w:eastAsia="Times New Roman" w:hAnsi="Times New Roman" w:cs="Times New Roman"/>
                <w:sz w:val="18"/>
                <w:szCs w:val="18"/>
                <w:lang w:val="pl-PL" w:eastAsia="pl-PL"/>
              </w:rPr>
              <w:lastRenderedPageBreak/>
              <w:t>instalacji odzysku ciepła, pieców na biomasę i czynników chłodniczych o zmniejszonym lub neutralnym wpływie na środowisko.</w:t>
            </w:r>
            <w:r w:rsidRPr="00316B26">
              <w:rPr>
                <w:rFonts w:ascii="Times New Roman" w:eastAsia="Times New Roman" w:hAnsi="Times New Roman" w:cs="Times New Roman"/>
                <w:sz w:val="18"/>
                <w:szCs w:val="18"/>
                <w:lang w:val="pl-PL" w:eastAsia="pl-PL"/>
              </w:rPr>
              <w:br/>
              <w:t>2) Zakup i montaż maszyn i urządzeń do przechowywania, przetwarzania i sprzedaży produktów rolno-spożywczych, produktów rybołówstwa i akwakultury.</w:t>
            </w:r>
            <w:r w:rsidRPr="00316B26">
              <w:rPr>
                <w:rFonts w:ascii="Times New Roman" w:eastAsia="Times New Roman" w:hAnsi="Times New Roman" w:cs="Times New Roman"/>
                <w:sz w:val="18"/>
                <w:szCs w:val="18"/>
                <w:lang w:val="pl-PL" w:eastAsia="pl-PL"/>
              </w:rPr>
              <w:br/>
              <w:t>3) Zakup i instalacja systemów informatycznych wspierających procesy produkcyjne, magazynowe i sprzedażowe, w tym zarządcze i księgowe.</w:t>
            </w:r>
            <w:r w:rsidRPr="00316B26">
              <w:rPr>
                <w:rFonts w:ascii="Times New Roman" w:eastAsia="Times New Roman" w:hAnsi="Times New Roman" w:cs="Times New Roman"/>
                <w:sz w:val="18"/>
                <w:szCs w:val="18"/>
                <w:lang w:val="pl-PL" w:eastAsia="pl-PL"/>
              </w:rPr>
              <w:br/>
              <w:t xml:space="preserve">4) Zakup nowych </w:t>
            </w:r>
            <w:proofErr w:type="spellStart"/>
            <w:r w:rsidRPr="00316B26">
              <w:rPr>
                <w:rFonts w:ascii="Times New Roman" w:eastAsia="Times New Roman" w:hAnsi="Times New Roman" w:cs="Times New Roman"/>
                <w:sz w:val="18"/>
                <w:szCs w:val="18"/>
                <w:lang w:val="pl-PL" w:eastAsia="pl-PL"/>
              </w:rPr>
              <w:t>bezemisyjnych</w:t>
            </w:r>
            <w:proofErr w:type="spellEnd"/>
            <w:r w:rsidRPr="00316B26">
              <w:rPr>
                <w:rFonts w:ascii="Times New Roman" w:eastAsia="Times New Roman" w:hAnsi="Times New Roman" w:cs="Times New Roman"/>
                <w:sz w:val="18"/>
                <w:szCs w:val="18"/>
                <w:lang w:val="pl-PL" w:eastAsia="pl-PL"/>
              </w:rPr>
              <w:t xml:space="preserve"> lub niskoemisyjnych specjalistycznych środków transportu do gospodarki magazynowej (takich jak wózki widłowe) oraz do transportu produktów rolno-spożywczych i owoców morza (takich jak cysterny, silosy, chłodnie i izotermy).</w:t>
            </w:r>
            <w:r w:rsidRPr="00316B26">
              <w:rPr>
                <w:rFonts w:ascii="Times New Roman" w:eastAsia="Times New Roman" w:hAnsi="Times New Roman" w:cs="Times New Roman"/>
                <w:sz w:val="18"/>
                <w:szCs w:val="18"/>
                <w:lang w:val="pl-PL" w:eastAsia="pl-PL"/>
              </w:rPr>
              <w:br/>
              <w:t>5) Inwestycje związane z przestrzeganiem certyfikowanych systemów zarządzania jakością.</w:t>
            </w:r>
            <w:r w:rsidRPr="00316B26">
              <w:rPr>
                <w:rFonts w:ascii="Times New Roman" w:eastAsia="Times New Roman" w:hAnsi="Times New Roman" w:cs="Times New Roman"/>
                <w:sz w:val="18"/>
                <w:szCs w:val="18"/>
                <w:lang w:val="pl-PL" w:eastAsia="pl-PL"/>
              </w:rPr>
              <w:br/>
              <w:t>6) Opłaty z góry za patenty i licencje.</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będzie realizowana w pełnej zgodności z Wytycznymi Technicznymi DNSH (2021/C 58/01), w szczególności w zakresie wymagań związanych z efektywnością energetyczną, energią odnawialną, gospodarką odpadami i urządzeniami transportowymi.</w:t>
            </w:r>
          </w:p>
        </w:tc>
      </w:tr>
      <w:tr w:rsidR="001052B5" w:rsidRPr="009D378C" w14:paraId="02665326" w14:textId="77777777" w:rsidTr="00A20CA7">
        <w:trPr>
          <w:trHeight w:val="1701"/>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07EB1C5A"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A24G</w:t>
            </w:r>
          </w:p>
        </w:tc>
        <w:tc>
          <w:tcPr>
            <w:tcW w:w="1420" w:type="dxa"/>
            <w:tcBorders>
              <w:top w:val="nil"/>
              <w:left w:val="nil"/>
              <w:bottom w:val="single" w:sz="4" w:space="0" w:color="auto"/>
              <w:right w:val="single" w:sz="4" w:space="0" w:color="auto"/>
            </w:tcBorders>
            <w:shd w:val="clear" w:color="000000" w:fill="C6EFCE"/>
            <w:vAlign w:val="center"/>
            <w:hideMark/>
          </w:tcPr>
          <w:p w14:paraId="61AB67B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07B681B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7F9C1A9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Organizacje charytatywne w sektorze spożywczym, które zrealizowały projekty modernizacji infrastruktury i wyposażenia </w:t>
            </w:r>
          </w:p>
        </w:tc>
        <w:tc>
          <w:tcPr>
            <w:tcW w:w="1701" w:type="dxa"/>
            <w:tcBorders>
              <w:top w:val="nil"/>
              <w:left w:val="nil"/>
              <w:bottom w:val="single" w:sz="4" w:space="0" w:color="auto"/>
              <w:right w:val="single" w:sz="4" w:space="0" w:color="auto"/>
            </w:tcBorders>
            <w:shd w:val="clear" w:color="000000" w:fill="C6EFCE"/>
            <w:vAlign w:val="center"/>
            <w:hideMark/>
          </w:tcPr>
          <w:p w14:paraId="22B4A7B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791D19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0022991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4A57341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50</w:t>
            </w:r>
          </w:p>
        </w:tc>
        <w:tc>
          <w:tcPr>
            <w:tcW w:w="851" w:type="dxa"/>
            <w:tcBorders>
              <w:top w:val="nil"/>
              <w:left w:val="nil"/>
              <w:bottom w:val="single" w:sz="4" w:space="0" w:color="auto"/>
              <w:right w:val="single" w:sz="4" w:space="0" w:color="auto"/>
            </w:tcBorders>
            <w:shd w:val="clear" w:color="000000" w:fill="C6EFCE"/>
            <w:vAlign w:val="center"/>
            <w:hideMark/>
          </w:tcPr>
          <w:p w14:paraId="0E76F795"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0504D61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2595E45C"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50 organizacji charytatywnych w sektorze spożywczym zakończyło projekty mające na celu modernizację infrastruktury i wyposażenia w celu zachęcania do bardziej zrównoważonych wzorców konsumpcji żywności, zwłaszcza poprzez zapobieganie marnowaniu żywności. Inwestycje będą wspierać modernizację infrastruktury organizacji charytatywnych, w tym:</w:t>
            </w:r>
            <w:r w:rsidRPr="00316B26">
              <w:rPr>
                <w:rFonts w:ascii="Times New Roman" w:eastAsia="Times New Roman" w:hAnsi="Times New Roman" w:cs="Times New Roman"/>
                <w:sz w:val="18"/>
                <w:szCs w:val="18"/>
                <w:lang w:val="pl-PL" w:eastAsia="pl-PL"/>
              </w:rPr>
              <w:br/>
              <w:t>1) Budowa i adaptacja istniejących budynków do przechowywania, przygotowywania i dystrybucji żywności.</w:t>
            </w:r>
            <w:r w:rsidRPr="00316B26">
              <w:rPr>
                <w:rFonts w:ascii="Times New Roman" w:eastAsia="Times New Roman" w:hAnsi="Times New Roman" w:cs="Times New Roman"/>
                <w:sz w:val="18"/>
                <w:szCs w:val="18"/>
                <w:lang w:val="pl-PL" w:eastAsia="pl-PL"/>
              </w:rPr>
              <w:br/>
              <w:t>2) Zakup chłodni, lodówek, zamrażarek i agregatów prądotwórczych.</w:t>
            </w:r>
            <w:r w:rsidRPr="00316B26">
              <w:rPr>
                <w:rFonts w:ascii="Times New Roman" w:eastAsia="Times New Roman" w:hAnsi="Times New Roman" w:cs="Times New Roman"/>
                <w:sz w:val="18"/>
                <w:szCs w:val="18"/>
                <w:lang w:val="pl-PL" w:eastAsia="pl-PL"/>
              </w:rPr>
              <w:br/>
              <w:t>3) Zakup maszyn, urządzeń i sprzętu do przetwarzania, przechowywania, pakowania i dystrybucji artykułów spożywczych i posiłków.</w:t>
            </w:r>
            <w:r w:rsidRPr="00316B26">
              <w:rPr>
                <w:rFonts w:ascii="Times New Roman" w:eastAsia="Times New Roman" w:hAnsi="Times New Roman" w:cs="Times New Roman"/>
                <w:sz w:val="18"/>
                <w:szCs w:val="18"/>
                <w:lang w:val="pl-PL" w:eastAsia="pl-PL"/>
              </w:rPr>
              <w:br/>
              <w:t>5) Zakup urządzeń i aplikacji informatycznych do zarządzania procesami logistycznymi związanymi z dystrybucją żywności.</w:t>
            </w:r>
            <w:r w:rsidRPr="00316B26">
              <w:rPr>
                <w:rFonts w:ascii="Times New Roman" w:eastAsia="Times New Roman" w:hAnsi="Times New Roman" w:cs="Times New Roman"/>
                <w:sz w:val="18"/>
                <w:szCs w:val="18"/>
                <w:lang w:val="pl-PL" w:eastAsia="pl-PL"/>
              </w:rPr>
              <w:br/>
              <w:t>6) Zakup specjalistycznych środków transportu niezbędnych do odbioru i transportu żywności oraz gospodarki magazynowej (takich jak food trucki, izotermy, wózki widłowe i podnośniki).</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 xml:space="preserve">Inwestycja będzie realizowana w pełnej zgodności z Wytycznymi Technicznymi DNSH (2021/C 58/01), w szczególności z uwzględnieniem </w:t>
            </w:r>
            <w:r w:rsidRPr="00316B26">
              <w:rPr>
                <w:rFonts w:ascii="Times New Roman" w:eastAsia="Times New Roman" w:hAnsi="Times New Roman" w:cs="Times New Roman"/>
                <w:sz w:val="18"/>
                <w:szCs w:val="18"/>
                <w:lang w:val="pl-PL" w:eastAsia="pl-PL"/>
              </w:rPr>
              <w:lastRenderedPageBreak/>
              <w:t>wymagań związanych z efektywnością energetyczną, energią odnawialną, gospodarką odpadami i urządzeniami transportowymi.</w:t>
            </w:r>
          </w:p>
        </w:tc>
      </w:tr>
      <w:tr w:rsidR="001052B5" w:rsidRPr="009D378C" w14:paraId="65AA40FC" w14:textId="77777777" w:rsidTr="00A20CA7">
        <w:trPr>
          <w:trHeight w:val="8190"/>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2A909559"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A25G</w:t>
            </w:r>
          </w:p>
        </w:tc>
        <w:tc>
          <w:tcPr>
            <w:tcW w:w="1420" w:type="dxa"/>
            <w:tcBorders>
              <w:top w:val="nil"/>
              <w:left w:val="nil"/>
              <w:bottom w:val="single" w:sz="4" w:space="0" w:color="auto"/>
              <w:right w:val="single" w:sz="4" w:space="0" w:color="auto"/>
            </w:tcBorders>
            <w:shd w:val="clear" w:color="000000" w:fill="C6EFCE"/>
            <w:vAlign w:val="center"/>
            <w:hideMark/>
          </w:tcPr>
          <w:p w14:paraId="07BE483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29E3FD2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2A7499D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xml:space="preserve">W1 - Rolnicy i rybacy, którzy zrealizowali projekty modernizacji infrastruktury i wyposażenia, skrócenia łańcuchów dostaw żywności oraz wdrożenia rozwiązań rolniczych 4.0 w procesach produkcyjnych </w:t>
            </w:r>
          </w:p>
        </w:tc>
        <w:tc>
          <w:tcPr>
            <w:tcW w:w="1701" w:type="dxa"/>
            <w:tcBorders>
              <w:top w:val="nil"/>
              <w:left w:val="nil"/>
              <w:bottom w:val="single" w:sz="4" w:space="0" w:color="auto"/>
              <w:right w:val="single" w:sz="4" w:space="0" w:color="auto"/>
            </w:tcBorders>
            <w:shd w:val="clear" w:color="000000" w:fill="C6EFCE"/>
            <w:vAlign w:val="center"/>
            <w:hideMark/>
          </w:tcPr>
          <w:p w14:paraId="563E958F"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39FC819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27045440"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0</w:t>
            </w:r>
          </w:p>
        </w:tc>
        <w:tc>
          <w:tcPr>
            <w:tcW w:w="1134" w:type="dxa"/>
            <w:tcBorders>
              <w:top w:val="nil"/>
              <w:left w:val="nil"/>
              <w:bottom w:val="single" w:sz="4" w:space="0" w:color="auto"/>
              <w:right w:val="single" w:sz="4" w:space="0" w:color="auto"/>
            </w:tcBorders>
            <w:shd w:val="clear" w:color="000000" w:fill="C6EFCE"/>
            <w:vAlign w:val="center"/>
            <w:hideMark/>
          </w:tcPr>
          <w:p w14:paraId="6C20DF48"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5 764</w:t>
            </w:r>
          </w:p>
        </w:tc>
        <w:tc>
          <w:tcPr>
            <w:tcW w:w="851" w:type="dxa"/>
            <w:tcBorders>
              <w:top w:val="nil"/>
              <w:left w:val="nil"/>
              <w:bottom w:val="single" w:sz="4" w:space="0" w:color="auto"/>
              <w:right w:val="single" w:sz="4" w:space="0" w:color="auto"/>
            </w:tcBorders>
            <w:shd w:val="clear" w:color="000000" w:fill="C6EFCE"/>
            <w:vAlign w:val="center"/>
            <w:hideMark/>
          </w:tcPr>
          <w:p w14:paraId="4422CAA9"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05C598D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2023</w:t>
            </w:r>
          </w:p>
        </w:tc>
        <w:tc>
          <w:tcPr>
            <w:tcW w:w="2977" w:type="dxa"/>
            <w:tcBorders>
              <w:top w:val="nil"/>
              <w:left w:val="nil"/>
              <w:bottom w:val="single" w:sz="4" w:space="0" w:color="auto"/>
              <w:right w:val="single" w:sz="4" w:space="0" w:color="auto"/>
            </w:tcBorders>
            <w:shd w:val="clear" w:color="000000" w:fill="C6EFCE"/>
            <w:vAlign w:val="center"/>
            <w:hideMark/>
          </w:tcPr>
          <w:p w14:paraId="2FC13719" w14:textId="77777777" w:rsidR="00921767"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5764  rolników i rybaków ukończyło projekty modernizacji infrastruktury i sprzętu w celu zwiększenia ich odporności na przyszłe kryzysy i wzmocnienia zrównoważonych wzorców produkcji</w:t>
            </w:r>
            <w:r w:rsidR="00921767">
              <w:rPr>
                <w:rFonts w:ascii="Times New Roman" w:eastAsia="Times New Roman" w:hAnsi="Times New Roman" w:cs="Times New Roman"/>
                <w:sz w:val="18"/>
                <w:szCs w:val="18"/>
                <w:lang w:val="pl-PL" w:eastAsia="pl-PL"/>
              </w:rPr>
              <w:t xml:space="preserve">, skrócenia łańcuchów dostaw i wsparcia technologii rolnictwa 4.0 </w:t>
            </w:r>
            <w:r w:rsidRPr="00316B26">
              <w:rPr>
                <w:rFonts w:ascii="Times New Roman" w:eastAsia="Times New Roman" w:hAnsi="Times New Roman" w:cs="Times New Roman"/>
                <w:sz w:val="18"/>
                <w:szCs w:val="18"/>
                <w:lang w:val="pl-PL" w:eastAsia="pl-PL"/>
              </w:rPr>
              <w:t xml:space="preserve">. </w:t>
            </w:r>
          </w:p>
          <w:p w14:paraId="12FCE315" w14:textId="77777777" w:rsidR="00921767" w:rsidRDefault="00921767" w:rsidP="00A20CA7">
            <w:pPr>
              <w:spacing w:after="0" w:line="240" w:lineRule="auto"/>
              <w:rPr>
                <w:rFonts w:ascii="Times New Roman" w:eastAsia="Times New Roman" w:hAnsi="Times New Roman" w:cs="Times New Roman"/>
                <w:sz w:val="18"/>
                <w:szCs w:val="18"/>
                <w:lang w:val="pl-PL" w:eastAsia="pl-PL"/>
              </w:rPr>
            </w:pPr>
          </w:p>
          <w:p w14:paraId="3FB9E2D8" w14:textId="1E092F62" w:rsidR="00921767" w:rsidRPr="00921767" w:rsidRDefault="001052B5" w:rsidP="0092176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Inwestycje obejmują:</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1) Budow</w:t>
            </w:r>
            <w:r w:rsidR="00921767">
              <w:rPr>
                <w:rFonts w:ascii="Times New Roman" w:eastAsia="Times New Roman" w:hAnsi="Times New Roman" w:cs="Times New Roman"/>
                <w:sz w:val="18"/>
                <w:szCs w:val="18"/>
                <w:lang w:val="pl-PL" w:eastAsia="pl-PL"/>
              </w:rPr>
              <w:t>ę</w:t>
            </w:r>
            <w:r w:rsidRPr="00316B26">
              <w:rPr>
                <w:rFonts w:ascii="Times New Roman" w:eastAsia="Times New Roman" w:hAnsi="Times New Roman" w:cs="Times New Roman"/>
                <w:sz w:val="18"/>
                <w:szCs w:val="18"/>
                <w:lang w:val="pl-PL" w:eastAsia="pl-PL"/>
              </w:rPr>
              <w:t xml:space="preserve"> i modernizacj</w:t>
            </w:r>
            <w:r w:rsidR="00921767">
              <w:rPr>
                <w:rFonts w:ascii="Times New Roman" w:eastAsia="Times New Roman" w:hAnsi="Times New Roman" w:cs="Times New Roman"/>
                <w:sz w:val="18"/>
                <w:szCs w:val="18"/>
                <w:lang w:val="pl-PL" w:eastAsia="pl-PL"/>
              </w:rPr>
              <w:t>ę</w:t>
            </w:r>
            <w:r w:rsidRPr="00316B26">
              <w:rPr>
                <w:rFonts w:ascii="Times New Roman" w:eastAsia="Times New Roman" w:hAnsi="Times New Roman" w:cs="Times New Roman"/>
                <w:sz w:val="18"/>
                <w:szCs w:val="18"/>
                <w:lang w:val="pl-PL" w:eastAsia="pl-PL"/>
              </w:rPr>
              <w:t xml:space="preserve"> budynków i infrastruktury</w:t>
            </w:r>
            <w:r w:rsidR="00921767">
              <w:rPr>
                <w:rFonts w:ascii="Times New Roman" w:eastAsia="Times New Roman" w:hAnsi="Times New Roman" w:cs="Times New Roman"/>
                <w:sz w:val="18"/>
                <w:szCs w:val="18"/>
                <w:lang w:val="pl-PL" w:eastAsia="pl-PL"/>
              </w:rPr>
              <w:t xml:space="preserve"> </w:t>
            </w:r>
            <w:r w:rsidR="00921767" w:rsidRPr="00921767">
              <w:rPr>
                <w:rFonts w:ascii="Times New Roman" w:eastAsia="Times New Roman" w:hAnsi="Times New Roman" w:cs="Times New Roman"/>
                <w:sz w:val="18"/>
                <w:szCs w:val="18"/>
                <w:lang w:val="pl-PL" w:eastAsia="pl-PL"/>
              </w:rPr>
              <w:t>służącej do przetwarzania przez rolników produktów rolnych, rybołówstwa i akwakultury oraz produktów spożywczych. Wsparcie obejmuje również wymianę materiałów szkodliwych dla środowiska i zdrowia w budynkach wykorzystywanych do produkcji rolnej;2) Budow</w:t>
            </w:r>
            <w:r w:rsidR="00921767">
              <w:rPr>
                <w:rFonts w:ascii="Times New Roman" w:eastAsia="Times New Roman" w:hAnsi="Times New Roman" w:cs="Times New Roman"/>
                <w:sz w:val="18"/>
                <w:szCs w:val="18"/>
                <w:lang w:val="pl-PL" w:eastAsia="pl-PL"/>
              </w:rPr>
              <w:t>ę</w:t>
            </w:r>
            <w:r w:rsidR="00921767" w:rsidRPr="00921767">
              <w:rPr>
                <w:rFonts w:ascii="Times New Roman" w:eastAsia="Times New Roman" w:hAnsi="Times New Roman" w:cs="Times New Roman"/>
                <w:sz w:val="18"/>
                <w:szCs w:val="18"/>
                <w:lang w:val="pl-PL" w:eastAsia="pl-PL"/>
              </w:rPr>
              <w:t xml:space="preserve"> instalacji do odzysku ciepła, pieców na biomasę oraz czynników chłodniczych o ograniczonym lub neutralnym wpływie na środowisko. Wsparcie obejmuje również termomodernizację budynków, budowę zakładów składowania i zagospodarowania odpadów, oczyszczalni ścieków i biogazowni, a także zakup paneli fotowoltaicznych i solarnych.</w:t>
            </w:r>
          </w:p>
          <w:p w14:paraId="59404FAF" w14:textId="00D8A07A"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3) Zakup i instalacj</w:t>
            </w:r>
            <w:r>
              <w:rPr>
                <w:rFonts w:ascii="Times New Roman" w:eastAsia="Times New Roman" w:hAnsi="Times New Roman" w:cs="Times New Roman"/>
                <w:sz w:val="18"/>
                <w:szCs w:val="18"/>
                <w:lang w:val="pl-PL" w:eastAsia="pl-PL"/>
              </w:rPr>
              <w:t>ę</w:t>
            </w:r>
            <w:r w:rsidRPr="00921767">
              <w:rPr>
                <w:rFonts w:ascii="Times New Roman" w:eastAsia="Times New Roman" w:hAnsi="Times New Roman" w:cs="Times New Roman"/>
                <w:sz w:val="18"/>
                <w:szCs w:val="18"/>
                <w:lang w:val="pl-PL" w:eastAsia="pl-PL"/>
              </w:rPr>
              <w:t xml:space="preserve"> maszyn i urządzeń do produkcji, przetwarzania i przechowywania produktów rolnych, rybołówstwa i akwakultury przez rolników.</w:t>
            </w:r>
          </w:p>
          <w:p w14:paraId="133DD6E7" w14:textId="0C8FCB3C"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4) Budow</w:t>
            </w:r>
            <w:r>
              <w:rPr>
                <w:rFonts w:ascii="Times New Roman" w:eastAsia="Times New Roman" w:hAnsi="Times New Roman" w:cs="Times New Roman"/>
                <w:sz w:val="18"/>
                <w:szCs w:val="18"/>
                <w:lang w:val="pl-PL" w:eastAsia="pl-PL"/>
              </w:rPr>
              <w:t>ę</w:t>
            </w:r>
            <w:r w:rsidRPr="00921767">
              <w:rPr>
                <w:rFonts w:ascii="Times New Roman" w:eastAsia="Times New Roman" w:hAnsi="Times New Roman" w:cs="Times New Roman"/>
                <w:sz w:val="18"/>
                <w:szCs w:val="18"/>
                <w:lang w:val="pl-PL" w:eastAsia="pl-PL"/>
              </w:rPr>
              <w:t xml:space="preserve"> lub modernizacj</w:t>
            </w:r>
            <w:r>
              <w:rPr>
                <w:rFonts w:ascii="Times New Roman" w:eastAsia="Times New Roman" w:hAnsi="Times New Roman" w:cs="Times New Roman"/>
                <w:sz w:val="18"/>
                <w:szCs w:val="18"/>
                <w:lang w:val="pl-PL" w:eastAsia="pl-PL"/>
              </w:rPr>
              <w:t>ę</w:t>
            </w:r>
            <w:r w:rsidRPr="00921767">
              <w:rPr>
                <w:rFonts w:ascii="Times New Roman" w:eastAsia="Times New Roman" w:hAnsi="Times New Roman" w:cs="Times New Roman"/>
                <w:sz w:val="18"/>
                <w:szCs w:val="18"/>
                <w:lang w:val="pl-PL" w:eastAsia="pl-PL"/>
              </w:rPr>
              <w:t xml:space="preserve"> miejsc bezpośredniej sprzedaży lokalnych produktów żywnościowych. Obejmuje to rozbudowę, adaptację i budowę pomieszczeń do sprzedaży bezpośredniej, a także zakup odpowiedniego wyposażenia, takiego jak lodówki, zamrażarki oraz maszyny i urządzenia przetwórcze.  </w:t>
            </w:r>
          </w:p>
          <w:p w14:paraId="466A05BA" w14:textId="253EEC74"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lastRenderedPageBreak/>
              <w:t>5) Zakup i instalacj</w:t>
            </w:r>
            <w:r>
              <w:rPr>
                <w:rFonts w:ascii="Times New Roman" w:eastAsia="Times New Roman" w:hAnsi="Times New Roman" w:cs="Times New Roman"/>
                <w:sz w:val="18"/>
                <w:szCs w:val="18"/>
                <w:lang w:val="pl-PL" w:eastAsia="pl-PL"/>
              </w:rPr>
              <w:t>ę</w:t>
            </w:r>
            <w:r w:rsidRPr="00921767">
              <w:rPr>
                <w:rFonts w:ascii="Times New Roman" w:eastAsia="Times New Roman" w:hAnsi="Times New Roman" w:cs="Times New Roman"/>
                <w:sz w:val="18"/>
                <w:szCs w:val="18"/>
                <w:lang w:val="pl-PL" w:eastAsia="pl-PL"/>
              </w:rPr>
              <w:t xml:space="preserve"> systemów informatycznych i rozwiązań cyfrowych związanych z rolnictwem 4.0 w celu wsparcia procesów produkcji, magazynowania i sprzedaży produktów rolno-spożywczych. Obejmuje to zakup maszyn, urządzeń i oprogramowania do tych celów, w tym czujników, sprzętu informatycznego i oprogramowania użytkowego.  </w:t>
            </w:r>
          </w:p>
          <w:p w14:paraId="6C6A980B" w14:textId="77777777"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 xml:space="preserve">6) Zakup specjalistycznych pojazdów transportowych o zerowej lub niskiej emisji, takich jak chłodnie, cysterny i izotermy, w celu wsparcia sprzedaży lub transportu produktów rolno-spożywczych w systemie "od drzwi do drzwi". </w:t>
            </w:r>
          </w:p>
          <w:p w14:paraId="5057D847" w14:textId="77777777"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7) Stworzenie narzędzi internetowych do sprzedaży produktów rolnych, rybołówstwa, akwakultury i żywności oraz wsparcie organizacji dostaw.</w:t>
            </w:r>
          </w:p>
          <w:p w14:paraId="5511066A" w14:textId="77777777"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r w:rsidRPr="00921767">
              <w:rPr>
                <w:rFonts w:ascii="Times New Roman" w:eastAsia="Times New Roman" w:hAnsi="Times New Roman" w:cs="Times New Roman"/>
                <w:sz w:val="18"/>
                <w:szCs w:val="18"/>
                <w:lang w:val="pl-PL" w:eastAsia="pl-PL"/>
              </w:rPr>
              <w:t>8) Opłaty z góry za patenty i licencje.</w:t>
            </w:r>
          </w:p>
          <w:p w14:paraId="092FFC8F" w14:textId="77777777" w:rsidR="00921767" w:rsidRPr="00921767" w:rsidRDefault="00921767" w:rsidP="00921767">
            <w:pPr>
              <w:spacing w:after="0" w:line="240" w:lineRule="auto"/>
              <w:rPr>
                <w:rFonts w:ascii="Times New Roman" w:eastAsia="Times New Roman" w:hAnsi="Times New Roman" w:cs="Times New Roman"/>
                <w:sz w:val="18"/>
                <w:szCs w:val="18"/>
                <w:lang w:val="pl-PL" w:eastAsia="pl-PL"/>
              </w:rPr>
            </w:pPr>
          </w:p>
          <w:p w14:paraId="0884B1EB" w14:textId="34885814" w:rsidR="001052B5" w:rsidRPr="00316B26" w:rsidRDefault="001052B5" w:rsidP="0092176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Inwestycja będzie realizowana w pełnej zgodności z Wytycznymi Technicznymi DNSH (2021/C 58/01), w szczególności z uwzględnieniem wymagań związanych z efektywnością energetyczną, energią odnawialną, gospodarką odpadami, bioróżnorodnością i urządzeniami transportowymi.</w:t>
            </w:r>
          </w:p>
        </w:tc>
      </w:tr>
      <w:tr w:rsidR="001052B5" w:rsidRPr="009D378C" w14:paraId="0025F947" w14:textId="77777777" w:rsidTr="00A20CA7">
        <w:trPr>
          <w:trHeight w:val="7686"/>
        </w:trPr>
        <w:tc>
          <w:tcPr>
            <w:tcW w:w="985" w:type="dxa"/>
            <w:tcBorders>
              <w:top w:val="nil"/>
              <w:left w:val="single" w:sz="4" w:space="0" w:color="auto"/>
              <w:bottom w:val="single" w:sz="4" w:space="0" w:color="auto"/>
              <w:right w:val="single" w:sz="4" w:space="0" w:color="auto"/>
            </w:tcBorders>
            <w:shd w:val="clear" w:color="000000" w:fill="C6EFCE"/>
            <w:noWrap/>
            <w:vAlign w:val="center"/>
            <w:hideMark/>
          </w:tcPr>
          <w:p w14:paraId="4F8C01BA" w14:textId="77777777" w:rsidR="001052B5" w:rsidRPr="00316B26" w:rsidRDefault="001052B5" w:rsidP="00A20CA7">
            <w:pPr>
              <w:spacing w:after="0" w:line="240" w:lineRule="auto"/>
              <w:rPr>
                <w:rFonts w:ascii="Times New Roman" w:eastAsia="Times New Roman" w:hAnsi="Times New Roman" w:cs="Times New Roman"/>
                <w:b/>
                <w:bCs/>
                <w:sz w:val="18"/>
                <w:szCs w:val="18"/>
                <w:lang w:val="pl-PL" w:eastAsia="pl-PL"/>
              </w:rPr>
            </w:pPr>
            <w:r w:rsidRPr="00316B26">
              <w:rPr>
                <w:rFonts w:ascii="Times New Roman" w:eastAsia="Times New Roman" w:hAnsi="Times New Roman" w:cs="Times New Roman"/>
                <w:b/>
                <w:bCs/>
                <w:sz w:val="18"/>
                <w:szCs w:val="18"/>
                <w:lang w:val="pl-PL" w:eastAsia="pl-PL"/>
              </w:rPr>
              <w:lastRenderedPageBreak/>
              <w:t>A26G</w:t>
            </w:r>
          </w:p>
        </w:tc>
        <w:tc>
          <w:tcPr>
            <w:tcW w:w="1420" w:type="dxa"/>
            <w:tcBorders>
              <w:top w:val="nil"/>
              <w:left w:val="nil"/>
              <w:bottom w:val="single" w:sz="4" w:space="0" w:color="auto"/>
              <w:right w:val="single" w:sz="4" w:space="0" w:color="auto"/>
            </w:tcBorders>
            <w:shd w:val="clear" w:color="000000" w:fill="C6EFCE"/>
            <w:vAlign w:val="center"/>
            <w:hideMark/>
          </w:tcPr>
          <w:p w14:paraId="492B11EA"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A1.4.1 Inwestycje na rzecz dywersyfikacji i skracania łańcucha dostaw produktów rolnych i spożywczych oraz budowy odporności podmiotów uczestniczących w łańcuchu</w:t>
            </w:r>
          </w:p>
        </w:tc>
        <w:tc>
          <w:tcPr>
            <w:tcW w:w="992" w:type="dxa"/>
            <w:tcBorders>
              <w:top w:val="nil"/>
              <w:left w:val="nil"/>
              <w:bottom w:val="single" w:sz="4" w:space="0" w:color="auto"/>
              <w:right w:val="single" w:sz="4" w:space="0" w:color="auto"/>
            </w:tcBorders>
            <w:shd w:val="clear" w:color="000000" w:fill="C6EFCE"/>
            <w:vAlign w:val="center"/>
            <w:hideMark/>
          </w:tcPr>
          <w:p w14:paraId="145B139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Target</w:t>
            </w:r>
          </w:p>
        </w:tc>
        <w:tc>
          <w:tcPr>
            <w:tcW w:w="2268" w:type="dxa"/>
            <w:tcBorders>
              <w:top w:val="nil"/>
              <w:left w:val="nil"/>
              <w:bottom w:val="single" w:sz="4" w:space="0" w:color="auto"/>
              <w:right w:val="single" w:sz="4" w:space="0" w:color="auto"/>
            </w:tcBorders>
            <w:shd w:val="clear" w:color="000000" w:fill="C6EFCE"/>
            <w:vAlign w:val="center"/>
            <w:hideMark/>
          </w:tcPr>
          <w:p w14:paraId="050AD8E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W2 - Rolnicy i rybacy, którzy zrealizowali projekty modernizacji infrastruktury i wyposażenia, skrócenia łańcuchów dostaw żywności oraz wdrożenia rozwiązań rolniczych 4.0 w procesach produkcyjnych</w:t>
            </w:r>
          </w:p>
        </w:tc>
        <w:tc>
          <w:tcPr>
            <w:tcW w:w="1701" w:type="dxa"/>
            <w:tcBorders>
              <w:top w:val="nil"/>
              <w:left w:val="nil"/>
              <w:bottom w:val="single" w:sz="4" w:space="0" w:color="auto"/>
              <w:right w:val="single" w:sz="4" w:space="0" w:color="auto"/>
            </w:tcBorders>
            <w:shd w:val="clear" w:color="000000" w:fill="C6EFCE"/>
            <w:vAlign w:val="center"/>
            <w:hideMark/>
          </w:tcPr>
          <w:p w14:paraId="0C2EE77D"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7E735F47"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liczba</w:t>
            </w:r>
          </w:p>
        </w:tc>
        <w:tc>
          <w:tcPr>
            <w:tcW w:w="1276" w:type="dxa"/>
            <w:tcBorders>
              <w:top w:val="nil"/>
              <w:left w:val="nil"/>
              <w:bottom w:val="single" w:sz="4" w:space="0" w:color="auto"/>
              <w:right w:val="single" w:sz="4" w:space="0" w:color="auto"/>
            </w:tcBorders>
            <w:shd w:val="clear" w:color="000000" w:fill="C6EFCE"/>
            <w:vAlign w:val="center"/>
            <w:hideMark/>
          </w:tcPr>
          <w:p w14:paraId="2B1B21D4"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5 764</w:t>
            </w:r>
          </w:p>
        </w:tc>
        <w:tc>
          <w:tcPr>
            <w:tcW w:w="1134" w:type="dxa"/>
            <w:tcBorders>
              <w:top w:val="nil"/>
              <w:left w:val="nil"/>
              <w:bottom w:val="single" w:sz="4" w:space="0" w:color="auto"/>
              <w:right w:val="single" w:sz="4" w:space="0" w:color="auto"/>
            </w:tcBorders>
            <w:shd w:val="clear" w:color="000000" w:fill="C6EFCE"/>
            <w:vAlign w:val="center"/>
            <w:hideMark/>
          </w:tcPr>
          <w:p w14:paraId="4AED7F62"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11527</w:t>
            </w:r>
          </w:p>
        </w:tc>
        <w:tc>
          <w:tcPr>
            <w:tcW w:w="851" w:type="dxa"/>
            <w:tcBorders>
              <w:top w:val="nil"/>
              <w:left w:val="nil"/>
              <w:bottom w:val="single" w:sz="4" w:space="0" w:color="auto"/>
              <w:right w:val="single" w:sz="4" w:space="0" w:color="auto"/>
            </w:tcBorders>
            <w:shd w:val="clear" w:color="000000" w:fill="C6EFCE"/>
            <w:vAlign w:val="center"/>
            <w:hideMark/>
          </w:tcPr>
          <w:p w14:paraId="143CA361"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Q4</w:t>
            </w:r>
          </w:p>
        </w:tc>
        <w:tc>
          <w:tcPr>
            <w:tcW w:w="850" w:type="dxa"/>
            <w:tcBorders>
              <w:top w:val="nil"/>
              <w:left w:val="nil"/>
              <w:bottom w:val="single" w:sz="4" w:space="0" w:color="auto"/>
              <w:right w:val="single" w:sz="4" w:space="0" w:color="auto"/>
            </w:tcBorders>
            <w:shd w:val="clear" w:color="000000" w:fill="C6EFCE"/>
            <w:vAlign w:val="center"/>
            <w:hideMark/>
          </w:tcPr>
          <w:p w14:paraId="75546C5E" w14:textId="77777777" w:rsidR="001052B5" w:rsidRPr="00316B26"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2025</w:t>
            </w:r>
          </w:p>
        </w:tc>
        <w:tc>
          <w:tcPr>
            <w:tcW w:w="2977" w:type="dxa"/>
            <w:tcBorders>
              <w:top w:val="nil"/>
              <w:left w:val="nil"/>
              <w:bottom w:val="single" w:sz="4" w:space="0" w:color="auto"/>
              <w:right w:val="single" w:sz="4" w:space="0" w:color="auto"/>
            </w:tcBorders>
            <w:shd w:val="clear" w:color="000000" w:fill="C6EFCE"/>
            <w:vAlign w:val="center"/>
            <w:hideMark/>
          </w:tcPr>
          <w:p w14:paraId="0BE2C5CC" w14:textId="363ED58A" w:rsidR="00633A5B" w:rsidRDefault="001052B5" w:rsidP="00A20CA7">
            <w:pPr>
              <w:spacing w:after="0" w:line="240" w:lineRule="auto"/>
              <w:rPr>
                <w:rFonts w:ascii="Times New Roman" w:eastAsia="Times New Roman" w:hAnsi="Times New Roman" w:cs="Times New Roman"/>
                <w:sz w:val="18"/>
                <w:szCs w:val="18"/>
                <w:lang w:val="pl-PL" w:eastAsia="pl-PL"/>
              </w:rPr>
            </w:pPr>
            <w:r w:rsidRPr="00316B26">
              <w:rPr>
                <w:rFonts w:ascii="Times New Roman" w:eastAsia="Times New Roman" w:hAnsi="Times New Roman" w:cs="Times New Roman"/>
                <w:sz w:val="18"/>
                <w:szCs w:val="18"/>
                <w:lang w:val="pl-PL" w:eastAsia="pl-PL"/>
              </w:rPr>
              <w:t>Co najmniej 11</w:t>
            </w:r>
            <w:r w:rsidR="00633A5B">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527 rolników i rybaków ukończyło projekty modernizacji infrastruktury i sprzętu w celu zwiększenia ich odporności na przyszłe kryzysy i wzmocnienia zrównoważonych wzorców produkcji</w:t>
            </w:r>
            <w:r w:rsidR="00633A5B" w:rsidRPr="00BF27A8">
              <w:rPr>
                <w:lang w:val="pl-PL"/>
              </w:rPr>
              <w:t xml:space="preserve"> </w:t>
            </w:r>
            <w:r w:rsidR="00633A5B" w:rsidRPr="00633A5B">
              <w:rPr>
                <w:rFonts w:ascii="Times New Roman" w:eastAsia="Times New Roman" w:hAnsi="Times New Roman" w:cs="Times New Roman"/>
                <w:sz w:val="18"/>
                <w:szCs w:val="18"/>
                <w:lang w:val="pl-PL" w:eastAsia="pl-PL"/>
              </w:rPr>
              <w:t xml:space="preserve">skrócenia łańcuchów dostaw i wsparcia technologii rolnictwa 4.0 . </w:t>
            </w:r>
            <w:r w:rsidR="00633A5B">
              <w:rPr>
                <w:rFonts w:ascii="Times New Roman" w:eastAsia="Times New Roman" w:hAnsi="Times New Roman" w:cs="Times New Roman"/>
                <w:sz w:val="18"/>
                <w:szCs w:val="18"/>
                <w:lang w:val="pl-PL" w:eastAsia="pl-PL"/>
              </w:rPr>
              <w:t xml:space="preserve"> </w:t>
            </w:r>
            <w:r w:rsidRPr="00316B26">
              <w:rPr>
                <w:rFonts w:ascii="Times New Roman" w:eastAsia="Times New Roman" w:hAnsi="Times New Roman" w:cs="Times New Roman"/>
                <w:sz w:val="18"/>
                <w:szCs w:val="18"/>
                <w:lang w:val="pl-PL" w:eastAsia="pl-PL"/>
              </w:rPr>
              <w:t>. Inwestycje obejmują:</w:t>
            </w:r>
            <w:r w:rsidRPr="00316B26">
              <w:rPr>
                <w:rFonts w:ascii="Times New Roman" w:eastAsia="Times New Roman" w:hAnsi="Times New Roman" w:cs="Times New Roman"/>
                <w:sz w:val="18"/>
                <w:szCs w:val="18"/>
                <w:lang w:val="pl-PL" w:eastAsia="pl-PL"/>
              </w:rPr>
              <w:br/>
            </w:r>
            <w:r w:rsidRPr="00316B26">
              <w:rPr>
                <w:rFonts w:ascii="Times New Roman" w:eastAsia="Times New Roman" w:hAnsi="Times New Roman" w:cs="Times New Roman"/>
                <w:sz w:val="18"/>
                <w:szCs w:val="18"/>
                <w:lang w:val="pl-PL" w:eastAsia="pl-PL"/>
              </w:rPr>
              <w:br/>
              <w:t>1) Budow</w:t>
            </w:r>
            <w:r w:rsidR="00633A5B">
              <w:rPr>
                <w:rFonts w:ascii="Times New Roman" w:eastAsia="Times New Roman" w:hAnsi="Times New Roman" w:cs="Times New Roman"/>
                <w:sz w:val="18"/>
                <w:szCs w:val="18"/>
                <w:lang w:val="pl-PL" w:eastAsia="pl-PL"/>
              </w:rPr>
              <w:t>ę</w:t>
            </w:r>
            <w:r w:rsidRPr="00316B26">
              <w:rPr>
                <w:rFonts w:ascii="Times New Roman" w:eastAsia="Times New Roman" w:hAnsi="Times New Roman" w:cs="Times New Roman"/>
                <w:sz w:val="18"/>
                <w:szCs w:val="18"/>
                <w:lang w:val="pl-PL" w:eastAsia="pl-PL"/>
              </w:rPr>
              <w:t xml:space="preserve"> i modernizacj</w:t>
            </w:r>
            <w:r w:rsidR="00633A5B">
              <w:rPr>
                <w:rFonts w:ascii="Times New Roman" w:eastAsia="Times New Roman" w:hAnsi="Times New Roman" w:cs="Times New Roman"/>
                <w:sz w:val="18"/>
                <w:szCs w:val="18"/>
                <w:lang w:val="pl-PL" w:eastAsia="pl-PL"/>
              </w:rPr>
              <w:t>ę</w:t>
            </w:r>
            <w:r w:rsidRPr="00316B26">
              <w:rPr>
                <w:rFonts w:ascii="Times New Roman" w:eastAsia="Times New Roman" w:hAnsi="Times New Roman" w:cs="Times New Roman"/>
                <w:sz w:val="18"/>
                <w:szCs w:val="18"/>
                <w:lang w:val="pl-PL" w:eastAsia="pl-PL"/>
              </w:rPr>
              <w:t xml:space="preserve"> budynków i infrastruktury,</w:t>
            </w:r>
            <w:r w:rsidR="00633A5B" w:rsidRPr="00BF27A8">
              <w:rPr>
                <w:lang w:val="pl-PL"/>
              </w:rPr>
              <w:t xml:space="preserve"> </w:t>
            </w:r>
            <w:r w:rsidR="00633A5B" w:rsidRPr="00633A5B">
              <w:rPr>
                <w:rFonts w:ascii="Times New Roman" w:eastAsia="Times New Roman" w:hAnsi="Times New Roman" w:cs="Times New Roman"/>
                <w:sz w:val="18"/>
                <w:szCs w:val="18"/>
                <w:lang w:val="pl-PL" w:eastAsia="pl-PL"/>
              </w:rPr>
              <w:t xml:space="preserve">służącej do przetwarzania przez rolników produktów rolnych, rybołówstwa i akwakultury oraz produktów spożywczych. Wsparcie obejmuje również wymianę materiałów szkodliwych dla środowiska i zdrowia w budynkach wykorzystywanych do produkcji rolnej;, </w:t>
            </w:r>
            <w:r w:rsidRPr="00316B26">
              <w:rPr>
                <w:rFonts w:ascii="Times New Roman" w:eastAsia="Times New Roman" w:hAnsi="Times New Roman" w:cs="Times New Roman"/>
                <w:sz w:val="18"/>
                <w:szCs w:val="18"/>
                <w:lang w:val="pl-PL" w:eastAsia="pl-PL"/>
              </w:rPr>
              <w:t xml:space="preserve"> </w:t>
            </w:r>
          </w:p>
          <w:p w14:paraId="73CA0A25"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2) Budowę instalacji do odzysku ciepła, pieców na biomasę oraz czynników chłodniczych o ograniczonym lub neutralnym wpływie na środowisko. Wsparcie obejmuje również termomodernizację budynków, budowę zakładów składowania i zagospodarowania odpadów, oczyszczalni ścieków i biogazowni, a także zakup paneli fotowoltaicznych i solarnych.</w:t>
            </w:r>
          </w:p>
          <w:p w14:paraId="28F4245B"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3) Zakup i instalację maszyn i urządzeń do produkcji, przetwarzania i przechowywania produktów rolnych, rybołówstwa i akwakultury przez rolników.</w:t>
            </w:r>
          </w:p>
          <w:p w14:paraId="392374BA"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 xml:space="preserve">4) Budowę lub modernizację miejsc bezpośredniej sprzedaży lokalnych produktów żywnościowych. Obejmuje to rozbudowę, adaptację i budowę pomieszczeń do sprzedaży bezpośredniej, a także zakup odpowiedniego wyposażenia, takiego jak lodówki, zamrażarki oraz maszyny i urządzenia przetwórcze.  </w:t>
            </w:r>
          </w:p>
          <w:p w14:paraId="2041C9DB"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lastRenderedPageBreak/>
              <w:t xml:space="preserve">5) Zakup i instalację systemów informatycznych i rozwiązań cyfrowych związanych z rolnictwem 4.0 w celu wsparcia procesów produkcji, magazynowania i sprzedaży produktów rolno-spożywczych. Obejmuje to zakup maszyn, urządzeń i oprogramowania do tych celów, w tym czujników, sprzętu informatycznego i oprogramowania użytkowego.  </w:t>
            </w:r>
          </w:p>
          <w:p w14:paraId="16E99893"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 xml:space="preserve">6) Zakup specjalistycznych pojazdów transportowych o zerowej lub niskiej emisji, takich jak chłodnie, cysterny i izotermy, w celu wsparcia sprzedaży lub transportu produktów rolno-spożywczych w systemie "od drzwi do drzwi". </w:t>
            </w:r>
          </w:p>
          <w:p w14:paraId="1A8EF3DB" w14:textId="77777777" w:rsidR="00633A5B" w:rsidRPr="00633A5B"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7) Stworzenie narzędzi internetowych do sprzedaży produktów rolnych, rybołówstwa, akwakultury i żywności oraz wsparcie organizacji dostaw.</w:t>
            </w:r>
          </w:p>
          <w:p w14:paraId="42CE51D4" w14:textId="153CFC54" w:rsidR="001052B5" w:rsidRPr="00316B26" w:rsidRDefault="00633A5B" w:rsidP="00633A5B">
            <w:pPr>
              <w:spacing w:after="0" w:line="240" w:lineRule="auto"/>
              <w:rPr>
                <w:rFonts w:ascii="Times New Roman" w:eastAsia="Times New Roman" w:hAnsi="Times New Roman" w:cs="Times New Roman"/>
                <w:sz w:val="18"/>
                <w:szCs w:val="18"/>
                <w:lang w:val="pl-PL" w:eastAsia="pl-PL"/>
              </w:rPr>
            </w:pPr>
            <w:r w:rsidRPr="00633A5B">
              <w:rPr>
                <w:rFonts w:ascii="Times New Roman" w:eastAsia="Times New Roman" w:hAnsi="Times New Roman" w:cs="Times New Roman"/>
                <w:sz w:val="18"/>
                <w:szCs w:val="18"/>
                <w:lang w:val="pl-PL" w:eastAsia="pl-PL"/>
              </w:rPr>
              <w:t>8) Opłaty z góry za patenty i licencje.</w:t>
            </w:r>
            <w:r w:rsidR="001052B5" w:rsidRPr="00316B26">
              <w:rPr>
                <w:rFonts w:ascii="Times New Roman" w:eastAsia="Times New Roman" w:hAnsi="Times New Roman" w:cs="Times New Roman"/>
                <w:sz w:val="18"/>
                <w:szCs w:val="18"/>
                <w:lang w:val="pl-PL" w:eastAsia="pl-PL"/>
              </w:rPr>
              <w:br/>
            </w:r>
            <w:r w:rsidR="001052B5" w:rsidRPr="00316B26">
              <w:rPr>
                <w:rFonts w:ascii="Times New Roman" w:eastAsia="Times New Roman" w:hAnsi="Times New Roman" w:cs="Times New Roman"/>
                <w:sz w:val="18"/>
                <w:szCs w:val="18"/>
                <w:lang w:val="pl-PL" w:eastAsia="pl-PL"/>
              </w:rPr>
              <w:br/>
            </w:r>
            <w:r w:rsidR="001052B5" w:rsidRPr="00316B26">
              <w:rPr>
                <w:rFonts w:ascii="Times New Roman" w:eastAsia="Times New Roman" w:hAnsi="Times New Roman" w:cs="Times New Roman"/>
                <w:sz w:val="18"/>
                <w:szCs w:val="18"/>
                <w:lang w:val="pl-PL" w:eastAsia="pl-PL"/>
              </w:rPr>
              <w:br/>
              <w:t>Inwestycja zapewni zrównoważoną realizację wszystkich rodzajów projektów opisanych w celu, z uwzględnieniem zarówno specyficznych potrzeb beneficjentów, jak i celów rozporządzenia RRF.</w:t>
            </w:r>
            <w:r w:rsidR="001052B5" w:rsidRPr="00316B26">
              <w:rPr>
                <w:rFonts w:ascii="Times New Roman" w:eastAsia="Times New Roman" w:hAnsi="Times New Roman" w:cs="Times New Roman"/>
                <w:sz w:val="18"/>
                <w:szCs w:val="18"/>
                <w:lang w:val="pl-PL" w:eastAsia="pl-PL"/>
              </w:rPr>
              <w:br/>
            </w:r>
            <w:r w:rsidR="001052B5" w:rsidRPr="00316B26">
              <w:rPr>
                <w:rFonts w:ascii="Times New Roman" w:eastAsia="Times New Roman" w:hAnsi="Times New Roman" w:cs="Times New Roman"/>
                <w:sz w:val="18"/>
                <w:szCs w:val="18"/>
                <w:lang w:val="pl-PL" w:eastAsia="pl-PL"/>
              </w:rPr>
              <w:br/>
              <w:t>Inwestycja będzie realizowana w pełnej zgodności z Wytycznymi Technicznymi DNSH (2021/C 58/01), w szczególności z uwzględnieniem wymagań związanych z efektywnością energetyczną, energią odnawialną, gospodarką odpadami, bioróżnorodnością i urządzeniami transportowymi.</w:t>
            </w:r>
          </w:p>
        </w:tc>
      </w:tr>
    </w:tbl>
    <w:p w14:paraId="4BD8C24E" w14:textId="77777777" w:rsidR="001052B5" w:rsidRDefault="001052B5" w:rsidP="001052B5">
      <w:pPr>
        <w:rPr>
          <w:lang w:val="pl-PL"/>
        </w:rPr>
      </w:pPr>
    </w:p>
    <w:p w14:paraId="55A2F5F0" w14:textId="77777777" w:rsidR="001052B5" w:rsidRDefault="001052B5" w:rsidP="001052B5">
      <w:pPr>
        <w:rPr>
          <w:lang w:val="pl-PL"/>
        </w:rPr>
      </w:pPr>
    </w:p>
    <w:p w14:paraId="67C1EAFA" w14:textId="77777777" w:rsidR="001052B5" w:rsidRPr="001F52AF" w:rsidRDefault="001052B5" w:rsidP="001052B5">
      <w:pPr>
        <w:rPr>
          <w:lang w:val="pl-PL"/>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5"/>
        <w:gridCol w:w="1979"/>
        <w:gridCol w:w="996"/>
        <w:gridCol w:w="2266"/>
        <w:gridCol w:w="1701"/>
        <w:gridCol w:w="995"/>
        <w:gridCol w:w="994"/>
        <w:gridCol w:w="571"/>
        <w:gridCol w:w="567"/>
        <w:gridCol w:w="709"/>
        <w:gridCol w:w="3686"/>
      </w:tblGrid>
      <w:tr w:rsidR="001052B5" w:rsidRPr="001F52AF" w14:paraId="2CE25CF6" w14:textId="77777777" w:rsidTr="00A20CA7">
        <w:trPr>
          <w:trHeight w:val="454"/>
        </w:trPr>
        <w:tc>
          <w:tcPr>
            <w:tcW w:w="15309" w:type="dxa"/>
            <w:gridSpan w:val="11"/>
            <w:tcBorders>
              <w:top w:val="nil"/>
              <w:left w:val="nil"/>
              <w:bottom w:val="single" w:sz="4" w:space="0" w:color="000000" w:themeColor="text1"/>
              <w:right w:val="nil"/>
            </w:tcBorders>
            <w:shd w:val="clear" w:color="auto" w:fill="auto"/>
            <w:vAlign w:val="center"/>
          </w:tcPr>
          <w:p w14:paraId="15605D27" w14:textId="77777777" w:rsidR="001052B5" w:rsidRPr="001F52AF"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A02CB">
              <w:rPr>
                <w:rFonts w:ascii="Times New Roman" w:eastAsia="Times New Roman" w:hAnsi="Times New Roman" w:cs="Times New Roman"/>
                <w:b/>
                <w:sz w:val="24"/>
                <w:szCs w:val="24"/>
                <w:u w:val="single"/>
              </w:rPr>
              <w:t xml:space="preserve">A2 – </w:t>
            </w:r>
            <w:r>
              <w:rPr>
                <w:rFonts w:ascii="Times New Roman" w:eastAsia="Times New Roman" w:hAnsi="Times New Roman" w:cs="Times New Roman"/>
                <w:b/>
                <w:sz w:val="24"/>
                <w:szCs w:val="24"/>
                <w:u w:val="single"/>
              </w:rPr>
              <w:t>INNOWACJE</w:t>
            </w:r>
          </w:p>
        </w:tc>
      </w:tr>
      <w:tr w:rsidR="001052B5" w:rsidRPr="001F52AF" w14:paraId="3C4B5DA9" w14:textId="77777777" w:rsidTr="00A20CA7">
        <w:trPr>
          <w:trHeight w:val="939"/>
        </w:trPr>
        <w:tc>
          <w:tcPr>
            <w:tcW w:w="845" w:type="dxa"/>
            <w:vMerge w:val="restart"/>
            <w:tcBorders>
              <w:top w:val="single" w:sz="4" w:space="0" w:color="000000" w:themeColor="text1"/>
            </w:tcBorders>
            <w:shd w:val="clear" w:color="auto" w:fill="BDD7EE"/>
            <w:vAlign w:val="center"/>
          </w:tcPr>
          <w:p w14:paraId="0315214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979" w:type="dxa"/>
            <w:vMerge w:val="restart"/>
            <w:tcBorders>
              <w:top w:val="single" w:sz="4" w:space="0" w:color="000000" w:themeColor="text1"/>
            </w:tcBorders>
            <w:shd w:val="clear" w:color="auto" w:fill="BDD7EE"/>
            <w:vAlign w:val="center"/>
          </w:tcPr>
          <w:p w14:paraId="5CA9BD49"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996" w:type="dxa"/>
            <w:vMerge w:val="restart"/>
            <w:tcBorders>
              <w:top w:val="single" w:sz="4" w:space="0" w:color="000000" w:themeColor="text1"/>
            </w:tcBorders>
            <w:shd w:val="clear" w:color="auto" w:fill="BDD7EE"/>
            <w:vAlign w:val="center"/>
          </w:tcPr>
          <w:p w14:paraId="76CF915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2266" w:type="dxa"/>
            <w:vMerge w:val="restart"/>
            <w:tcBorders>
              <w:top w:val="single" w:sz="4" w:space="0" w:color="000000" w:themeColor="text1"/>
            </w:tcBorders>
            <w:shd w:val="clear" w:color="auto" w:fill="BDD7EE"/>
            <w:vAlign w:val="center"/>
          </w:tcPr>
          <w:p w14:paraId="1407455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701" w:type="dxa"/>
            <w:vMerge w:val="restart"/>
            <w:tcBorders>
              <w:top w:val="single" w:sz="4" w:space="0" w:color="000000" w:themeColor="text1"/>
            </w:tcBorders>
            <w:shd w:val="clear" w:color="auto" w:fill="BDD7EE"/>
            <w:vAlign w:val="center"/>
          </w:tcPr>
          <w:p w14:paraId="75FCF8B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Qualitative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milestones)</w:t>
            </w:r>
          </w:p>
        </w:tc>
        <w:tc>
          <w:tcPr>
            <w:tcW w:w="2560" w:type="dxa"/>
            <w:gridSpan w:val="3"/>
            <w:tcBorders>
              <w:top w:val="single" w:sz="4" w:space="0" w:color="000000" w:themeColor="text1"/>
            </w:tcBorders>
            <w:shd w:val="clear" w:color="auto" w:fill="BDD7EE"/>
            <w:vAlign w:val="center"/>
          </w:tcPr>
          <w:p w14:paraId="04DF89D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Quantitative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targets)</w:t>
            </w:r>
          </w:p>
        </w:tc>
        <w:tc>
          <w:tcPr>
            <w:tcW w:w="1276" w:type="dxa"/>
            <w:gridSpan w:val="2"/>
            <w:tcBorders>
              <w:top w:val="single" w:sz="4" w:space="0" w:color="000000" w:themeColor="text1"/>
            </w:tcBorders>
            <w:shd w:val="clear" w:color="auto" w:fill="BDD7EE"/>
            <w:vAlign w:val="center"/>
          </w:tcPr>
          <w:p w14:paraId="0EB69C8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686" w:type="dxa"/>
            <w:vMerge w:val="restart"/>
            <w:tcBorders>
              <w:top w:val="single" w:sz="4" w:space="0" w:color="000000" w:themeColor="text1"/>
            </w:tcBorders>
            <w:shd w:val="clear" w:color="auto" w:fill="BDD7EE"/>
            <w:vAlign w:val="center"/>
          </w:tcPr>
          <w:p w14:paraId="0EA0723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1F52AF" w14:paraId="3352BD40" w14:textId="77777777" w:rsidTr="00A20CA7">
        <w:trPr>
          <w:trHeight w:val="1027"/>
        </w:trPr>
        <w:tc>
          <w:tcPr>
            <w:tcW w:w="845" w:type="dxa"/>
            <w:vMerge/>
            <w:vAlign w:val="center"/>
          </w:tcPr>
          <w:p w14:paraId="3254EB85"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79" w:type="dxa"/>
            <w:vMerge/>
            <w:vAlign w:val="center"/>
          </w:tcPr>
          <w:p w14:paraId="7EDC1FF5"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6" w:type="dxa"/>
            <w:vMerge/>
            <w:vAlign w:val="center"/>
          </w:tcPr>
          <w:p w14:paraId="5DC3079E"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266" w:type="dxa"/>
            <w:vMerge/>
            <w:vAlign w:val="center"/>
          </w:tcPr>
          <w:p w14:paraId="1E081DEE"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701" w:type="dxa"/>
            <w:vMerge/>
            <w:vAlign w:val="center"/>
          </w:tcPr>
          <w:p w14:paraId="3870EBA8"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5" w:type="dxa"/>
            <w:shd w:val="clear" w:color="auto" w:fill="BDD7EE"/>
            <w:vAlign w:val="center"/>
          </w:tcPr>
          <w:p w14:paraId="5F0D6EB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94" w:type="dxa"/>
            <w:shd w:val="clear" w:color="auto" w:fill="BDD7EE"/>
            <w:vAlign w:val="center"/>
          </w:tcPr>
          <w:p w14:paraId="215D1E6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571" w:type="dxa"/>
            <w:shd w:val="clear" w:color="auto" w:fill="BDD7EE"/>
            <w:vAlign w:val="center"/>
          </w:tcPr>
          <w:p w14:paraId="0C64FB1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567" w:type="dxa"/>
            <w:shd w:val="clear" w:color="auto" w:fill="BDD7EE"/>
            <w:vAlign w:val="center"/>
          </w:tcPr>
          <w:p w14:paraId="190068E2"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9" w:type="dxa"/>
            <w:shd w:val="clear" w:color="auto" w:fill="BDD7EE"/>
            <w:vAlign w:val="center"/>
          </w:tcPr>
          <w:p w14:paraId="3FC4784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686" w:type="dxa"/>
            <w:vMerge/>
            <w:vAlign w:val="center"/>
          </w:tcPr>
          <w:p w14:paraId="6F47DF69"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9D378C" w14:paraId="60E1FF5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66"/>
        </w:trPr>
        <w:tc>
          <w:tcPr>
            <w:tcW w:w="845"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08330EB4" w14:textId="77777777" w:rsidR="001052B5" w:rsidRPr="0006001B" w:rsidRDefault="001052B5" w:rsidP="00A20CA7">
            <w:pPr>
              <w:spacing w:after="0" w:line="240" w:lineRule="auto"/>
              <w:rPr>
                <w:rFonts w:ascii="Times New Roman" w:eastAsia="Times New Roman" w:hAnsi="Times New Roman" w:cs="Times New Roman"/>
                <w:b/>
                <w:bCs/>
                <w:sz w:val="18"/>
                <w:szCs w:val="18"/>
                <w:lang w:eastAsia="pl-PL"/>
              </w:rPr>
            </w:pPr>
            <w:r w:rsidRPr="0006001B">
              <w:rPr>
                <w:rFonts w:ascii="Times New Roman" w:eastAsia="Times New Roman" w:hAnsi="Times New Roman" w:cs="Times New Roman"/>
                <w:b/>
                <w:bCs/>
                <w:sz w:val="18"/>
                <w:szCs w:val="18"/>
                <w:lang w:eastAsia="pl-PL"/>
              </w:rPr>
              <w:t>A27G</w:t>
            </w:r>
          </w:p>
        </w:tc>
        <w:tc>
          <w:tcPr>
            <w:tcW w:w="1979" w:type="dxa"/>
            <w:tcBorders>
              <w:top w:val="single" w:sz="4" w:space="0" w:color="auto"/>
              <w:left w:val="nil"/>
              <w:bottom w:val="single" w:sz="4" w:space="0" w:color="auto"/>
              <w:right w:val="single" w:sz="4" w:space="0" w:color="auto"/>
            </w:tcBorders>
            <w:shd w:val="clear" w:color="000000" w:fill="C6EFCE"/>
            <w:vAlign w:val="center"/>
            <w:hideMark/>
          </w:tcPr>
          <w:p w14:paraId="29C7C9B0"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xml:space="preserve">A2.1 Przyśpieszenie procesów robotyzacji i cyfryzacji i innowacji  </w:t>
            </w:r>
          </w:p>
        </w:tc>
        <w:tc>
          <w:tcPr>
            <w:tcW w:w="996" w:type="dxa"/>
            <w:tcBorders>
              <w:top w:val="single" w:sz="4" w:space="0" w:color="auto"/>
              <w:left w:val="nil"/>
              <w:bottom w:val="single" w:sz="4" w:space="0" w:color="auto"/>
              <w:right w:val="single" w:sz="4" w:space="0" w:color="auto"/>
            </w:tcBorders>
            <w:shd w:val="clear" w:color="000000" w:fill="C6EFCE"/>
            <w:vAlign w:val="center"/>
            <w:hideMark/>
          </w:tcPr>
          <w:p w14:paraId="7091248D" w14:textId="77777777" w:rsidR="001052B5" w:rsidRPr="0006001B" w:rsidRDefault="001052B5" w:rsidP="00A20CA7">
            <w:pPr>
              <w:spacing w:after="0" w:line="240" w:lineRule="auto"/>
              <w:rPr>
                <w:rFonts w:ascii="Times New Roman" w:eastAsia="Times New Roman" w:hAnsi="Times New Roman" w:cs="Times New Roman"/>
                <w:sz w:val="18"/>
                <w:szCs w:val="18"/>
                <w:lang w:eastAsia="pl-PL"/>
              </w:rPr>
            </w:pPr>
            <w:proofErr w:type="spellStart"/>
            <w:r w:rsidRPr="0006001B">
              <w:rPr>
                <w:rFonts w:ascii="Times New Roman" w:eastAsia="Times New Roman" w:hAnsi="Times New Roman" w:cs="Times New Roman"/>
                <w:sz w:val="18"/>
                <w:szCs w:val="18"/>
                <w:lang w:eastAsia="pl-PL"/>
              </w:rPr>
              <w:t>kamień</w:t>
            </w:r>
            <w:proofErr w:type="spellEnd"/>
            <w:r w:rsidRPr="0006001B">
              <w:rPr>
                <w:rFonts w:ascii="Times New Roman" w:eastAsia="Times New Roman" w:hAnsi="Times New Roman" w:cs="Times New Roman"/>
                <w:sz w:val="18"/>
                <w:szCs w:val="18"/>
                <w:lang w:eastAsia="pl-PL"/>
              </w:rPr>
              <w:t xml:space="preserve"> </w:t>
            </w:r>
            <w:proofErr w:type="spellStart"/>
            <w:r w:rsidRPr="0006001B">
              <w:rPr>
                <w:rFonts w:ascii="Times New Roman" w:eastAsia="Times New Roman" w:hAnsi="Times New Roman" w:cs="Times New Roman"/>
                <w:sz w:val="18"/>
                <w:szCs w:val="18"/>
                <w:lang w:eastAsia="pl-PL"/>
              </w:rPr>
              <w:t>milowy</w:t>
            </w:r>
            <w:proofErr w:type="spellEnd"/>
          </w:p>
        </w:tc>
        <w:tc>
          <w:tcPr>
            <w:tcW w:w="2266" w:type="dxa"/>
            <w:tcBorders>
              <w:top w:val="single" w:sz="4" w:space="0" w:color="auto"/>
              <w:left w:val="nil"/>
              <w:bottom w:val="single" w:sz="4" w:space="0" w:color="auto"/>
              <w:right w:val="single" w:sz="4" w:space="0" w:color="auto"/>
            </w:tcBorders>
            <w:shd w:val="clear" w:color="000000" w:fill="C6EFCE"/>
            <w:vAlign w:val="center"/>
            <w:hideMark/>
          </w:tcPr>
          <w:p w14:paraId="0B34173B"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xml:space="preserve">Wejście w życie nowej ustawy wspierającej automatyzację/cyfryzację i innowacje w przedsiębiorstwach poprzez wprowadzenie ulg podatkowych w zakresie robotyzacji </w:t>
            </w:r>
          </w:p>
        </w:tc>
        <w:tc>
          <w:tcPr>
            <w:tcW w:w="1701" w:type="dxa"/>
            <w:tcBorders>
              <w:top w:val="single" w:sz="4" w:space="0" w:color="auto"/>
              <w:left w:val="nil"/>
              <w:bottom w:val="single" w:sz="4" w:space="0" w:color="auto"/>
              <w:right w:val="single" w:sz="4" w:space="0" w:color="auto"/>
            </w:tcBorders>
            <w:shd w:val="clear" w:color="000000" w:fill="C6EFCE"/>
            <w:vAlign w:val="center"/>
            <w:hideMark/>
          </w:tcPr>
          <w:p w14:paraId="686BFC63"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Zapis w nowej ustawie o wspieraniu automatyzacji/cyfryzacji i innowacyjności przedsiębiorstw wskazujący na wejście w życie</w:t>
            </w:r>
          </w:p>
        </w:tc>
        <w:tc>
          <w:tcPr>
            <w:tcW w:w="995" w:type="dxa"/>
            <w:tcBorders>
              <w:top w:val="single" w:sz="4" w:space="0" w:color="auto"/>
              <w:left w:val="nil"/>
              <w:bottom w:val="single" w:sz="4" w:space="0" w:color="auto"/>
              <w:right w:val="single" w:sz="4" w:space="0" w:color="auto"/>
            </w:tcBorders>
            <w:shd w:val="clear" w:color="000000" w:fill="C6EFCE"/>
            <w:vAlign w:val="center"/>
            <w:hideMark/>
          </w:tcPr>
          <w:p w14:paraId="11BE4686"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w:t>
            </w:r>
          </w:p>
        </w:tc>
        <w:tc>
          <w:tcPr>
            <w:tcW w:w="994" w:type="dxa"/>
            <w:tcBorders>
              <w:top w:val="single" w:sz="4" w:space="0" w:color="auto"/>
              <w:left w:val="nil"/>
              <w:bottom w:val="single" w:sz="4" w:space="0" w:color="auto"/>
              <w:right w:val="single" w:sz="4" w:space="0" w:color="auto"/>
            </w:tcBorders>
            <w:shd w:val="clear" w:color="000000" w:fill="C6EFCE"/>
            <w:vAlign w:val="center"/>
            <w:hideMark/>
          </w:tcPr>
          <w:p w14:paraId="4BA42D04"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w:t>
            </w:r>
          </w:p>
        </w:tc>
        <w:tc>
          <w:tcPr>
            <w:tcW w:w="571" w:type="dxa"/>
            <w:tcBorders>
              <w:top w:val="single" w:sz="4" w:space="0" w:color="auto"/>
              <w:left w:val="nil"/>
              <w:bottom w:val="single" w:sz="4" w:space="0" w:color="auto"/>
              <w:right w:val="single" w:sz="4" w:space="0" w:color="auto"/>
            </w:tcBorders>
            <w:shd w:val="clear" w:color="000000" w:fill="C6EFCE"/>
            <w:vAlign w:val="center"/>
            <w:hideMark/>
          </w:tcPr>
          <w:p w14:paraId="745FBDFA"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 </w:t>
            </w:r>
          </w:p>
        </w:tc>
        <w:tc>
          <w:tcPr>
            <w:tcW w:w="567" w:type="dxa"/>
            <w:tcBorders>
              <w:top w:val="single" w:sz="4" w:space="0" w:color="auto"/>
              <w:left w:val="nil"/>
              <w:bottom w:val="single" w:sz="4" w:space="0" w:color="auto"/>
              <w:right w:val="single" w:sz="4" w:space="0" w:color="auto"/>
            </w:tcBorders>
            <w:shd w:val="clear" w:color="000000" w:fill="C6EFCE"/>
            <w:vAlign w:val="center"/>
            <w:hideMark/>
          </w:tcPr>
          <w:p w14:paraId="1808239F" w14:textId="77777777" w:rsidR="001052B5" w:rsidRPr="0006001B" w:rsidRDefault="001052B5" w:rsidP="00A20CA7">
            <w:pPr>
              <w:spacing w:after="0" w:line="240" w:lineRule="auto"/>
              <w:rPr>
                <w:rFonts w:ascii="Times New Roman" w:eastAsia="Times New Roman" w:hAnsi="Times New Roman" w:cs="Times New Roman"/>
                <w:sz w:val="18"/>
                <w:szCs w:val="18"/>
                <w:lang w:eastAsia="pl-PL"/>
              </w:rPr>
            </w:pPr>
            <w:r w:rsidRPr="0006001B">
              <w:rPr>
                <w:rFonts w:ascii="Times New Roman" w:eastAsia="Times New Roman" w:hAnsi="Times New Roman" w:cs="Times New Roman"/>
                <w:sz w:val="18"/>
                <w:szCs w:val="18"/>
                <w:lang w:eastAsia="pl-PL"/>
              </w:rPr>
              <w:t>Q2</w:t>
            </w:r>
          </w:p>
        </w:tc>
        <w:tc>
          <w:tcPr>
            <w:tcW w:w="709" w:type="dxa"/>
            <w:tcBorders>
              <w:top w:val="single" w:sz="4" w:space="0" w:color="auto"/>
              <w:left w:val="nil"/>
              <w:bottom w:val="single" w:sz="4" w:space="0" w:color="auto"/>
              <w:right w:val="single" w:sz="4" w:space="0" w:color="auto"/>
            </w:tcBorders>
            <w:shd w:val="clear" w:color="000000" w:fill="C6EFCE"/>
            <w:vAlign w:val="center"/>
            <w:hideMark/>
          </w:tcPr>
          <w:p w14:paraId="0B4B51B9" w14:textId="77777777" w:rsidR="001052B5" w:rsidRPr="0006001B" w:rsidRDefault="001052B5" w:rsidP="00A20CA7">
            <w:pPr>
              <w:spacing w:after="0" w:line="240" w:lineRule="auto"/>
              <w:rPr>
                <w:rFonts w:ascii="Times New Roman" w:eastAsia="Times New Roman" w:hAnsi="Times New Roman" w:cs="Times New Roman"/>
                <w:sz w:val="18"/>
                <w:szCs w:val="18"/>
                <w:lang w:eastAsia="pl-PL"/>
              </w:rPr>
            </w:pPr>
            <w:r w:rsidRPr="0006001B">
              <w:rPr>
                <w:rFonts w:ascii="Times New Roman" w:eastAsia="Times New Roman" w:hAnsi="Times New Roman" w:cs="Times New Roman"/>
                <w:sz w:val="18"/>
                <w:szCs w:val="18"/>
                <w:lang w:eastAsia="pl-PL"/>
              </w:rPr>
              <w:t>2022</w:t>
            </w:r>
          </w:p>
        </w:tc>
        <w:tc>
          <w:tcPr>
            <w:tcW w:w="3686" w:type="dxa"/>
            <w:tcBorders>
              <w:top w:val="single" w:sz="4" w:space="0" w:color="auto"/>
              <w:left w:val="nil"/>
              <w:bottom w:val="single" w:sz="4" w:space="0" w:color="auto"/>
              <w:right w:val="single" w:sz="4" w:space="0" w:color="auto"/>
            </w:tcBorders>
            <w:shd w:val="clear" w:color="000000" w:fill="C6EFCE"/>
            <w:vAlign w:val="center"/>
            <w:hideMark/>
          </w:tcPr>
          <w:p w14:paraId="638ADA35" w14:textId="77777777" w:rsidR="001052B5" w:rsidRPr="0006001B" w:rsidRDefault="001052B5" w:rsidP="00A20CA7">
            <w:pPr>
              <w:spacing w:after="0" w:line="240" w:lineRule="auto"/>
              <w:rPr>
                <w:rFonts w:ascii="Times New Roman" w:eastAsia="Times New Roman" w:hAnsi="Times New Roman" w:cs="Times New Roman"/>
                <w:sz w:val="18"/>
                <w:szCs w:val="18"/>
                <w:lang w:val="pl-PL" w:eastAsia="pl-PL"/>
              </w:rPr>
            </w:pPr>
            <w:r w:rsidRPr="0006001B">
              <w:rPr>
                <w:rFonts w:ascii="Times New Roman" w:eastAsia="Times New Roman" w:hAnsi="Times New Roman" w:cs="Times New Roman"/>
                <w:sz w:val="18"/>
                <w:szCs w:val="18"/>
                <w:lang w:val="pl-PL" w:eastAsia="pl-PL"/>
              </w:rPr>
              <w:t>Nowa ustawa wprowadzi ulgę podatkową, dzięki której przedsiębiorca będzie miał prawo do dodatkowego odpisania części kosztów robotyzacji od podstawy opodatkowania na koniec roku podatkowego. Ulga podatkowa będzie dostępna dla wszystkich przedsiębiorców bez względu na ich wielkość i miejsce prowadzenia działalności. Za kwalifikowalne uznaje się następujące koszty:</w:t>
            </w:r>
            <w:r w:rsidRPr="0006001B">
              <w:rPr>
                <w:rFonts w:ascii="Times New Roman" w:eastAsia="Times New Roman" w:hAnsi="Times New Roman" w:cs="Times New Roman"/>
                <w:sz w:val="18"/>
                <w:szCs w:val="18"/>
                <w:lang w:val="pl-PL" w:eastAsia="pl-PL"/>
              </w:rPr>
              <w:br/>
              <w:t>• Koszty zakupu nowych robotów,</w:t>
            </w:r>
            <w:r w:rsidRPr="0006001B">
              <w:rPr>
                <w:rFonts w:ascii="Times New Roman" w:eastAsia="Times New Roman" w:hAnsi="Times New Roman" w:cs="Times New Roman"/>
                <w:sz w:val="18"/>
                <w:szCs w:val="18"/>
                <w:lang w:val="pl-PL" w:eastAsia="pl-PL"/>
              </w:rPr>
              <w:br/>
              <w:t>• maszyny i urządzenia peryferyjne dla robotów funkcjonalnie z nimi powiązane</w:t>
            </w:r>
            <w:r w:rsidRPr="0006001B">
              <w:rPr>
                <w:rFonts w:ascii="Times New Roman" w:eastAsia="Times New Roman" w:hAnsi="Times New Roman" w:cs="Times New Roman"/>
                <w:sz w:val="18"/>
                <w:szCs w:val="18"/>
                <w:lang w:val="pl-PL" w:eastAsia="pl-PL"/>
              </w:rPr>
              <w:br/>
              <w:t>• maszyny, urządzenia i inne rzeczy funkcjonalnie związane z robotami, służące zapewnieniu ergonomii i bezpieczeństwa pracy</w:t>
            </w:r>
            <w:r w:rsidRPr="0006001B">
              <w:rPr>
                <w:rFonts w:ascii="Times New Roman" w:eastAsia="Times New Roman" w:hAnsi="Times New Roman" w:cs="Times New Roman"/>
                <w:sz w:val="18"/>
                <w:szCs w:val="18"/>
                <w:lang w:val="pl-PL" w:eastAsia="pl-PL"/>
              </w:rPr>
              <w:br/>
              <w:t>• maszyny, urządzenia lub systemy do zdalnego zarządzania, diagnostyki, monitorowania lub serwisowania robotów</w:t>
            </w:r>
            <w:r w:rsidRPr="0006001B">
              <w:rPr>
                <w:rFonts w:ascii="Times New Roman" w:eastAsia="Times New Roman" w:hAnsi="Times New Roman" w:cs="Times New Roman"/>
                <w:sz w:val="18"/>
                <w:szCs w:val="18"/>
                <w:lang w:val="pl-PL" w:eastAsia="pl-PL"/>
              </w:rPr>
              <w:br/>
              <w:t xml:space="preserve">• Urządzenia do interakcji człowiek-maszyna dla </w:t>
            </w:r>
            <w:proofErr w:type="spellStart"/>
            <w:r w:rsidRPr="0006001B">
              <w:rPr>
                <w:rFonts w:ascii="Times New Roman" w:eastAsia="Times New Roman" w:hAnsi="Times New Roman" w:cs="Times New Roman"/>
                <w:sz w:val="18"/>
                <w:szCs w:val="18"/>
                <w:lang w:val="pl-PL" w:eastAsia="pl-PL"/>
              </w:rPr>
              <w:t>cobotów</w:t>
            </w:r>
            <w:proofErr w:type="spellEnd"/>
            <w:r w:rsidRPr="0006001B">
              <w:rPr>
                <w:rFonts w:ascii="Times New Roman" w:eastAsia="Times New Roman" w:hAnsi="Times New Roman" w:cs="Times New Roman"/>
                <w:sz w:val="18"/>
                <w:szCs w:val="18"/>
                <w:lang w:val="pl-PL" w:eastAsia="pl-PL"/>
              </w:rPr>
              <w:t xml:space="preserve"> lub robotów o wysokiej czułości</w:t>
            </w:r>
            <w:r w:rsidRPr="0006001B">
              <w:rPr>
                <w:rFonts w:ascii="Times New Roman" w:eastAsia="Times New Roman" w:hAnsi="Times New Roman" w:cs="Times New Roman"/>
                <w:sz w:val="18"/>
                <w:szCs w:val="18"/>
                <w:lang w:val="pl-PL" w:eastAsia="pl-PL"/>
              </w:rPr>
              <w:br/>
              <w:t>• Koszty wartości niematerialnych dotyczące środków trwałych, o których mowa powyżej</w:t>
            </w:r>
            <w:r w:rsidRPr="0006001B">
              <w:rPr>
                <w:rFonts w:ascii="Times New Roman" w:eastAsia="Times New Roman" w:hAnsi="Times New Roman" w:cs="Times New Roman"/>
                <w:sz w:val="18"/>
                <w:szCs w:val="18"/>
                <w:lang w:val="pl-PL" w:eastAsia="pl-PL"/>
              </w:rPr>
              <w:br/>
              <w:t>• Koszty usług szkoleniowych dotyczących robotów</w:t>
            </w:r>
            <w:r w:rsidRPr="0006001B">
              <w:rPr>
                <w:rFonts w:ascii="Times New Roman" w:eastAsia="Times New Roman" w:hAnsi="Times New Roman" w:cs="Times New Roman"/>
                <w:sz w:val="18"/>
                <w:szCs w:val="18"/>
                <w:lang w:val="pl-PL" w:eastAsia="pl-PL"/>
              </w:rPr>
              <w:br/>
              <w:t>• opłaty, o których mowa w umowie leasingu dotyczącej środków trwałych wymienionych powyżej, jeżeli po zakończeniu podstawowego okresu umowy leasingu własność środków trwałych przechodzi na podatnika.</w:t>
            </w:r>
            <w:r w:rsidRPr="0006001B">
              <w:rPr>
                <w:rFonts w:ascii="Times New Roman" w:eastAsia="Times New Roman" w:hAnsi="Times New Roman" w:cs="Times New Roman"/>
                <w:sz w:val="18"/>
                <w:szCs w:val="18"/>
                <w:lang w:val="pl-PL" w:eastAsia="pl-PL"/>
              </w:rPr>
              <w:br/>
            </w:r>
            <w:r w:rsidRPr="0006001B">
              <w:rPr>
                <w:rFonts w:ascii="Times New Roman" w:eastAsia="Times New Roman" w:hAnsi="Times New Roman" w:cs="Times New Roman"/>
                <w:sz w:val="18"/>
                <w:szCs w:val="18"/>
                <w:lang w:val="pl-PL" w:eastAsia="pl-PL"/>
              </w:rPr>
              <w:br/>
              <w:t xml:space="preserve">Oczekuje się, że środek ten nie wyrządza </w:t>
            </w:r>
            <w:r w:rsidRPr="0006001B">
              <w:rPr>
                <w:rFonts w:ascii="Times New Roman" w:eastAsia="Times New Roman" w:hAnsi="Times New Roman" w:cs="Times New Roman"/>
                <w:sz w:val="18"/>
                <w:szCs w:val="18"/>
                <w:lang w:val="pl-PL" w:eastAsia="pl-PL"/>
              </w:rPr>
              <w:lastRenderedPageBreak/>
              <w:t>znaczącej szkody celom środowiskowym w rozumieniu art. 17 rozporządzenia (UE) 2020/852, biorąc pod uwagę opis środka i kroki łagodzące określone w planie naprawy i odporności w zgodnie z Wytycznymi Technicznymi DNSH (2021/C 58/01). W szczególności reforma będzie wspierać inwestycje o niewielkim wpływie, neutralne technologicznie na poziomie ich stosowania.</w:t>
            </w:r>
          </w:p>
        </w:tc>
      </w:tr>
      <w:tr w:rsidR="001052B5" w:rsidRPr="009D378C" w14:paraId="03BCF2B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590D8F82"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lastRenderedPageBreak/>
              <w:t>A28G</w:t>
            </w:r>
          </w:p>
        </w:tc>
        <w:tc>
          <w:tcPr>
            <w:tcW w:w="1979" w:type="dxa"/>
            <w:tcBorders>
              <w:top w:val="nil"/>
              <w:left w:val="nil"/>
              <w:bottom w:val="single" w:sz="4" w:space="0" w:color="auto"/>
              <w:right w:val="single" w:sz="4" w:space="0" w:color="auto"/>
            </w:tcBorders>
            <w:shd w:val="clear" w:color="000000" w:fill="C6EFCE"/>
            <w:vAlign w:val="center"/>
            <w:hideMark/>
          </w:tcPr>
          <w:p w14:paraId="7847656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A2.1.1 Inwestycje wspierające robotyzację i cyfryzację w przedsiębiorstwach   </w:t>
            </w:r>
          </w:p>
        </w:tc>
        <w:tc>
          <w:tcPr>
            <w:tcW w:w="996" w:type="dxa"/>
            <w:tcBorders>
              <w:top w:val="nil"/>
              <w:left w:val="nil"/>
              <w:bottom w:val="single" w:sz="4" w:space="0" w:color="auto"/>
              <w:right w:val="single" w:sz="4" w:space="0" w:color="auto"/>
            </w:tcBorders>
            <w:shd w:val="clear" w:color="000000" w:fill="C6EFCE"/>
            <w:vAlign w:val="center"/>
            <w:hideMark/>
          </w:tcPr>
          <w:p w14:paraId="660B5326"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5B81D483"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W1 - Wdrożone projekty związane z robotyzacją, sztuczną inteligencją lub cyfryzacją procesów, technologii, produktów lub usług </w:t>
            </w:r>
          </w:p>
        </w:tc>
        <w:tc>
          <w:tcPr>
            <w:tcW w:w="1701" w:type="dxa"/>
            <w:tcBorders>
              <w:top w:val="nil"/>
              <w:left w:val="nil"/>
              <w:bottom w:val="single" w:sz="4" w:space="0" w:color="auto"/>
              <w:right w:val="single" w:sz="4" w:space="0" w:color="auto"/>
            </w:tcBorders>
            <w:shd w:val="clear" w:color="000000" w:fill="C6EFCE"/>
            <w:vAlign w:val="center"/>
            <w:hideMark/>
          </w:tcPr>
          <w:p w14:paraId="1EC27B29"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25FB9802"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40033C7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5733CD31"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6</w:t>
            </w:r>
          </w:p>
        </w:tc>
        <w:tc>
          <w:tcPr>
            <w:tcW w:w="567" w:type="dxa"/>
            <w:tcBorders>
              <w:top w:val="nil"/>
              <w:left w:val="nil"/>
              <w:bottom w:val="single" w:sz="4" w:space="0" w:color="auto"/>
              <w:right w:val="single" w:sz="4" w:space="0" w:color="auto"/>
            </w:tcBorders>
            <w:shd w:val="clear" w:color="000000" w:fill="C6EFCE"/>
            <w:vAlign w:val="center"/>
            <w:hideMark/>
          </w:tcPr>
          <w:p w14:paraId="7953A577"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18FFD02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28E21143"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Liczba w pełni wdrożonych projektów związanych z robotyzacją, sztuczną inteligencją lub cyfryzacją procesów, technologii, produktów lub usług. W szczególności projekty obejmują co najmniej jeden z wymienionych tematów: - pełne wdrażanie innowacyjnych rozwiązań ukierunkowanych na transformację cyfrową, w tym cyfryzację procesów biznesowych, - wspieranie transformacji w kierunku Przemysłu 4.0 ze szczególnym uwzględnieniem robotyzacji i technologii operacyjnych, - wykorzystanie technologii chmurowych i sztucznej inteligencji w integracji i zarządzaniu procesami produkcyjnymi i biznesowymi, - integracja poszczególnych elementów procesów biznesowych, - pełne wdrożenie technologii komunikacyjnych pomiędzy maszynami (M2M), wykorzystanie przemysłowego Internetu Rzeczy (</w:t>
            </w:r>
            <w:proofErr w:type="spellStart"/>
            <w:r w:rsidRPr="005E435B">
              <w:rPr>
                <w:rFonts w:ascii="Times New Roman" w:eastAsia="Times New Roman" w:hAnsi="Times New Roman" w:cs="Times New Roman"/>
                <w:sz w:val="18"/>
                <w:szCs w:val="18"/>
                <w:lang w:val="pl-PL" w:eastAsia="pl-PL"/>
              </w:rPr>
              <w:t>IoT</w:t>
            </w:r>
            <w:proofErr w:type="spellEnd"/>
            <w:r w:rsidRPr="005E435B">
              <w:rPr>
                <w:rFonts w:ascii="Times New Roman" w:eastAsia="Times New Roman" w:hAnsi="Times New Roman" w:cs="Times New Roman"/>
                <w:sz w:val="18"/>
                <w:szCs w:val="18"/>
                <w:lang w:val="pl-PL" w:eastAsia="pl-PL"/>
              </w:rPr>
              <w:t xml:space="preserve">) z zastosowaniem zaawansowanych metod przetwarzania informacji, - pełne wdrożenie inteligentnych linii produkcyjnych, budowa inteligentnych fabryk (Smart </w:t>
            </w:r>
            <w:proofErr w:type="spellStart"/>
            <w:r w:rsidRPr="005E435B">
              <w:rPr>
                <w:rFonts w:ascii="Times New Roman" w:eastAsia="Times New Roman" w:hAnsi="Times New Roman" w:cs="Times New Roman"/>
                <w:sz w:val="18"/>
                <w:szCs w:val="18"/>
                <w:lang w:val="pl-PL" w:eastAsia="pl-PL"/>
              </w:rPr>
              <w:t>factory</w:t>
            </w:r>
            <w:proofErr w:type="spellEnd"/>
            <w:r w:rsidRPr="005E435B">
              <w:rPr>
                <w:rFonts w:ascii="Times New Roman" w:eastAsia="Times New Roman" w:hAnsi="Times New Roman" w:cs="Times New Roman"/>
                <w:sz w:val="18"/>
                <w:szCs w:val="18"/>
                <w:lang w:val="pl-PL" w:eastAsia="pl-PL"/>
              </w:rPr>
              <w:t xml:space="preserve">), - tworzenie dziedzinowych platform cyfrowych oraz integracja istniejących systemów dziedzinowych, - pełne wdrożenie dedykowanych systemów automatyzujących procesy w obszarze bezpieczeństwa cyfrowego z wykorzystaniem technologii chmurowych i sztucznej inteligencji, - pełne wdrożenie nowoczesnych, cyfrowych miejsc pracy. Projekt ma być skierowany głównie do dużych firm i ich pracowników. </w:t>
            </w:r>
          </w:p>
        </w:tc>
      </w:tr>
      <w:tr w:rsidR="001052B5" w:rsidRPr="009D378C" w14:paraId="5A16A9A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91"/>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02B6F806"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lastRenderedPageBreak/>
              <w:t>A29G</w:t>
            </w:r>
          </w:p>
        </w:tc>
        <w:tc>
          <w:tcPr>
            <w:tcW w:w="1979" w:type="dxa"/>
            <w:tcBorders>
              <w:top w:val="nil"/>
              <w:left w:val="nil"/>
              <w:bottom w:val="single" w:sz="4" w:space="0" w:color="auto"/>
              <w:right w:val="single" w:sz="4" w:space="0" w:color="auto"/>
            </w:tcBorders>
            <w:shd w:val="clear" w:color="000000" w:fill="C6EFCE"/>
            <w:vAlign w:val="center"/>
            <w:hideMark/>
          </w:tcPr>
          <w:p w14:paraId="4055A67E"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A2.1.1 Inwestycje wspierające robotyzację i cyfryzację w przedsiębiorstwach   </w:t>
            </w:r>
          </w:p>
        </w:tc>
        <w:tc>
          <w:tcPr>
            <w:tcW w:w="996" w:type="dxa"/>
            <w:tcBorders>
              <w:top w:val="nil"/>
              <w:left w:val="nil"/>
              <w:bottom w:val="single" w:sz="4" w:space="0" w:color="auto"/>
              <w:right w:val="single" w:sz="4" w:space="0" w:color="auto"/>
            </w:tcBorders>
            <w:shd w:val="clear" w:color="000000" w:fill="C6EFCE"/>
            <w:vAlign w:val="center"/>
            <w:hideMark/>
          </w:tcPr>
          <w:p w14:paraId="30E0FEFA"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42A28713"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W2 - Wdrożone projekty związane z robotyzacją, sztuczną inteligencją lub cyfryzacją procesów, technologii, produktów lub usług </w:t>
            </w:r>
          </w:p>
        </w:tc>
        <w:tc>
          <w:tcPr>
            <w:tcW w:w="1701" w:type="dxa"/>
            <w:tcBorders>
              <w:top w:val="nil"/>
              <w:left w:val="nil"/>
              <w:bottom w:val="single" w:sz="4" w:space="0" w:color="auto"/>
              <w:right w:val="single" w:sz="4" w:space="0" w:color="auto"/>
            </w:tcBorders>
            <w:shd w:val="clear" w:color="000000" w:fill="C6EFCE"/>
            <w:vAlign w:val="center"/>
            <w:hideMark/>
          </w:tcPr>
          <w:p w14:paraId="7024BDF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4C98934F"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14580AC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6</w:t>
            </w:r>
          </w:p>
        </w:tc>
        <w:tc>
          <w:tcPr>
            <w:tcW w:w="571" w:type="dxa"/>
            <w:tcBorders>
              <w:top w:val="nil"/>
              <w:left w:val="nil"/>
              <w:bottom w:val="single" w:sz="4" w:space="0" w:color="auto"/>
              <w:right w:val="single" w:sz="4" w:space="0" w:color="auto"/>
            </w:tcBorders>
            <w:shd w:val="clear" w:color="000000" w:fill="C6EFCE"/>
            <w:vAlign w:val="center"/>
            <w:hideMark/>
          </w:tcPr>
          <w:p w14:paraId="10A330C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40</w:t>
            </w:r>
          </w:p>
        </w:tc>
        <w:tc>
          <w:tcPr>
            <w:tcW w:w="567" w:type="dxa"/>
            <w:tcBorders>
              <w:top w:val="nil"/>
              <w:left w:val="nil"/>
              <w:bottom w:val="single" w:sz="4" w:space="0" w:color="auto"/>
              <w:right w:val="single" w:sz="4" w:space="0" w:color="auto"/>
            </w:tcBorders>
            <w:shd w:val="clear" w:color="000000" w:fill="C6EFCE"/>
            <w:vAlign w:val="center"/>
            <w:hideMark/>
          </w:tcPr>
          <w:p w14:paraId="5F9398D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3C5A3ED3"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6D2907A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Dodatkowo co najmniej 34 w pełni zrealizowane projekty związane z robotyzacją, sztuczną inteligencją lub cyfryzacją procesów, technologii, produktów lub usług spełniających wymagania określone we wskaźniku A28G.</w:t>
            </w:r>
          </w:p>
        </w:tc>
      </w:tr>
      <w:tr w:rsidR="001052B5" w:rsidRPr="009D378C" w14:paraId="3D03E2E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3277DA77"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A30G</w:t>
            </w:r>
          </w:p>
        </w:tc>
        <w:tc>
          <w:tcPr>
            <w:tcW w:w="1979" w:type="dxa"/>
            <w:tcBorders>
              <w:top w:val="nil"/>
              <w:left w:val="nil"/>
              <w:bottom w:val="single" w:sz="4" w:space="0" w:color="auto"/>
              <w:right w:val="single" w:sz="4" w:space="0" w:color="auto"/>
            </w:tcBorders>
            <w:shd w:val="clear" w:color="000000" w:fill="C6EFCE"/>
            <w:vAlign w:val="center"/>
            <w:hideMark/>
          </w:tcPr>
          <w:p w14:paraId="3B04DCCD"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A2.2 Stworzenie warunków do przejścia na model gospodarki o obiegu zamkniętym GOZ</w:t>
            </w:r>
          </w:p>
        </w:tc>
        <w:tc>
          <w:tcPr>
            <w:tcW w:w="996" w:type="dxa"/>
            <w:tcBorders>
              <w:top w:val="nil"/>
              <w:left w:val="nil"/>
              <w:bottom w:val="single" w:sz="4" w:space="0" w:color="auto"/>
              <w:right w:val="single" w:sz="4" w:space="0" w:color="auto"/>
            </w:tcBorders>
            <w:shd w:val="clear" w:color="000000" w:fill="C6EFCE"/>
            <w:vAlign w:val="center"/>
            <w:hideMark/>
          </w:tcPr>
          <w:p w14:paraId="44976895"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kamień</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milowy</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7F93FA3C"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Wejście w życie nowych przepisów wprowadzających zmiany prawne umożliwiające obrót surowcami wtórnymi </w:t>
            </w:r>
          </w:p>
        </w:tc>
        <w:tc>
          <w:tcPr>
            <w:tcW w:w="1701" w:type="dxa"/>
            <w:tcBorders>
              <w:top w:val="nil"/>
              <w:left w:val="nil"/>
              <w:bottom w:val="single" w:sz="4" w:space="0" w:color="auto"/>
              <w:right w:val="single" w:sz="4" w:space="0" w:color="auto"/>
            </w:tcBorders>
            <w:shd w:val="clear" w:color="000000" w:fill="C6EFCE"/>
            <w:vAlign w:val="center"/>
            <w:hideMark/>
          </w:tcPr>
          <w:p w14:paraId="6AF3D56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Przepis w aktach prawnych umożliwiający handel surowcami wtórnymi wskazujący na wejście w życie</w:t>
            </w:r>
          </w:p>
        </w:tc>
        <w:tc>
          <w:tcPr>
            <w:tcW w:w="995" w:type="dxa"/>
            <w:tcBorders>
              <w:top w:val="nil"/>
              <w:left w:val="nil"/>
              <w:bottom w:val="single" w:sz="4" w:space="0" w:color="auto"/>
              <w:right w:val="single" w:sz="4" w:space="0" w:color="auto"/>
            </w:tcBorders>
            <w:shd w:val="clear" w:color="000000" w:fill="C6EFCE"/>
            <w:vAlign w:val="center"/>
            <w:hideMark/>
          </w:tcPr>
          <w:p w14:paraId="274E5870"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4" w:type="dxa"/>
            <w:tcBorders>
              <w:top w:val="nil"/>
              <w:left w:val="nil"/>
              <w:bottom w:val="single" w:sz="4" w:space="0" w:color="auto"/>
              <w:right w:val="single" w:sz="4" w:space="0" w:color="auto"/>
            </w:tcBorders>
            <w:shd w:val="clear" w:color="000000" w:fill="C6EFCE"/>
            <w:vAlign w:val="center"/>
            <w:hideMark/>
          </w:tcPr>
          <w:p w14:paraId="03A384F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71" w:type="dxa"/>
            <w:tcBorders>
              <w:top w:val="nil"/>
              <w:left w:val="nil"/>
              <w:bottom w:val="single" w:sz="4" w:space="0" w:color="auto"/>
              <w:right w:val="single" w:sz="4" w:space="0" w:color="auto"/>
            </w:tcBorders>
            <w:shd w:val="clear" w:color="000000" w:fill="C6EFCE"/>
            <w:vAlign w:val="center"/>
            <w:hideMark/>
          </w:tcPr>
          <w:p w14:paraId="333023F6"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58E06B5C"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34837DD7"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337F7DA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Nowe prawo umożliwi obrót wybranymi surowcami wtórnymi. Ustawa umożliwi ułatwienie gospodarowania tymi materiałami, co spowoduje ograniczenie eksploatacji złóż surowców naturalnych, zastąpienie naturalnych materiałów i produktów oraz ograniczy składowanie odpadów na hałdach.</w:t>
            </w:r>
          </w:p>
        </w:tc>
      </w:tr>
      <w:tr w:rsidR="001052B5" w:rsidRPr="009D378C" w14:paraId="145E910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0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5925A2F2"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A31G</w:t>
            </w:r>
          </w:p>
        </w:tc>
        <w:tc>
          <w:tcPr>
            <w:tcW w:w="1979" w:type="dxa"/>
            <w:tcBorders>
              <w:top w:val="nil"/>
              <w:left w:val="nil"/>
              <w:bottom w:val="single" w:sz="4" w:space="0" w:color="auto"/>
              <w:right w:val="single" w:sz="4" w:space="0" w:color="auto"/>
            </w:tcBorders>
            <w:shd w:val="clear" w:color="000000" w:fill="C6EFCE"/>
            <w:vAlign w:val="center"/>
            <w:hideMark/>
          </w:tcPr>
          <w:p w14:paraId="13E8F9A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A2.2.1 Inwestycje we wdrażanie technologii i innowacji środowiskowych, w tym związanych z GOZ </w:t>
            </w:r>
          </w:p>
        </w:tc>
        <w:tc>
          <w:tcPr>
            <w:tcW w:w="996" w:type="dxa"/>
            <w:tcBorders>
              <w:top w:val="nil"/>
              <w:left w:val="nil"/>
              <w:bottom w:val="single" w:sz="4" w:space="0" w:color="auto"/>
              <w:right w:val="single" w:sz="4" w:space="0" w:color="auto"/>
            </w:tcBorders>
            <w:shd w:val="clear" w:color="000000" w:fill="C6EFCE"/>
            <w:vAlign w:val="center"/>
            <w:hideMark/>
          </w:tcPr>
          <w:p w14:paraId="6BBD558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5987E7AD"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Zawarcie umów o dotację na projekty przyznane MSP w zakresie rozwijania i stymulowania lub stosowania zielonych technologii (związanych z gospodarką o obiegu zamkniętym) </w:t>
            </w:r>
          </w:p>
        </w:tc>
        <w:tc>
          <w:tcPr>
            <w:tcW w:w="1701" w:type="dxa"/>
            <w:tcBorders>
              <w:top w:val="nil"/>
              <w:left w:val="nil"/>
              <w:bottom w:val="single" w:sz="4" w:space="0" w:color="auto"/>
              <w:right w:val="single" w:sz="4" w:space="0" w:color="auto"/>
            </w:tcBorders>
            <w:shd w:val="clear" w:color="000000" w:fill="C6EFCE"/>
            <w:vAlign w:val="center"/>
            <w:hideMark/>
          </w:tcPr>
          <w:p w14:paraId="4DCFAF9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3390023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36B26B2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75C46E5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100</w:t>
            </w:r>
          </w:p>
        </w:tc>
        <w:tc>
          <w:tcPr>
            <w:tcW w:w="567" w:type="dxa"/>
            <w:tcBorders>
              <w:top w:val="nil"/>
              <w:left w:val="nil"/>
              <w:bottom w:val="single" w:sz="4" w:space="0" w:color="auto"/>
              <w:right w:val="single" w:sz="4" w:space="0" w:color="auto"/>
            </w:tcBorders>
            <w:shd w:val="clear" w:color="000000" w:fill="C6EFCE"/>
            <w:vAlign w:val="center"/>
            <w:hideMark/>
          </w:tcPr>
          <w:p w14:paraId="0BCAA10F"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779163A2"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1FA83DFB"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Liczba podpisanych umów. Wybór zostanie dokonany na podstawie określonych kryteriów wyboru, zgodnie z zasadami niedyskryminacji i przejrzystości.</w:t>
            </w:r>
            <w:r w:rsidRPr="005E435B">
              <w:rPr>
                <w:rFonts w:ascii="Times New Roman" w:eastAsia="Times New Roman" w:hAnsi="Times New Roman" w:cs="Times New Roman"/>
                <w:sz w:val="18"/>
                <w:szCs w:val="18"/>
                <w:lang w:val="pl-PL" w:eastAsia="pl-PL"/>
              </w:rPr>
              <w:br/>
              <w:t xml:space="preserve">W ramach finansowania finansowane są projekty MŚP zgodne z wytycznymi technicznymi dla zasady „nie czyń poważnych szkód” (2021/C 58/01) poprzez zastosowanie wykazu </w:t>
            </w:r>
            <w:proofErr w:type="spellStart"/>
            <w:r w:rsidRPr="005E435B">
              <w:rPr>
                <w:rFonts w:ascii="Times New Roman" w:eastAsia="Times New Roman" w:hAnsi="Times New Roman" w:cs="Times New Roman"/>
                <w:sz w:val="18"/>
                <w:szCs w:val="18"/>
                <w:lang w:val="pl-PL" w:eastAsia="pl-PL"/>
              </w:rPr>
              <w:t>wykluczeń</w:t>
            </w:r>
            <w:proofErr w:type="spellEnd"/>
            <w:r w:rsidRPr="005E435B">
              <w:rPr>
                <w:rFonts w:ascii="Times New Roman" w:eastAsia="Times New Roman" w:hAnsi="Times New Roman" w:cs="Times New Roman"/>
                <w:sz w:val="18"/>
                <w:szCs w:val="18"/>
                <w:lang w:val="pl-PL" w:eastAsia="pl-PL"/>
              </w:rPr>
              <w:t xml:space="preserve"> dotyczącymi ochrony środowiska oraz związane z opracowaniem i wdrożeniem lub zastosowaniem rozwiązań w zakresie przemysłu ekologicznego, które są wybierane na podstawie największego wkładu w realizację celów (za pomocą wymiernych i wiarygodnych wskaźników) w jednej z następujących kategorii:  </w:t>
            </w:r>
            <w:r w:rsidRPr="005E435B">
              <w:rPr>
                <w:rFonts w:ascii="Times New Roman" w:eastAsia="Times New Roman" w:hAnsi="Times New Roman" w:cs="Times New Roman"/>
                <w:sz w:val="18"/>
                <w:szCs w:val="18"/>
                <w:lang w:val="pl-PL" w:eastAsia="pl-PL"/>
              </w:rPr>
              <w:br/>
              <w:t xml:space="preserve">- poprawa gospodarki materiałowej  </w:t>
            </w:r>
            <w:r w:rsidRPr="005E435B">
              <w:rPr>
                <w:rFonts w:ascii="Times New Roman" w:eastAsia="Times New Roman" w:hAnsi="Times New Roman" w:cs="Times New Roman"/>
                <w:sz w:val="18"/>
                <w:szCs w:val="18"/>
                <w:lang w:val="pl-PL" w:eastAsia="pl-PL"/>
              </w:rPr>
              <w:br/>
              <w:t xml:space="preserve">- wzrost efektywności energetycznej w procesach produkcyjnych i operacyjnych  </w:t>
            </w:r>
            <w:r w:rsidRPr="005E435B">
              <w:rPr>
                <w:rFonts w:ascii="Times New Roman" w:eastAsia="Times New Roman" w:hAnsi="Times New Roman" w:cs="Times New Roman"/>
                <w:sz w:val="18"/>
                <w:szCs w:val="18"/>
                <w:lang w:val="pl-PL" w:eastAsia="pl-PL"/>
              </w:rPr>
              <w:br/>
              <w:t xml:space="preserve">- zmniejszenie ilości odpadów z procesów produkcyjnych i operacyjnych  </w:t>
            </w:r>
            <w:r w:rsidRPr="005E435B">
              <w:rPr>
                <w:rFonts w:ascii="Times New Roman" w:eastAsia="Times New Roman" w:hAnsi="Times New Roman" w:cs="Times New Roman"/>
                <w:sz w:val="18"/>
                <w:szCs w:val="18"/>
                <w:lang w:val="pl-PL" w:eastAsia="pl-PL"/>
              </w:rPr>
              <w:br/>
              <w:t xml:space="preserve">- ponowne wykorzystanie lub recykling odpadów  </w:t>
            </w:r>
            <w:r w:rsidRPr="005E435B">
              <w:rPr>
                <w:rFonts w:ascii="Times New Roman" w:eastAsia="Times New Roman" w:hAnsi="Times New Roman" w:cs="Times New Roman"/>
                <w:sz w:val="18"/>
                <w:szCs w:val="18"/>
                <w:lang w:val="pl-PL" w:eastAsia="pl-PL"/>
              </w:rPr>
              <w:br/>
              <w:t>- redukcja emisji gazów cieplarnianych z procesów produkcyjnych i operacyjnych.</w:t>
            </w:r>
          </w:p>
        </w:tc>
      </w:tr>
      <w:tr w:rsidR="001052B5" w:rsidRPr="009D378C" w14:paraId="63E9F39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0AEEF1B8"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lastRenderedPageBreak/>
              <w:t>A32G</w:t>
            </w:r>
          </w:p>
        </w:tc>
        <w:tc>
          <w:tcPr>
            <w:tcW w:w="1979" w:type="dxa"/>
            <w:tcBorders>
              <w:top w:val="nil"/>
              <w:left w:val="nil"/>
              <w:bottom w:val="single" w:sz="4" w:space="0" w:color="auto"/>
              <w:right w:val="single" w:sz="4" w:space="0" w:color="auto"/>
            </w:tcBorders>
            <w:shd w:val="clear" w:color="000000" w:fill="C6EFCE"/>
            <w:vAlign w:val="center"/>
            <w:hideMark/>
          </w:tcPr>
          <w:p w14:paraId="0BBBE57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A2.2.1 Inwestycje we wdrażanie technologii i innowacji środowiskowych, w tym związanych z GOZ </w:t>
            </w:r>
          </w:p>
        </w:tc>
        <w:tc>
          <w:tcPr>
            <w:tcW w:w="996" w:type="dxa"/>
            <w:tcBorders>
              <w:top w:val="nil"/>
              <w:left w:val="nil"/>
              <w:bottom w:val="single" w:sz="4" w:space="0" w:color="auto"/>
              <w:right w:val="single" w:sz="4" w:space="0" w:color="auto"/>
            </w:tcBorders>
            <w:shd w:val="clear" w:color="000000" w:fill="C6EFCE"/>
            <w:vAlign w:val="center"/>
            <w:hideMark/>
          </w:tcPr>
          <w:p w14:paraId="425E632A"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3A0F1BCC"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Zawarcie umów o dofinansowanie projektów wspierających rozwój technologii przyczyniających się do tworzenia rynku surowców wtórnych </w:t>
            </w:r>
          </w:p>
        </w:tc>
        <w:tc>
          <w:tcPr>
            <w:tcW w:w="1701" w:type="dxa"/>
            <w:tcBorders>
              <w:top w:val="nil"/>
              <w:left w:val="nil"/>
              <w:bottom w:val="single" w:sz="4" w:space="0" w:color="auto"/>
              <w:right w:val="single" w:sz="4" w:space="0" w:color="auto"/>
            </w:tcBorders>
            <w:shd w:val="clear" w:color="000000" w:fill="C6EFCE"/>
            <w:vAlign w:val="center"/>
            <w:hideMark/>
          </w:tcPr>
          <w:p w14:paraId="70AA3D4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4DFD69F1"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0DD60F5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6817D08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5</w:t>
            </w:r>
          </w:p>
        </w:tc>
        <w:tc>
          <w:tcPr>
            <w:tcW w:w="567" w:type="dxa"/>
            <w:tcBorders>
              <w:top w:val="nil"/>
              <w:left w:val="nil"/>
              <w:bottom w:val="single" w:sz="4" w:space="0" w:color="auto"/>
              <w:right w:val="single" w:sz="4" w:space="0" w:color="auto"/>
            </w:tcBorders>
            <w:shd w:val="clear" w:color="000000" w:fill="C6EFCE"/>
            <w:vAlign w:val="center"/>
            <w:hideMark/>
          </w:tcPr>
          <w:p w14:paraId="74A6B26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3A176646"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2EBB5649"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Liczba podpisanych umów. Wybór zostanie dokonany na podstawie określonych kryteriów wyboru, zgodnie z zasadami niedyskryminacji i przejrzystości.</w:t>
            </w:r>
            <w:r w:rsidRPr="005E435B">
              <w:rPr>
                <w:rFonts w:ascii="Times New Roman" w:eastAsia="Times New Roman" w:hAnsi="Times New Roman" w:cs="Times New Roman"/>
                <w:sz w:val="18"/>
                <w:szCs w:val="18"/>
                <w:lang w:val="pl-PL" w:eastAsia="pl-PL"/>
              </w:rPr>
              <w:br/>
              <w:t xml:space="preserve">W ramach finansowania finansowane będą projekty zgodne z wytycznymi technicznymi dla zasady „nie czyń poważnych szkód” (2021/C 58/01) poprzez zastosowanie listy </w:t>
            </w:r>
            <w:proofErr w:type="spellStart"/>
            <w:r w:rsidRPr="005E435B">
              <w:rPr>
                <w:rFonts w:ascii="Times New Roman" w:eastAsia="Times New Roman" w:hAnsi="Times New Roman" w:cs="Times New Roman"/>
                <w:sz w:val="18"/>
                <w:szCs w:val="18"/>
                <w:lang w:val="pl-PL" w:eastAsia="pl-PL"/>
              </w:rPr>
              <w:t>wykluczeń</w:t>
            </w:r>
            <w:proofErr w:type="spellEnd"/>
            <w:r w:rsidRPr="005E435B">
              <w:rPr>
                <w:rFonts w:ascii="Times New Roman" w:eastAsia="Times New Roman" w:hAnsi="Times New Roman" w:cs="Times New Roman"/>
                <w:sz w:val="18"/>
                <w:szCs w:val="18"/>
                <w:lang w:val="pl-PL" w:eastAsia="pl-PL"/>
              </w:rPr>
              <w:t xml:space="preserve"> w zakresie ochrony środowiska oraz związane z wykorzystaniem surowców wtórnych, które zostaną wybrane na podstawie największego wkładu w realizację celów (poprzez mierzalne i wiarygodne wskaźniki): a) rozwój technologii przetwarzania odpadów; b) rozwój i wdrażanie innowacyjnych technologii w zakresie wykorzystania odpadów jako surowców wtórnych, c) zwiększenie ilości materiałów nadających się do recyklingu oraz zmniejszenie ilości materiałów pierwotnych wykorzystywanych w procesach produkcyjnych, d) wspieranie kluczowych procesów projektowych w zakresie recyklingu, e) wydłużenie okresu użytkowania produktów, f) zmniejszenie ilości odpadów kierowanych na składowiska.</w:t>
            </w:r>
          </w:p>
        </w:tc>
      </w:tr>
      <w:tr w:rsidR="001052B5" w:rsidRPr="009D378C" w14:paraId="7F4DCE9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213346EB"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A33G</w:t>
            </w:r>
          </w:p>
        </w:tc>
        <w:tc>
          <w:tcPr>
            <w:tcW w:w="1979" w:type="dxa"/>
            <w:tcBorders>
              <w:top w:val="nil"/>
              <w:left w:val="nil"/>
              <w:bottom w:val="single" w:sz="4" w:space="0" w:color="auto"/>
              <w:right w:val="single" w:sz="4" w:space="0" w:color="auto"/>
            </w:tcBorders>
            <w:shd w:val="clear" w:color="000000" w:fill="C6EFCE"/>
            <w:vAlign w:val="center"/>
            <w:hideMark/>
          </w:tcPr>
          <w:p w14:paraId="4734756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 Zapewnienie instytucjonalnych i prawnych podstaw rozwoju BSP  </w:t>
            </w:r>
          </w:p>
        </w:tc>
        <w:tc>
          <w:tcPr>
            <w:tcW w:w="996" w:type="dxa"/>
            <w:tcBorders>
              <w:top w:val="nil"/>
              <w:left w:val="nil"/>
              <w:bottom w:val="single" w:sz="4" w:space="0" w:color="auto"/>
              <w:right w:val="single" w:sz="4" w:space="0" w:color="auto"/>
            </w:tcBorders>
            <w:shd w:val="clear" w:color="000000" w:fill="C6EFCE"/>
            <w:vAlign w:val="center"/>
            <w:hideMark/>
          </w:tcPr>
          <w:p w14:paraId="42887D3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kamień</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milowy</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09391C99"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Wejście w życie nowej ustawy zmieniającej ustawę o Polskiej Agencji Żeglugi Powietrznej</w:t>
            </w:r>
          </w:p>
        </w:tc>
        <w:tc>
          <w:tcPr>
            <w:tcW w:w="1701" w:type="dxa"/>
            <w:tcBorders>
              <w:top w:val="nil"/>
              <w:left w:val="nil"/>
              <w:bottom w:val="single" w:sz="4" w:space="0" w:color="auto"/>
              <w:right w:val="single" w:sz="4" w:space="0" w:color="auto"/>
            </w:tcBorders>
            <w:shd w:val="clear" w:color="000000" w:fill="C6EFCE"/>
            <w:vAlign w:val="center"/>
            <w:hideMark/>
          </w:tcPr>
          <w:p w14:paraId="6F0ADD1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Przepis w nowej ustawie zmieniającej ustawę o Polskiej Agencji Żeglugi Powietrznej wskazujący na wejście w życie</w:t>
            </w:r>
          </w:p>
        </w:tc>
        <w:tc>
          <w:tcPr>
            <w:tcW w:w="995" w:type="dxa"/>
            <w:tcBorders>
              <w:top w:val="nil"/>
              <w:left w:val="nil"/>
              <w:bottom w:val="single" w:sz="4" w:space="0" w:color="auto"/>
              <w:right w:val="single" w:sz="4" w:space="0" w:color="auto"/>
            </w:tcBorders>
            <w:shd w:val="clear" w:color="000000" w:fill="C6EFCE"/>
            <w:vAlign w:val="center"/>
            <w:hideMark/>
          </w:tcPr>
          <w:p w14:paraId="0ED0AE73"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4" w:type="dxa"/>
            <w:tcBorders>
              <w:top w:val="nil"/>
              <w:left w:val="nil"/>
              <w:bottom w:val="single" w:sz="4" w:space="0" w:color="auto"/>
              <w:right w:val="single" w:sz="4" w:space="0" w:color="auto"/>
            </w:tcBorders>
            <w:shd w:val="clear" w:color="000000" w:fill="C6EFCE"/>
            <w:vAlign w:val="center"/>
            <w:hideMark/>
          </w:tcPr>
          <w:p w14:paraId="76C12540"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71" w:type="dxa"/>
            <w:tcBorders>
              <w:top w:val="nil"/>
              <w:left w:val="nil"/>
              <w:bottom w:val="single" w:sz="4" w:space="0" w:color="auto"/>
              <w:right w:val="single" w:sz="4" w:space="0" w:color="auto"/>
            </w:tcBorders>
            <w:shd w:val="clear" w:color="000000" w:fill="C6EFCE"/>
            <w:vAlign w:val="center"/>
            <w:hideMark/>
          </w:tcPr>
          <w:p w14:paraId="6ABF0048"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3C7ACA0F"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4DA67D9C"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2023</w:t>
            </w:r>
          </w:p>
        </w:tc>
        <w:tc>
          <w:tcPr>
            <w:tcW w:w="3686" w:type="dxa"/>
            <w:tcBorders>
              <w:top w:val="nil"/>
              <w:left w:val="nil"/>
              <w:bottom w:val="single" w:sz="4" w:space="0" w:color="auto"/>
              <w:right w:val="single" w:sz="4" w:space="0" w:color="auto"/>
            </w:tcBorders>
            <w:shd w:val="clear" w:color="000000" w:fill="C6EFCE"/>
            <w:vAlign w:val="center"/>
            <w:hideMark/>
          </w:tcPr>
          <w:p w14:paraId="072DB38D"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Nowa ustawa przyzna Polskiej Agencji Żeglugi Powietrznej (PAŻP) prawo do posiadania udziałów kapitałowych w spółkach prawa handlowego oraz upoważni PAŻP lub jej spółki zależne do prowadzenia projektów pilotażowych wspierających wdrażanie modeli biznesowych i usług wykonywanych BSP. </w:t>
            </w:r>
          </w:p>
        </w:tc>
      </w:tr>
      <w:tr w:rsidR="001052B5" w:rsidRPr="009D378C" w14:paraId="47972983"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8"/>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66FB2A54"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lastRenderedPageBreak/>
              <w:t>A34G</w:t>
            </w:r>
          </w:p>
        </w:tc>
        <w:tc>
          <w:tcPr>
            <w:tcW w:w="1979" w:type="dxa"/>
            <w:tcBorders>
              <w:top w:val="nil"/>
              <w:left w:val="nil"/>
              <w:bottom w:val="single" w:sz="4" w:space="0" w:color="auto"/>
              <w:right w:val="single" w:sz="4" w:space="0" w:color="auto"/>
            </w:tcBorders>
            <w:shd w:val="clear" w:color="000000" w:fill="C6EFCE"/>
            <w:vAlign w:val="center"/>
            <w:hideMark/>
          </w:tcPr>
          <w:p w14:paraId="4C93D0A0"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A2.3.1 </w:t>
            </w:r>
            <w:r w:rsidRPr="005E435B">
              <w:rPr>
                <w:rFonts w:ascii="Times New Roman" w:eastAsia="Times New Roman" w:hAnsi="Times New Roman" w:cs="Times New Roman"/>
                <w:sz w:val="18"/>
                <w:szCs w:val="18"/>
                <w:lang w:val="pl-PL" w:eastAsia="pl-PL"/>
              </w:rPr>
              <w:br/>
              <w:t>Rozbudowa i wyposażenie centrów kompetencji (specjalistyczne ośrodki szkoleniowe, wsparcia wdrożeń, centra monitorowania) oraz infrastruktura do zarządzania ruchem pojazdów bezzałogowych, jako Ekosystem Innowacji</w:t>
            </w:r>
          </w:p>
        </w:tc>
        <w:tc>
          <w:tcPr>
            <w:tcW w:w="996" w:type="dxa"/>
            <w:tcBorders>
              <w:top w:val="nil"/>
              <w:left w:val="nil"/>
              <w:bottom w:val="single" w:sz="4" w:space="0" w:color="auto"/>
              <w:right w:val="single" w:sz="4" w:space="0" w:color="auto"/>
            </w:tcBorders>
            <w:shd w:val="clear" w:color="000000" w:fill="C6EFCE"/>
            <w:vAlign w:val="center"/>
            <w:hideMark/>
          </w:tcPr>
          <w:p w14:paraId="5DB76A7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607CE126"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W1 - Infrastruktura lokalna dla pojazdów bezzałogowych realizowana przez samorząd lub podmiot wyznaczony do obsługi infrastruktury lokalnej </w:t>
            </w:r>
          </w:p>
        </w:tc>
        <w:tc>
          <w:tcPr>
            <w:tcW w:w="1701" w:type="dxa"/>
            <w:tcBorders>
              <w:top w:val="nil"/>
              <w:left w:val="nil"/>
              <w:bottom w:val="single" w:sz="4" w:space="0" w:color="auto"/>
              <w:right w:val="single" w:sz="4" w:space="0" w:color="auto"/>
            </w:tcBorders>
            <w:shd w:val="clear" w:color="000000" w:fill="C6EFCE"/>
            <w:vAlign w:val="center"/>
            <w:hideMark/>
          </w:tcPr>
          <w:p w14:paraId="31D6614C"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trike/>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085F6912"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4F4E7D74"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112FA18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3</w:t>
            </w:r>
          </w:p>
        </w:tc>
        <w:tc>
          <w:tcPr>
            <w:tcW w:w="567" w:type="dxa"/>
            <w:tcBorders>
              <w:top w:val="nil"/>
              <w:left w:val="nil"/>
              <w:bottom w:val="single" w:sz="4" w:space="0" w:color="auto"/>
              <w:right w:val="single" w:sz="4" w:space="0" w:color="auto"/>
            </w:tcBorders>
            <w:shd w:val="clear" w:color="000000" w:fill="C6EFCE"/>
            <w:vAlign w:val="center"/>
            <w:hideMark/>
          </w:tcPr>
          <w:p w14:paraId="6B54C8C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2EA85DF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0C2A234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Infrastruktura lokalna zostanie wdrożona w trzech lokalizacjach (wdrożenie). Wdrożenie infrastruktury cyfrowej dla pojazdów bezzałogowych na terenie całego kraju umożliwi stabilny, zrównoważony i bezpieczny rozwój zastosowań pojazdów bezzałogowych w różnych częściach kraju, przyczyniając się do zapewnienia spójności terytorialnej i zrównoważonego rozwoju kraju. Kluczowymi elementami infrastruktury będą infrastruktura naziemna, lokalne centra zarządzania danymi i ruchem wraz z wdrożonymi usługami cyfrowymi i producentami.</w:t>
            </w:r>
          </w:p>
        </w:tc>
      </w:tr>
      <w:tr w:rsidR="001052B5" w:rsidRPr="009D378C" w14:paraId="685D4DF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0D206993"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A35G</w:t>
            </w:r>
          </w:p>
        </w:tc>
        <w:tc>
          <w:tcPr>
            <w:tcW w:w="1979" w:type="dxa"/>
            <w:tcBorders>
              <w:top w:val="nil"/>
              <w:left w:val="nil"/>
              <w:bottom w:val="single" w:sz="4" w:space="0" w:color="auto"/>
              <w:right w:val="single" w:sz="4" w:space="0" w:color="auto"/>
            </w:tcBorders>
            <w:shd w:val="clear" w:color="000000" w:fill="C6EFCE"/>
            <w:vAlign w:val="center"/>
            <w:hideMark/>
          </w:tcPr>
          <w:p w14:paraId="2F7EDDDB"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A2.3.1 </w:t>
            </w:r>
            <w:r w:rsidRPr="005E435B">
              <w:rPr>
                <w:rFonts w:ascii="Times New Roman" w:eastAsia="Times New Roman" w:hAnsi="Times New Roman" w:cs="Times New Roman"/>
                <w:sz w:val="18"/>
                <w:szCs w:val="18"/>
                <w:lang w:val="pl-PL" w:eastAsia="pl-PL"/>
              </w:rPr>
              <w:br/>
              <w:t>Rozbudowa i wyposażenie centrów kompetencji (specjalistyczne ośrodki szkoleniowe, wsparcia wdrożeń, centra monitorowania) oraz infrastruktura do zarządzania ruchem pojazdów bezzałogowych, jako Ekosystem Innowacji</w:t>
            </w:r>
          </w:p>
        </w:tc>
        <w:tc>
          <w:tcPr>
            <w:tcW w:w="996" w:type="dxa"/>
            <w:tcBorders>
              <w:top w:val="nil"/>
              <w:left w:val="nil"/>
              <w:bottom w:val="single" w:sz="4" w:space="0" w:color="auto"/>
              <w:right w:val="single" w:sz="4" w:space="0" w:color="auto"/>
            </w:tcBorders>
            <w:shd w:val="clear" w:color="000000" w:fill="C6EFCE"/>
            <w:vAlign w:val="center"/>
            <w:hideMark/>
          </w:tcPr>
          <w:p w14:paraId="3111EFE7"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182D467D"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W2 - Infrastruktura lokalna dla pojazdów bezzałogowych realizowana przez samorząd lub podmiot wyznaczony do obsługi infrastruktury lokalnej </w:t>
            </w:r>
          </w:p>
        </w:tc>
        <w:tc>
          <w:tcPr>
            <w:tcW w:w="1701" w:type="dxa"/>
            <w:tcBorders>
              <w:top w:val="nil"/>
              <w:left w:val="nil"/>
              <w:bottom w:val="single" w:sz="4" w:space="0" w:color="auto"/>
              <w:right w:val="single" w:sz="4" w:space="0" w:color="auto"/>
            </w:tcBorders>
            <w:shd w:val="clear" w:color="000000" w:fill="C6EFCE"/>
            <w:vAlign w:val="center"/>
            <w:hideMark/>
          </w:tcPr>
          <w:p w14:paraId="1BF5ED86"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trike/>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44A5E56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2B5F65D5"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3</w:t>
            </w:r>
          </w:p>
        </w:tc>
        <w:tc>
          <w:tcPr>
            <w:tcW w:w="571" w:type="dxa"/>
            <w:tcBorders>
              <w:top w:val="nil"/>
              <w:left w:val="nil"/>
              <w:bottom w:val="single" w:sz="4" w:space="0" w:color="auto"/>
              <w:right w:val="single" w:sz="4" w:space="0" w:color="auto"/>
            </w:tcBorders>
            <w:shd w:val="clear" w:color="000000" w:fill="C6EFCE"/>
            <w:vAlign w:val="center"/>
            <w:hideMark/>
          </w:tcPr>
          <w:p w14:paraId="05D2710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10</w:t>
            </w:r>
          </w:p>
        </w:tc>
        <w:tc>
          <w:tcPr>
            <w:tcW w:w="567" w:type="dxa"/>
            <w:tcBorders>
              <w:top w:val="nil"/>
              <w:left w:val="nil"/>
              <w:bottom w:val="single" w:sz="4" w:space="0" w:color="auto"/>
              <w:right w:val="single" w:sz="4" w:space="0" w:color="auto"/>
            </w:tcBorders>
            <w:shd w:val="clear" w:color="000000" w:fill="C6EFCE"/>
            <w:vAlign w:val="center"/>
            <w:hideMark/>
          </w:tcPr>
          <w:p w14:paraId="7547BCF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5C282C63"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0C3BACB5"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Infrastruktura lokalna zostanie wdrożona w siedmiu dodatkowych lokalizacjach (wdrożenie). Wdrożenie infrastruktury cyfrowej dla pojazdów bezzałogowych na terenie całego kraju umożliwi stabilny, zrównoważony i bezpieczny rozwój zastosowań pojazdów bezzałogowych w różnych częściach kraju, przyczyniając się do zapewnienia spójności terytorialnej i zrównoważonego rozwoju kraju. Kluczowymi elementami infrastruktury będą infrastruktura naziemna, lokalne centra zarządzania danymi i ruchem wraz z wdrożonymi usługami cyfrowymi i producentami.</w:t>
            </w:r>
          </w:p>
        </w:tc>
      </w:tr>
      <w:tr w:rsidR="001052B5" w:rsidRPr="009D378C" w14:paraId="3C3B9CD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27"/>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5E847E4D"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lastRenderedPageBreak/>
              <w:t>A36G</w:t>
            </w:r>
          </w:p>
        </w:tc>
        <w:tc>
          <w:tcPr>
            <w:tcW w:w="1979" w:type="dxa"/>
            <w:tcBorders>
              <w:top w:val="nil"/>
              <w:left w:val="nil"/>
              <w:bottom w:val="single" w:sz="4" w:space="0" w:color="auto"/>
              <w:right w:val="single" w:sz="4" w:space="0" w:color="auto"/>
            </w:tcBorders>
            <w:shd w:val="clear" w:color="000000" w:fill="C6EFCE"/>
            <w:vAlign w:val="center"/>
            <w:hideMark/>
          </w:tcPr>
          <w:p w14:paraId="1BEE490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A2.3.1 </w:t>
            </w:r>
            <w:r w:rsidRPr="005E435B">
              <w:rPr>
                <w:rFonts w:ascii="Times New Roman" w:eastAsia="Times New Roman" w:hAnsi="Times New Roman" w:cs="Times New Roman"/>
                <w:sz w:val="18"/>
                <w:szCs w:val="18"/>
                <w:lang w:val="pl-PL" w:eastAsia="pl-PL"/>
              </w:rPr>
              <w:br/>
              <w:t>Rozbudowa i wyposażenie centrów kompetencji (specjalistyczne ośrodki szkoleniowe, wsparcia wdrożeń, centra monitorowania) oraz infrastruktura do zarządzania ruchem pojazdów bezzałogowych, jako Ekosystem Innowacji</w:t>
            </w:r>
          </w:p>
        </w:tc>
        <w:tc>
          <w:tcPr>
            <w:tcW w:w="996" w:type="dxa"/>
            <w:tcBorders>
              <w:top w:val="nil"/>
              <w:left w:val="nil"/>
              <w:bottom w:val="single" w:sz="4" w:space="0" w:color="auto"/>
              <w:right w:val="single" w:sz="4" w:space="0" w:color="auto"/>
            </w:tcBorders>
            <w:shd w:val="clear" w:color="000000" w:fill="C6EFCE"/>
            <w:vAlign w:val="center"/>
            <w:hideMark/>
          </w:tcPr>
          <w:p w14:paraId="1F758C4F"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7B946D9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W1 - Wdrożone usługi pojazdów bezzałogowych poprzedzone projektami pilotażowymi </w:t>
            </w:r>
          </w:p>
        </w:tc>
        <w:tc>
          <w:tcPr>
            <w:tcW w:w="1701" w:type="dxa"/>
            <w:tcBorders>
              <w:top w:val="nil"/>
              <w:left w:val="nil"/>
              <w:bottom w:val="single" w:sz="4" w:space="0" w:color="auto"/>
              <w:right w:val="single" w:sz="4" w:space="0" w:color="auto"/>
            </w:tcBorders>
            <w:shd w:val="clear" w:color="000000" w:fill="C6EFCE"/>
            <w:vAlign w:val="center"/>
            <w:hideMark/>
          </w:tcPr>
          <w:p w14:paraId="083D3138"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2E95F275"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4983466C"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4C3187D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w:t>
            </w:r>
          </w:p>
        </w:tc>
        <w:tc>
          <w:tcPr>
            <w:tcW w:w="567" w:type="dxa"/>
            <w:tcBorders>
              <w:top w:val="nil"/>
              <w:left w:val="nil"/>
              <w:bottom w:val="single" w:sz="4" w:space="0" w:color="auto"/>
              <w:right w:val="single" w:sz="4" w:space="0" w:color="auto"/>
            </w:tcBorders>
            <w:shd w:val="clear" w:color="000000" w:fill="C6EFCE"/>
            <w:vAlign w:val="center"/>
            <w:hideMark/>
          </w:tcPr>
          <w:p w14:paraId="2335C89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615DB94C"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639A946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Usługi pojazdów bezzałogowych będą testowane i wdrażane w projektach pilotażowych realizowanych w ramach poszczególnych centrów kompetencyjnych. Przewiduje się realizację co najmniej dwóch projektów pilotażowych w ramach specjalistycznych programów w wybranych obszarach zastosowań:</w:t>
            </w:r>
            <w:r w:rsidRPr="005E435B">
              <w:rPr>
                <w:rFonts w:ascii="Times New Roman" w:eastAsia="Times New Roman" w:hAnsi="Times New Roman" w:cs="Times New Roman"/>
                <w:sz w:val="18"/>
                <w:szCs w:val="18"/>
                <w:lang w:val="pl-PL" w:eastAsia="pl-PL"/>
              </w:rPr>
              <w:br/>
              <w:t>— autonomiczna koordynacja ruchu (ze szczególnym uwzględnieniem portów i infrastruktury energetycznej)</w:t>
            </w:r>
            <w:r w:rsidRPr="005E435B">
              <w:rPr>
                <w:rFonts w:ascii="Times New Roman" w:eastAsia="Times New Roman" w:hAnsi="Times New Roman" w:cs="Times New Roman"/>
                <w:sz w:val="18"/>
                <w:szCs w:val="18"/>
                <w:lang w:val="pl-PL" w:eastAsia="pl-PL"/>
              </w:rPr>
              <w:br/>
              <w:t>— służby porządku publicznego (bezpieczeństwo i ochrona ludności)</w:t>
            </w:r>
            <w:r w:rsidRPr="005E435B">
              <w:rPr>
                <w:rFonts w:ascii="Times New Roman" w:eastAsia="Times New Roman" w:hAnsi="Times New Roman" w:cs="Times New Roman"/>
                <w:sz w:val="18"/>
                <w:szCs w:val="18"/>
                <w:lang w:val="pl-PL" w:eastAsia="pl-PL"/>
              </w:rPr>
              <w:br/>
              <w:t>Liczba pilotaży realizowanych w poszczególnych pakietach będzie uzależniona od obszaru zastosowania, liczby potencjalnych odbiorców (klientów), złożoności technologicznej oraz uwarunkowań regulacyjnych dla danej aplikacji. Usługi realizowane w ramach projektów pilotażowych umożliwią standaryzację technologii, uzyskanie społecznej akceptacji dla użytkowania pojazdów bezzałogowych. Testowane i wdrożone usługi pojazdów bezzałogowych to w pełni operacyjne usługi oparte na sprzęcie i oprogramowaniu oraz zaspokajające potrzeby biznesowe odbiorcy (użytkownika). Wybór projektów i wykonawców odbywa się według określonych kryteriów wyboru, z zachowaniem zasad niedyskryminacji i przejrzystości.</w:t>
            </w:r>
          </w:p>
        </w:tc>
      </w:tr>
      <w:tr w:rsidR="001052B5" w:rsidRPr="009D378C" w14:paraId="3EF3091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55FDB0A3"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A37G</w:t>
            </w:r>
          </w:p>
        </w:tc>
        <w:tc>
          <w:tcPr>
            <w:tcW w:w="1979" w:type="dxa"/>
            <w:tcBorders>
              <w:top w:val="nil"/>
              <w:left w:val="nil"/>
              <w:bottom w:val="single" w:sz="4" w:space="0" w:color="auto"/>
              <w:right w:val="single" w:sz="4" w:space="0" w:color="auto"/>
            </w:tcBorders>
            <w:shd w:val="clear" w:color="000000" w:fill="C6EFCE"/>
            <w:vAlign w:val="center"/>
            <w:hideMark/>
          </w:tcPr>
          <w:p w14:paraId="006E3BB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A2.3.1 </w:t>
            </w:r>
            <w:r w:rsidRPr="005E435B">
              <w:rPr>
                <w:rFonts w:ascii="Times New Roman" w:eastAsia="Times New Roman" w:hAnsi="Times New Roman" w:cs="Times New Roman"/>
                <w:sz w:val="18"/>
                <w:szCs w:val="18"/>
                <w:lang w:val="pl-PL" w:eastAsia="pl-PL"/>
              </w:rPr>
              <w:br/>
              <w:t>Rozbudowa i wyposażenie centrów kompetencji (specjalistyczne ośrodki szkoleniowe, wsparcia wdrożeń, centra monitorowania) oraz infrastruktura do zarządzania ruchem pojazdów bezzałogowych, jako Ekosystem Innowacji</w:t>
            </w:r>
          </w:p>
        </w:tc>
        <w:tc>
          <w:tcPr>
            <w:tcW w:w="996" w:type="dxa"/>
            <w:tcBorders>
              <w:top w:val="nil"/>
              <w:left w:val="nil"/>
              <w:bottom w:val="single" w:sz="4" w:space="0" w:color="auto"/>
              <w:right w:val="single" w:sz="4" w:space="0" w:color="auto"/>
            </w:tcBorders>
            <w:shd w:val="clear" w:color="000000" w:fill="C6EFCE"/>
            <w:vAlign w:val="center"/>
            <w:hideMark/>
          </w:tcPr>
          <w:p w14:paraId="1FF51DB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1982C21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W2 - Wdrożone usługi pojazdów bezzałogowych poprzedzone projektami pilotażowymi </w:t>
            </w:r>
          </w:p>
        </w:tc>
        <w:tc>
          <w:tcPr>
            <w:tcW w:w="1701" w:type="dxa"/>
            <w:tcBorders>
              <w:top w:val="nil"/>
              <w:left w:val="nil"/>
              <w:bottom w:val="single" w:sz="4" w:space="0" w:color="auto"/>
              <w:right w:val="single" w:sz="4" w:space="0" w:color="auto"/>
            </w:tcBorders>
            <w:shd w:val="clear" w:color="000000" w:fill="C6EFCE"/>
            <w:vAlign w:val="center"/>
            <w:hideMark/>
          </w:tcPr>
          <w:p w14:paraId="485CB6F2"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27E34828"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5553E76B"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w:t>
            </w:r>
          </w:p>
        </w:tc>
        <w:tc>
          <w:tcPr>
            <w:tcW w:w="571" w:type="dxa"/>
            <w:tcBorders>
              <w:top w:val="nil"/>
              <w:left w:val="nil"/>
              <w:bottom w:val="single" w:sz="4" w:space="0" w:color="auto"/>
              <w:right w:val="single" w:sz="4" w:space="0" w:color="auto"/>
            </w:tcBorders>
            <w:shd w:val="clear" w:color="000000" w:fill="C6EFCE"/>
            <w:vAlign w:val="center"/>
            <w:hideMark/>
          </w:tcPr>
          <w:p w14:paraId="0EE1D941"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4</w:t>
            </w:r>
          </w:p>
        </w:tc>
        <w:tc>
          <w:tcPr>
            <w:tcW w:w="567" w:type="dxa"/>
            <w:tcBorders>
              <w:top w:val="nil"/>
              <w:left w:val="nil"/>
              <w:bottom w:val="single" w:sz="4" w:space="0" w:color="auto"/>
              <w:right w:val="single" w:sz="4" w:space="0" w:color="auto"/>
            </w:tcBorders>
            <w:shd w:val="clear" w:color="000000" w:fill="C6EFCE"/>
            <w:vAlign w:val="center"/>
            <w:hideMark/>
          </w:tcPr>
          <w:p w14:paraId="09583CE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192421F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1A36AF62" w14:textId="5FA8E965"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Dwa dodatkowe projekty spełniające wymagania określone we </w:t>
            </w:r>
            <w:r w:rsidR="00521D03" w:rsidRPr="005E435B">
              <w:rPr>
                <w:rFonts w:ascii="Times New Roman" w:eastAsia="Times New Roman" w:hAnsi="Times New Roman" w:cs="Times New Roman"/>
                <w:sz w:val="18"/>
                <w:szCs w:val="18"/>
                <w:lang w:val="pl-PL" w:eastAsia="pl-PL"/>
              </w:rPr>
              <w:t>wskaźniku</w:t>
            </w:r>
            <w:r w:rsidRPr="005E435B">
              <w:rPr>
                <w:rFonts w:ascii="Times New Roman" w:eastAsia="Times New Roman" w:hAnsi="Times New Roman" w:cs="Times New Roman"/>
                <w:sz w:val="18"/>
                <w:szCs w:val="18"/>
                <w:lang w:val="pl-PL" w:eastAsia="pl-PL"/>
              </w:rPr>
              <w:t xml:space="preserve"> A36G.</w:t>
            </w:r>
          </w:p>
        </w:tc>
      </w:tr>
      <w:tr w:rsidR="001052B5" w:rsidRPr="009D378C" w14:paraId="49636E6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0CB14E18"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lastRenderedPageBreak/>
              <w:t>A38G</w:t>
            </w:r>
          </w:p>
        </w:tc>
        <w:tc>
          <w:tcPr>
            <w:tcW w:w="1979" w:type="dxa"/>
            <w:tcBorders>
              <w:top w:val="nil"/>
              <w:left w:val="nil"/>
              <w:bottom w:val="single" w:sz="4" w:space="0" w:color="auto"/>
              <w:right w:val="single" w:sz="4" w:space="0" w:color="auto"/>
            </w:tcBorders>
            <w:shd w:val="clear" w:color="000000" w:fill="C6EFCE"/>
            <w:vAlign w:val="center"/>
            <w:hideMark/>
          </w:tcPr>
          <w:p w14:paraId="090D96C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A2.4. Wzmocnienie mechanizmów współpracy pomiędzy sektorem nauki oraz przemysłem</w:t>
            </w:r>
          </w:p>
        </w:tc>
        <w:tc>
          <w:tcPr>
            <w:tcW w:w="996" w:type="dxa"/>
            <w:tcBorders>
              <w:top w:val="nil"/>
              <w:left w:val="nil"/>
              <w:bottom w:val="single" w:sz="4" w:space="0" w:color="auto"/>
              <w:right w:val="single" w:sz="4" w:space="0" w:color="auto"/>
            </w:tcBorders>
            <w:shd w:val="clear" w:color="000000" w:fill="C6EFCE"/>
            <w:vAlign w:val="center"/>
            <w:hideMark/>
          </w:tcPr>
          <w:p w14:paraId="695F3D7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kamień</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milowy</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05C6F0C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Wejście w życie nowelizacji ustawy o szkolnictwie wyższym i nauce w odniesieniu do katalogu podmiotów, które mogą tworzyć spółki celowe wraz z uczelniami </w:t>
            </w:r>
          </w:p>
        </w:tc>
        <w:tc>
          <w:tcPr>
            <w:tcW w:w="1701" w:type="dxa"/>
            <w:tcBorders>
              <w:top w:val="nil"/>
              <w:left w:val="nil"/>
              <w:bottom w:val="single" w:sz="4" w:space="0" w:color="auto"/>
              <w:right w:val="single" w:sz="4" w:space="0" w:color="auto"/>
            </w:tcBorders>
            <w:shd w:val="clear" w:color="000000" w:fill="C6EFCE"/>
            <w:vAlign w:val="center"/>
            <w:hideMark/>
          </w:tcPr>
          <w:p w14:paraId="3C0ED7C2"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Przepis w nowelizacji ustawy Prawo o szkolnictwie wyższym i nauce wskazujący na wejście w życie</w:t>
            </w:r>
          </w:p>
        </w:tc>
        <w:tc>
          <w:tcPr>
            <w:tcW w:w="995" w:type="dxa"/>
            <w:tcBorders>
              <w:top w:val="nil"/>
              <w:left w:val="nil"/>
              <w:bottom w:val="single" w:sz="4" w:space="0" w:color="auto"/>
              <w:right w:val="single" w:sz="4" w:space="0" w:color="auto"/>
            </w:tcBorders>
            <w:shd w:val="clear" w:color="000000" w:fill="C6EFCE"/>
            <w:vAlign w:val="center"/>
            <w:hideMark/>
          </w:tcPr>
          <w:p w14:paraId="2077F76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4" w:type="dxa"/>
            <w:tcBorders>
              <w:top w:val="nil"/>
              <w:left w:val="nil"/>
              <w:bottom w:val="single" w:sz="4" w:space="0" w:color="auto"/>
              <w:right w:val="single" w:sz="4" w:space="0" w:color="auto"/>
            </w:tcBorders>
            <w:shd w:val="clear" w:color="000000" w:fill="C6EFCE"/>
            <w:vAlign w:val="center"/>
            <w:hideMark/>
          </w:tcPr>
          <w:p w14:paraId="355C1B8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71" w:type="dxa"/>
            <w:tcBorders>
              <w:top w:val="nil"/>
              <w:left w:val="nil"/>
              <w:bottom w:val="single" w:sz="4" w:space="0" w:color="auto"/>
              <w:right w:val="single" w:sz="4" w:space="0" w:color="auto"/>
            </w:tcBorders>
            <w:shd w:val="clear" w:color="000000" w:fill="C6EFCE"/>
            <w:vAlign w:val="center"/>
            <w:hideMark/>
          </w:tcPr>
          <w:p w14:paraId="299867A7"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56CD3D32"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1AB1849A"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2022</w:t>
            </w:r>
          </w:p>
        </w:tc>
        <w:tc>
          <w:tcPr>
            <w:tcW w:w="3686" w:type="dxa"/>
            <w:tcBorders>
              <w:top w:val="nil"/>
              <w:left w:val="nil"/>
              <w:bottom w:val="single" w:sz="4" w:space="0" w:color="auto"/>
              <w:right w:val="single" w:sz="4" w:space="0" w:color="auto"/>
            </w:tcBorders>
            <w:shd w:val="clear" w:color="000000" w:fill="C6EFCE"/>
            <w:vAlign w:val="center"/>
            <w:hideMark/>
          </w:tcPr>
          <w:p w14:paraId="2738CED4"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Wprowadzone zmiany pozwolą na tworzenie spółek celowych przeznaczonych specjalnie do komercjalizacji wyników prac B+R. Oczekuje się, że pozwoli to na większą interdyscyplinarność i elastyczność transferu technologii.</w:t>
            </w:r>
          </w:p>
        </w:tc>
      </w:tr>
      <w:tr w:rsidR="001052B5" w:rsidRPr="009D378C" w14:paraId="6D00396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068F925B"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A39G</w:t>
            </w:r>
          </w:p>
        </w:tc>
        <w:tc>
          <w:tcPr>
            <w:tcW w:w="1979" w:type="dxa"/>
            <w:tcBorders>
              <w:top w:val="nil"/>
              <w:left w:val="nil"/>
              <w:bottom w:val="single" w:sz="4" w:space="0" w:color="auto"/>
              <w:right w:val="single" w:sz="4" w:space="0" w:color="auto"/>
            </w:tcBorders>
            <w:shd w:val="clear" w:color="000000" w:fill="C6EFCE"/>
            <w:vAlign w:val="center"/>
            <w:hideMark/>
          </w:tcPr>
          <w:p w14:paraId="4CEE693A"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A2.4. Wzmocnienie mechanizmów współpracy pomiędzy sektorem nauki oraz przemysłem</w:t>
            </w:r>
          </w:p>
        </w:tc>
        <w:tc>
          <w:tcPr>
            <w:tcW w:w="996" w:type="dxa"/>
            <w:tcBorders>
              <w:top w:val="nil"/>
              <w:left w:val="nil"/>
              <w:bottom w:val="single" w:sz="4" w:space="0" w:color="auto"/>
              <w:right w:val="single" w:sz="4" w:space="0" w:color="auto"/>
            </w:tcBorders>
            <w:shd w:val="clear" w:color="000000" w:fill="C6EFCE"/>
            <w:vAlign w:val="center"/>
            <w:hideMark/>
          </w:tcPr>
          <w:p w14:paraId="7147AA7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kamień</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milowy</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656278C1"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Ustanowienie zasad korzystania z laboratoriów i transferu wiedzy w instytutach nadzorowanych przez Ministerstwo Rolnictwa i Rozwoju Wsi </w:t>
            </w:r>
          </w:p>
        </w:tc>
        <w:tc>
          <w:tcPr>
            <w:tcW w:w="1701" w:type="dxa"/>
            <w:tcBorders>
              <w:top w:val="nil"/>
              <w:left w:val="nil"/>
              <w:bottom w:val="single" w:sz="4" w:space="0" w:color="auto"/>
              <w:right w:val="single" w:sz="4" w:space="0" w:color="auto"/>
            </w:tcBorders>
            <w:shd w:val="clear" w:color="000000" w:fill="C6EFCE"/>
            <w:vAlign w:val="center"/>
            <w:hideMark/>
          </w:tcPr>
          <w:p w14:paraId="0DBF7DE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Dokument</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zatwierdzony</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przez</w:t>
            </w:r>
            <w:proofErr w:type="spellEnd"/>
            <w:r w:rsidRPr="005E435B">
              <w:rPr>
                <w:rFonts w:ascii="Times New Roman" w:eastAsia="Times New Roman" w:hAnsi="Times New Roman" w:cs="Times New Roman"/>
                <w:sz w:val="18"/>
                <w:szCs w:val="18"/>
                <w:lang w:eastAsia="pl-PL"/>
              </w:rPr>
              <w:t xml:space="preserve"> </w:t>
            </w:r>
            <w:proofErr w:type="spellStart"/>
            <w:r w:rsidRPr="005E435B">
              <w:rPr>
                <w:rFonts w:ascii="Times New Roman" w:eastAsia="Times New Roman" w:hAnsi="Times New Roman" w:cs="Times New Roman"/>
                <w:sz w:val="18"/>
                <w:szCs w:val="18"/>
                <w:lang w:eastAsia="pl-PL"/>
              </w:rPr>
              <w:t>ministra</w:t>
            </w:r>
            <w:proofErr w:type="spellEnd"/>
          </w:p>
        </w:tc>
        <w:tc>
          <w:tcPr>
            <w:tcW w:w="995" w:type="dxa"/>
            <w:tcBorders>
              <w:top w:val="nil"/>
              <w:left w:val="nil"/>
              <w:bottom w:val="single" w:sz="4" w:space="0" w:color="auto"/>
              <w:right w:val="single" w:sz="4" w:space="0" w:color="auto"/>
            </w:tcBorders>
            <w:shd w:val="clear" w:color="000000" w:fill="C6EFCE"/>
            <w:vAlign w:val="center"/>
            <w:hideMark/>
          </w:tcPr>
          <w:p w14:paraId="064CB43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 </w:t>
            </w:r>
          </w:p>
        </w:tc>
        <w:tc>
          <w:tcPr>
            <w:tcW w:w="994" w:type="dxa"/>
            <w:tcBorders>
              <w:top w:val="nil"/>
              <w:left w:val="nil"/>
              <w:bottom w:val="single" w:sz="4" w:space="0" w:color="auto"/>
              <w:right w:val="single" w:sz="4" w:space="0" w:color="auto"/>
            </w:tcBorders>
            <w:shd w:val="clear" w:color="000000" w:fill="C6EFCE"/>
            <w:vAlign w:val="center"/>
            <w:hideMark/>
          </w:tcPr>
          <w:p w14:paraId="47AAAAE0"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 </w:t>
            </w:r>
          </w:p>
        </w:tc>
        <w:tc>
          <w:tcPr>
            <w:tcW w:w="571" w:type="dxa"/>
            <w:tcBorders>
              <w:top w:val="nil"/>
              <w:left w:val="nil"/>
              <w:bottom w:val="single" w:sz="4" w:space="0" w:color="auto"/>
              <w:right w:val="single" w:sz="4" w:space="0" w:color="auto"/>
            </w:tcBorders>
            <w:shd w:val="clear" w:color="000000" w:fill="C6EFCE"/>
            <w:vAlign w:val="center"/>
            <w:hideMark/>
          </w:tcPr>
          <w:p w14:paraId="796A27B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8839217"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6A88761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2022</w:t>
            </w:r>
          </w:p>
        </w:tc>
        <w:tc>
          <w:tcPr>
            <w:tcW w:w="3686" w:type="dxa"/>
            <w:tcBorders>
              <w:top w:val="nil"/>
              <w:left w:val="nil"/>
              <w:bottom w:val="single" w:sz="4" w:space="0" w:color="auto"/>
              <w:right w:val="single" w:sz="4" w:space="0" w:color="auto"/>
            </w:tcBorders>
            <w:shd w:val="clear" w:color="000000" w:fill="C6EFCE"/>
            <w:vAlign w:val="center"/>
            <w:hideMark/>
          </w:tcPr>
          <w:p w14:paraId="102816D2"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Zasady korzystania z laboratoriów i transferu wiedzy określają procedury dotyczące korzystania z infrastruktury badawczej w ramach współpracy nauka-nauka i nauka-biznes. Zasady przyznawania pomocy są zgodne z zasadami niedyskryminacji i przejrzystości. </w:t>
            </w:r>
          </w:p>
        </w:tc>
      </w:tr>
      <w:tr w:rsidR="001052B5" w:rsidRPr="009D378C" w14:paraId="366905F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45" w:type="dxa"/>
            <w:tcBorders>
              <w:top w:val="nil"/>
              <w:left w:val="single" w:sz="4" w:space="0" w:color="auto"/>
              <w:bottom w:val="single" w:sz="4" w:space="0" w:color="auto"/>
              <w:right w:val="single" w:sz="4" w:space="0" w:color="auto"/>
            </w:tcBorders>
            <w:shd w:val="clear" w:color="000000" w:fill="C6EFCE"/>
            <w:noWrap/>
            <w:vAlign w:val="center"/>
            <w:hideMark/>
          </w:tcPr>
          <w:p w14:paraId="3CA7DAD9" w14:textId="77777777" w:rsidR="001052B5" w:rsidRPr="005E435B" w:rsidRDefault="001052B5" w:rsidP="00A20CA7">
            <w:pPr>
              <w:spacing w:after="0" w:line="240" w:lineRule="auto"/>
              <w:rPr>
                <w:rFonts w:ascii="Times New Roman" w:eastAsia="Times New Roman" w:hAnsi="Times New Roman" w:cs="Times New Roman"/>
                <w:b/>
                <w:bCs/>
                <w:sz w:val="18"/>
                <w:szCs w:val="18"/>
                <w:lang w:eastAsia="pl-PL"/>
              </w:rPr>
            </w:pPr>
            <w:r w:rsidRPr="005E435B">
              <w:rPr>
                <w:rFonts w:ascii="Times New Roman" w:eastAsia="Times New Roman" w:hAnsi="Times New Roman" w:cs="Times New Roman"/>
                <w:b/>
                <w:bCs/>
                <w:sz w:val="18"/>
                <w:szCs w:val="18"/>
                <w:lang w:eastAsia="pl-PL"/>
              </w:rPr>
              <w:t>A40G</w:t>
            </w:r>
          </w:p>
        </w:tc>
        <w:tc>
          <w:tcPr>
            <w:tcW w:w="1979" w:type="dxa"/>
            <w:tcBorders>
              <w:top w:val="nil"/>
              <w:left w:val="nil"/>
              <w:bottom w:val="single" w:sz="4" w:space="0" w:color="auto"/>
              <w:right w:val="single" w:sz="4" w:space="0" w:color="auto"/>
            </w:tcBorders>
            <w:shd w:val="clear" w:color="000000" w:fill="C6EFCE"/>
            <w:vAlign w:val="center"/>
            <w:hideMark/>
          </w:tcPr>
          <w:p w14:paraId="0E837EFE"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A2.4.1 Inwestycje w rozbudowę potencjału badawczego </w:t>
            </w:r>
          </w:p>
        </w:tc>
        <w:tc>
          <w:tcPr>
            <w:tcW w:w="996" w:type="dxa"/>
            <w:tcBorders>
              <w:top w:val="nil"/>
              <w:left w:val="nil"/>
              <w:bottom w:val="single" w:sz="4" w:space="0" w:color="auto"/>
              <w:right w:val="single" w:sz="4" w:space="0" w:color="auto"/>
            </w:tcBorders>
            <w:shd w:val="clear" w:color="000000" w:fill="C6EFCE"/>
            <w:vAlign w:val="center"/>
            <w:hideMark/>
          </w:tcPr>
          <w:p w14:paraId="65AB86A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wskaźnik</w:t>
            </w:r>
            <w:proofErr w:type="spellEnd"/>
          </w:p>
        </w:tc>
        <w:tc>
          <w:tcPr>
            <w:tcW w:w="2266" w:type="dxa"/>
            <w:tcBorders>
              <w:top w:val="nil"/>
              <w:left w:val="nil"/>
              <w:bottom w:val="single" w:sz="4" w:space="0" w:color="auto"/>
              <w:right w:val="single" w:sz="4" w:space="0" w:color="auto"/>
            </w:tcBorders>
            <w:shd w:val="clear" w:color="000000" w:fill="C6EFCE"/>
            <w:vAlign w:val="center"/>
            <w:hideMark/>
          </w:tcPr>
          <w:p w14:paraId="005A81BA"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xml:space="preserve">Laboratoria z nowoczesną infrastrukturą badawczą i analityczną w instytucjach podległych i/lub nadzorowanych przez Ministerstwo Edukacji i Nauki oraz Ministerstwo Rolnictwa i Rozwoju Wsi </w:t>
            </w:r>
          </w:p>
        </w:tc>
        <w:tc>
          <w:tcPr>
            <w:tcW w:w="1701" w:type="dxa"/>
            <w:tcBorders>
              <w:top w:val="nil"/>
              <w:left w:val="nil"/>
              <w:bottom w:val="single" w:sz="4" w:space="0" w:color="auto"/>
              <w:right w:val="single" w:sz="4" w:space="0" w:color="auto"/>
            </w:tcBorders>
            <w:shd w:val="clear" w:color="000000" w:fill="C6EFCE"/>
            <w:vAlign w:val="center"/>
            <w:hideMark/>
          </w:tcPr>
          <w:p w14:paraId="2B2F7F1C"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 </w:t>
            </w:r>
          </w:p>
        </w:tc>
        <w:tc>
          <w:tcPr>
            <w:tcW w:w="995" w:type="dxa"/>
            <w:tcBorders>
              <w:top w:val="nil"/>
              <w:left w:val="nil"/>
              <w:bottom w:val="single" w:sz="4" w:space="0" w:color="auto"/>
              <w:right w:val="single" w:sz="4" w:space="0" w:color="auto"/>
            </w:tcBorders>
            <w:shd w:val="clear" w:color="000000" w:fill="C6EFCE"/>
            <w:vAlign w:val="center"/>
            <w:hideMark/>
          </w:tcPr>
          <w:p w14:paraId="582C1409"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proofErr w:type="spellStart"/>
            <w:r w:rsidRPr="005E435B">
              <w:rPr>
                <w:rFonts w:ascii="Times New Roman" w:eastAsia="Times New Roman" w:hAnsi="Times New Roman" w:cs="Times New Roman"/>
                <w:sz w:val="18"/>
                <w:szCs w:val="18"/>
                <w:lang w:eastAsia="pl-PL"/>
              </w:rPr>
              <w:t>liczba</w:t>
            </w:r>
            <w:proofErr w:type="spellEnd"/>
          </w:p>
        </w:tc>
        <w:tc>
          <w:tcPr>
            <w:tcW w:w="994" w:type="dxa"/>
            <w:tcBorders>
              <w:top w:val="nil"/>
              <w:left w:val="nil"/>
              <w:bottom w:val="single" w:sz="4" w:space="0" w:color="auto"/>
              <w:right w:val="single" w:sz="4" w:space="0" w:color="auto"/>
            </w:tcBorders>
            <w:shd w:val="clear" w:color="000000" w:fill="C6EFCE"/>
            <w:vAlign w:val="center"/>
            <w:hideMark/>
          </w:tcPr>
          <w:p w14:paraId="2E0994B5"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0</w:t>
            </w:r>
          </w:p>
        </w:tc>
        <w:tc>
          <w:tcPr>
            <w:tcW w:w="571" w:type="dxa"/>
            <w:tcBorders>
              <w:top w:val="nil"/>
              <w:left w:val="nil"/>
              <w:bottom w:val="single" w:sz="4" w:space="0" w:color="auto"/>
              <w:right w:val="single" w:sz="4" w:space="0" w:color="auto"/>
            </w:tcBorders>
            <w:shd w:val="clear" w:color="000000" w:fill="C6EFCE"/>
            <w:vAlign w:val="center"/>
            <w:hideMark/>
          </w:tcPr>
          <w:p w14:paraId="409AABC3"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18</w:t>
            </w:r>
          </w:p>
        </w:tc>
        <w:tc>
          <w:tcPr>
            <w:tcW w:w="567" w:type="dxa"/>
            <w:tcBorders>
              <w:top w:val="nil"/>
              <w:left w:val="nil"/>
              <w:bottom w:val="single" w:sz="4" w:space="0" w:color="auto"/>
              <w:right w:val="single" w:sz="4" w:space="0" w:color="auto"/>
            </w:tcBorders>
            <w:shd w:val="clear" w:color="000000" w:fill="C6EFCE"/>
            <w:vAlign w:val="center"/>
            <w:hideMark/>
          </w:tcPr>
          <w:p w14:paraId="08BC20AD"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343E2F3E" w14:textId="77777777" w:rsidR="001052B5" w:rsidRPr="005E435B" w:rsidRDefault="001052B5" w:rsidP="00A20CA7">
            <w:pPr>
              <w:spacing w:after="0" w:line="240" w:lineRule="auto"/>
              <w:rPr>
                <w:rFonts w:ascii="Times New Roman" w:eastAsia="Times New Roman" w:hAnsi="Times New Roman" w:cs="Times New Roman"/>
                <w:sz w:val="18"/>
                <w:szCs w:val="18"/>
                <w:lang w:eastAsia="pl-PL"/>
              </w:rPr>
            </w:pPr>
            <w:r w:rsidRPr="005E435B">
              <w:rPr>
                <w:rFonts w:ascii="Times New Roman" w:eastAsia="Times New Roman" w:hAnsi="Times New Roman" w:cs="Times New Roman"/>
                <w:sz w:val="18"/>
                <w:szCs w:val="18"/>
                <w:lang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50A71F4F" w14:textId="77777777" w:rsidR="001052B5" w:rsidRPr="005E435B" w:rsidRDefault="001052B5" w:rsidP="00A20CA7">
            <w:pPr>
              <w:spacing w:after="0" w:line="240" w:lineRule="auto"/>
              <w:rPr>
                <w:rFonts w:ascii="Times New Roman" w:eastAsia="Times New Roman" w:hAnsi="Times New Roman" w:cs="Times New Roman"/>
                <w:sz w:val="18"/>
                <w:szCs w:val="18"/>
                <w:lang w:val="pl-PL" w:eastAsia="pl-PL"/>
              </w:rPr>
            </w:pPr>
            <w:r w:rsidRPr="005E435B">
              <w:rPr>
                <w:rFonts w:ascii="Times New Roman" w:eastAsia="Times New Roman" w:hAnsi="Times New Roman" w:cs="Times New Roman"/>
                <w:sz w:val="18"/>
                <w:szCs w:val="18"/>
                <w:lang w:val="pl-PL" w:eastAsia="pl-PL"/>
              </w:rPr>
              <w:t>Budowa i modernizacja laboratoriów w instytucjach nadzorowanych i/lub podległych przez Ministerstwo Edukacji i Nauki i Ministerstwo Rolnictwa i Rozwoju Wsi oraz Główny Inspektorat Inspekcji Jakości Handlowej Artykułów Rolno-Spożywczych związanych z realizacją celów.</w:t>
            </w:r>
          </w:p>
        </w:tc>
      </w:tr>
    </w:tbl>
    <w:p w14:paraId="7616E6FD" w14:textId="77777777" w:rsidR="001052B5" w:rsidRPr="001F52AF" w:rsidRDefault="001052B5" w:rsidP="001052B5">
      <w:pPr>
        <w:rPr>
          <w:rFonts w:ascii="Times New Roman" w:eastAsia="Times New Roman" w:hAnsi="Times New Roman" w:cs="Times New Roman"/>
          <w:sz w:val="24"/>
          <w:szCs w:val="24"/>
          <w:lang w:val="pl-PL"/>
        </w:rPr>
      </w:pPr>
      <w:r w:rsidRPr="001F52AF">
        <w:rPr>
          <w:rFonts w:ascii="Times New Roman" w:eastAsia="Times New Roman" w:hAnsi="Times New Roman" w:cs="Times New Roman"/>
          <w:sz w:val="24"/>
          <w:szCs w:val="24"/>
          <w:lang w:val="pl-PL"/>
        </w:rPr>
        <w:br w:type="page"/>
      </w:r>
    </w:p>
    <w:tbl>
      <w:tblPr>
        <w:tblW w:w="15889"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715"/>
        <w:gridCol w:w="1984"/>
        <w:gridCol w:w="1134"/>
        <w:gridCol w:w="2268"/>
        <w:gridCol w:w="1418"/>
        <w:gridCol w:w="1134"/>
        <w:gridCol w:w="992"/>
        <w:gridCol w:w="709"/>
        <w:gridCol w:w="708"/>
        <w:gridCol w:w="567"/>
        <w:gridCol w:w="49"/>
        <w:gridCol w:w="4204"/>
        <w:gridCol w:w="7"/>
      </w:tblGrid>
      <w:tr w:rsidR="001052B5" w:rsidRPr="001F52AF" w14:paraId="4290DF40" w14:textId="77777777" w:rsidTr="00A20CA7">
        <w:trPr>
          <w:trHeight w:val="454"/>
        </w:trPr>
        <w:tc>
          <w:tcPr>
            <w:tcW w:w="15889" w:type="dxa"/>
            <w:gridSpan w:val="13"/>
            <w:tcBorders>
              <w:top w:val="nil"/>
              <w:left w:val="nil"/>
              <w:bottom w:val="single" w:sz="4" w:space="0" w:color="000000" w:themeColor="text1"/>
              <w:right w:val="nil"/>
            </w:tcBorders>
            <w:shd w:val="clear" w:color="auto" w:fill="auto"/>
            <w:vAlign w:val="center"/>
          </w:tcPr>
          <w:p w14:paraId="67A86754" w14:textId="77777777" w:rsidR="001052B5" w:rsidRPr="001F52AF" w:rsidRDefault="001052B5" w:rsidP="00A20CA7">
            <w:pPr>
              <w:pStyle w:val="Normal0"/>
              <w:pBdr>
                <w:top w:val="nil"/>
                <w:left w:val="nil"/>
                <w:bottom w:val="nil"/>
                <w:right w:val="nil"/>
                <w:between w:val="nil"/>
              </w:pBdr>
              <w:spacing w:before="120" w:after="120"/>
              <w:jc w:val="both"/>
              <w:rPr>
                <w:rFonts w:ascii="Times New Roman" w:eastAsia="Times New Roman" w:hAnsi="Times New Roman" w:cs="Times New Roman"/>
                <w:b/>
                <w:sz w:val="24"/>
                <w:szCs w:val="24"/>
              </w:rPr>
            </w:pPr>
            <w:r w:rsidRPr="001A02CB">
              <w:rPr>
                <w:rFonts w:ascii="Times New Roman" w:eastAsia="Times New Roman" w:hAnsi="Times New Roman" w:cs="Times New Roman"/>
                <w:b/>
                <w:sz w:val="24"/>
                <w:szCs w:val="24"/>
                <w:u w:val="single"/>
              </w:rPr>
              <w:lastRenderedPageBreak/>
              <w:t>A3 – E</w:t>
            </w:r>
            <w:r>
              <w:rPr>
                <w:rFonts w:ascii="Times New Roman" w:eastAsia="Times New Roman" w:hAnsi="Times New Roman" w:cs="Times New Roman"/>
                <w:b/>
                <w:sz w:val="24"/>
                <w:szCs w:val="24"/>
                <w:u w:val="single"/>
              </w:rPr>
              <w:t>DUKACJA</w:t>
            </w:r>
          </w:p>
        </w:tc>
      </w:tr>
      <w:tr w:rsidR="001052B5" w:rsidRPr="001F52AF" w14:paraId="2DE600D6" w14:textId="77777777" w:rsidTr="00A20CA7">
        <w:trPr>
          <w:trHeight w:val="939"/>
        </w:trPr>
        <w:tc>
          <w:tcPr>
            <w:tcW w:w="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AD17D0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1B578A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9E1E6E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A64C02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2D736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sz w:val="18"/>
                <w:szCs w:val="18"/>
              </w:rPr>
            </w:pPr>
            <w:r w:rsidRPr="001F52AF">
              <w:rPr>
                <w:rFonts w:ascii="Times New Roman" w:eastAsia="Times New Roman" w:hAnsi="Times New Roman" w:cs="Times New Roman"/>
                <w:b/>
                <w:bCs/>
                <w:sz w:val="18"/>
                <w:szCs w:val="18"/>
              </w:rPr>
              <w:t xml:space="preserve">Qualitative indicators </w:t>
            </w:r>
            <w:r w:rsidRPr="001F52AF">
              <w:rPr>
                <w:rFonts w:ascii="Times New Roman" w:hAnsi="Times New Roman" w:cs="Times New Roman"/>
                <w:sz w:val="18"/>
                <w:szCs w:val="18"/>
              </w:rPr>
              <w:br/>
            </w:r>
            <w:r w:rsidRPr="001F52AF">
              <w:rPr>
                <w:rFonts w:ascii="Times New Roman" w:eastAsia="Times New Roman" w:hAnsi="Times New Roman" w:cs="Times New Roman"/>
                <w:b/>
                <w:bCs/>
                <w:sz w:val="18"/>
                <w:szCs w:val="18"/>
              </w:rPr>
              <w:t>(for milestones)</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8B06C2A"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sz w:val="18"/>
                <w:szCs w:val="18"/>
              </w:rPr>
            </w:pPr>
            <w:r w:rsidRPr="001F52AF">
              <w:rPr>
                <w:rFonts w:ascii="Times New Roman" w:eastAsia="Times New Roman" w:hAnsi="Times New Roman" w:cs="Times New Roman"/>
                <w:b/>
                <w:bCs/>
                <w:sz w:val="18"/>
                <w:szCs w:val="18"/>
              </w:rPr>
              <w:t xml:space="preserve">Quantitative indicators </w:t>
            </w:r>
            <w:r w:rsidRPr="001F52AF">
              <w:rPr>
                <w:rFonts w:ascii="Times New Roman" w:hAnsi="Times New Roman" w:cs="Times New Roman"/>
                <w:sz w:val="18"/>
                <w:szCs w:val="18"/>
              </w:rPr>
              <w:br/>
            </w:r>
            <w:r w:rsidRPr="001F52AF">
              <w:rPr>
                <w:rFonts w:ascii="Times New Roman" w:eastAsia="Times New Roman" w:hAnsi="Times New Roman" w:cs="Times New Roman"/>
                <w:b/>
                <w:bCs/>
                <w:sz w:val="18"/>
                <w:szCs w:val="18"/>
              </w:rPr>
              <w:t>(for targets)</w:t>
            </w:r>
          </w:p>
        </w:tc>
        <w:tc>
          <w:tcPr>
            <w:tcW w:w="13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33260E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421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EBB2E2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1F52AF" w14:paraId="24D0C377" w14:textId="77777777" w:rsidTr="00A20CA7">
        <w:trPr>
          <w:trHeight w:val="1027"/>
        </w:trPr>
        <w:tc>
          <w:tcPr>
            <w:tcW w:w="715" w:type="dxa"/>
            <w:vMerge/>
            <w:vAlign w:val="center"/>
          </w:tcPr>
          <w:p w14:paraId="6BBACF7B"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84" w:type="dxa"/>
            <w:vMerge/>
            <w:vAlign w:val="center"/>
          </w:tcPr>
          <w:p w14:paraId="78B6954B"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vMerge/>
            <w:vAlign w:val="center"/>
          </w:tcPr>
          <w:p w14:paraId="0F8A68F1"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268" w:type="dxa"/>
            <w:vMerge/>
            <w:vAlign w:val="center"/>
          </w:tcPr>
          <w:p w14:paraId="4BE8A16B"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418" w:type="dxa"/>
            <w:vMerge/>
            <w:vAlign w:val="center"/>
          </w:tcPr>
          <w:p w14:paraId="368564BB"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shd w:val="clear" w:color="auto" w:fill="BDD7EE"/>
            <w:vAlign w:val="center"/>
          </w:tcPr>
          <w:p w14:paraId="3676322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92" w:type="dxa"/>
            <w:shd w:val="clear" w:color="auto" w:fill="BDD7EE"/>
            <w:vAlign w:val="center"/>
          </w:tcPr>
          <w:p w14:paraId="6F6DC772"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709" w:type="dxa"/>
            <w:shd w:val="clear" w:color="auto" w:fill="BDD7EE"/>
            <w:vAlign w:val="center"/>
          </w:tcPr>
          <w:p w14:paraId="618947B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708" w:type="dxa"/>
            <w:shd w:val="clear" w:color="auto" w:fill="BDD7EE"/>
            <w:vAlign w:val="center"/>
          </w:tcPr>
          <w:p w14:paraId="6A920A1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616" w:type="dxa"/>
            <w:gridSpan w:val="2"/>
            <w:shd w:val="clear" w:color="auto" w:fill="BDD7EE"/>
            <w:vAlign w:val="center"/>
          </w:tcPr>
          <w:p w14:paraId="7F999B18"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4211" w:type="dxa"/>
            <w:gridSpan w:val="2"/>
            <w:vMerge/>
            <w:vAlign w:val="center"/>
          </w:tcPr>
          <w:p w14:paraId="42DFF542"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9D378C" w14:paraId="054400A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741"/>
        </w:trPr>
        <w:tc>
          <w:tcPr>
            <w:tcW w:w="715"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7E76194"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A41G</w:t>
            </w:r>
          </w:p>
        </w:tc>
        <w:tc>
          <w:tcPr>
            <w:tcW w:w="1984" w:type="dxa"/>
            <w:tcBorders>
              <w:top w:val="single" w:sz="4" w:space="0" w:color="auto"/>
              <w:left w:val="nil"/>
              <w:bottom w:val="single" w:sz="4" w:space="0" w:color="auto"/>
              <w:right w:val="single" w:sz="4" w:space="0" w:color="auto"/>
            </w:tcBorders>
            <w:shd w:val="clear" w:color="000000" w:fill="C6EFCE"/>
            <w:vAlign w:val="center"/>
            <w:hideMark/>
          </w:tcPr>
          <w:p w14:paraId="0297513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 Kadry dla nowoczesnej gospodarki - poprawa dopasowania umiejętności i kwalifikacji do wymogów rynku pracy w związku z wdrażaniem nowych technologii w gospodarce oraz zieloną i cyfrową transformacją </w:t>
            </w:r>
          </w:p>
        </w:tc>
        <w:tc>
          <w:tcPr>
            <w:tcW w:w="1134" w:type="dxa"/>
            <w:tcBorders>
              <w:top w:val="single" w:sz="4" w:space="0" w:color="auto"/>
              <w:left w:val="nil"/>
              <w:bottom w:val="single" w:sz="4" w:space="0" w:color="auto"/>
              <w:right w:val="single" w:sz="4" w:space="0" w:color="auto"/>
            </w:tcBorders>
            <w:shd w:val="clear" w:color="000000" w:fill="C6EFCE"/>
            <w:vAlign w:val="center"/>
            <w:hideMark/>
          </w:tcPr>
          <w:p w14:paraId="0212AA5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kamień milowy</w:t>
            </w:r>
          </w:p>
        </w:tc>
        <w:tc>
          <w:tcPr>
            <w:tcW w:w="2268" w:type="dxa"/>
            <w:tcBorders>
              <w:top w:val="single" w:sz="4" w:space="0" w:color="auto"/>
              <w:left w:val="nil"/>
              <w:bottom w:val="single" w:sz="4" w:space="0" w:color="auto"/>
              <w:right w:val="single" w:sz="4" w:space="0" w:color="auto"/>
            </w:tcBorders>
            <w:shd w:val="clear" w:color="000000" w:fill="C6EFCE"/>
            <w:vAlign w:val="center"/>
            <w:hideMark/>
          </w:tcPr>
          <w:p w14:paraId="211D371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Wejście w życie z</w:t>
            </w:r>
            <w:r w:rsidRPr="001F52AF">
              <w:rPr>
                <w:rFonts w:ascii="Times New Roman" w:eastAsia="Times New Roman" w:hAnsi="Times New Roman" w:cs="Times New Roman"/>
                <w:sz w:val="18"/>
                <w:szCs w:val="18"/>
                <w:lang w:val="pl-PL" w:eastAsia="pl-PL"/>
              </w:rPr>
              <w:t>n</w:t>
            </w:r>
            <w:r w:rsidRPr="002862EB">
              <w:rPr>
                <w:rFonts w:ascii="Times New Roman" w:eastAsia="Times New Roman" w:hAnsi="Times New Roman" w:cs="Times New Roman"/>
                <w:sz w:val="18"/>
                <w:szCs w:val="18"/>
                <w:lang w:val="pl-PL" w:eastAsia="pl-PL"/>
              </w:rPr>
              <w:t xml:space="preserve">owelizowanej ustawy Prawo oświatowe przez Ministerstwo Edukacji i Nauki, ustanawiającej ramy  prawne dla sieci Branżowych Centrów Umiejętności, zapewnienie ukierunkowanego podnoszenia kwalifikacji i przekwalifikowania istotnego dla potrzeb rynku pracy </w:t>
            </w:r>
          </w:p>
        </w:tc>
        <w:tc>
          <w:tcPr>
            <w:tcW w:w="1418" w:type="dxa"/>
            <w:tcBorders>
              <w:top w:val="single" w:sz="4" w:space="0" w:color="auto"/>
              <w:left w:val="nil"/>
              <w:bottom w:val="single" w:sz="4" w:space="0" w:color="auto"/>
              <w:right w:val="single" w:sz="4" w:space="0" w:color="auto"/>
            </w:tcBorders>
            <w:shd w:val="clear" w:color="000000" w:fill="C6EFCE"/>
            <w:vAlign w:val="center"/>
            <w:hideMark/>
          </w:tcPr>
          <w:p w14:paraId="78D6CD9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Przepis znowelizowanego Prawa oświatowego wskazujący na wejście w życie</w:t>
            </w:r>
          </w:p>
        </w:tc>
        <w:tc>
          <w:tcPr>
            <w:tcW w:w="1134" w:type="dxa"/>
            <w:tcBorders>
              <w:top w:val="single" w:sz="4" w:space="0" w:color="auto"/>
              <w:left w:val="nil"/>
              <w:bottom w:val="single" w:sz="4" w:space="0" w:color="auto"/>
              <w:right w:val="single" w:sz="4" w:space="0" w:color="auto"/>
            </w:tcBorders>
            <w:shd w:val="clear" w:color="000000" w:fill="C6EFCE"/>
            <w:vAlign w:val="center"/>
            <w:hideMark/>
          </w:tcPr>
          <w:p w14:paraId="63999EB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176B181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9" w:type="dxa"/>
            <w:tcBorders>
              <w:top w:val="single" w:sz="4" w:space="0" w:color="auto"/>
              <w:left w:val="nil"/>
              <w:bottom w:val="single" w:sz="4" w:space="0" w:color="auto"/>
              <w:right w:val="single" w:sz="4" w:space="0" w:color="auto"/>
            </w:tcBorders>
            <w:shd w:val="clear" w:color="000000" w:fill="C6EFCE"/>
            <w:vAlign w:val="center"/>
            <w:hideMark/>
          </w:tcPr>
          <w:p w14:paraId="02871D7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8" w:type="dxa"/>
            <w:tcBorders>
              <w:top w:val="single" w:sz="4" w:space="0" w:color="auto"/>
              <w:left w:val="nil"/>
              <w:bottom w:val="single" w:sz="4" w:space="0" w:color="auto"/>
              <w:right w:val="single" w:sz="4" w:space="0" w:color="auto"/>
            </w:tcBorders>
            <w:shd w:val="clear" w:color="000000" w:fill="C6EFCE"/>
            <w:vAlign w:val="center"/>
            <w:hideMark/>
          </w:tcPr>
          <w:p w14:paraId="1483320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single" w:sz="4" w:space="0" w:color="auto"/>
              <w:left w:val="nil"/>
              <w:bottom w:val="single" w:sz="4" w:space="0" w:color="auto"/>
              <w:right w:val="single" w:sz="4" w:space="0" w:color="auto"/>
            </w:tcBorders>
            <w:shd w:val="clear" w:color="000000" w:fill="C6EFCE"/>
            <w:vAlign w:val="center"/>
            <w:hideMark/>
          </w:tcPr>
          <w:p w14:paraId="08232CC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2023</w:t>
            </w:r>
          </w:p>
        </w:tc>
        <w:tc>
          <w:tcPr>
            <w:tcW w:w="4253" w:type="dxa"/>
            <w:gridSpan w:val="2"/>
            <w:tcBorders>
              <w:top w:val="single" w:sz="4" w:space="0" w:color="auto"/>
              <w:left w:val="nil"/>
              <w:bottom w:val="single" w:sz="4" w:space="0" w:color="auto"/>
              <w:right w:val="single" w:sz="4" w:space="0" w:color="auto"/>
            </w:tcBorders>
            <w:shd w:val="clear" w:color="000000" w:fill="C6EFCE"/>
            <w:vAlign w:val="center"/>
            <w:hideMark/>
          </w:tcPr>
          <w:p w14:paraId="4879D74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 ramach reformy prawa oświatowego, po przeprowadzeniu studiów wykonalności i procesu przeglądu w ścisłej współpracy z partnerami społecznymi, władzami regionalnymi, branżami i innymi interesariuszami, należy ustanowić/zmienionych ram prawnych dla sieci branżowych centrów umiejętności, zapewniających ukierunkowane podnoszenie i zmianę kwalifikacji, w wysokim stopniu odpowiadające potrzebom rynku pracy, w celu poprawy systemu kształcenia i szkolenia zawodowego dzięki bardziej ukierunkowanym branżowym ośrodkom edukacyjnym i lepszemu powiązaniu kształcenia z potrzebami rynku pracy.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Prawo to zapewni:</w:t>
            </w:r>
            <w:r w:rsidRPr="002862EB">
              <w:rPr>
                <w:rFonts w:ascii="Times New Roman" w:eastAsia="Times New Roman" w:hAnsi="Times New Roman" w:cs="Times New Roman"/>
                <w:sz w:val="18"/>
                <w:szCs w:val="18"/>
                <w:lang w:val="pl-PL" w:eastAsia="pl-PL"/>
              </w:rPr>
              <w:br/>
              <w:t xml:space="preserve">- Uwzględnienie planu rozwoju centrów umiejętności </w:t>
            </w:r>
            <w:r w:rsidRPr="002862EB">
              <w:rPr>
                <w:rFonts w:ascii="Times New Roman" w:eastAsia="Times New Roman" w:hAnsi="Times New Roman" w:cs="Times New Roman"/>
                <w:sz w:val="18"/>
                <w:szCs w:val="18"/>
                <w:lang w:val="pl-PL" w:eastAsia="pl-PL"/>
              </w:rPr>
              <w:br/>
              <w:t xml:space="preserve">- Określenie miejsca i roli centrów umiejętności w systemie kształcenia i szkolenia; </w:t>
            </w:r>
            <w:r w:rsidRPr="002862EB">
              <w:rPr>
                <w:rFonts w:ascii="Times New Roman" w:eastAsia="Times New Roman" w:hAnsi="Times New Roman" w:cs="Times New Roman"/>
                <w:sz w:val="18"/>
                <w:szCs w:val="18"/>
                <w:lang w:val="pl-PL" w:eastAsia="pl-PL"/>
              </w:rPr>
              <w:br/>
              <w:t xml:space="preserve">- Określenie warunków pracy personelu w centrach umiejętności </w:t>
            </w:r>
            <w:r w:rsidRPr="002862EB">
              <w:rPr>
                <w:rFonts w:ascii="Times New Roman" w:eastAsia="Times New Roman" w:hAnsi="Times New Roman" w:cs="Times New Roman"/>
                <w:sz w:val="18"/>
                <w:szCs w:val="18"/>
                <w:lang w:val="pl-PL" w:eastAsia="pl-PL"/>
              </w:rPr>
              <w:br/>
              <w:t xml:space="preserve">- Ustanowienie przepisów dotyczących przeglądów śródokresowych i cyklicznych w celu zapewnienia nadzoru nad zarządzaniem i trwałością po 2026 r.  </w:t>
            </w:r>
            <w:r w:rsidRPr="002862EB">
              <w:rPr>
                <w:rFonts w:ascii="Times New Roman" w:eastAsia="Times New Roman" w:hAnsi="Times New Roman" w:cs="Times New Roman"/>
                <w:sz w:val="18"/>
                <w:szCs w:val="18"/>
                <w:lang w:val="pl-PL" w:eastAsia="pl-PL"/>
              </w:rPr>
              <w:br/>
              <w:t xml:space="preserve">- Dostosowanie istniejącego systemu zarządzania z dostosowanymi przepisami dotyczącymi zarządzania centrami umiejętności, w tym pracodawców, w celu uwzględnienia pracodawców, partnerów społecznych i inne interesariusze, w tym władze regionalne i lokalne, w tym w celu ustanowienia ustaleń dotyczących finansowania (również po ustaniu wsparcia UE), warunków szkolenia, przepisów dotyczących doradztwa zawodowego i programów nauczania. </w:t>
            </w:r>
            <w:r w:rsidRPr="002862EB">
              <w:rPr>
                <w:rFonts w:ascii="Times New Roman" w:eastAsia="Times New Roman" w:hAnsi="Times New Roman" w:cs="Times New Roman"/>
                <w:sz w:val="18"/>
                <w:szCs w:val="18"/>
                <w:lang w:val="pl-PL" w:eastAsia="pl-PL"/>
              </w:rPr>
              <w:br/>
              <w:t xml:space="preserve">- Identyfikację rodzajów oferowanych szkoleń, grupy </w:t>
            </w:r>
            <w:r w:rsidRPr="002862EB">
              <w:rPr>
                <w:rFonts w:ascii="Times New Roman" w:eastAsia="Times New Roman" w:hAnsi="Times New Roman" w:cs="Times New Roman"/>
                <w:sz w:val="18"/>
                <w:szCs w:val="18"/>
                <w:lang w:val="pl-PL" w:eastAsia="pl-PL"/>
              </w:rPr>
              <w:lastRenderedPageBreak/>
              <w:t>docelowe, rodzaje kwalifikacji i norm, mechanizmy zapewniania i weryfikacji jakości oraz sposób powiązania branż z centrami umiejętności</w:t>
            </w:r>
          </w:p>
        </w:tc>
      </w:tr>
      <w:tr w:rsidR="001052B5" w:rsidRPr="009D378C" w14:paraId="484EA8A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27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1CDAD6CC"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lastRenderedPageBreak/>
              <w:t>A42G</w:t>
            </w:r>
          </w:p>
        </w:tc>
        <w:tc>
          <w:tcPr>
            <w:tcW w:w="1984" w:type="dxa"/>
            <w:tcBorders>
              <w:top w:val="nil"/>
              <w:left w:val="nil"/>
              <w:bottom w:val="single" w:sz="4" w:space="0" w:color="auto"/>
              <w:right w:val="single" w:sz="4" w:space="0" w:color="auto"/>
            </w:tcBorders>
            <w:shd w:val="clear" w:color="000000" w:fill="C6EFCE"/>
            <w:vAlign w:val="center"/>
            <w:hideMark/>
          </w:tcPr>
          <w:p w14:paraId="126F23C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 Kadry dla nowoczesnej gospodarki - poprawa dopasowania umiejętności i kwalifikacji do wymogów rynku pracy w związku z wdrażaniem nowych technologii w gospodarce oraz zieloną i cyfrową transformacją </w:t>
            </w:r>
          </w:p>
        </w:tc>
        <w:tc>
          <w:tcPr>
            <w:tcW w:w="1134" w:type="dxa"/>
            <w:tcBorders>
              <w:top w:val="nil"/>
              <w:left w:val="nil"/>
              <w:bottom w:val="single" w:sz="4" w:space="0" w:color="auto"/>
              <w:right w:val="single" w:sz="4" w:space="0" w:color="auto"/>
            </w:tcBorders>
            <w:shd w:val="clear" w:color="000000" w:fill="C6EFCE"/>
            <w:vAlign w:val="center"/>
            <w:hideMark/>
          </w:tcPr>
          <w:p w14:paraId="4CBD6B8E"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19D3F8A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Wejście w życie nowelizacji ustawy Karta Nauczyciela, umożliwiającej stałe kształcenie nauczycieli zawodowych w Branżowych Centrach Umiejętności </w:t>
            </w:r>
          </w:p>
        </w:tc>
        <w:tc>
          <w:tcPr>
            <w:tcW w:w="1418" w:type="dxa"/>
            <w:tcBorders>
              <w:top w:val="nil"/>
              <w:left w:val="nil"/>
              <w:bottom w:val="single" w:sz="4" w:space="0" w:color="auto"/>
              <w:right w:val="single" w:sz="4" w:space="0" w:color="auto"/>
            </w:tcBorders>
            <w:shd w:val="clear" w:color="000000" w:fill="C6EFCE"/>
            <w:vAlign w:val="center"/>
            <w:hideMark/>
          </w:tcPr>
          <w:p w14:paraId="73F634B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Przepis znowelizowanej ustawy Karta Nauczyciela wskazujący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475156D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67CD0B8" w14:textId="77777777" w:rsidR="001052B5" w:rsidRPr="002862EB" w:rsidRDefault="001052B5" w:rsidP="00A20CA7">
            <w:pPr>
              <w:spacing w:after="0" w:line="240" w:lineRule="auto"/>
              <w:jc w:val="center"/>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vAlign w:val="center"/>
            <w:hideMark/>
          </w:tcPr>
          <w:p w14:paraId="4D5FE42E"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vAlign w:val="center"/>
            <w:hideMark/>
          </w:tcPr>
          <w:p w14:paraId="72C1A18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095EE30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2023</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183870DE"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Reforma Karty Nauczyciela umożliwi realizację ustawicznego kształcenia zawodowego nauczycieli w Branżowych Centrach Umiejętności.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 xml:space="preserve">Prawo to zapewni:  </w:t>
            </w:r>
            <w:r w:rsidRPr="002862EB">
              <w:rPr>
                <w:rFonts w:ascii="Times New Roman" w:eastAsia="Times New Roman" w:hAnsi="Times New Roman" w:cs="Times New Roman"/>
                <w:sz w:val="18"/>
                <w:szCs w:val="18"/>
                <w:lang w:val="pl-PL" w:eastAsia="pl-PL"/>
              </w:rPr>
              <w:br/>
              <w:t xml:space="preserve">- Określenie ram szkolenia nauczycieli w centrach umiejętności; </w:t>
            </w:r>
            <w:r w:rsidRPr="002862EB">
              <w:rPr>
                <w:rFonts w:ascii="Times New Roman" w:eastAsia="Times New Roman" w:hAnsi="Times New Roman" w:cs="Times New Roman"/>
                <w:sz w:val="18"/>
                <w:szCs w:val="18"/>
                <w:lang w:val="pl-PL" w:eastAsia="pl-PL"/>
              </w:rPr>
              <w:br/>
              <w:t xml:space="preserve">- Uwzględnienie przepisów dotyczących szkolenia nauczycieli w zakresie korzystania z nowych technologii. </w:t>
            </w:r>
          </w:p>
        </w:tc>
      </w:tr>
      <w:tr w:rsidR="001052B5" w:rsidRPr="009D378C" w14:paraId="6BD6594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684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0CA8C465"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lastRenderedPageBreak/>
              <w:t>A43G</w:t>
            </w:r>
          </w:p>
        </w:tc>
        <w:tc>
          <w:tcPr>
            <w:tcW w:w="1984" w:type="dxa"/>
            <w:tcBorders>
              <w:top w:val="nil"/>
              <w:left w:val="nil"/>
              <w:bottom w:val="single" w:sz="4" w:space="0" w:color="auto"/>
              <w:right w:val="single" w:sz="4" w:space="0" w:color="auto"/>
            </w:tcBorders>
            <w:shd w:val="clear" w:color="000000" w:fill="C6EFCE"/>
            <w:vAlign w:val="center"/>
            <w:hideMark/>
          </w:tcPr>
          <w:p w14:paraId="4183133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 Kadry dla nowoczesnej gospodarki - poprawa dopasowania umiejętności i kwalifikacji do wymogów rynku pracy w związku z wdrażaniem nowych technologii w gospodarce oraz zieloną i cyfrową transformacją </w:t>
            </w:r>
          </w:p>
        </w:tc>
        <w:tc>
          <w:tcPr>
            <w:tcW w:w="1134" w:type="dxa"/>
            <w:tcBorders>
              <w:top w:val="nil"/>
              <w:left w:val="nil"/>
              <w:bottom w:val="single" w:sz="4" w:space="0" w:color="auto"/>
              <w:right w:val="single" w:sz="4" w:space="0" w:color="auto"/>
            </w:tcBorders>
            <w:shd w:val="clear" w:color="000000" w:fill="C6EFCE"/>
            <w:vAlign w:val="center"/>
            <w:hideMark/>
          </w:tcPr>
          <w:p w14:paraId="5C85B5A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kamień milowy</w:t>
            </w:r>
          </w:p>
        </w:tc>
        <w:tc>
          <w:tcPr>
            <w:tcW w:w="2268" w:type="dxa"/>
            <w:tcBorders>
              <w:top w:val="nil"/>
              <w:left w:val="nil"/>
              <w:bottom w:val="single" w:sz="4" w:space="0" w:color="auto"/>
              <w:right w:val="single" w:sz="4" w:space="0" w:color="auto"/>
            </w:tcBorders>
            <w:shd w:val="clear" w:color="000000" w:fill="C6EFCE"/>
            <w:vAlign w:val="center"/>
            <w:hideMark/>
          </w:tcPr>
          <w:p w14:paraId="1096546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Wejście w życie nowelizacji ustawy o samorządzie wojewódzkim, ustawy o instytucjach rynku pracy, ustawy o samorządzie powiatowym oraz innych stosownych ustaw Ministerstwa Edukacji i Nauki w zakresie koordynacji kształcenia i szkolenia zawodowego oraz uczenia się przez całe życie w regionach </w:t>
            </w:r>
          </w:p>
        </w:tc>
        <w:tc>
          <w:tcPr>
            <w:tcW w:w="1418" w:type="dxa"/>
            <w:tcBorders>
              <w:top w:val="nil"/>
              <w:left w:val="nil"/>
              <w:bottom w:val="single" w:sz="4" w:space="0" w:color="auto"/>
              <w:right w:val="single" w:sz="4" w:space="0" w:color="auto"/>
            </w:tcBorders>
            <w:shd w:val="clear" w:color="000000" w:fill="C6EFCE"/>
            <w:vAlign w:val="center"/>
            <w:hideMark/>
          </w:tcPr>
          <w:p w14:paraId="7230EEF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Przepisy znowelizowanej ustawy o samorządzie wojewódzkim, ustawy o instytucjach rynku pracy, ustawy o samorządzie powiatowym oraz innych właściwych ustaw wskazujące na wejście w życie</w:t>
            </w:r>
          </w:p>
        </w:tc>
        <w:tc>
          <w:tcPr>
            <w:tcW w:w="1134" w:type="dxa"/>
            <w:tcBorders>
              <w:top w:val="nil"/>
              <w:left w:val="nil"/>
              <w:bottom w:val="single" w:sz="4" w:space="0" w:color="auto"/>
              <w:right w:val="single" w:sz="4" w:space="0" w:color="auto"/>
            </w:tcBorders>
            <w:shd w:val="clear" w:color="000000" w:fill="C6EFCE"/>
            <w:vAlign w:val="center"/>
            <w:hideMark/>
          </w:tcPr>
          <w:p w14:paraId="5A4CB47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BB3927E" w14:textId="77777777" w:rsidR="001052B5" w:rsidRPr="002862EB" w:rsidRDefault="001052B5" w:rsidP="00A20CA7">
            <w:pPr>
              <w:spacing w:after="0" w:line="240" w:lineRule="auto"/>
              <w:jc w:val="center"/>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vAlign w:val="center"/>
            <w:hideMark/>
          </w:tcPr>
          <w:p w14:paraId="4307C92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vAlign w:val="center"/>
            <w:hideMark/>
          </w:tcPr>
          <w:p w14:paraId="1CBC03A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Q1</w:t>
            </w:r>
          </w:p>
        </w:tc>
        <w:tc>
          <w:tcPr>
            <w:tcW w:w="567" w:type="dxa"/>
            <w:tcBorders>
              <w:top w:val="nil"/>
              <w:left w:val="nil"/>
              <w:bottom w:val="single" w:sz="4" w:space="0" w:color="auto"/>
              <w:right w:val="single" w:sz="4" w:space="0" w:color="auto"/>
            </w:tcBorders>
            <w:shd w:val="clear" w:color="000000" w:fill="C6EFCE"/>
            <w:vAlign w:val="center"/>
            <w:hideMark/>
          </w:tcPr>
          <w:p w14:paraId="73E40F0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2025</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0F20793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Znowelizowane akty prawne (takie jak: ustawa o samorządzie terytorialnym, ustawa o instytucjach rynku pracy, ustawa o samorządzie powiatowym i inne stosowne ustawy), po przeprowadzeniu procesu przeglądu i w ścisłej współpracy z władzami lokalnymi i regionalnymi, identyfikują prawa i obowiązki regionów w zakresie koordynacji polityki umiejętności oraz wpływają na ofertę placówek kształcenia ustawicznego w zakresie podnoszenia kwalifikacji w oparciu o zoperacjonalizowane programy realizacji Zintegrowanej Strategii Umiejętności 2030 na poziomie regionalnym.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Przepisy te obejmują następujące elementy:</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 xml:space="preserve">a) Koncepcja prawna i zadania Wojewódzkich Zespołów Koordynacji dla trwałego funkcjonowania regionalnej koordynacji polityki w zakresie kształcenia i szkolenia zawodowego oraz kształcenia ustawicznego; </w:t>
            </w:r>
            <w:r w:rsidRPr="002862EB">
              <w:rPr>
                <w:rFonts w:ascii="Times New Roman" w:eastAsia="Times New Roman" w:hAnsi="Times New Roman" w:cs="Times New Roman"/>
                <w:sz w:val="18"/>
                <w:szCs w:val="18"/>
                <w:lang w:val="pl-PL" w:eastAsia="pl-PL"/>
              </w:rPr>
              <w:br/>
              <w:t xml:space="preserve">b) Struktura zarządzania regionalną polityką w zakresie umiejętności, w tym obowiązki regionów i partnerów społecznych; </w:t>
            </w:r>
            <w:r w:rsidRPr="002862EB">
              <w:rPr>
                <w:rFonts w:ascii="Times New Roman" w:eastAsia="Times New Roman" w:hAnsi="Times New Roman" w:cs="Times New Roman"/>
                <w:sz w:val="18"/>
                <w:szCs w:val="18"/>
                <w:lang w:val="pl-PL" w:eastAsia="pl-PL"/>
              </w:rPr>
              <w:br/>
              <w:t xml:space="preserve">c) Zobowiązanie do przyjęcia zoperacjonalizowanych programów realizacji dla Zintegrowanej Strategii Umiejętności 2030 w regionach, w tym 1. Obowiązek aktualizacji programu realizacji co 5 lat; oraz 2. Obowiązek zapewnienia dostosowania oferty edukacyjnej w podmiotach prowadzących kształcenie i szkolenie zawodowe oraz innych podmiotach prowadzących szkolenia do zdiagnozowanych potrzeb w zakresie umiejętności; </w:t>
            </w:r>
            <w:r w:rsidRPr="002862EB">
              <w:rPr>
                <w:rFonts w:ascii="Times New Roman" w:eastAsia="Times New Roman" w:hAnsi="Times New Roman" w:cs="Times New Roman"/>
                <w:sz w:val="18"/>
                <w:szCs w:val="18"/>
                <w:lang w:val="pl-PL" w:eastAsia="pl-PL"/>
              </w:rPr>
              <w:br/>
              <w:t xml:space="preserve">d) Przepisy dotyczące funkcjonowania Biura Koordynacji (obsługa Wojewódzkich Zespołów Koordynacji);  </w:t>
            </w:r>
            <w:r w:rsidRPr="002862EB">
              <w:rPr>
                <w:rFonts w:ascii="Times New Roman" w:eastAsia="Times New Roman" w:hAnsi="Times New Roman" w:cs="Times New Roman"/>
                <w:sz w:val="18"/>
                <w:szCs w:val="18"/>
                <w:lang w:val="pl-PL" w:eastAsia="pl-PL"/>
              </w:rPr>
              <w:br/>
              <w:t xml:space="preserve">e) Plan wdrażania w zakresie monitorowania i oceny.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Zoperacjonalizowane programy realizacji Zintegrowanej Strategii Umiejętności 2030na szczeblu regionalnym nie naruszają autonomii instytucjonalnej szkół wyższych.</w:t>
            </w:r>
          </w:p>
        </w:tc>
      </w:tr>
      <w:tr w:rsidR="001052B5" w:rsidRPr="009D378C" w14:paraId="751CE59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4568"/>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192C5BD4"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lastRenderedPageBreak/>
              <w:t>A44G</w:t>
            </w:r>
          </w:p>
        </w:tc>
        <w:tc>
          <w:tcPr>
            <w:tcW w:w="1984" w:type="dxa"/>
            <w:tcBorders>
              <w:top w:val="nil"/>
              <w:left w:val="nil"/>
              <w:bottom w:val="single" w:sz="4" w:space="0" w:color="auto"/>
              <w:right w:val="single" w:sz="4" w:space="0" w:color="auto"/>
            </w:tcBorders>
            <w:shd w:val="clear" w:color="000000" w:fill="C6EFCE"/>
            <w:vAlign w:val="center"/>
            <w:hideMark/>
          </w:tcPr>
          <w:p w14:paraId="55CB95E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7E41A59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377B5FD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W1 - Utworzenie sieci funkcjonujących Branżowych Centrów Umiejętności zapewniających ukierunkowane podnoszenie umiejętności i przekwalifikowywanie, które są kluczowe dla potrzeb rynku pracy  </w:t>
            </w:r>
          </w:p>
        </w:tc>
        <w:tc>
          <w:tcPr>
            <w:tcW w:w="1418" w:type="dxa"/>
            <w:tcBorders>
              <w:top w:val="nil"/>
              <w:left w:val="nil"/>
              <w:bottom w:val="single" w:sz="4" w:space="0" w:color="auto"/>
              <w:right w:val="single" w:sz="4" w:space="0" w:color="auto"/>
            </w:tcBorders>
            <w:shd w:val="clear" w:color="000000" w:fill="C6EFCE"/>
            <w:vAlign w:val="center"/>
            <w:hideMark/>
          </w:tcPr>
          <w:p w14:paraId="1317781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666054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2E5849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vAlign w:val="center"/>
            <w:hideMark/>
          </w:tcPr>
          <w:p w14:paraId="0A1C116A"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w:t>
            </w:r>
          </w:p>
        </w:tc>
        <w:tc>
          <w:tcPr>
            <w:tcW w:w="708" w:type="dxa"/>
            <w:tcBorders>
              <w:top w:val="nil"/>
              <w:left w:val="nil"/>
              <w:bottom w:val="single" w:sz="4" w:space="0" w:color="auto"/>
              <w:right w:val="single" w:sz="4" w:space="0" w:color="auto"/>
            </w:tcBorders>
            <w:shd w:val="clear" w:color="000000" w:fill="C6EFCE"/>
            <w:vAlign w:val="center"/>
            <w:hideMark/>
          </w:tcPr>
          <w:p w14:paraId="71D4B55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Q1</w:t>
            </w:r>
          </w:p>
        </w:tc>
        <w:tc>
          <w:tcPr>
            <w:tcW w:w="567" w:type="dxa"/>
            <w:tcBorders>
              <w:top w:val="nil"/>
              <w:left w:val="nil"/>
              <w:bottom w:val="single" w:sz="4" w:space="0" w:color="auto"/>
              <w:right w:val="single" w:sz="4" w:space="0" w:color="auto"/>
            </w:tcBorders>
            <w:shd w:val="clear" w:color="000000" w:fill="C6EFCE"/>
            <w:vAlign w:val="center"/>
            <w:hideMark/>
          </w:tcPr>
          <w:p w14:paraId="083DE6C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2024</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49CA68A2" w14:textId="6E0EC173"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Pełne funkcjonowanie 20 Branżowych Centrów Umiejętności oraz zapewnienie kursów i programów szkolenia zawodowego, w tym dla dorosłych, studentów, młodzieży, nauczycieli kształcenia i szkolenia zawodowego oraz pracowników. Działania te obejmują: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 Budowę centrów umiejętności</w:t>
            </w:r>
            <w:r w:rsidRPr="002862EB">
              <w:rPr>
                <w:rFonts w:ascii="Times New Roman" w:eastAsia="Times New Roman" w:hAnsi="Times New Roman" w:cs="Times New Roman"/>
                <w:sz w:val="18"/>
                <w:szCs w:val="18"/>
                <w:lang w:val="pl-PL" w:eastAsia="pl-PL"/>
              </w:rPr>
              <w:br/>
              <w:t xml:space="preserve">- Zakup sprzętu (w zakresie odpowiednim do </w:t>
            </w:r>
            <w:r w:rsidR="00521D03" w:rsidRPr="002862EB">
              <w:rPr>
                <w:rFonts w:ascii="Times New Roman" w:eastAsia="Times New Roman" w:hAnsi="Times New Roman" w:cs="Times New Roman"/>
                <w:sz w:val="18"/>
                <w:szCs w:val="18"/>
                <w:lang w:val="pl-PL" w:eastAsia="pl-PL"/>
              </w:rPr>
              <w:t>funkcjonowania</w:t>
            </w:r>
            <w:r w:rsidRPr="002862EB">
              <w:rPr>
                <w:rFonts w:ascii="Times New Roman" w:eastAsia="Times New Roman" w:hAnsi="Times New Roman" w:cs="Times New Roman"/>
                <w:sz w:val="18"/>
                <w:szCs w:val="18"/>
                <w:lang w:val="pl-PL" w:eastAsia="pl-PL"/>
              </w:rPr>
              <w:t xml:space="preserve"> centrów) </w:t>
            </w:r>
            <w:r w:rsidRPr="002862EB">
              <w:rPr>
                <w:rFonts w:ascii="Times New Roman" w:eastAsia="Times New Roman" w:hAnsi="Times New Roman" w:cs="Times New Roman"/>
                <w:sz w:val="18"/>
                <w:szCs w:val="18"/>
                <w:lang w:val="pl-PL" w:eastAsia="pl-PL"/>
              </w:rPr>
              <w:br/>
              <w:t xml:space="preserve">- Utworzenie struktury instytucjonalnej centrum, w tym zaangażowanie 90 organizacji branżowych </w:t>
            </w:r>
            <w:r w:rsidRPr="002862EB">
              <w:rPr>
                <w:rFonts w:ascii="Times New Roman" w:eastAsia="Times New Roman" w:hAnsi="Times New Roman" w:cs="Times New Roman"/>
                <w:sz w:val="18"/>
                <w:szCs w:val="18"/>
                <w:lang w:val="pl-PL" w:eastAsia="pl-PL"/>
              </w:rPr>
              <w:br/>
              <w:t xml:space="preserve">- Zatrudnianie pracowników </w:t>
            </w:r>
            <w:r w:rsidRPr="002862EB">
              <w:rPr>
                <w:rFonts w:ascii="Times New Roman" w:eastAsia="Times New Roman" w:hAnsi="Times New Roman" w:cs="Times New Roman"/>
                <w:sz w:val="18"/>
                <w:szCs w:val="18"/>
                <w:lang w:val="pl-PL" w:eastAsia="pl-PL"/>
              </w:rPr>
              <w:br/>
              <w:t>- Pełne funkcjonowanie centrów umiejętności.</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Inwestycja zostanie zrealizowana w pełnej zgodności z Wytycznymi Technicznymi DNSH (2021/C 58/01). W szczególności budowa nowych budynków musi być zgodna ze standardem budynków o niemal zerowym zużyciu energii, określonym w dyrektywie w sprawie charakterystyki energetycznej budynków.</w:t>
            </w:r>
          </w:p>
        </w:tc>
      </w:tr>
      <w:tr w:rsidR="001052B5" w:rsidRPr="009D378C" w14:paraId="0EE19BA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39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70A1C546"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A45G</w:t>
            </w:r>
          </w:p>
        </w:tc>
        <w:tc>
          <w:tcPr>
            <w:tcW w:w="1984" w:type="dxa"/>
            <w:tcBorders>
              <w:top w:val="nil"/>
              <w:left w:val="nil"/>
              <w:bottom w:val="single" w:sz="4" w:space="0" w:color="auto"/>
              <w:right w:val="single" w:sz="4" w:space="0" w:color="auto"/>
            </w:tcBorders>
            <w:shd w:val="clear" w:color="000000" w:fill="C6EFCE"/>
            <w:vAlign w:val="center"/>
            <w:hideMark/>
          </w:tcPr>
          <w:p w14:paraId="0919F76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443516B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43B449D6"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W2 - Utworzenie sieci funkcjonujących Branżowych Centrów Umiejętności zapewniających ukierunkowane podnoszenie umiejętności i przekwalifikowywanie, które są kluczowe dla potrzeb rynku pracy  </w:t>
            </w:r>
          </w:p>
        </w:tc>
        <w:tc>
          <w:tcPr>
            <w:tcW w:w="1418" w:type="dxa"/>
            <w:tcBorders>
              <w:top w:val="nil"/>
              <w:left w:val="nil"/>
              <w:bottom w:val="single" w:sz="4" w:space="0" w:color="auto"/>
              <w:right w:val="single" w:sz="4" w:space="0" w:color="auto"/>
            </w:tcBorders>
            <w:shd w:val="clear" w:color="000000" w:fill="C6EFCE"/>
            <w:vAlign w:val="center"/>
            <w:hideMark/>
          </w:tcPr>
          <w:p w14:paraId="76815FCB"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C44F2C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5C224B8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w:t>
            </w:r>
          </w:p>
        </w:tc>
        <w:tc>
          <w:tcPr>
            <w:tcW w:w="709" w:type="dxa"/>
            <w:tcBorders>
              <w:top w:val="nil"/>
              <w:left w:val="nil"/>
              <w:bottom w:val="single" w:sz="4" w:space="0" w:color="auto"/>
              <w:right w:val="single" w:sz="4" w:space="0" w:color="auto"/>
            </w:tcBorders>
            <w:shd w:val="clear" w:color="000000" w:fill="C6EFCE"/>
            <w:vAlign w:val="center"/>
            <w:hideMark/>
          </w:tcPr>
          <w:p w14:paraId="2AB768D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120</w:t>
            </w:r>
          </w:p>
        </w:tc>
        <w:tc>
          <w:tcPr>
            <w:tcW w:w="708" w:type="dxa"/>
            <w:tcBorders>
              <w:top w:val="nil"/>
              <w:left w:val="nil"/>
              <w:bottom w:val="single" w:sz="4" w:space="0" w:color="auto"/>
              <w:right w:val="single" w:sz="4" w:space="0" w:color="auto"/>
            </w:tcBorders>
            <w:shd w:val="clear" w:color="000000" w:fill="C6EFCE"/>
            <w:vAlign w:val="center"/>
            <w:hideMark/>
          </w:tcPr>
          <w:p w14:paraId="593D8C7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2942B05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2025</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7E72A2E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Pełne funkcjonowanie 120 branżowych centrów umiejętności oraz zapewnienie kursów i programów szkolenia zawodowego, w tym dla dorosłych, studentów, młodzieży, nauczycieli kształcenia i szkolenia zawodowego oraz pracowników. Działania te obejmują: </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 Budowę centrów umiejętności</w:t>
            </w:r>
            <w:r w:rsidRPr="002862EB">
              <w:rPr>
                <w:rFonts w:ascii="Times New Roman" w:eastAsia="Times New Roman" w:hAnsi="Times New Roman" w:cs="Times New Roman"/>
                <w:sz w:val="18"/>
                <w:szCs w:val="18"/>
                <w:lang w:val="pl-PL" w:eastAsia="pl-PL"/>
              </w:rPr>
              <w:br/>
              <w:t xml:space="preserve">- Zakup sprzętu (w zakresie odpowiednim do funkcjonowania centrów) </w:t>
            </w:r>
            <w:r w:rsidRPr="002862EB">
              <w:rPr>
                <w:rFonts w:ascii="Times New Roman" w:eastAsia="Times New Roman" w:hAnsi="Times New Roman" w:cs="Times New Roman"/>
                <w:sz w:val="18"/>
                <w:szCs w:val="18"/>
                <w:lang w:val="pl-PL" w:eastAsia="pl-PL"/>
              </w:rPr>
              <w:br/>
              <w:t xml:space="preserve">- Utworzenie struktury instytucjonalnej 120 centrów, w tym zaangażowanie 90 organizacji branżowych </w:t>
            </w:r>
            <w:r w:rsidRPr="002862EB">
              <w:rPr>
                <w:rFonts w:ascii="Times New Roman" w:eastAsia="Times New Roman" w:hAnsi="Times New Roman" w:cs="Times New Roman"/>
                <w:sz w:val="18"/>
                <w:szCs w:val="18"/>
                <w:lang w:val="pl-PL" w:eastAsia="pl-PL"/>
              </w:rPr>
              <w:br/>
              <w:t xml:space="preserve">- Zatrudnianie pracowników </w:t>
            </w:r>
            <w:r w:rsidRPr="002862EB">
              <w:rPr>
                <w:rFonts w:ascii="Times New Roman" w:eastAsia="Times New Roman" w:hAnsi="Times New Roman" w:cs="Times New Roman"/>
                <w:sz w:val="18"/>
                <w:szCs w:val="18"/>
                <w:lang w:val="pl-PL" w:eastAsia="pl-PL"/>
              </w:rPr>
              <w:br/>
              <w:t>- Pełne funkcjonowanie 120 centrów umiejętności.</w:t>
            </w:r>
            <w:r w:rsidRPr="002862EB">
              <w:rPr>
                <w:rFonts w:ascii="Times New Roman" w:eastAsia="Times New Roman" w:hAnsi="Times New Roman" w:cs="Times New Roman"/>
                <w:sz w:val="18"/>
                <w:szCs w:val="18"/>
                <w:lang w:val="pl-PL" w:eastAsia="pl-PL"/>
              </w:rPr>
              <w:br/>
            </w:r>
            <w:r w:rsidRPr="002862EB">
              <w:rPr>
                <w:rFonts w:ascii="Times New Roman" w:eastAsia="Times New Roman" w:hAnsi="Times New Roman" w:cs="Times New Roman"/>
                <w:sz w:val="18"/>
                <w:szCs w:val="18"/>
                <w:lang w:val="pl-PL" w:eastAsia="pl-PL"/>
              </w:rPr>
              <w:br/>
              <w:t>Inwestycja zostanie zrealizowana w pełnej zgodności z Wytycznymi Technicznymi DNSH (2021/C 58/01). W szczególności budowa nowych budynków musi być zgodna ze standardem budynków o niemal zerowym zużyciu energii, określonym w dyrektywie w sprawie charakterystyki energetycznej budynków.</w:t>
            </w:r>
          </w:p>
        </w:tc>
      </w:tr>
      <w:tr w:rsidR="001052B5" w:rsidRPr="009D378C" w14:paraId="1289765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15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001DB7E1"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lastRenderedPageBreak/>
              <w:t>A46G</w:t>
            </w:r>
          </w:p>
        </w:tc>
        <w:tc>
          <w:tcPr>
            <w:tcW w:w="1984" w:type="dxa"/>
            <w:tcBorders>
              <w:top w:val="nil"/>
              <w:left w:val="nil"/>
              <w:bottom w:val="single" w:sz="4" w:space="0" w:color="auto"/>
              <w:right w:val="single" w:sz="4" w:space="0" w:color="auto"/>
            </w:tcBorders>
            <w:shd w:val="clear" w:color="000000" w:fill="C6EFCE"/>
            <w:vAlign w:val="center"/>
            <w:hideMark/>
          </w:tcPr>
          <w:p w14:paraId="0F23F48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7168A4F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568CF88A"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W1 - Zapewnienie umiejętności uczącym się w Branżowych Centrach Umiejętności, w tym certyfikacja efektów uczenia się (umiejętności), wydawana i uznawana przez branżę </w:t>
            </w:r>
          </w:p>
        </w:tc>
        <w:tc>
          <w:tcPr>
            <w:tcW w:w="1418" w:type="dxa"/>
            <w:tcBorders>
              <w:top w:val="nil"/>
              <w:left w:val="nil"/>
              <w:bottom w:val="single" w:sz="4" w:space="0" w:color="auto"/>
              <w:right w:val="single" w:sz="4" w:space="0" w:color="auto"/>
            </w:tcBorders>
            <w:shd w:val="clear" w:color="000000" w:fill="C6EFCE"/>
            <w:vAlign w:val="center"/>
            <w:hideMark/>
          </w:tcPr>
          <w:p w14:paraId="7927B8B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3E57A7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5977C4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vAlign w:val="center"/>
            <w:hideMark/>
          </w:tcPr>
          <w:p w14:paraId="6F88466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2000</w:t>
            </w:r>
          </w:p>
        </w:tc>
        <w:tc>
          <w:tcPr>
            <w:tcW w:w="708" w:type="dxa"/>
            <w:tcBorders>
              <w:top w:val="nil"/>
              <w:left w:val="nil"/>
              <w:bottom w:val="single" w:sz="4" w:space="0" w:color="auto"/>
              <w:right w:val="single" w:sz="4" w:space="0" w:color="auto"/>
            </w:tcBorders>
            <w:shd w:val="clear" w:color="000000" w:fill="C6EFCE"/>
            <w:vAlign w:val="center"/>
            <w:hideMark/>
          </w:tcPr>
          <w:p w14:paraId="5A00B7C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689629B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2024</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63CB8A6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2000 osób zostanie przeszkolonych w Branżowych Centrach Umiejętności. Każdy z przeszkolonych uczniów powinien otrzymać potwierdzenie uzyskanych efektów uczenia się (umiejętności i kwalifikacji), uznawane przez branżę, wydane przez organizację branżową.</w:t>
            </w:r>
          </w:p>
        </w:tc>
      </w:tr>
      <w:tr w:rsidR="001052B5" w:rsidRPr="009D378C" w14:paraId="245CA7D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15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3E8E0182"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A47G</w:t>
            </w:r>
          </w:p>
        </w:tc>
        <w:tc>
          <w:tcPr>
            <w:tcW w:w="1984" w:type="dxa"/>
            <w:tcBorders>
              <w:top w:val="nil"/>
              <w:left w:val="nil"/>
              <w:bottom w:val="single" w:sz="4" w:space="0" w:color="auto"/>
              <w:right w:val="single" w:sz="4" w:space="0" w:color="auto"/>
            </w:tcBorders>
            <w:shd w:val="clear" w:color="000000" w:fill="C6EFCE"/>
            <w:vAlign w:val="center"/>
            <w:hideMark/>
          </w:tcPr>
          <w:p w14:paraId="68DCB583"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762C41E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1AE8F03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W2 - Zapewnienie umiejętności uczącym się w Branżowych Centrach Umiejętności, w tym certyfikacja efektów uczenia się (umiejętności), wydawana i uznawana przez branżę </w:t>
            </w:r>
          </w:p>
        </w:tc>
        <w:tc>
          <w:tcPr>
            <w:tcW w:w="1418" w:type="dxa"/>
            <w:tcBorders>
              <w:top w:val="nil"/>
              <w:left w:val="nil"/>
              <w:bottom w:val="single" w:sz="4" w:space="0" w:color="auto"/>
              <w:right w:val="single" w:sz="4" w:space="0" w:color="auto"/>
            </w:tcBorders>
            <w:shd w:val="clear" w:color="000000" w:fill="C6EFCE"/>
            <w:vAlign w:val="center"/>
            <w:hideMark/>
          </w:tcPr>
          <w:p w14:paraId="7553675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1BB0186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4DA5BA7B"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2000</w:t>
            </w:r>
          </w:p>
        </w:tc>
        <w:tc>
          <w:tcPr>
            <w:tcW w:w="709" w:type="dxa"/>
            <w:tcBorders>
              <w:top w:val="nil"/>
              <w:left w:val="nil"/>
              <w:bottom w:val="single" w:sz="4" w:space="0" w:color="auto"/>
              <w:right w:val="single" w:sz="4" w:space="0" w:color="auto"/>
            </w:tcBorders>
            <w:shd w:val="clear" w:color="000000" w:fill="C6EFCE"/>
            <w:vAlign w:val="center"/>
            <w:hideMark/>
          </w:tcPr>
          <w:p w14:paraId="69EFD2F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16000</w:t>
            </w:r>
          </w:p>
        </w:tc>
        <w:tc>
          <w:tcPr>
            <w:tcW w:w="708" w:type="dxa"/>
            <w:tcBorders>
              <w:top w:val="nil"/>
              <w:left w:val="nil"/>
              <w:bottom w:val="single" w:sz="4" w:space="0" w:color="auto"/>
              <w:right w:val="single" w:sz="4" w:space="0" w:color="auto"/>
            </w:tcBorders>
            <w:shd w:val="clear" w:color="000000" w:fill="C6EFCE"/>
            <w:vAlign w:val="center"/>
            <w:hideMark/>
          </w:tcPr>
          <w:p w14:paraId="307CC56A"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3DAE472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2025</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61EB8BB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16000 osób zostanie przeszkolonych w Branżowych Centrach Umiejętności. Każdy z przeszkolonych uczniów powinien otrzymać potwierdzenie uzyskanych efektów uczenia się (umiejętności i kwalifikacji), uznawane przez branżę, wydane przez organizację branżową.</w:t>
            </w:r>
          </w:p>
        </w:tc>
      </w:tr>
      <w:tr w:rsidR="001052B5" w:rsidRPr="009D378C" w14:paraId="69B78E7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15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119F4583"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A48G</w:t>
            </w:r>
          </w:p>
        </w:tc>
        <w:tc>
          <w:tcPr>
            <w:tcW w:w="1984" w:type="dxa"/>
            <w:tcBorders>
              <w:top w:val="nil"/>
              <w:left w:val="nil"/>
              <w:bottom w:val="single" w:sz="4" w:space="0" w:color="auto"/>
              <w:right w:val="single" w:sz="4" w:space="0" w:color="auto"/>
            </w:tcBorders>
            <w:shd w:val="clear" w:color="000000" w:fill="C6EFCE"/>
            <w:vAlign w:val="center"/>
            <w:hideMark/>
          </w:tcPr>
          <w:p w14:paraId="263A6FB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2ADD3B2B"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0433991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W3 - Zapewnienie umiejętności uczącym się w Branżowych Centrach Umiejętności, w tym certyfikacja efektów uczenia się (umiejętności), wydawana i uznawana przez branżę </w:t>
            </w:r>
          </w:p>
        </w:tc>
        <w:tc>
          <w:tcPr>
            <w:tcW w:w="1418" w:type="dxa"/>
            <w:tcBorders>
              <w:top w:val="nil"/>
              <w:left w:val="nil"/>
              <w:bottom w:val="single" w:sz="4" w:space="0" w:color="auto"/>
              <w:right w:val="single" w:sz="4" w:space="0" w:color="auto"/>
            </w:tcBorders>
            <w:shd w:val="clear" w:color="000000" w:fill="C6EFCE"/>
            <w:vAlign w:val="center"/>
            <w:hideMark/>
          </w:tcPr>
          <w:p w14:paraId="4A85EC1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EBF002E"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5076A5A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16000</w:t>
            </w:r>
          </w:p>
        </w:tc>
        <w:tc>
          <w:tcPr>
            <w:tcW w:w="709" w:type="dxa"/>
            <w:tcBorders>
              <w:top w:val="nil"/>
              <w:left w:val="nil"/>
              <w:bottom w:val="single" w:sz="4" w:space="0" w:color="auto"/>
              <w:right w:val="single" w:sz="4" w:space="0" w:color="auto"/>
            </w:tcBorders>
            <w:shd w:val="clear" w:color="000000" w:fill="C6EFCE"/>
            <w:vAlign w:val="center"/>
            <w:hideMark/>
          </w:tcPr>
          <w:p w14:paraId="72BEA3D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24000</w:t>
            </w:r>
          </w:p>
        </w:tc>
        <w:tc>
          <w:tcPr>
            <w:tcW w:w="708" w:type="dxa"/>
            <w:tcBorders>
              <w:top w:val="nil"/>
              <w:left w:val="nil"/>
              <w:bottom w:val="single" w:sz="4" w:space="0" w:color="auto"/>
              <w:right w:val="single" w:sz="4" w:space="0" w:color="auto"/>
            </w:tcBorders>
            <w:shd w:val="clear" w:color="000000" w:fill="C6EFCE"/>
            <w:vAlign w:val="center"/>
            <w:hideMark/>
          </w:tcPr>
          <w:p w14:paraId="169FEEE2"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Q2</w:t>
            </w:r>
          </w:p>
        </w:tc>
        <w:tc>
          <w:tcPr>
            <w:tcW w:w="567" w:type="dxa"/>
            <w:tcBorders>
              <w:top w:val="nil"/>
              <w:left w:val="nil"/>
              <w:bottom w:val="single" w:sz="4" w:space="0" w:color="auto"/>
              <w:right w:val="single" w:sz="4" w:space="0" w:color="auto"/>
            </w:tcBorders>
            <w:shd w:val="clear" w:color="000000" w:fill="C6EFCE"/>
            <w:vAlign w:val="center"/>
            <w:hideMark/>
          </w:tcPr>
          <w:p w14:paraId="109C191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2026</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4F7C2C2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24000 osób zostanie przeszkolonych w Branżowych Centrach Umiejętności. Każdy z przeszkolonych uczniów powinien otrzymać potwierdzenie uzyskanych efektów uczenia się (umiejętności i kwalifikacji), uznawane przez branżę, wydane przez organizację branżową.</w:t>
            </w:r>
          </w:p>
        </w:tc>
      </w:tr>
      <w:tr w:rsidR="001052B5" w:rsidRPr="009D378C" w14:paraId="74151D6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1500"/>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41E250F0"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t>A49G</w:t>
            </w:r>
          </w:p>
        </w:tc>
        <w:tc>
          <w:tcPr>
            <w:tcW w:w="1984" w:type="dxa"/>
            <w:tcBorders>
              <w:top w:val="nil"/>
              <w:left w:val="nil"/>
              <w:bottom w:val="single" w:sz="4" w:space="0" w:color="auto"/>
              <w:right w:val="single" w:sz="4" w:space="0" w:color="auto"/>
            </w:tcBorders>
            <w:shd w:val="clear" w:color="000000" w:fill="C6EFCE"/>
            <w:vAlign w:val="center"/>
            <w:hideMark/>
          </w:tcPr>
          <w:p w14:paraId="2247E6E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3B70D12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7213A9D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Utworzenie funkcjonujących Wojewódzkich Zespołów Koordynacji koordynujących politykę w zakresie kształcenia i szkolenia zawodowego oraz uczenia się przez całe życie </w:t>
            </w:r>
          </w:p>
        </w:tc>
        <w:tc>
          <w:tcPr>
            <w:tcW w:w="1418" w:type="dxa"/>
            <w:tcBorders>
              <w:top w:val="nil"/>
              <w:left w:val="nil"/>
              <w:bottom w:val="single" w:sz="4" w:space="0" w:color="auto"/>
              <w:right w:val="single" w:sz="4" w:space="0" w:color="auto"/>
            </w:tcBorders>
            <w:shd w:val="clear" w:color="000000" w:fill="C6EFCE"/>
            <w:vAlign w:val="center"/>
            <w:hideMark/>
          </w:tcPr>
          <w:p w14:paraId="7767888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59EE755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2C188F0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vAlign w:val="center"/>
            <w:hideMark/>
          </w:tcPr>
          <w:p w14:paraId="4532F1A1"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14</w:t>
            </w:r>
          </w:p>
        </w:tc>
        <w:tc>
          <w:tcPr>
            <w:tcW w:w="708" w:type="dxa"/>
            <w:tcBorders>
              <w:top w:val="nil"/>
              <w:left w:val="nil"/>
              <w:bottom w:val="single" w:sz="4" w:space="0" w:color="auto"/>
              <w:right w:val="single" w:sz="4" w:space="0" w:color="auto"/>
            </w:tcBorders>
            <w:shd w:val="clear" w:color="000000" w:fill="C6EFCE"/>
            <w:vAlign w:val="center"/>
            <w:hideMark/>
          </w:tcPr>
          <w:p w14:paraId="4E6C864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34683500"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2022</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1CC6075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Należy powołać co najmniej 14 Wojewódzkich Zespołów Koordynacji, przy czym ogólnym celem jest 16 Wojewódzkich Zespołów Koordynacji (po jednym na każde „województwo”). Wojewódzkie Zespoły Koordynacji, składające się z kluczowych zainteresowanych stron, koordynują politykę w zakresie kształcenia i szkolenia zawodowego oraz uczenia się przez całe życie i współpracują ze szkolnictwem wyższym, w stosownych przypadkach i po uzgodnieniu z zainteresowanymi instytucjami szkolnictwa wyższego.</w:t>
            </w:r>
          </w:p>
        </w:tc>
      </w:tr>
      <w:tr w:rsidR="001052B5" w:rsidRPr="009D378C" w14:paraId="59D67E92"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 w:type="dxa"/>
          <w:trHeight w:val="3717"/>
        </w:trPr>
        <w:tc>
          <w:tcPr>
            <w:tcW w:w="715" w:type="dxa"/>
            <w:tcBorders>
              <w:top w:val="nil"/>
              <w:left w:val="single" w:sz="4" w:space="0" w:color="auto"/>
              <w:bottom w:val="single" w:sz="4" w:space="0" w:color="auto"/>
              <w:right w:val="single" w:sz="4" w:space="0" w:color="auto"/>
            </w:tcBorders>
            <w:shd w:val="clear" w:color="000000" w:fill="C6EFCE"/>
            <w:noWrap/>
            <w:vAlign w:val="center"/>
            <w:hideMark/>
          </w:tcPr>
          <w:p w14:paraId="6915CF1C" w14:textId="77777777" w:rsidR="001052B5" w:rsidRPr="002862EB" w:rsidRDefault="001052B5" w:rsidP="00A20CA7">
            <w:pPr>
              <w:spacing w:after="0" w:line="240" w:lineRule="auto"/>
              <w:rPr>
                <w:rFonts w:ascii="Times New Roman" w:eastAsia="Times New Roman" w:hAnsi="Times New Roman" w:cs="Times New Roman"/>
                <w:b/>
                <w:bCs/>
                <w:sz w:val="18"/>
                <w:szCs w:val="18"/>
                <w:lang w:val="pl-PL" w:eastAsia="pl-PL"/>
              </w:rPr>
            </w:pPr>
            <w:r w:rsidRPr="002862EB">
              <w:rPr>
                <w:rFonts w:ascii="Times New Roman" w:eastAsia="Times New Roman" w:hAnsi="Times New Roman" w:cs="Times New Roman"/>
                <w:b/>
                <w:bCs/>
                <w:sz w:val="18"/>
                <w:szCs w:val="18"/>
                <w:lang w:val="pl-PL" w:eastAsia="pl-PL"/>
              </w:rPr>
              <w:lastRenderedPageBreak/>
              <w:t>A50G</w:t>
            </w:r>
          </w:p>
        </w:tc>
        <w:tc>
          <w:tcPr>
            <w:tcW w:w="1984" w:type="dxa"/>
            <w:tcBorders>
              <w:top w:val="nil"/>
              <w:left w:val="nil"/>
              <w:bottom w:val="single" w:sz="4" w:space="0" w:color="auto"/>
              <w:right w:val="single" w:sz="4" w:space="0" w:color="auto"/>
            </w:tcBorders>
            <w:shd w:val="clear" w:color="000000" w:fill="C6EFCE"/>
            <w:vAlign w:val="center"/>
            <w:hideMark/>
          </w:tcPr>
          <w:p w14:paraId="04B7452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A3.1.1. Wsparcie rozwoju nowoczesnego kształcenia zawodowego, szkolnictwa wyższego oraz uczenia się przez całe życie  </w:t>
            </w:r>
          </w:p>
        </w:tc>
        <w:tc>
          <w:tcPr>
            <w:tcW w:w="1134" w:type="dxa"/>
            <w:tcBorders>
              <w:top w:val="nil"/>
              <w:left w:val="nil"/>
              <w:bottom w:val="single" w:sz="4" w:space="0" w:color="auto"/>
              <w:right w:val="single" w:sz="4" w:space="0" w:color="auto"/>
            </w:tcBorders>
            <w:shd w:val="clear" w:color="000000" w:fill="C6EFCE"/>
            <w:vAlign w:val="center"/>
            <w:hideMark/>
          </w:tcPr>
          <w:p w14:paraId="05E4DD2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wskaźnik</w:t>
            </w:r>
          </w:p>
        </w:tc>
        <w:tc>
          <w:tcPr>
            <w:tcW w:w="2268" w:type="dxa"/>
            <w:tcBorders>
              <w:top w:val="nil"/>
              <w:left w:val="nil"/>
              <w:bottom w:val="single" w:sz="4" w:space="0" w:color="auto"/>
              <w:right w:val="single" w:sz="4" w:space="0" w:color="auto"/>
            </w:tcBorders>
            <w:shd w:val="clear" w:color="000000" w:fill="C6EFCE"/>
            <w:vAlign w:val="center"/>
            <w:hideMark/>
          </w:tcPr>
          <w:p w14:paraId="38052844"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xml:space="preserve">Opracowanie zoperacjonalizowanych programów wdrażania Zintegrowanej Strategii Umiejętności na poziomie regionalnym przez powołane Wojewódzkie Zespoły Koordynacyjne ds. kształcenia i szkolenia zawodowego oraz uczenia się przez całe życie </w:t>
            </w:r>
          </w:p>
        </w:tc>
        <w:tc>
          <w:tcPr>
            <w:tcW w:w="1418" w:type="dxa"/>
            <w:tcBorders>
              <w:top w:val="nil"/>
              <w:left w:val="nil"/>
              <w:bottom w:val="single" w:sz="4" w:space="0" w:color="auto"/>
              <w:right w:val="single" w:sz="4" w:space="0" w:color="auto"/>
            </w:tcBorders>
            <w:shd w:val="clear" w:color="000000" w:fill="C6EFCE"/>
            <w:vAlign w:val="center"/>
            <w:hideMark/>
          </w:tcPr>
          <w:p w14:paraId="38E67F49"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7DADF167"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512ED1D"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vAlign w:val="center"/>
            <w:hideMark/>
          </w:tcPr>
          <w:p w14:paraId="121F2C35"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14</w:t>
            </w:r>
          </w:p>
        </w:tc>
        <w:tc>
          <w:tcPr>
            <w:tcW w:w="708" w:type="dxa"/>
            <w:tcBorders>
              <w:top w:val="nil"/>
              <w:left w:val="nil"/>
              <w:bottom w:val="single" w:sz="4" w:space="0" w:color="auto"/>
              <w:right w:val="single" w:sz="4" w:space="0" w:color="auto"/>
            </w:tcBorders>
            <w:shd w:val="clear" w:color="000000" w:fill="C6EFCE"/>
            <w:vAlign w:val="center"/>
            <w:hideMark/>
          </w:tcPr>
          <w:p w14:paraId="50EFA958"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Q3</w:t>
            </w:r>
          </w:p>
        </w:tc>
        <w:tc>
          <w:tcPr>
            <w:tcW w:w="567" w:type="dxa"/>
            <w:tcBorders>
              <w:top w:val="nil"/>
              <w:left w:val="nil"/>
              <w:bottom w:val="single" w:sz="4" w:space="0" w:color="auto"/>
              <w:right w:val="single" w:sz="4" w:space="0" w:color="auto"/>
            </w:tcBorders>
            <w:shd w:val="clear" w:color="000000" w:fill="C6EFCE"/>
            <w:vAlign w:val="center"/>
            <w:hideMark/>
          </w:tcPr>
          <w:p w14:paraId="154088BC"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2023</w:t>
            </w:r>
          </w:p>
        </w:tc>
        <w:tc>
          <w:tcPr>
            <w:tcW w:w="4253" w:type="dxa"/>
            <w:gridSpan w:val="2"/>
            <w:tcBorders>
              <w:top w:val="nil"/>
              <w:left w:val="nil"/>
              <w:bottom w:val="single" w:sz="4" w:space="0" w:color="auto"/>
              <w:right w:val="single" w:sz="4" w:space="0" w:color="auto"/>
            </w:tcBorders>
            <w:shd w:val="clear" w:color="000000" w:fill="C6EFCE"/>
            <w:vAlign w:val="center"/>
            <w:hideMark/>
          </w:tcPr>
          <w:p w14:paraId="67CA601F" w14:textId="77777777" w:rsidR="001052B5" w:rsidRPr="002862EB" w:rsidRDefault="001052B5" w:rsidP="00A20CA7">
            <w:pPr>
              <w:spacing w:after="0" w:line="240" w:lineRule="auto"/>
              <w:rPr>
                <w:rFonts w:ascii="Times New Roman" w:eastAsia="Times New Roman" w:hAnsi="Times New Roman" w:cs="Times New Roman"/>
                <w:sz w:val="18"/>
                <w:szCs w:val="18"/>
                <w:lang w:val="pl-PL" w:eastAsia="pl-PL"/>
              </w:rPr>
            </w:pPr>
            <w:r w:rsidRPr="002862EB">
              <w:rPr>
                <w:rFonts w:ascii="Times New Roman" w:eastAsia="Times New Roman" w:hAnsi="Times New Roman" w:cs="Times New Roman"/>
                <w:sz w:val="18"/>
                <w:szCs w:val="18"/>
                <w:lang w:val="pl-PL" w:eastAsia="pl-PL"/>
              </w:rPr>
              <w:t>Należy opracować co najmniej 14 regionalnych programów wdrożeniowych, z ogólnym celem 16 regionalnych zoperacjonalizowanych programów wdrożeniowych (po jednym dla każdego „województwa”).</w:t>
            </w:r>
            <w:r w:rsidRPr="002862EB">
              <w:rPr>
                <w:rFonts w:ascii="Times New Roman" w:eastAsia="Times New Roman" w:hAnsi="Times New Roman" w:cs="Times New Roman"/>
                <w:sz w:val="18"/>
                <w:szCs w:val="18"/>
                <w:lang w:val="pl-PL" w:eastAsia="pl-PL"/>
              </w:rPr>
              <w:br/>
              <w:t>Zoperacjonalizowane programy wdrażania Zintegrowanej Strategii Umiejętności 2030 obejmują wszystkie formy uczenia się, w tym koordynację kształcenia i szkolenia zawodowego oraz uczenie się przez całe życie.</w:t>
            </w:r>
            <w:r w:rsidRPr="002862EB">
              <w:rPr>
                <w:rFonts w:ascii="Times New Roman" w:eastAsia="Times New Roman" w:hAnsi="Times New Roman" w:cs="Times New Roman"/>
                <w:sz w:val="18"/>
                <w:szCs w:val="18"/>
                <w:lang w:val="pl-PL" w:eastAsia="pl-PL"/>
              </w:rPr>
              <w:br/>
              <w:t>Obejmują one plany działania na rzecz rozwoju szkolenia zawodowego w regionach, uwzględniające transformację cyfrową i ekologiczną oraz wspieranie innowacji.</w:t>
            </w:r>
            <w:r w:rsidRPr="002862EB">
              <w:rPr>
                <w:rFonts w:ascii="Times New Roman" w:eastAsia="Times New Roman" w:hAnsi="Times New Roman" w:cs="Times New Roman"/>
                <w:sz w:val="18"/>
                <w:szCs w:val="18"/>
                <w:lang w:val="pl-PL" w:eastAsia="pl-PL"/>
              </w:rPr>
              <w:br/>
              <w:t>Obejmują one mechanizmy monitorowania i oceny.</w:t>
            </w:r>
            <w:r w:rsidRPr="002862EB">
              <w:rPr>
                <w:rFonts w:ascii="Times New Roman" w:eastAsia="Times New Roman" w:hAnsi="Times New Roman" w:cs="Times New Roman"/>
                <w:sz w:val="18"/>
                <w:szCs w:val="18"/>
                <w:lang w:val="pl-PL" w:eastAsia="pl-PL"/>
              </w:rPr>
              <w:br/>
              <w:t>Zoperacjonalizowane programy wdrożeniowe nie naruszają autonomii instytucjonalnej uczelni.</w:t>
            </w:r>
          </w:p>
        </w:tc>
      </w:tr>
    </w:tbl>
    <w:p w14:paraId="14C283CE" w14:textId="77777777" w:rsidR="001052B5" w:rsidRPr="001F52AF" w:rsidRDefault="001052B5" w:rsidP="001052B5">
      <w:pPr>
        <w:rPr>
          <w:lang w:val="pl-PL"/>
        </w:rPr>
      </w:pPr>
      <w:r w:rsidRPr="001F52AF">
        <w:rPr>
          <w:lang w:val="pl-PL"/>
        </w:rPr>
        <w:br w:type="page"/>
      </w:r>
    </w:p>
    <w:tbl>
      <w:tblPr>
        <w:tblW w:w="15891"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4"/>
        <w:gridCol w:w="10"/>
        <w:gridCol w:w="1984"/>
        <w:gridCol w:w="1137"/>
        <w:gridCol w:w="2551"/>
        <w:gridCol w:w="1560"/>
        <w:gridCol w:w="992"/>
        <w:gridCol w:w="992"/>
        <w:gridCol w:w="992"/>
        <w:gridCol w:w="567"/>
        <w:gridCol w:w="709"/>
        <w:gridCol w:w="3544"/>
        <w:gridCol w:w="9"/>
      </w:tblGrid>
      <w:tr w:rsidR="001052B5" w:rsidRPr="001F52AF" w14:paraId="154AFC46" w14:textId="77777777" w:rsidTr="00A20CA7">
        <w:trPr>
          <w:trHeight w:val="454"/>
        </w:trPr>
        <w:tc>
          <w:tcPr>
            <w:tcW w:w="15891" w:type="dxa"/>
            <w:gridSpan w:val="13"/>
            <w:tcBorders>
              <w:top w:val="nil"/>
              <w:left w:val="nil"/>
              <w:bottom w:val="single" w:sz="4" w:space="0" w:color="000000" w:themeColor="text1"/>
              <w:right w:val="nil"/>
            </w:tcBorders>
            <w:shd w:val="clear" w:color="auto" w:fill="auto"/>
            <w:vAlign w:val="center"/>
          </w:tcPr>
          <w:p w14:paraId="0547245F" w14:textId="77777777" w:rsidR="001052B5" w:rsidRPr="001F52AF"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A02CB">
              <w:rPr>
                <w:rFonts w:ascii="Times New Roman" w:eastAsia="Times New Roman" w:hAnsi="Times New Roman" w:cs="Times New Roman"/>
                <w:b/>
                <w:sz w:val="24"/>
                <w:szCs w:val="24"/>
                <w:u w:val="single"/>
              </w:rPr>
              <w:lastRenderedPageBreak/>
              <w:t xml:space="preserve">A4 – </w:t>
            </w:r>
            <w:r>
              <w:rPr>
                <w:rFonts w:ascii="Times New Roman" w:eastAsia="Times New Roman" w:hAnsi="Times New Roman" w:cs="Times New Roman"/>
                <w:b/>
                <w:sz w:val="24"/>
                <w:szCs w:val="24"/>
                <w:u w:val="single"/>
              </w:rPr>
              <w:t>RYNEK PRACY</w:t>
            </w:r>
          </w:p>
        </w:tc>
      </w:tr>
      <w:tr w:rsidR="001052B5" w:rsidRPr="001F52AF" w14:paraId="6DDCFD75" w14:textId="77777777" w:rsidTr="00A20CA7">
        <w:trPr>
          <w:trHeight w:val="939"/>
        </w:trPr>
        <w:tc>
          <w:tcPr>
            <w:tcW w:w="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8BCBFE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99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C1ADCC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11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D94B2C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C9C740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91D3A8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sz w:val="18"/>
                <w:szCs w:val="18"/>
              </w:rPr>
            </w:pPr>
            <w:r w:rsidRPr="001F52AF">
              <w:rPr>
                <w:rFonts w:ascii="Times New Roman" w:eastAsia="Times New Roman" w:hAnsi="Times New Roman" w:cs="Times New Roman"/>
                <w:b/>
                <w:bCs/>
                <w:sz w:val="18"/>
                <w:szCs w:val="18"/>
              </w:rPr>
              <w:t xml:space="preserve">Qualitative indicators </w:t>
            </w:r>
            <w:r w:rsidRPr="001F52AF">
              <w:rPr>
                <w:rFonts w:ascii="Times New Roman" w:hAnsi="Times New Roman" w:cs="Times New Roman"/>
                <w:sz w:val="18"/>
                <w:szCs w:val="18"/>
              </w:rPr>
              <w:br/>
            </w:r>
            <w:r w:rsidRPr="001F52AF">
              <w:rPr>
                <w:rFonts w:ascii="Times New Roman" w:eastAsia="Times New Roman" w:hAnsi="Times New Roman" w:cs="Times New Roman"/>
                <w:b/>
                <w:bCs/>
                <w:sz w:val="18"/>
                <w:szCs w:val="18"/>
              </w:rPr>
              <w:t>(for milestones)</w:t>
            </w:r>
          </w:p>
        </w:tc>
        <w:tc>
          <w:tcPr>
            <w:tcW w:w="2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15AB65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sz w:val="18"/>
                <w:szCs w:val="18"/>
              </w:rPr>
            </w:pPr>
            <w:r w:rsidRPr="001F52AF">
              <w:rPr>
                <w:rFonts w:ascii="Times New Roman" w:eastAsia="Times New Roman" w:hAnsi="Times New Roman" w:cs="Times New Roman"/>
                <w:b/>
                <w:bCs/>
                <w:sz w:val="18"/>
                <w:szCs w:val="18"/>
              </w:rPr>
              <w:t xml:space="preserve">Quantitative indicators </w:t>
            </w:r>
            <w:r w:rsidRPr="001F52AF">
              <w:rPr>
                <w:rFonts w:ascii="Times New Roman" w:hAnsi="Times New Roman" w:cs="Times New Roman"/>
                <w:sz w:val="18"/>
                <w:szCs w:val="18"/>
              </w:rPr>
              <w:br/>
            </w:r>
            <w:r w:rsidRPr="001F52AF">
              <w:rPr>
                <w:rFonts w:ascii="Times New Roman" w:eastAsia="Times New Roman" w:hAnsi="Times New Roman" w:cs="Times New Roman"/>
                <w:b/>
                <w:bCs/>
                <w:sz w:val="18"/>
                <w:szCs w:val="18"/>
              </w:rPr>
              <w:t>(for targets)</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012000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55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D97A68A"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1F52AF" w14:paraId="066F3A1F" w14:textId="77777777" w:rsidTr="00A20CA7">
        <w:trPr>
          <w:trHeight w:val="1027"/>
        </w:trPr>
        <w:tc>
          <w:tcPr>
            <w:tcW w:w="844" w:type="dxa"/>
            <w:vMerge/>
            <w:vAlign w:val="center"/>
          </w:tcPr>
          <w:p w14:paraId="51F45F20"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94" w:type="dxa"/>
            <w:gridSpan w:val="2"/>
            <w:vMerge/>
            <w:vAlign w:val="center"/>
          </w:tcPr>
          <w:p w14:paraId="26F21E93"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7" w:type="dxa"/>
            <w:vMerge/>
            <w:vAlign w:val="center"/>
          </w:tcPr>
          <w:p w14:paraId="318BBFF9"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551" w:type="dxa"/>
            <w:vMerge/>
            <w:vAlign w:val="center"/>
          </w:tcPr>
          <w:p w14:paraId="595093BD"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560" w:type="dxa"/>
            <w:vMerge/>
            <w:vAlign w:val="center"/>
          </w:tcPr>
          <w:p w14:paraId="0340A32A"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1C02C2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46A4F8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D79AE7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027869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7641E62"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553" w:type="dxa"/>
            <w:gridSpan w:val="2"/>
            <w:vMerge/>
            <w:vAlign w:val="center"/>
          </w:tcPr>
          <w:p w14:paraId="06EE7E48"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1F52AF" w14:paraId="0C3D0C8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3434"/>
        </w:trPr>
        <w:tc>
          <w:tcPr>
            <w:tcW w:w="854" w:type="dxa"/>
            <w:gridSpan w:val="2"/>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4155FF2"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A51G</w:t>
            </w:r>
          </w:p>
        </w:tc>
        <w:tc>
          <w:tcPr>
            <w:tcW w:w="1984" w:type="dxa"/>
            <w:tcBorders>
              <w:top w:val="single" w:sz="4" w:space="0" w:color="auto"/>
              <w:left w:val="nil"/>
              <w:bottom w:val="single" w:sz="4" w:space="0" w:color="auto"/>
              <w:right w:val="single" w:sz="4" w:space="0" w:color="auto"/>
            </w:tcBorders>
            <w:shd w:val="clear" w:color="000000" w:fill="C6EFCE"/>
            <w:vAlign w:val="center"/>
            <w:hideMark/>
          </w:tcPr>
          <w:p w14:paraId="730EB8F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A4.1 Efektywne instytucje na rzecz rynku pracy</w:t>
            </w:r>
          </w:p>
        </w:tc>
        <w:tc>
          <w:tcPr>
            <w:tcW w:w="1137" w:type="dxa"/>
            <w:tcBorders>
              <w:top w:val="single" w:sz="4" w:space="0" w:color="auto"/>
              <w:left w:val="nil"/>
              <w:bottom w:val="single" w:sz="4" w:space="0" w:color="auto"/>
              <w:right w:val="single" w:sz="4" w:space="0" w:color="auto"/>
            </w:tcBorders>
            <w:shd w:val="clear" w:color="000000" w:fill="C6EFCE"/>
            <w:vAlign w:val="center"/>
            <w:hideMark/>
          </w:tcPr>
          <w:p w14:paraId="16DA542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single" w:sz="4" w:space="0" w:color="auto"/>
              <w:left w:val="nil"/>
              <w:bottom w:val="single" w:sz="4" w:space="0" w:color="auto"/>
              <w:right w:val="single" w:sz="4" w:space="0" w:color="auto"/>
            </w:tcBorders>
            <w:shd w:val="clear" w:color="000000" w:fill="C6EFCE"/>
            <w:vAlign w:val="center"/>
            <w:hideMark/>
          </w:tcPr>
          <w:p w14:paraId="50DB9BE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nowych przepisów dotyczących publicznych służb zatrudnienia, zatrudniania obywateli państw trzecich oraz elektronicznego zawierania niektórych umów o pracę: - wprowadzenie zmian w publicznych służbach zatrudnienia i aktywnej polityki rynku pracy w celu zwiększenia aktywności zawodowej, obniżenie barier administracyjnych w zatrudnianiu cudzoziemców- uproszczenie procesu zawierania określonych umów </w:t>
            </w:r>
          </w:p>
        </w:tc>
        <w:tc>
          <w:tcPr>
            <w:tcW w:w="1560" w:type="dxa"/>
            <w:tcBorders>
              <w:top w:val="single" w:sz="4" w:space="0" w:color="auto"/>
              <w:left w:val="nil"/>
              <w:bottom w:val="single" w:sz="4" w:space="0" w:color="auto"/>
              <w:right w:val="single" w:sz="4" w:space="0" w:color="auto"/>
            </w:tcBorders>
            <w:shd w:val="clear" w:color="000000" w:fill="C6EFCE"/>
            <w:vAlign w:val="center"/>
            <w:hideMark/>
          </w:tcPr>
          <w:p w14:paraId="13F90C8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Przepisy ustaw o publicznych służbach zatrudnienia, zatrudnianiu obywateli państw trzecich oraz o elektronicznym zawieraniu określonych umów o pracę wskazujące na wejście w życie</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5461F9B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4DB6ED6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7DBE5A2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single" w:sz="4" w:space="0" w:color="auto"/>
              <w:left w:val="nil"/>
              <w:bottom w:val="single" w:sz="4" w:space="0" w:color="auto"/>
              <w:right w:val="single" w:sz="4" w:space="0" w:color="auto"/>
            </w:tcBorders>
            <w:shd w:val="clear" w:color="000000" w:fill="C6EFCE"/>
            <w:vAlign w:val="center"/>
            <w:hideMark/>
          </w:tcPr>
          <w:p w14:paraId="0A95DD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single" w:sz="4" w:space="0" w:color="auto"/>
              <w:left w:val="nil"/>
              <w:bottom w:val="single" w:sz="4" w:space="0" w:color="auto"/>
              <w:right w:val="single" w:sz="4" w:space="0" w:color="auto"/>
            </w:tcBorders>
            <w:shd w:val="clear" w:color="000000" w:fill="C6EFCE"/>
            <w:vAlign w:val="center"/>
            <w:hideMark/>
          </w:tcPr>
          <w:p w14:paraId="3263C0A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single" w:sz="4" w:space="0" w:color="auto"/>
              <w:left w:val="nil"/>
              <w:bottom w:val="single" w:sz="4" w:space="0" w:color="auto"/>
              <w:right w:val="single" w:sz="4" w:space="0" w:color="auto"/>
            </w:tcBorders>
            <w:shd w:val="clear" w:color="000000" w:fill="C6EFCE"/>
            <w:vAlign w:val="center"/>
            <w:hideMark/>
          </w:tcPr>
          <w:p w14:paraId="37E2A0B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Ogłoszenie 3 nowych aktów prawnych, które wprowadzą nowe przepisy:</w:t>
            </w:r>
            <w:r w:rsidRPr="00E06486">
              <w:rPr>
                <w:rFonts w:ascii="Times New Roman" w:eastAsia="Times New Roman" w:hAnsi="Times New Roman" w:cs="Times New Roman"/>
                <w:sz w:val="18"/>
                <w:szCs w:val="18"/>
                <w:lang w:val="pl-PL" w:eastAsia="pl-PL"/>
              </w:rPr>
              <w:br/>
              <w:t>1. W sprawie Publicznych Służb Zatrudnienia oraz Aktywnych Polityk Rynku Pracy, w celu zwiększenia aktywności zawodowej poprzez: (i) rozszerzenie grupy klientów urzędów pracy o osoby bierne zawodowo; (ii) identyfikację i dotarcie do osób biernych zawodowo, które potencjalnie mogą podjąć aktywność zawodową, (iii) wprowadzenie obowiązku zgłaszania przez pracodawców z sektora publicznego i prywatnego (dla przedsiębiorców korzystających ze środków publicznych, np. poprzez udział w przetargach) ofert pracy do Centralnej Bazy Ofert Pracy; (iv) zwiększenie dostępu do kształcenia ustawicznego dla osób poszukujących pracy poprzez finansowanie kosztów szkoleń z Funduszu Pracy oraz certyfikowanie zdobywania wiedzy i umiejętności, w tym kwalifikacji zawodowych; (v) wprowadzenie nowej formy wsparcia (bon na kształcenie ustawiczne) zarówno dla osób pracujących, jak i bezrobotnych.</w:t>
            </w:r>
            <w:r w:rsidRPr="00E06486">
              <w:rPr>
                <w:rFonts w:ascii="Times New Roman" w:eastAsia="Times New Roman" w:hAnsi="Times New Roman" w:cs="Times New Roman"/>
                <w:sz w:val="18"/>
                <w:szCs w:val="18"/>
                <w:lang w:val="pl-PL" w:eastAsia="pl-PL"/>
              </w:rPr>
              <w:br/>
              <w:t xml:space="preserve">2. W celu obniżenia barier administracyjnych i usprawnienia procedur dotyczących zatrudniania cudzoziemców: (i) możliwe będzie tworzenie przez Publiczne Służby Zatrudnienia wyspecjalizowanych służb w ramach PSZ (a nie odrębnego urzędu) wspierających cudzoziemców na rynku pracy, zarówno dla zatrudnionych, jak i </w:t>
            </w:r>
            <w:r w:rsidRPr="00E06486">
              <w:rPr>
                <w:rFonts w:ascii="Times New Roman" w:eastAsia="Times New Roman" w:hAnsi="Times New Roman" w:cs="Times New Roman"/>
                <w:sz w:val="18"/>
                <w:szCs w:val="18"/>
                <w:lang w:val="pl-PL" w:eastAsia="pl-PL"/>
              </w:rPr>
              <w:lastRenderedPageBreak/>
              <w:t xml:space="preserve">bezrobotnych; (ii) zwiększy się rola Publicznych Służb Zatrudnienia w procesie wydawania zezwoleń na pracę dla cudzoziemców, co usprawni i ułatwi ten proces; (iii) wprowadzona zostanie pełna cyfryzacja procedur związanych z uzyskaniem zezwolenia na pracę dla cudzoziemców. </w:t>
            </w:r>
            <w:r w:rsidRPr="00E06486">
              <w:rPr>
                <w:rFonts w:ascii="Times New Roman" w:eastAsia="Times New Roman" w:hAnsi="Times New Roman" w:cs="Times New Roman"/>
                <w:sz w:val="18"/>
                <w:szCs w:val="18"/>
                <w:lang w:val="pl-PL" w:eastAsia="pl-PL"/>
              </w:rPr>
              <w:br/>
              <w:t>3. Dotyczące elektronicznego zawierania określonych umów, w celu uproszczenia procesu zatrudniania. Regulacje prawne wprowadzą możliwość zawierania i rozliczania określonych umów o pracę w sposób elektroniczny, zintegrowany z systemami ubezpieczeń społecznych i podatkowymi. Ułatwi to proces nawiązywania stosunku pracy.</w:t>
            </w:r>
          </w:p>
        </w:tc>
      </w:tr>
      <w:tr w:rsidR="001052B5" w:rsidRPr="009D378C" w14:paraId="0BA52F0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1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1D15CA9E"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A52G</w:t>
            </w:r>
          </w:p>
        </w:tc>
        <w:tc>
          <w:tcPr>
            <w:tcW w:w="1984" w:type="dxa"/>
            <w:tcBorders>
              <w:top w:val="nil"/>
              <w:left w:val="nil"/>
              <w:bottom w:val="single" w:sz="4" w:space="0" w:color="auto"/>
              <w:right w:val="single" w:sz="4" w:space="0" w:color="auto"/>
            </w:tcBorders>
            <w:shd w:val="clear" w:color="000000" w:fill="C6EFCE"/>
            <w:vAlign w:val="center"/>
            <w:hideMark/>
          </w:tcPr>
          <w:p w14:paraId="680ADEB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A4.1 Efektywne instytucje na rzecz rynku pracy</w:t>
            </w:r>
          </w:p>
        </w:tc>
        <w:tc>
          <w:tcPr>
            <w:tcW w:w="1137" w:type="dxa"/>
            <w:tcBorders>
              <w:top w:val="nil"/>
              <w:left w:val="nil"/>
              <w:bottom w:val="single" w:sz="4" w:space="0" w:color="auto"/>
              <w:right w:val="single" w:sz="4" w:space="0" w:color="auto"/>
            </w:tcBorders>
            <w:shd w:val="clear" w:color="000000" w:fill="C6EFCE"/>
            <w:vAlign w:val="center"/>
            <w:hideMark/>
          </w:tcPr>
          <w:p w14:paraId="04102CF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7B98CE1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Nowe standardy i ramy wykonania w zakresie funkcjonowania i koordynacji publicznych służb zatrudnienia </w:t>
            </w:r>
          </w:p>
        </w:tc>
        <w:tc>
          <w:tcPr>
            <w:tcW w:w="1560" w:type="dxa"/>
            <w:tcBorders>
              <w:top w:val="nil"/>
              <w:left w:val="nil"/>
              <w:bottom w:val="single" w:sz="4" w:space="0" w:color="auto"/>
              <w:right w:val="single" w:sz="4" w:space="0" w:color="auto"/>
            </w:tcBorders>
            <w:shd w:val="clear" w:color="000000" w:fill="C6EFCE"/>
            <w:vAlign w:val="center"/>
            <w:hideMark/>
          </w:tcPr>
          <w:p w14:paraId="3026956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Przyjęcie przez Ministra Rodziny i Polityki Społecznej</w:t>
            </w:r>
          </w:p>
        </w:tc>
        <w:tc>
          <w:tcPr>
            <w:tcW w:w="992" w:type="dxa"/>
            <w:tcBorders>
              <w:top w:val="nil"/>
              <w:left w:val="nil"/>
              <w:bottom w:val="single" w:sz="4" w:space="0" w:color="auto"/>
              <w:right w:val="single" w:sz="4" w:space="0" w:color="auto"/>
            </w:tcBorders>
            <w:shd w:val="clear" w:color="000000" w:fill="C6EFCE"/>
            <w:vAlign w:val="center"/>
            <w:hideMark/>
          </w:tcPr>
          <w:p w14:paraId="533E7CD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F48179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BBD499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17BC912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381A401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62199CE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Nowe normy efektywności i ramy efektywności zarządzania, w tym:</w:t>
            </w:r>
            <w:r w:rsidRPr="00E06486">
              <w:rPr>
                <w:rFonts w:ascii="Times New Roman" w:eastAsia="Times New Roman" w:hAnsi="Times New Roman" w:cs="Times New Roman"/>
                <w:sz w:val="18"/>
                <w:szCs w:val="18"/>
                <w:lang w:val="pl-PL" w:eastAsia="pl-PL"/>
              </w:rPr>
              <w:br/>
              <w:t>- Dostosowanie do nowych ustaw o Publicznych Służbach Zatrudnienia, o zatrudnianiu obywateli państw trzecich oraz o elektronicznym zawieraniu określonych umów o pracę,</w:t>
            </w:r>
            <w:r w:rsidRPr="00E06486">
              <w:rPr>
                <w:rFonts w:ascii="Times New Roman" w:eastAsia="Times New Roman" w:hAnsi="Times New Roman" w:cs="Times New Roman"/>
                <w:sz w:val="18"/>
                <w:szCs w:val="18"/>
                <w:lang w:val="pl-PL" w:eastAsia="pl-PL"/>
              </w:rPr>
              <w:br/>
              <w:t>- Ustanowienie systemu zarządzania wydajnością zdecentralizowanych organów Publicznych Służb Zatrudnienia</w:t>
            </w:r>
            <w:r w:rsidRPr="00E06486">
              <w:rPr>
                <w:rFonts w:ascii="Times New Roman" w:eastAsia="Times New Roman" w:hAnsi="Times New Roman" w:cs="Times New Roman"/>
                <w:sz w:val="18"/>
                <w:szCs w:val="18"/>
                <w:lang w:val="pl-PL" w:eastAsia="pl-PL"/>
              </w:rPr>
              <w:br/>
              <w:t>- Opracowanie nowych metod pracy i standardów funkcjonowania i koordynacji Publicznych Służb Zatrudnienia w oparciu o przyjęte nowe regulacje (w celu ich operacjonalizacji i optymalizacji; opracowanie nowych standardów obsługi klienta będzie realizowane przy współfinansowaniu z EFS+).</w:t>
            </w:r>
          </w:p>
        </w:tc>
      </w:tr>
      <w:tr w:rsidR="001052B5" w:rsidRPr="009D378C" w14:paraId="3080E34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7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B08C7C0"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A53G</w:t>
            </w:r>
          </w:p>
        </w:tc>
        <w:tc>
          <w:tcPr>
            <w:tcW w:w="1984" w:type="dxa"/>
            <w:tcBorders>
              <w:top w:val="nil"/>
              <w:left w:val="nil"/>
              <w:bottom w:val="single" w:sz="4" w:space="0" w:color="auto"/>
              <w:right w:val="single" w:sz="4" w:space="0" w:color="auto"/>
            </w:tcBorders>
            <w:shd w:val="clear" w:color="000000" w:fill="C6EFCE"/>
            <w:vAlign w:val="center"/>
            <w:hideMark/>
          </w:tcPr>
          <w:p w14:paraId="7AE3E5C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A4.1 Efektywne instytucje na rzecz rynku pracy</w:t>
            </w:r>
          </w:p>
        </w:tc>
        <w:tc>
          <w:tcPr>
            <w:tcW w:w="1137" w:type="dxa"/>
            <w:tcBorders>
              <w:top w:val="nil"/>
              <w:left w:val="nil"/>
              <w:bottom w:val="single" w:sz="4" w:space="0" w:color="auto"/>
              <w:right w:val="single" w:sz="4" w:space="0" w:color="auto"/>
            </w:tcBorders>
            <w:shd w:val="clear" w:color="000000" w:fill="C6EFCE"/>
            <w:vAlign w:val="center"/>
            <w:hideMark/>
          </w:tcPr>
          <w:p w14:paraId="13F37CC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7F07BF9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Przeprowadzenie procesu konsultacji z partnerami społecznymi na temat potencjału układów zbiorowych i przeprowadzenie kompleksowej analizy potencjalnej roli jednolitej umowy o pracę w celu zwiększenia elastyczności i bezpieczeństwa na polskim rynku pracy </w:t>
            </w:r>
          </w:p>
        </w:tc>
        <w:tc>
          <w:tcPr>
            <w:tcW w:w="1560" w:type="dxa"/>
            <w:tcBorders>
              <w:top w:val="nil"/>
              <w:left w:val="nil"/>
              <w:bottom w:val="single" w:sz="4" w:space="0" w:color="auto"/>
              <w:right w:val="single" w:sz="4" w:space="0" w:color="auto"/>
            </w:tcBorders>
            <w:shd w:val="clear" w:color="000000" w:fill="C6EFCE"/>
            <w:vAlign w:val="center"/>
            <w:hideMark/>
          </w:tcPr>
          <w:p w14:paraId="674D7B5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raportu z konsultacji z partnerami społecznymi  przez Ministra Rodziny i Polityki Społecznej</w:t>
            </w:r>
          </w:p>
        </w:tc>
        <w:tc>
          <w:tcPr>
            <w:tcW w:w="992" w:type="dxa"/>
            <w:tcBorders>
              <w:top w:val="nil"/>
              <w:left w:val="nil"/>
              <w:bottom w:val="single" w:sz="4" w:space="0" w:color="auto"/>
              <w:right w:val="single" w:sz="4" w:space="0" w:color="auto"/>
            </w:tcBorders>
            <w:shd w:val="clear" w:color="000000" w:fill="C6EFCE"/>
            <w:vAlign w:val="center"/>
            <w:hideMark/>
          </w:tcPr>
          <w:p w14:paraId="2280914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952ACE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3C119A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1200EFE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4901716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576749A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Celem konsultacji z partnerami społecznymi jest określenie roli i potencjału układów zbiorowych na polskim rynku pracy w celu zapewnienia nowych elastyczności zgodnie z nową i szybko zmieniającą się rzeczywistością. Należy przeprowadzić badanie w celu zbadania możliwości zawarcia pojedynczej umowy o pracę, zapewnienia podstaw analitycznych i prawnych oraz wykorzystania analizy porównawczej. Może być rozwijany przy wsparciu organizacji międzynarodowych i/lub przy pomocy specjalnej pomocy technicznej.</w:t>
            </w:r>
          </w:p>
        </w:tc>
      </w:tr>
      <w:tr w:rsidR="001052B5" w:rsidRPr="009D378C" w14:paraId="371287C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18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B9C1EAA"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A54G</w:t>
            </w:r>
          </w:p>
        </w:tc>
        <w:tc>
          <w:tcPr>
            <w:tcW w:w="1984" w:type="dxa"/>
            <w:tcBorders>
              <w:top w:val="nil"/>
              <w:left w:val="nil"/>
              <w:bottom w:val="single" w:sz="4" w:space="0" w:color="auto"/>
              <w:right w:val="single" w:sz="4" w:space="0" w:color="auto"/>
            </w:tcBorders>
            <w:shd w:val="clear" w:color="000000" w:fill="C6EFCE"/>
            <w:vAlign w:val="center"/>
            <w:hideMark/>
          </w:tcPr>
          <w:p w14:paraId="0F5153F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A4.1 Efektywne instytucje na rzecz rynku pracy</w:t>
            </w:r>
          </w:p>
        </w:tc>
        <w:tc>
          <w:tcPr>
            <w:tcW w:w="1137" w:type="dxa"/>
            <w:tcBorders>
              <w:top w:val="nil"/>
              <w:left w:val="nil"/>
              <w:bottom w:val="single" w:sz="4" w:space="0" w:color="auto"/>
              <w:right w:val="single" w:sz="4" w:space="0" w:color="auto"/>
            </w:tcBorders>
            <w:shd w:val="clear" w:color="000000" w:fill="C6EFCE"/>
            <w:vAlign w:val="center"/>
            <w:hideMark/>
          </w:tcPr>
          <w:p w14:paraId="3E0F46B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6B19548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nowelizacji odpowiednich ustaw w celu wdrożenia priorytetów reformy określonych w konsultacjach dotyczących układów zbiorowych oraz w badaniu dotyczącym jednolitej umowy o pracę w Polsce </w:t>
            </w:r>
          </w:p>
        </w:tc>
        <w:tc>
          <w:tcPr>
            <w:tcW w:w="1560" w:type="dxa"/>
            <w:tcBorders>
              <w:top w:val="nil"/>
              <w:left w:val="nil"/>
              <w:bottom w:val="single" w:sz="4" w:space="0" w:color="auto"/>
              <w:right w:val="single" w:sz="4" w:space="0" w:color="auto"/>
            </w:tcBorders>
            <w:shd w:val="clear" w:color="000000" w:fill="C6EFCE"/>
            <w:vAlign w:val="center"/>
            <w:hideMark/>
          </w:tcPr>
          <w:p w14:paraId="45CC2AF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 odpowiednich ustawach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4499057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D74A2B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E932E8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2F6DE2E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25A60E7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6E8673B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odpowiednich ustaw w celu wdrożenia priorytetów reformy, określone w badaniu dotyczącym potencjalnej roli jednolitej umowy o pracę oraz zgodnie z konsultacjami na temat układów zbiorowych.</w:t>
            </w:r>
          </w:p>
        </w:tc>
      </w:tr>
      <w:tr w:rsidR="001052B5" w:rsidRPr="009D378C" w14:paraId="0E58AE1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882"/>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CEEC137"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A55G</w:t>
            </w:r>
          </w:p>
        </w:tc>
        <w:tc>
          <w:tcPr>
            <w:tcW w:w="1984" w:type="dxa"/>
            <w:tcBorders>
              <w:top w:val="nil"/>
              <w:left w:val="nil"/>
              <w:bottom w:val="single" w:sz="4" w:space="0" w:color="auto"/>
              <w:right w:val="single" w:sz="4" w:space="0" w:color="auto"/>
            </w:tcBorders>
            <w:shd w:val="clear" w:color="000000" w:fill="C6EFCE"/>
            <w:vAlign w:val="center"/>
            <w:hideMark/>
          </w:tcPr>
          <w:p w14:paraId="4E774D7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A4.1.1 Inwestycje wspierające reformę instytucji rynku pracy </w:t>
            </w:r>
          </w:p>
        </w:tc>
        <w:tc>
          <w:tcPr>
            <w:tcW w:w="1137" w:type="dxa"/>
            <w:tcBorders>
              <w:top w:val="nil"/>
              <w:left w:val="nil"/>
              <w:bottom w:val="single" w:sz="4" w:space="0" w:color="auto"/>
              <w:right w:val="single" w:sz="4" w:space="0" w:color="auto"/>
            </w:tcBorders>
            <w:shd w:val="clear" w:color="000000" w:fill="C6EFCE"/>
            <w:vAlign w:val="center"/>
            <w:hideMark/>
          </w:tcPr>
          <w:p w14:paraId="51E3E36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2E9825C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Publiczne służby zatrudnienia (PSZ), w których wdrażane są zmodernizowane systemy informatyczne </w:t>
            </w:r>
          </w:p>
        </w:tc>
        <w:tc>
          <w:tcPr>
            <w:tcW w:w="1560" w:type="dxa"/>
            <w:tcBorders>
              <w:top w:val="nil"/>
              <w:left w:val="nil"/>
              <w:bottom w:val="single" w:sz="4" w:space="0" w:color="auto"/>
              <w:right w:val="single" w:sz="4" w:space="0" w:color="auto"/>
            </w:tcBorders>
            <w:shd w:val="clear" w:color="000000" w:fill="C6EFCE"/>
            <w:vAlign w:val="center"/>
            <w:hideMark/>
          </w:tcPr>
          <w:p w14:paraId="1DEE66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DDBB48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(Procent)</w:t>
            </w:r>
          </w:p>
        </w:tc>
        <w:tc>
          <w:tcPr>
            <w:tcW w:w="992" w:type="dxa"/>
            <w:tcBorders>
              <w:top w:val="nil"/>
              <w:left w:val="nil"/>
              <w:bottom w:val="single" w:sz="4" w:space="0" w:color="auto"/>
              <w:right w:val="single" w:sz="4" w:space="0" w:color="auto"/>
            </w:tcBorders>
            <w:shd w:val="clear" w:color="000000" w:fill="C6EFCE"/>
            <w:vAlign w:val="center"/>
            <w:hideMark/>
          </w:tcPr>
          <w:p w14:paraId="50AA0FA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2726C39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100</w:t>
            </w:r>
          </w:p>
        </w:tc>
        <w:tc>
          <w:tcPr>
            <w:tcW w:w="567" w:type="dxa"/>
            <w:tcBorders>
              <w:top w:val="nil"/>
              <w:left w:val="nil"/>
              <w:bottom w:val="single" w:sz="4" w:space="0" w:color="auto"/>
              <w:right w:val="single" w:sz="4" w:space="0" w:color="auto"/>
            </w:tcBorders>
            <w:shd w:val="clear" w:color="000000" w:fill="C6EFCE"/>
            <w:vAlign w:val="center"/>
            <w:hideMark/>
          </w:tcPr>
          <w:p w14:paraId="15298C5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75F97FF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7FAF97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Udział publicznych służb zatrudnienia (urzędów), w których wdrożone są systemy informatyczne. Na realizację składają się:</w:t>
            </w:r>
            <w:r w:rsidRPr="00E06486">
              <w:rPr>
                <w:rFonts w:ascii="Times New Roman" w:eastAsia="Times New Roman" w:hAnsi="Times New Roman" w:cs="Times New Roman"/>
                <w:sz w:val="18"/>
                <w:szCs w:val="18"/>
                <w:lang w:val="pl-PL" w:eastAsia="pl-PL"/>
              </w:rPr>
              <w:br/>
              <w:t>- Modernizacja systemu informatycznego (wdrożenie nowych funkcjonalności obecnego systemu informatycznego, jego dostosowanie do nowych zadań zgodnie z nową ustawą, m.in. nowych zadań obsługi cudzoziemców) w celu efektywnego zarządzania aktywnymi politykami rynku pracy (APRP) i procedurami publicznych służb zatrudnienia (PSZ) oraz narzędzi cyfrowych dla APRP w publicznych służbach zatrudnienia, a także zintegrowanie w odpowiednich obszarach z danymi z innych komplementarnych systemów informatycznych (m.in. rejestrów ZUS i rejestrów podatkowych);</w:t>
            </w:r>
            <w:r w:rsidRPr="00E06486">
              <w:rPr>
                <w:rFonts w:ascii="Times New Roman" w:eastAsia="Times New Roman" w:hAnsi="Times New Roman" w:cs="Times New Roman"/>
                <w:sz w:val="18"/>
                <w:szCs w:val="18"/>
                <w:lang w:val="pl-PL" w:eastAsia="pl-PL"/>
              </w:rPr>
              <w:br/>
              <w:t>- Digitalizacja procesów i narzędzi wykorzystywanych przez PSZ;</w:t>
            </w:r>
            <w:r w:rsidRPr="00E06486">
              <w:rPr>
                <w:rFonts w:ascii="Times New Roman" w:eastAsia="Times New Roman" w:hAnsi="Times New Roman" w:cs="Times New Roman"/>
                <w:sz w:val="18"/>
                <w:szCs w:val="18"/>
                <w:lang w:val="pl-PL" w:eastAsia="pl-PL"/>
              </w:rPr>
              <w:br/>
              <w:t>- Modernizacja istniejących lub wdrożenie nowych rozwiązań informatycznych wykorzystywanych przez PSZ oraz do obsługi klientów PSZ;</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lastRenderedPageBreak/>
              <w:t>- Rozbudowa infrastruktury teleinformatycznej PSZ;</w:t>
            </w:r>
            <w:r w:rsidRPr="00E06486">
              <w:rPr>
                <w:rFonts w:ascii="Times New Roman" w:eastAsia="Times New Roman" w:hAnsi="Times New Roman" w:cs="Times New Roman"/>
                <w:sz w:val="18"/>
                <w:szCs w:val="18"/>
                <w:lang w:val="pl-PL" w:eastAsia="pl-PL"/>
              </w:rPr>
              <w:br/>
              <w:t>- Wdrażanie nowych narzędzi komunikacji (w tym IT) z klientami.</w:t>
            </w:r>
          </w:p>
        </w:tc>
      </w:tr>
      <w:tr w:rsidR="001052B5" w:rsidRPr="009D378C" w14:paraId="7DACE2B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566"/>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7B1A8D07"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A56G</w:t>
            </w:r>
          </w:p>
        </w:tc>
        <w:tc>
          <w:tcPr>
            <w:tcW w:w="1984" w:type="dxa"/>
            <w:tcBorders>
              <w:top w:val="nil"/>
              <w:left w:val="nil"/>
              <w:bottom w:val="single" w:sz="4" w:space="0" w:color="auto"/>
              <w:right w:val="single" w:sz="4" w:space="0" w:color="auto"/>
            </w:tcBorders>
            <w:shd w:val="clear" w:color="000000" w:fill="C6EFCE"/>
            <w:vAlign w:val="center"/>
            <w:hideMark/>
          </w:tcPr>
          <w:p w14:paraId="44A130F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A4.1.1 Inwestycje wspierające reformę instytucji rynku pracy </w:t>
            </w:r>
          </w:p>
        </w:tc>
        <w:tc>
          <w:tcPr>
            <w:tcW w:w="1137" w:type="dxa"/>
            <w:tcBorders>
              <w:top w:val="nil"/>
              <w:left w:val="nil"/>
              <w:bottom w:val="single" w:sz="4" w:space="0" w:color="auto"/>
              <w:right w:val="single" w:sz="4" w:space="0" w:color="auto"/>
            </w:tcBorders>
            <w:shd w:val="clear" w:color="000000" w:fill="C6EFCE"/>
            <w:vAlign w:val="center"/>
            <w:hideMark/>
          </w:tcPr>
          <w:p w14:paraId="76E1460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3B487ED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Pracownicy publicznych służb zatrudnienia (PSZ) przeszkoleni w zakresie stosowania nowych procedur i narzędzi informatycznych, wprowadzonych w wyniku nowych przepisów o PSZ, zatrudnianiu obywateli państw trzecich oraz elektronicznym zawieraniu określonych umów o pracę  </w:t>
            </w:r>
          </w:p>
        </w:tc>
        <w:tc>
          <w:tcPr>
            <w:tcW w:w="1560" w:type="dxa"/>
            <w:tcBorders>
              <w:top w:val="nil"/>
              <w:left w:val="nil"/>
              <w:bottom w:val="single" w:sz="4" w:space="0" w:color="auto"/>
              <w:right w:val="single" w:sz="4" w:space="0" w:color="auto"/>
            </w:tcBorders>
            <w:shd w:val="clear" w:color="000000" w:fill="C6EFCE"/>
            <w:vAlign w:val="center"/>
            <w:hideMark/>
          </w:tcPr>
          <w:p w14:paraId="6737DC1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5036F9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(Procent)</w:t>
            </w:r>
          </w:p>
        </w:tc>
        <w:tc>
          <w:tcPr>
            <w:tcW w:w="992" w:type="dxa"/>
            <w:tcBorders>
              <w:top w:val="nil"/>
              <w:left w:val="nil"/>
              <w:bottom w:val="single" w:sz="4" w:space="0" w:color="auto"/>
              <w:right w:val="single" w:sz="4" w:space="0" w:color="auto"/>
            </w:tcBorders>
            <w:shd w:val="clear" w:color="000000" w:fill="C6EFCE"/>
            <w:vAlign w:val="center"/>
            <w:hideMark/>
          </w:tcPr>
          <w:p w14:paraId="4FDBE84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426A435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50</w:t>
            </w:r>
          </w:p>
        </w:tc>
        <w:tc>
          <w:tcPr>
            <w:tcW w:w="567" w:type="dxa"/>
            <w:tcBorders>
              <w:top w:val="nil"/>
              <w:left w:val="nil"/>
              <w:bottom w:val="single" w:sz="4" w:space="0" w:color="auto"/>
              <w:right w:val="single" w:sz="4" w:space="0" w:color="auto"/>
            </w:tcBorders>
            <w:shd w:val="clear" w:color="000000" w:fill="C6EFCE"/>
            <w:vAlign w:val="center"/>
            <w:hideMark/>
          </w:tcPr>
          <w:p w14:paraId="01A5EA6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551F033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21CAD72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Pracownicy publicznych służb zatrudnienia (PSZ) zostaną przeszkoleni w zakresie nowych procedur i standardów, określonych w nowych ustawach o publicznych służbach zatrudnienia, zatrudnianiu obywateli państw trzecich oraz o elektronicznym zawieraniu określonych umów o pracę, a także w zakresie narzędzi informatycznych i systemów informatycznych obsługujących te nowe narzędzia i procedury. Cel odnosi się do odsetka przeszkolonych pracowników publicznych służb zatrudnienia.</w:t>
            </w:r>
          </w:p>
        </w:tc>
      </w:tr>
      <w:tr w:rsidR="001052B5" w:rsidRPr="009D378C" w14:paraId="4DAA051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33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6C8331E4"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A57G</w:t>
            </w:r>
          </w:p>
        </w:tc>
        <w:tc>
          <w:tcPr>
            <w:tcW w:w="1984" w:type="dxa"/>
            <w:tcBorders>
              <w:top w:val="nil"/>
              <w:left w:val="nil"/>
              <w:bottom w:val="single" w:sz="4" w:space="0" w:color="auto"/>
              <w:right w:val="single" w:sz="4" w:space="0" w:color="auto"/>
            </w:tcBorders>
            <w:shd w:val="clear" w:color="000000" w:fill="C6EFCE"/>
            <w:vAlign w:val="center"/>
            <w:hideMark/>
          </w:tcPr>
          <w:p w14:paraId="001DF1B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 Reforma na rzecz poprawy sytuacji rodziców na rynku pracy poprzez zwiększenie dostępu do opieki nad dziećmi do lat 3</w:t>
            </w:r>
          </w:p>
        </w:tc>
        <w:tc>
          <w:tcPr>
            <w:tcW w:w="1137" w:type="dxa"/>
            <w:tcBorders>
              <w:top w:val="nil"/>
              <w:left w:val="nil"/>
              <w:bottom w:val="single" w:sz="4" w:space="0" w:color="auto"/>
              <w:right w:val="single" w:sz="4" w:space="0" w:color="auto"/>
            </w:tcBorders>
            <w:shd w:val="clear" w:color="000000" w:fill="C6EFCE"/>
            <w:vAlign w:val="center"/>
            <w:hideMark/>
          </w:tcPr>
          <w:p w14:paraId="17CFA78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145A543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Wdrożenie standardów jakości opieki nad dziećmi, w tym wytycznych edukacyjnych oraz standardów usług opiekuńczych dla dzieci do lat 3, zapewniających wysoką jakość, w tym edukacyjną i opiekuńczą </w:t>
            </w:r>
          </w:p>
        </w:tc>
        <w:tc>
          <w:tcPr>
            <w:tcW w:w="1560" w:type="dxa"/>
            <w:tcBorders>
              <w:top w:val="nil"/>
              <w:left w:val="nil"/>
              <w:bottom w:val="single" w:sz="4" w:space="0" w:color="auto"/>
              <w:right w:val="single" w:sz="4" w:space="0" w:color="auto"/>
            </w:tcBorders>
            <w:shd w:val="clear" w:color="000000" w:fill="C6EFCE"/>
            <w:vAlign w:val="center"/>
            <w:hideMark/>
          </w:tcPr>
          <w:p w14:paraId="685D7AF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we właściwej ustawie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6543D9A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701283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26FC1D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146AEC2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64F278B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450E38E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Niezależna analiza zakresu, w jakim istniejące standardy opieki i edukacji dla dzieci do trzeciego roku życia umożliwiają dostęp do wysokiej jakości i przystępnych cenowo systemów wczesnej edukacji i opieki. Analiza zostanie przeprowadzona z uwzględnieniem Zalecenia Rady z dnia 22 maja 2019 r. w sprawie wysokiej jakości systemów wczesnej edukacji i opieki nad dzieckiem (2019/C 189/02) i zostanie przedstawiona w raporcie do publikacji przez Ministerstwo Rodziny i Społeczeństwa Polityka.</w:t>
            </w:r>
            <w:r w:rsidRPr="00E06486">
              <w:rPr>
                <w:rFonts w:ascii="Times New Roman" w:eastAsia="Times New Roman" w:hAnsi="Times New Roman" w:cs="Times New Roman"/>
                <w:sz w:val="18"/>
                <w:szCs w:val="18"/>
                <w:lang w:val="pl-PL" w:eastAsia="pl-PL"/>
              </w:rPr>
              <w:br/>
              <w:t>Na podstawie przeprowadzonej analizy zostaną przygotowane ramy jakościowe i edukacyjne dla zmian legislacyjnych, wytyczne i standardy usług opiekuńczych dla dzieci do lat trzech, które następnie będą publicznie konsultowane i uzgadniane przez Ministerstwo Rodziny i Polityki Społecznej z interesariuszami.</w:t>
            </w:r>
            <w:r w:rsidRPr="00E06486">
              <w:rPr>
                <w:rFonts w:ascii="Times New Roman" w:eastAsia="Times New Roman" w:hAnsi="Times New Roman" w:cs="Times New Roman"/>
                <w:sz w:val="18"/>
                <w:szCs w:val="18"/>
                <w:lang w:val="pl-PL" w:eastAsia="pl-PL"/>
              </w:rPr>
              <w:br/>
              <w:t xml:space="preserve">Wejście w życie nowelizacji ustawy z dnia 4 lutego 2011 r. o opiece nad dziećmi w wieku do trzech lat stworzy ramy dla opiekunów dzieci, po przeprowadzeniu konsultacji oraz zgodnie z porozumieniem </w:t>
            </w:r>
            <w:proofErr w:type="spellStart"/>
            <w:r w:rsidRPr="00E06486">
              <w:rPr>
                <w:rFonts w:ascii="Times New Roman" w:eastAsia="Times New Roman" w:hAnsi="Times New Roman" w:cs="Times New Roman"/>
                <w:sz w:val="18"/>
                <w:szCs w:val="18"/>
                <w:lang w:val="pl-PL" w:eastAsia="pl-PL"/>
              </w:rPr>
              <w:t>osiągnietym</w:t>
            </w:r>
            <w:proofErr w:type="spellEnd"/>
            <w:r w:rsidRPr="00E06486">
              <w:rPr>
                <w:rFonts w:ascii="Times New Roman" w:eastAsia="Times New Roman" w:hAnsi="Times New Roman" w:cs="Times New Roman"/>
                <w:sz w:val="18"/>
                <w:szCs w:val="18"/>
                <w:lang w:val="pl-PL" w:eastAsia="pl-PL"/>
              </w:rPr>
              <w:t xml:space="preserve"> przez Ministerstwo Rodziny i Polityki Społecznej z interesariuszami.</w:t>
            </w:r>
          </w:p>
        </w:tc>
      </w:tr>
      <w:tr w:rsidR="001052B5" w:rsidRPr="009D378C" w14:paraId="5D4FA90F"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15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0E92BB12"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A58G</w:t>
            </w:r>
          </w:p>
        </w:tc>
        <w:tc>
          <w:tcPr>
            <w:tcW w:w="1984" w:type="dxa"/>
            <w:tcBorders>
              <w:top w:val="nil"/>
              <w:left w:val="nil"/>
              <w:bottom w:val="single" w:sz="4" w:space="0" w:color="auto"/>
              <w:right w:val="single" w:sz="4" w:space="0" w:color="auto"/>
            </w:tcBorders>
            <w:shd w:val="clear" w:color="000000" w:fill="C6EFCE"/>
            <w:vAlign w:val="center"/>
            <w:hideMark/>
          </w:tcPr>
          <w:p w14:paraId="2E1F685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 Reforma na rzecz poprawy sytuacji rodziców na rynku pracy poprzez zwiększenie dostępu do opieki nad dziećmi do lat 3</w:t>
            </w:r>
          </w:p>
        </w:tc>
        <w:tc>
          <w:tcPr>
            <w:tcW w:w="1137" w:type="dxa"/>
            <w:tcBorders>
              <w:top w:val="nil"/>
              <w:left w:val="nil"/>
              <w:bottom w:val="single" w:sz="4" w:space="0" w:color="auto"/>
              <w:right w:val="single" w:sz="4" w:space="0" w:color="auto"/>
            </w:tcBorders>
            <w:shd w:val="clear" w:color="000000" w:fill="C6EFCE"/>
            <w:vAlign w:val="center"/>
            <w:hideMark/>
          </w:tcPr>
          <w:p w14:paraId="05F2EAC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5324F8C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o opiece nad dziećmi do lat 3., zapewniającej stabilne długoterminowe finansowanie usług opieki nad dziećmi do lat 3</w:t>
            </w:r>
          </w:p>
        </w:tc>
        <w:tc>
          <w:tcPr>
            <w:tcW w:w="1560" w:type="dxa"/>
            <w:tcBorders>
              <w:top w:val="nil"/>
              <w:left w:val="nil"/>
              <w:bottom w:val="single" w:sz="4" w:space="0" w:color="auto"/>
              <w:right w:val="single" w:sz="4" w:space="0" w:color="auto"/>
            </w:tcBorders>
            <w:shd w:val="clear" w:color="000000" w:fill="C6EFCE"/>
            <w:vAlign w:val="center"/>
            <w:hideMark/>
          </w:tcPr>
          <w:p w14:paraId="4C69D8F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do ustawy z dnia 4 lutego 2011 r. o opiece nad dziećmi do lat trzech wskazujący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13B6602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694079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7F33D7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198AA8E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777E33C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3F954A4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z dnia 4 lutego 2011 r. o opiece nad dziećmi do lat trzech, która zapewni stabilne wieloletnie finansowanie ze środków krajowych na tworzenie i funkcjonowanie placówek opiekuńczych dla dzieci do wieku trzech.</w:t>
            </w:r>
          </w:p>
        </w:tc>
      </w:tr>
      <w:tr w:rsidR="001052B5" w:rsidRPr="009D378C" w14:paraId="56C6FA2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93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4159CC8"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A59G</w:t>
            </w:r>
          </w:p>
        </w:tc>
        <w:tc>
          <w:tcPr>
            <w:tcW w:w="1984" w:type="dxa"/>
            <w:tcBorders>
              <w:top w:val="nil"/>
              <w:left w:val="nil"/>
              <w:bottom w:val="single" w:sz="4" w:space="0" w:color="auto"/>
              <w:right w:val="single" w:sz="4" w:space="0" w:color="auto"/>
            </w:tcBorders>
            <w:shd w:val="clear" w:color="000000" w:fill="C6EFCE"/>
            <w:vAlign w:val="center"/>
            <w:hideMark/>
          </w:tcPr>
          <w:p w14:paraId="5C2C99E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 Reforma na rzecz poprawy sytuacji rodziców na rynku pracy poprzez zwiększenie dostępu do opieki nad dziećmi do lat 3</w:t>
            </w:r>
          </w:p>
        </w:tc>
        <w:tc>
          <w:tcPr>
            <w:tcW w:w="1137" w:type="dxa"/>
            <w:tcBorders>
              <w:top w:val="nil"/>
              <w:left w:val="nil"/>
              <w:bottom w:val="single" w:sz="4" w:space="0" w:color="auto"/>
              <w:right w:val="single" w:sz="4" w:space="0" w:color="auto"/>
            </w:tcBorders>
            <w:shd w:val="clear" w:color="000000" w:fill="C6EFCE"/>
            <w:vAlign w:val="center"/>
            <w:hideMark/>
          </w:tcPr>
          <w:p w14:paraId="3619B07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1294059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rozwiązań prawnych mających na celu zmianę organizacji systemu finansowania opieki nad dziećmi do lat 3. w celu wdrożenia jednolitego spójnego systemu zarządzania finansowaniem tworzenia i funkcjonowania usług opieki nad dziećmi do lat 3. </w:t>
            </w:r>
          </w:p>
        </w:tc>
        <w:tc>
          <w:tcPr>
            <w:tcW w:w="1560" w:type="dxa"/>
            <w:tcBorders>
              <w:top w:val="nil"/>
              <w:left w:val="nil"/>
              <w:bottom w:val="single" w:sz="4" w:space="0" w:color="auto"/>
              <w:right w:val="single" w:sz="4" w:space="0" w:color="auto"/>
            </w:tcBorders>
            <w:shd w:val="clear" w:color="000000" w:fill="C6EFCE"/>
            <w:vAlign w:val="center"/>
            <w:hideMark/>
          </w:tcPr>
          <w:p w14:paraId="53A6964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 ustawie o opiece nad dziećmi do lat trzech wskazujący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38E0966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AF7FC5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6984B2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0B88F8A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20B9044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74E6D6A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o opiece nad dziećmi w wieku do lat 3 [oraz innych właściwych ustaw] usprawni zarządzanie finansami w zakresie tworzenia i funkcjonowania instytucji opieki nad dziećmi poprzez:</w:t>
            </w:r>
            <w:r w:rsidRPr="00E06486">
              <w:rPr>
                <w:rFonts w:ascii="Times New Roman" w:eastAsia="Times New Roman" w:hAnsi="Times New Roman" w:cs="Times New Roman"/>
                <w:sz w:val="18"/>
                <w:szCs w:val="18"/>
                <w:lang w:val="pl-PL" w:eastAsia="pl-PL"/>
              </w:rPr>
              <w:br/>
              <w:t>- wdrożenie jednego spójnego systemu zarządzania finansowaniem w zakresie tworzenia i funkcjonowania usług opieki nad dziećmi w wieku do lat 3</w:t>
            </w:r>
            <w:r w:rsidRPr="00E06486">
              <w:rPr>
                <w:rFonts w:ascii="Times New Roman" w:eastAsia="Times New Roman" w:hAnsi="Times New Roman" w:cs="Times New Roman"/>
                <w:sz w:val="18"/>
                <w:szCs w:val="18"/>
                <w:lang w:val="pl-PL" w:eastAsia="pl-PL"/>
              </w:rPr>
              <w:br/>
              <w:t>- doprowadzenie do zarządzania środkami pochodzącymi z różnych źródeł finansowania w ramach programu Maluch+.</w:t>
            </w:r>
          </w:p>
        </w:tc>
      </w:tr>
      <w:tr w:rsidR="001052B5" w:rsidRPr="009D378C" w14:paraId="6F37597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217"/>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2A785AE7"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A60G</w:t>
            </w:r>
          </w:p>
        </w:tc>
        <w:tc>
          <w:tcPr>
            <w:tcW w:w="1984" w:type="dxa"/>
            <w:tcBorders>
              <w:top w:val="nil"/>
              <w:left w:val="nil"/>
              <w:bottom w:val="single" w:sz="4" w:space="0" w:color="auto"/>
              <w:right w:val="single" w:sz="4" w:space="0" w:color="auto"/>
            </w:tcBorders>
            <w:shd w:val="clear" w:color="000000" w:fill="C6EFCE"/>
            <w:vAlign w:val="center"/>
            <w:hideMark/>
          </w:tcPr>
          <w:p w14:paraId="66441F7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A4.2.1 Wsparcie programów dofinansowania miejsc opieki nad dziećmi 0-3 lat (żłobki, kluby dziecięce) w ramach MALUCH+</w:t>
            </w:r>
          </w:p>
        </w:tc>
        <w:tc>
          <w:tcPr>
            <w:tcW w:w="1137" w:type="dxa"/>
            <w:tcBorders>
              <w:top w:val="nil"/>
              <w:left w:val="nil"/>
              <w:bottom w:val="single" w:sz="4" w:space="0" w:color="auto"/>
              <w:right w:val="single" w:sz="4" w:space="0" w:color="auto"/>
            </w:tcBorders>
            <w:shd w:val="clear" w:color="000000" w:fill="C6EFCE"/>
            <w:vAlign w:val="center"/>
            <w:hideMark/>
          </w:tcPr>
          <w:p w14:paraId="5E78FAD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623CE52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Utworzenie systemu informatycznego do zarządzania finansowaniem i tworzeniem placówek opiekuńczych dla dzieci do lat 3, łączący różne źródła finansowania opieki nad dziećmi </w:t>
            </w:r>
          </w:p>
        </w:tc>
        <w:tc>
          <w:tcPr>
            <w:tcW w:w="1560" w:type="dxa"/>
            <w:tcBorders>
              <w:top w:val="nil"/>
              <w:left w:val="nil"/>
              <w:bottom w:val="single" w:sz="4" w:space="0" w:color="auto"/>
              <w:right w:val="single" w:sz="4" w:space="0" w:color="auto"/>
            </w:tcBorders>
            <w:shd w:val="clear" w:color="000000" w:fill="C6EFCE"/>
            <w:vAlign w:val="center"/>
            <w:hideMark/>
          </w:tcPr>
          <w:p w14:paraId="5530B09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 pełni działający system informatyczny</w:t>
            </w:r>
          </w:p>
        </w:tc>
        <w:tc>
          <w:tcPr>
            <w:tcW w:w="992" w:type="dxa"/>
            <w:tcBorders>
              <w:top w:val="nil"/>
              <w:left w:val="nil"/>
              <w:bottom w:val="single" w:sz="4" w:space="0" w:color="auto"/>
              <w:right w:val="single" w:sz="4" w:space="0" w:color="auto"/>
            </w:tcBorders>
            <w:shd w:val="clear" w:color="000000" w:fill="C6EFCE"/>
            <w:vAlign w:val="center"/>
            <w:hideMark/>
          </w:tcPr>
          <w:p w14:paraId="47F4328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E43476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617E70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0E06ED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3ADFBD3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346A5B2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Stworzenie i wdrożenie działającego systemu informatycznego (lub rozbudowa jednego z istniejących systemów), który będzie służył do obsługi projektów przez ostatecznych odbiorców wsparcia finansowego, czyli podmioty tworzące i prowadzące placówki opiekuńczo-wychowawcze, na każdym etapie ich realizacji . Z systemu będą korzystać także instytucje nadzorujące i wdrażające reformę.</w:t>
            </w:r>
          </w:p>
        </w:tc>
      </w:tr>
      <w:tr w:rsidR="001052B5" w:rsidRPr="009D378C" w14:paraId="539135F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599"/>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396FAE21"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A61G</w:t>
            </w:r>
          </w:p>
        </w:tc>
        <w:tc>
          <w:tcPr>
            <w:tcW w:w="1984" w:type="dxa"/>
            <w:tcBorders>
              <w:top w:val="nil"/>
              <w:left w:val="nil"/>
              <w:bottom w:val="single" w:sz="4" w:space="0" w:color="auto"/>
              <w:right w:val="single" w:sz="4" w:space="0" w:color="auto"/>
            </w:tcBorders>
            <w:shd w:val="clear" w:color="000000" w:fill="C6EFCE"/>
            <w:vAlign w:val="center"/>
            <w:hideMark/>
          </w:tcPr>
          <w:p w14:paraId="0C77EC8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A4.2.1 Wsparcie programów dofinansowania miejsc opieki nad dziećmi 0-3 lat (żłobki, kluby dziecięce) w ramach MALUCH+</w:t>
            </w:r>
          </w:p>
        </w:tc>
        <w:tc>
          <w:tcPr>
            <w:tcW w:w="1137" w:type="dxa"/>
            <w:tcBorders>
              <w:top w:val="nil"/>
              <w:left w:val="nil"/>
              <w:bottom w:val="single" w:sz="4" w:space="0" w:color="auto"/>
              <w:right w:val="single" w:sz="4" w:space="0" w:color="auto"/>
            </w:tcBorders>
            <w:shd w:val="clear" w:color="000000" w:fill="C6EFCE"/>
            <w:vAlign w:val="center"/>
            <w:hideMark/>
          </w:tcPr>
          <w:p w14:paraId="6FBA98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6476076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Tworzenie nowych miejsc w placówkach opiekuńczych (żłobki, kluby dziecięce) dla dzieci do 3 roku życia </w:t>
            </w:r>
          </w:p>
        </w:tc>
        <w:tc>
          <w:tcPr>
            <w:tcW w:w="1560" w:type="dxa"/>
            <w:tcBorders>
              <w:top w:val="nil"/>
              <w:left w:val="nil"/>
              <w:bottom w:val="single" w:sz="4" w:space="0" w:color="auto"/>
              <w:right w:val="single" w:sz="4" w:space="0" w:color="auto"/>
            </w:tcBorders>
            <w:shd w:val="clear" w:color="000000" w:fill="C6EFCE"/>
            <w:vAlign w:val="center"/>
            <w:hideMark/>
          </w:tcPr>
          <w:p w14:paraId="1F05EB3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11E0BD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38B986B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200151</w:t>
            </w:r>
          </w:p>
        </w:tc>
        <w:tc>
          <w:tcPr>
            <w:tcW w:w="992" w:type="dxa"/>
            <w:tcBorders>
              <w:top w:val="nil"/>
              <w:left w:val="nil"/>
              <w:bottom w:val="single" w:sz="4" w:space="0" w:color="auto"/>
              <w:right w:val="single" w:sz="4" w:space="0" w:color="auto"/>
            </w:tcBorders>
            <w:shd w:val="clear" w:color="000000" w:fill="C6EFCE"/>
            <w:vAlign w:val="center"/>
            <w:hideMark/>
          </w:tcPr>
          <w:p w14:paraId="40729A4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247651</w:t>
            </w:r>
          </w:p>
        </w:tc>
        <w:tc>
          <w:tcPr>
            <w:tcW w:w="567" w:type="dxa"/>
            <w:tcBorders>
              <w:top w:val="nil"/>
              <w:left w:val="nil"/>
              <w:bottom w:val="single" w:sz="4" w:space="0" w:color="auto"/>
              <w:right w:val="single" w:sz="4" w:space="0" w:color="auto"/>
            </w:tcBorders>
            <w:shd w:val="clear" w:color="000000" w:fill="C6EFCE"/>
            <w:vAlign w:val="center"/>
            <w:hideMark/>
          </w:tcPr>
          <w:p w14:paraId="0795C10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171A1F1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60270254" w14:textId="3A36FE14"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Tworzenie i rozwój infrastruktury w zakresie opieki nad dziećmi do trzeciego roku </w:t>
            </w:r>
            <w:r w:rsidR="00C105B8">
              <w:rPr>
                <w:rFonts w:ascii="Times New Roman" w:eastAsia="Times New Roman" w:hAnsi="Times New Roman" w:cs="Times New Roman"/>
                <w:sz w:val="18"/>
                <w:szCs w:val="18"/>
                <w:lang w:val="pl-PL" w:eastAsia="pl-PL"/>
              </w:rPr>
              <w:t>będzie się składać z</w:t>
            </w:r>
            <w:r w:rsidRPr="00E06486">
              <w:rPr>
                <w:rFonts w:ascii="Times New Roman" w:eastAsia="Times New Roman" w:hAnsi="Times New Roman" w:cs="Times New Roman"/>
                <w:sz w:val="18"/>
                <w:szCs w:val="18"/>
                <w:lang w:val="pl-PL" w:eastAsia="pl-PL"/>
              </w:rPr>
              <w:t>:</w:t>
            </w:r>
            <w:r w:rsidRPr="00E06486">
              <w:rPr>
                <w:rFonts w:ascii="Times New Roman" w:eastAsia="Times New Roman" w:hAnsi="Times New Roman" w:cs="Times New Roman"/>
                <w:sz w:val="18"/>
                <w:szCs w:val="18"/>
                <w:lang w:val="pl-PL" w:eastAsia="pl-PL"/>
              </w:rPr>
              <w:br/>
              <w:t xml:space="preserve">- </w:t>
            </w:r>
            <w:r w:rsidR="00C105B8" w:rsidRPr="00E06486">
              <w:rPr>
                <w:rFonts w:ascii="Times New Roman" w:eastAsia="Times New Roman" w:hAnsi="Times New Roman" w:cs="Times New Roman"/>
                <w:sz w:val="18"/>
                <w:szCs w:val="18"/>
                <w:lang w:val="pl-PL" w:eastAsia="pl-PL"/>
              </w:rPr>
              <w:t>budow</w:t>
            </w:r>
            <w:r w:rsidR="00C105B8">
              <w:rPr>
                <w:rFonts w:ascii="Times New Roman" w:eastAsia="Times New Roman" w:hAnsi="Times New Roman" w:cs="Times New Roman"/>
                <w:sz w:val="18"/>
                <w:szCs w:val="18"/>
                <w:lang w:val="pl-PL" w:eastAsia="pl-PL"/>
              </w:rPr>
              <w:t>y</w:t>
            </w:r>
            <w:r w:rsidR="00C105B8" w:rsidRPr="00E06486">
              <w:rPr>
                <w:rFonts w:ascii="Times New Roman" w:eastAsia="Times New Roman" w:hAnsi="Times New Roman" w:cs="Times New Roman"/>
                <w:sz w:val="18"/>
                <w:szCs w:val="18"/>
                <w:lang w:val="pl-PL" w:eastAsia="pl-PL"/>
              </w:rPr>
              <w:t xml:space="preserve"> </w:t>
            </w:r>
            <w:r w:rsidRPr="00E06486">
              <w:rPr>
                <w:rFonts w:ascii="Times New Roman" w:eastAsia="Times New Roman" w:hAnsi="Times New Roman" w:cs="Times New Roman"/>
                <w:sz w:val="18"/>
                <w:szCs w:val="18"/>
                <w:lang w:val="pl-PL" w:eastAsia="pl-PL"/>
              </w:rPr>
              <w:t>lub remont</w:t>
            </w:r>
            <w:r w:rsidR="00C105B8">
              <w:rPr>
                <w:rFonts w:ascii="Times New Roman" w:eastAsia="Times New Roman" w:hAnsi="Times New Roman" w:cs="Times New Roman"/>
                <w:sz w:val="18"/>
                <w:szCs w:val="18"/>
                <w:lang w:val="pl-PL" w:eastAsia="pl-PL"/>
              </w:rPr>
              <w:t>u</w:t>
            </w:r>
            <w:r w:rsidRPr="00E06486">
              <w:rPr>
                <w:rFonts w:ascii="Times New Roman" w:eastAsia="Times New Roman" w:hAnsi="Times New Roman" w:cs="Times New Roman"/>
                <w:sz w:val="18"/>
                <w:szCs w:val="18"/>
                <w:lang w:val="pl-PL" w:eastAsia="pl-PL"/>
              </w:rPr>
              <w:t xml:space="preserve"> żłobków i klubów dziecięcych (zgodnie z zasadami projektowania uniwersalnego);</w:t>
            </w:r>
            <w:r w:rsidRPr="00E06486">
              <w:rPr>
                <w:rFonts w:ascii="Times New Roman" w:eastAsia="Times New Roman" w:hAnsi="Times New Roman" w:cs="Times New Roman"/>
                <w:sz w:val="18"/>
                <w:szCs w:val="18"/>
                <w:lang w:val="pl-PL" w:eastAsia="pl-PL"/>
              </w:rPr>
              <w:br/>
              <w:t>- zakup</w:t>
            </w:r>
            <w:r w:rsidR="00C105B8">
              <w:rPr>
                <w:rFonts w:ascii="Times New Roman" w:eastAsia="Times New Roman" w:hAnsi="Times New Roman" w:cs="Times New Roman"/>
                <w:sz w:val="18"/>
                <w:szCs w:val="18"/>
                <w:lang w:val="pl-PL" w:eastAsia="pl-PL"/>
              </w:rPr>
              <w:t>u</w:t>
            </w:r>
            <w:r w:rsidRPr="00E06486">
              <w:rPr>
                <w:rFonts w:ascii="Times New Roman" w:eastAsia="Times New Roman" w:hAnsi="Times New Roman" w:cs="Times New Roman"/>
                <w:sz w:val="18"/>
                <w:szCs w:val="18"/>
                <w:lang w:val="pl-PL" w:eastAsia="pl-PL"/>
              </w:rPr>
              <w:t xml:space="preserve"> nieruchomości i infrastruktury (zakup gruntu lub lokalu).</w:t>
            </w:r>
            <w:r w:rsidRPr="00E06486">
              <w:rPr>
                <w:rFonts w:ascii="Times New Roman" w:eastAsia="Times New Roman" w:hAnsi="Times New Roman" w:cs="Times New Roman"/>
                <w:sz w:val="18"/>
                <w:szCs w:val="18"/>
                <w:lang w:val="pl-PL" w:eastAsia="pl-PL"/>
              </w:rPr>
              <w:br/>
              <w:t>Cel dotyczy żłobków i klubów dziecięcych. Cel dotyczy budowy nowych obiektów oraz remontów i adaptacji istniejących obiektów, łącznie co najmniej 47500 nowych miejsc opieki nad dziećmi.</w:t>
            </w:r>
          </w:p>
        </w:tc>
      </w:tr>
      <w:tr w:rsidR="001052B5" w:rsidRPr="009D378C" w14:paraId="56E0F94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4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04D042B0"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A62G</w:t>
            </w:r>
          </w:p>
        </w:tc>
        <w:tc>
          <w:tcPr>
            <w:tcW w:w="1984" w:type="dxa"/>
            <w:tcBorders>
              <w:top w:val="nil"/>
              <w:left w:val="nil"/>
              <w:bottom w:val="single" w:sz="4" w:space="0" w:color="auto"/>
              <w:right w:val="single" w:sz="4" w:space="0" w:color="auto"/>
            </w:tcBorders>
            <w:shd w:val="clear" w:color="000000" w:fill="C6EFCE"/>
            <w:vAlign w:val="center"/>
            <w:hideMark/>
          </w:tcPr>
          <w:p w14:paraId="449B1A6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A4.3. Wdrożenie ram prawnych dla rozwoju ekonomii społecznej</w:t>
            </w:r>
          </w:p>
        </w:tc>
        <w:tc>
          <w:tcPr>
            <w:tcW w:w="1137" w:type="dxa"/>
            <w:tcBorders>
              <w:top w:val="nil"/>
              <w:left w:val="nil"/>
              <w:bottom w:val="single" w:sz="4" w:space="0" w:color="auto"/>
              <w:right w:val="single" w:sz="4" w:space="0" w:color="auto"/>
            </w:tcBorders>
            <w:shd w:val="clear" w:color="000000" w:fill="C6EFCE"/>
            <w:vAlign w:val="center"/>
            <w:hideMark/>
          </w:tcPr>
          <w:p w14:paraId="0D4FB6C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4624E62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ustawy o ekonomii społecznej</w:t>
            </w:r>
          </w:p>
        </w:tc>
        <w:tc>
          <w:tcPr>
            <w:tcW w:w="1560" w:type="dxa"/>
            <w:tcBorders>
              <w:top w:val="nil"/>
              <w:left w:val="nil"/>
              <w:bottom w:val="single" w:sz="4" w:space="0" w:color="auto"/>
              <w:right w:val="single" w:sz="4" w:space="0" w:color="auto"/>
            </w:tcBorders>
            <w:shd w:val="clear" w:color="000000" w:fill="C6EFCE"/>
            <w:vAlign w:val="center"/>
            <w:hideMark/>
          </w:tcPr>
          <w:p w14:paraId="109F81C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ustawy o ekonomii społecznej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5241731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3E86EF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6F5525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3C63D8C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5D80EF3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3664DF8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ustawy o ekonomii społecznej, która reguluje podstawowe zagadnienia związane z tym sektorem, w tym w szczególności: definicję przedsiębiorstwa społecznego, zasady funkcjonowania i wspierania przedsiębiorstwa ekonomii społecznej, nowe sposoby współpracy ekonomii społecznej przedsiębiorstw i samorządu terytorialnego w realizacji usług społecznych, a także zasady koordynacji polityki w zakresie rozwoju ekonomii społecznej.</w:t>
            </w:r>
          </w:p>
        </w:tc>
      </w:tr>
      <w:tr w:rsidR="001052B5" w:rsidRPr="009D378C" w14:paraId="4A4B00C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234"/>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0FC785C4"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A63G</w:t>
            </w:r>
          </w:p>
        </w:tc>
        <w:tc>
          <w:tcPr>
            <w:tcW w:w="1984" w:type="dxa"/>
            <w:tcBorders>
              <w:top w:val="nil"/>
              <w:left w:val="nil"/>
              <w:bottom w:val="single" w:sz="4" w:space="0" w:color="auto"/>
              <w:right w:val="single" w:sz="4" w:space="0" w:color="auto"/>
            </w:tcBorders>
            <w:shd w:val="clear" w:color="000000" w:fill="C6EFCE"/>
            <w:vAlign w:val="center"/>
            <w:hideMark/>
          </w:tcPr>
          <w:p w14:paraId="74635E6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A4.3.1. Programy wsparcia inwestycyjnego umożliwiające w szczególności rozwój działalności, zwiększenie udziału w realizacji usług społecznych oraz poprawę jakości integracji w podmiotach ekonomii społecznej </w:t>
            </w:r>
          </w:p>
        </w:tc>
        <w:tc>
          <w:tcPr>
            <w:tcW w:w="1137" w:type="dxa"/>
            <w:tcBorders>
              <w:top w:val="nil"/>
              <w:left w:val="nil"/>
              <w:bottom w:val="single" w:sz="4" w:space="0" w:color="auto"/>
              <w:right w:val="single" w:sz="4" w:space="0" w:color="auto"/>
            </w:tcBorders>
            <w:shd w:val="clear" w:color="000000" w:fill="C6EFCE"/>
            <w:vAlign w:val="center"/>
            <w:hideMark/>
          </w:tcPr>
          <w:p w14:paraId="232AA4F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3606522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Podmioty, które uzyskały status przedsiębiorstwa społecznego</w:t>
            </w:r>
          </w:p>
        </w:tc>
        <w:tc>
          <w:tcPr>
            <w:tcW w:w="1560" w:type="dxa"/>
            <w:tcBorders>
              <w:top w:val="nil"/>
              <w:left w:val="nil"/>
              <w:bottom w:val="single" w:sz="4" w:space="0" w:color="auto"/>
              <w:right w:val="single" w:sz="4" w:space="0" w:color="auto"/>
            </w:tcBorders>
            <w:shd w:val="clear" w:color="000000" w:fill="C6EFCE"/>
            <w:vAlign w:val="center"/>
            <w:hideMark/>
          </w:tcPr>
          <w:p w14:paraId="2B8A2FC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F58CDE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3CE0B9A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143E996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1400</w:t>
            </w:r>
          </w:p>
        </w:tc>
        <w:tc>
          <w:tcPr>
            <w:tcW w:w="567" w:type="dxa"/>
            <w:tcBorders>
              <w:top w:val="nil"/>
              <w:left w:val="nil"/>
              <w:bottom w:val="single" w:sz="4" w:space="0" w:color="auto"/>
              <w:right w:val="single" w:sz="4" w:space="0" w:color="auto"/>
            </w:tcBorders>
            <w:shd w:val="clear" w:color="000000" w:fill="C6EFCE"/>
            <w:vAlign w:val="center"/>
            <w:hideMark/>
          </w:tcPr>
          <w:p w14:paraId="4090C41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0CBE6F0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00B5675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Nadanie statusu przedsiębiorstwa społecznego 1400 podmiotom.</w:t>
            </w:r>
          </w:p>
        </w:tc>
      </w:tr>
      <w:tr w:rsidR="001052B5" w:rsidRPr="009D378C" w14:paraId="5944BD3F"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7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3A69894B"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A64G</w:t>
            </w:r>
          </w:p>
        </w:tc>
        <w:tc>
          <w:tcPr>
            <w:tcW w:w="1984" w:type="dxa"/>
            <w:tcBorders>
              <w:top w:val="nil"/>
              <w:left w:val="nil"/>
              <w:bottom w:val="single" w:sz="4" w:space="0" w:color="auto"/>
              <w:right w:val="single" w:sz="4" w:space="0" w:color="auto"/>
            </w:tcBorders>
            <w:shd w:val="clear" w:color="000000" w:fill="C6EFCE"/>
            <w:vAlign w:val="center"/>
            <w:hideMark/>
          </w:tcPr>
          <w:p w14:paraId="7DC4CD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A4.3.1. Programy wsparcia inwestycyjnego umożliwiające w szczególności rozwój działalności, zwiększenie udziału w realizacji usług społecznych oraz poprawę jakości integracji w podmiotach ekonomii społecznej </w:t>
            </w:r>
          </w:p>
        </w:tc>
        <w:tc>
          <w:tcPr>
            <w:tcW w:w="1137" w:type="dxa"/>
            <w:tcBorders>
              <w:top w:val="nil"/>
              <w:left w:val="nil"/>
              <w:bottom w:val="single" w:sz="4" w:space="0" w:color="auto"/>
              <w:right w:val="single" w:sz="4" w:space="0" w:color="auto"/>
            </w:tcBorders>
            <w:shd w:val="clear" w:color="000000" w:fill="C6EFCE"/>
            <w:vAlign w:val="center"/>
            <w:hideMark/>
          </w:tcPr>
          <w:p w14:paraId="021142A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6B35C35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Liczba podmiotów ekonomii społecznej (w tym przedsiębiorstw społecznych) objętych wsparciem </w:t>
            </w:r>
          </w:p>
        </w:tc>
        <w:tc>
          <w:tcPr>
            <w:tcW w:w="1560" w:type="dxa"/>
            <w:tcBorders>
              <w:top w:val="nil"/>
              <w:left w:val="nil"/>
              <w:bottom w:val="single" w:sz="4" w:space="0" w:color="auto"/>
              <w:right w:val="single" w:sz="4" w:space="0" w:color="auto"/>
            </w:tcBorders>
            <w:shd w:val="clear" w:color="000000" w:fill="C6EFCE"/>
            <w:vAlign w:val="center"/>
            <w:hideMark/>
          </w:tcPr>
          <w:p w14:paraId="089320C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F5CF9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7CD914C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2EFFC64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1000</w:t>
            </w:r>
          </w:p>
        </w:tc>
        <w:tc>
          <w:tcPr>
            <w:tcW w:w="567" w:type="dxa"/>
            <w:tcBorders>
              <w:top w:val="nil"/>
              <w:left w:val="nil"/>
              <w:bottom w:val="single" w:sz="4" w:space="0" w:color="auto"/>
              <w:right w:val="single" w:sz="4" w:space="0" w:color="auto"/>
            </w:tcBorders>
            <w:shd w:val="clear" w:color="000000" w:fill="C6EFCE"/>
            <w:vAlign w:val="center"/>
            <w:hideMark/>
          </w:tcPr>
          <w:p w14:paraId="2566687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64C33CF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310649A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Udzielenie dotacji co najmniej 1000 podmiotom ekonomii społecznej, w tym przedsiębiorstwom społecznym, które mają doprowadzić do zachowania miejsc pracy, zwiększenia obrotów finansowych lub wprowadzenia zmiany działalności gospodarczej (rozszerzenie skali, formy działalności lub zmiana branży). Zatrudnienie w podmiotach otrzymujących dotacje będzie utrzymywane przez co najmniej 12 miesięcy od dnia przyznania dotacji.</w:t>
            </w:r>
            <w:r w:rsidRPr="00E06486">
              <w:rPr>
                <w:rFonts w:ascii="Times New Roman" w:eastAsia="Times New Roman" w:hAnsi="Times New Roman" w:cs="Times New Roman"/>
                <w:sz w:val="18"/>
                <w:szCs w:val="18"/>
                <w:lang w:val="pl-PL" w:eastAsia="pl-PL"/>
              </w:rPr>
              <w:br/>
              <w:t>Wybór beneficjentów odbywa się na podstawie określonych kryteriów selekcji, z zachowaniem zasad niedyskryminacji i przejrzystości.</w:t>
            </w:r>
          </w:p>
        </w:tc>
      </w:tr>
      <w:tr w:rsidR="001052B5" w:rsidRPr="009D378C" w14:paraId="6A4DE4B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36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3D1D0675"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A65G</w:t>
            </w:r>
          </w:p>
        </w:tc>
        <w:tc>
          <w:tcPr>
            <w:tcW w:w="1984" w:type="dxa"/>
            <w:tcBorders>
              <w:top w:val="nil"/>
              <w:left w:val="nil"/>
              <w:bottom w:val="single" w:sz="4" w:space="0" w:color="auto"/>
              <w:right w:val="single" w:sz="4" w:space="0" w:color="auto"/>
            </w:tcBorders>
            <w:shd w:val="clear" w:color="000000" w:fill="C6EFCE"/>
            <w:vAlign w:val="center"/>
            <w:hideMark/>
          </w:tcPr>
          <w:p w14:paraId="1D8D97E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A4.4 Uelastycznienie form zatrudnienia, w tym wprowadzenie pracy zdalnej</w:t>
            </w:r>
          </w:p>
        </w:tc>
        <w:tc>
          <w:tcPr>
            <w:tcW w:w="1137" w:type="dxa"/>
            <w:tcBorders>
              <w:top w:val="nil"/>
              <w:left w:val="nil"/>
              <w:bottom w:val="single" w:sz="4" w:space="0" w:color="auto"/>
              <w:right w:val="single" w:sz="4" w:space="0" w:color="auto"/>
            </w:tcBorders>
            <w:shd w:val="clear" w:color="000000" w:fill="C6EFCE"/>
            <w:vAlign w:val="center"/>
            <w:hideMark/>
          </w:tcPr>
          <w:p w14:paraId="5C09A49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78FBA0E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nowelizacji Kodeksu Pracy. Wprowadzenie na stałe pracy zdalnej do przepisów Kodeksu Pracy oraz elastycznych form organizacji czasu pracy </w:t>
            </w:r>
          </w:p>
        </w:tc>
        <w:tc>
          <w:tcPr>
            <w:tcW w:w="1560" w:type="dxa"/>
            <w:tcBorders>
              <w:top w:val="nil"/>
              <w:left w:val="nil"/>
              <w:bottom w:val="single" w:sz="4" w:space="0" w:color="auto"/>
              <w:right w:val="single" w:sz="4" w:space="0" w:color="auto"/>
            </w:tcBorders>
            <w:shd w:val="clear" w:color="000000" w:fill="C6EFCE"/>
            <w:vAlign w:val="center"/>
            <w:hideMark/>
          </w:tcPr>
          <w:p w14:paraId="685971C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Zapis w Kodeksie pracy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4A6F86E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3967BE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F1BDA5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5A93B60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6FBC4CB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25D7FE9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Kodeksu pracy, która pomoże lepiej pogodzić obowiązki zawodowe i prywatne, odpowiedzieć na kryzys, a także udzielić pomocy osobom nieaktywnym zawodowo o niższej aktywności zawodowej w znalezieniu stałego zatrudnienia.</w:t>
            </w:r>
            <w:r w:rsidRPr="00E06486">
              <w:rPr>
                <w:rFonts w:ascii="Times New Roman" w:eastAsia="Times New Roman" w:hAnsi="Times New Roman" w:cs="Times New Roman"/>
                <w:sz w:val="18"/>
                <w:szCs w:val="18"/>
                <w:lang w:val="pl-PL" w:eastAsia="pl-PL"/>
              </w:rPr>
              <w:br/>
              <w:t xml:space="preserve">Reforma uwzględnia: </w:t>
            </w:r>
            <w:r w:rsidRPr="00E06486">
              <w:rPr>
                <w:rFonts w:ascii="Times New Roman" w:eastAsia="Times New Roman" w:hAnsi="Times New Roman" w:cs="Times New Roman"/>
                <w:sz w:val="18"/>
                <w:szCs w:val="18"/>
                <w:lang w:val="pl-PL" w:eastAsia="pl-PL"/>
              </w:rPr>
              <w:br/>
              <w:t>- wprowadzenie możliwości wykonywania pracy zdalnej (w całości lub części) poza zakładem pracy na podstawie porozumień między pracownikiem a pracodawcą zawartych przy zawieraniu umowy o pracę lub w trakcie zatrudnienia;</w:t>
            </w:r>
            <w:r w:rsidRPr="00E06486">
              <w:rPr>
                <w:rFonts w:ascii="Times New Roman" w:eastAsia="Times New Roman" w:hAnsi="Times New Roman" w:cs="Times New Roman"/>
                <w:sz w:val="18"/>
                <w:szCs w:val="18"/>
                <w:lang w:val="pl-PL" w:eastAsia="pl-PL"/>
              </w:rPr>
              <w:br/>
              <w:t>- ustalenie zasad pracy zdalnej w porozumieniu pomiędzy pracodawcą a przedstawicielami pracowników;</w:t>
            </w:r>
            <w:r w:rsidRPr="00E06486">
              <w:rPr>
                <w:rFonts w:ascii="Times New Roman" w:eastAsia="Times New Roman" w:hAnsi="Times New Roman" w:cs="Times New Roman"/>
                <w:sz w:val="18"/>
                <w:szCs w:val="18"/>
                <w:lang w:val="pl-PL" w:eastAsia="pl-PL"/>
              </w:rPr>
              <w:br/>
              <w:t>- uwzględnienie szczególnych przypadków, w których praca zdalna mogłaby być wykonywana na życzenie pracodawcy (np. podczas stanów nadzwyczajnych);</w:t>
            </w:r>
            <w:r w:rsidRPr="00E06486">
              <w:rPr>
                <w:rFonts w:ascii="Times New Roman" w:eastAsia="Times New Roman" w:hAnsi="Times New Roman" w:cs="Times New Roman"/>
                <w:sz w:val="18"/>
                <w:szCs w:val="18"/>
                <w:lang w:val="pl-PL" w:eastAsia="pl-PL"/>
              </w:rPr>
              <w:br/>
              <w:t>- ustanowienie obowiązku zapewnienia przez pracodawcę materiałów i narzędzi niezbędnych do wykonywania pracy zdalnej i/lub korzystania z prywatnego sprzętu pracowników,</w:t>
            </w:r>
            <w:r w:rsidRPr="00E06486">
              <w:rPr>
                <w:rFonts w:ascii="Times New Roman" w:eastAsia="Times New Roman" w:hAnsi="Times New Roman" w:cs="Times New Roman"/>
                <w:sz w:val="18"/>
                <w:szCs w:val="18"/>
                <w:lang w:val="pl-PL" w:eastAsia="pl-PL"/>
              </w:rPr>
              <w:br/>
              <w:t>- wdrożenie elastycznych form organizacji czasu pracy.</w:t>
            </w:r>
          </w:p>
        </w:tc>
      </w:tr>
      <w:tr w:rsidR="001052B5" w:rsidRPr="001F52AF" w14:paraId="190F2D2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4515"/>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494BBA09"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A66G</w:t>
            </w:r>
          </w:p>
        </w:tc>
        <w:tc>
          <w:tcPr>
            <w:tcW w:w="1984" w:type="dxa"/>
            <w:tcBorders>
              <w:top w:val="nil"/>
              <w:left w:val="nil"/>
              <w:bottom w:val="single" w:sz="4" w:space="0" w:color="auto"/>
              <w:right w:val="single" w:sz="4" w:space="0" w:color="auto"/>
            </w:tcBorders>
            <w:shd w:val="clear" w:color="000000" w:fill="C6EFCE"/>
            <w:vAlign w:val="center"/>
            <w:hideMark/>
          </w:tcPr>
          <w:p w14:paraId="792CD3A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A4.4.1 Inwestycje związane z doposażeniem pracowników/ przedsiębiorstw do pracy zdalnej</w:t>
            </w:r>
          </w:p>
        </w:tc>
        <w:tc>
          <w:tcPr>
            <w:tcW w:w="1137" w:type="dxa"/>
            <w:tcBorders>
              <w:top w:val="nil"/>
              <w:left w:val="nil"/>
              <w:bottom w:val="single" w:sz="4" w:space="0" w:color="auto"/>
              <w:right w:val="single" w:sz="4" w:space="0" w:color="auto"/>
            </w:tcBorders>
            <w:shd w:val="clear" w:color="000000" w:fill="C6EFCE"/>
            <w:vAlign w:val="center"/>
            <w:hideMark/>
          </w:tcPr>
          <w:p w14:paraId="47C03BC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551" w:type="dxa"/>
            <w:tcBorders>
              <w:top w:val="nil"/>
              <w:left w:val="nil"/>
              <w:bottom w:val="single" w:sz="4" w:space="0" w:color="auto"/>
              <w:right w:val="single" w:sz="4" w:space="0" w:color="auto"/>
            </w:tcBorders>
            <w:shd w:val="clear" w:color="000000" w:fill="C6EFCE"/>
            <w:vAlign w:val="center"/>
            <w:hideMark/>
          </w:tcPr>
          <w:p w14:paraId="34C13AA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Przedsiębiorstwa wsparte w obszarze digitalizacji</w:t>
            </w:r>
          </w:p>
        </w:tc>
        <w:tc>
          <w:tcPr>
            <w:tcW w:w="1560" w:type="dxa"/>
            <w:tcBorders>
              <w:top w:val="nil"/>
              <w:left w:val="nil"/>
              <w:bottom w:val="single" w:sz="4" w:space="0" w:color="auto"/>
              <w:right w:val="single" w:sz="4" w:space="0" w:color="auto"/>
            </w:tcBorders>
            <w:shd w:val="clear" w:color="000000" w:fill="C6EFCE"/>
            <w:vAlign w:val="center"/>
            <w:hideMark/>
          </w:tcPr>
          <w:p w14:paraId="73F3BC7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892B42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5F15B3D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5EA185D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3000</w:t>
            </w:r>
          </w:p>
        </w:tc>
        <w:tc>
          <w:tcPr>
            <w:tcW w:w="567" w:type="dxa"/>
            <w:tcBorders>
              <w:top w:val="nil"/>
              <w:left w:val="nil"/>
              <w:bottom w:val="single" w:sz="4" w:space="0" w:color="auto"/>
              <w:right w:val="single" w:sz="4" w:space="0" w:color="auto"/>
            </w:tcBorders>
            <w:shd w:val="clear" w:color="000000" w:fill="C6EFCE"/>
            <w:vAlign w:val="center"/>
            <w:hideMark/>
          </w:tcPr>
          <w:p w14:paraId="759771A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4DF0D00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2A68FF1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trike/>
                <w:sz w:val="18"/>
                <w:szCs w:val="18"/>
                <w:lang w:val="pl-PL" w:eastAsia="pl-PL"/>
              </w:rPr>
              <w:br/>
            </w:r>
            <w:r w:rsidRPr="00E06486">
              <w:rPr>
                <w:rFonts w:ascii="Times New Roman" w:eastAsia="Times New Roman" w:hAnsi="Times New Roman" w:cs="Times New Roman"/>
                <w:sz w:val="18"/>
                <w:szCs w:val="18"/>
                <w:lang w:val="pl-PL" w:eastAsia="pl-PL"/>
              </w:rPr>
              <w:t>Doradztwo w zakresie digitalizacji dla co najmniej 3000 mikro, małych i średnich przedsiębiorstw oraz, jeśli okaże się to konieczne w wyniku takiego doradztwa, z zakupem oprogramowania/licencji i podnoszeniem umiejętności cyfrowych pracowników.</w:t>
            </w:r>
            <w:r w:rsidRPr="00E06486">
              <w:rPr>
                <w:rFonts w:ascii="Times New Roman" w:eastAsia="Times New Roman" w:hAnsi="Times New Roman" w:cs="Times New Roman"/>
                <w:sz w:val="18"/>
                <w:szCs w:val="18"/>
                <w:lang w:val="pl-PL" w:eastAsia="pl-PL"/>
              </w:rPr>
              <w:br/>
              <w:t>Środek składa się z:</w:t>
            </w:r>
            <w:r w:rsidRPr="00E06486">
              <w:rPr>
                <w:rFonts w:ascii="Times New Roman" w:eastAsia="Times New Roman" w:hAnsi="Times New Roman" w:cs="Times New Roman"/>
                <w:sz w:val="18"/>
                <w:szCs w:val="18"/>
                <w:lang w:val="pl-PL" w:eastAsia="pl-PL"/>
              </w:rPr>
              <w:br/>
              <w:t xml:space="preserve">a) analiza przedwdrożeniowa procesów w firmie, które mogą zostać </w:t>
            </w:r>
            <w:proofErr w:type="spellStart"/>
            <w:r w:rsidRPr="00E06486">
              <w:rPr>
                <w:rFonts w:ascii="Times New Roman" w:eastAsia="Times New Roman" w:hAnsi="Times New Roman" w:cs="Times New Roman"/>
                <w:sz w:val="18"/>
                <w:szCs w:val="18"/>
                <w:lang w:val="pl-PL" w:eastAsia="pl-PL"/>
              </w:rPr>
              <w:t>zdigitalizowane</w:t>
            </w:r>
            <w:proofErr w:type="spellEnd"/>
            <w:r w:rsidRPr="00E06486">
              <w:rPr>
                <w:rFonts w:ascii="Times New Roman" w:eastAsia="Times New Roman" w:hAnsi="Times New Roman" w:cs="Times New Roman"/>
                <w:sz w:val="18"/>
                <w:szCs w:val="18"/>
                <w:lang w:val="pl-PL" w:eastAsia="pl-PL"/>
              </w:rPr>
              <w:t xml:space="preserve"> w kontekście pracy zdalnej, obejmująca wymagania programowe i systemowe, opis funkcjonalności oraz opracowanie planu drogowego wdrożenia. Beneficjent przeznacza na ten element maksymalnie 20% wsparcia. Jeżeli beneficjent wykonał wcześniej powyższą analizę, dotacja może zostać w całości wykorzystana na działania opisane w punktach b i c.</w:t>
            </w:r>
            <w:r w:rsidRPr="00E06486">
              <w:rPr>
                <w:rFonts w:ascii="Times New Roman" w:eastAsia="Times New Roman" w:hAnsi="Times New Roman" w:cs="Times New Roman"/>
                <w:sz w:val="18"/>
                <w:szCs w:val="18"/>
                <w:lang w:val="pl-PL" w:eastAsia="pl-PL"/>
              </w:rPr>
              <w:br/>
              <w:t>b) szkolenia dla pracowników i kierownictwa w zakresie pracy zdalnej (w szczególności praca i zarządzanie zespołem zdalnym, sprzedaż online, komunikacja online z klientami, nadzór nad pracą zdalną, rekrutacja zdalna, planowanie i ewidencja czasu pracy, realizacja specjalistycznych narzędzi informatycznych). Beneficjent przeznaczy na ten element minimum 30% wsparcia.</w:t>
            </w:r>
            <w:r w:rsidRPr="00E06486">
              <w:rPr>
                <w:rFonts w:ascii="Times New Roman" w:eastAsia="Times New Roman" w:hAnsi="Times New Roman" w:cs="Times New Roman"/>
                <w:sz w:val="18"/>
                <w:szCs w:val="18"/>
                <w:lang w:val="pl-PL" w:eastAsia="pl-PL"/>
              </w:rPr>
              <w:br/>
              <w:t>c) zakup licencji i oprogramowania umożliwiającego zdalną komunikację i pracę pomiędzy pracownikami i klientami. Na ten element firma przeznaczy minimum 50% wsparcia.</w:t>
            </w:r>
          </w:p>
        </w:tc>
      </w:tr>
      <w:tr w:rsidR="001052B5" w:rsidRPr="009D378C" w14:paraId="0D798F6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4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764457E1"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A67G</w:t>
            </w:r>
          </w:p>
        </w:tc>
        <w:tc>
          <w:tcPr>
            <w:tcW w:w="1984" w:type="dxa"/>
            <w:tcBorders>
              <w:top w:val="nil"/>
              <w:left w:val="nil"/>
              <w:bottom w:val="single" w:sz="4" w:space="0" w:color="auto"/>
              <w:right w:val="single" w:sz="4" w:space="0" w:color="auto"/>
            </w:tcBorders>
            <w:shd w:val="clear" w:color="000000" w:fill="C6EFCE"/>
            <w:vAlign w:val="center"/>
            <w:hideMark/>
          </w:tcPr>
          <w:p w14:paraId="36EC58B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A4.5.Przedłużanie kariery zawodowej i promowanie pracy po przekroczeniu ustawowego wieku emerytalnego</w:t>
            </w:r>
          </w:p>
        </w:tc>
        <w:tc>
          <w:tcPr>
            <w:tcW w:w="1137" w:type="dxa"/>
            <w:tcBorders>
              <w:top w:val="nil"/>
              <w:left w:val="nil"/>
              <w:bottom w:val="single" w:sz="4" w:space="0" w:color="auto"/>
              <w:right w:val="single" w:sz="4" w:space="0" w:color="auto"/>
            </w:tcBorders>
            <w:shd w:val="clear" w:color="000000" w:fill="C6EFCE"/>
            <w:vAlign w:val="center"/>
            <w:hideMark/>
          </w:tcPr>
          <w:p w14:paraId="24140F4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309A72A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nowelizacji ustawy o podatku dochodowym od osób fizycznych wdrażającej od 2023 r. obniżkę podatku dochodowego od osób fizycznych dla osób, które osiągnęły wiek emerytalny, ale kontynuują pracę </w:t>
            </w:r>
          </w:p>
        </w:tc>
        <w:tc>
          <w:tcPr>
            <w:tcW w:w="1560" w:type="dxa"/>
            <w:tcBorders>
              <w:top w:val="nil"/>
              <w:left w:val="nil"/>
              <w:bottom w:val="single" w:sz="4" w:space="0" w:color="auto"/>
              <w:right w:val="single" w:sz="4" w:space="0" w:color="auto"/>
            </w:tcBorders>
            <w:shd w:val="clear" w:color="000000" w:fill="C6EFCE"/>
            <w:vAlign w:val="center"/>
            <w:hideMark/>
          </w:tcPr>
          <w:p w14:paraId="302E41E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ustawy o podatku dochodowym od osób fizycznych wskazujący na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79A3C3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A9DD9E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4BDBDC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6E253D1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25A6CE5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0B45BD3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o podatku dochodowym od osób fizycznych wprowadzi następujące zmiany: obniżenie podatku dochodowego od osób fizycznych będzie służyć podatnikom, którzy osiągną ustawowy wiek emerytalny i nie zdecydują się na przejście na emeryturę, lecz będą kontynuować pracę. Pracownicy ci będą zwolnieni z podatku dochodowego do określonego limitu dochodów (nie więcej niż do I grupy podatkowej, 85 528 zł w 2021 r., i nie więcej niż do wysokości przeciętnego wynagrodzenia brutto w gospodarce narodowej w Polsce). Obniża się stawkę podatku dochodowego od osób fizycznych dla osób znajdujących się powyżej pierwszego przedziału. Dzięki tej zachęcie podatkowej podatnicy będą zarabiać dodatkowe kwoty odpowiadające wysokości niezapłaconego podatku dochodowego, co ma zachęcić ich do wydłużenia kariery zawodowej.</w:t>
            </w:r>
          </w:p>
        </w:tc>
      </w:tr>
      <w:tr w:rsidR="001052B5" w:rsidRPr="009D378C" w14:paraId="4EEBCAA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4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0B7F056A"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A68G</w:t>
            </w:r>
          </w:p>
        </w:tc>
        <w:tc>
          <w:tcPr>
            <w:tcW w:w="1984" w:type="dxa"/>
            <w:tcBorders>
              <w:top w:val="nil"/>
              <w:left w:val="nil"/>
              <w:bottom w:val="single" w:sz="4" w:space="0" w:color="auto"/>
              <w:right w:val="single" w:sz="4" w:space="0" w:color="auto"/>
            </w:tcBorders>
            <w:shd w:val="clear" w:color="000000" w:fill="C6EFCE"/>
            <w:vAlign w:val="center"/>
            <w:hideMark/>
          </w:tcPr>
          <w:p w14:paraId="22FF605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A4.5.Przedłużanie kariery zawodowej i promowanie pracy po przekroczeniu ustawowego wieku emerytalnego</w:t>
            </w:r>
          </w:p>
        </w:tc>
        <w:tc>
          <w:tcPr>
            <w:tcW w:w="1137" w:type="dxa"/>
            <w:tcBorders>
              <w:top w:val="nil"/>
              <w:left w:val="nil"/>
              <w:bottom w:val="single" w:sz="4" w:space="0" w:color="auto"/>
              <w:right w:val="single" w:sz="4" w:space="0" w:color="auto"/>
            </w:tcBorders>
            <w:shd w:val="clear" w:color="000000" w:fill="C6EFCE"/>
            <w:vAlign w:val="center"/>
            <w:hideMark/>
          </w:tcPr>
          <w:p w14:paraId="3A1ECEB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4AEDA47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Raport z oceny wpływu działań na rzecz podniesienia efektywnego wieku emerytalnego </w:t>
            </w:r>
          </w:p>
        </w:tc>
        <w:tc>
          <w:tcPr>
            <w:tcW w:w="1560" w:type="dxa"/>
            <w:tcBorders>
              <w:top w:val="nil"/>
              <w:left w:val="nil"/>
              <w:bottom w:val="single" w:sz="4" w:space="0" w:color="auto"/>
              <w:right w:val="single" w:sz="4" w:space="0" w:color="auto"/>
            </w:tcBorders>
            <w:shd w:val="clear" w:color="000000" w:fill="C6EFCE"/>
            <w:vAlign w:val="center"/>
            <w:hideMark/>
          </w:tcPr>
          <w:p w14:paraId="19CB3C7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raportu ewaluacyjnego Ministerstwa Rodziny i Polityki Społecznej (</w:t>
            </w:r>
            <w:proofErr w:type="spellStart"/>
            <w:r w:rsidRPr="00E06486">
              <w:rPr>
                <w:rFonts w:ascii="Times New Roman" w:eastAsia="Times New Roman" w:hAnsi="Times New Roman" w:cs="Times New Roman"/>
                <w:sz w:val="18"/>
                <w:szCs w:val="18"/>
                <w:lang w:val="pl-PL" w:eastAsia="pl-PL"/>
              </w:rPr>
              <w:t>MRiPS</w:t>
            </w:r>
            <w:proofErr w:type="spellEnd"/>
            <w:r w:rsidRPr="00E06486">
              <w:rPr>
                <w:rFonts w:ascii="Times New Roman" w:eastAsia="Times New Roman" w:hAnsi="Times New Roman" w:cs="Times New Roman"/>
                <w:sz w:val="18"/>
                <w:szCs w:val="18"/>
                <w:lang w:val="pl-PL" w:eastAsia="pl-PL"/>
              </w:rPr>
              <w:t>)</w:t>
            </w:r>
          </w:p>
        </w:tc>
        <w:tc>
          <w:tcPr>
            <w:tcW w:w="992" w:type="dxa"/>
            <w:tcBorders>
              <w:top w:val="nil"/>
              <w:left w:val="nil"/>
              <w:bottom w:val="single" w:sz="4" w:space="0" w:color="auto"/>
              <w:right w:val="single" w:sz="4" w:space="0" w:color="auto"/>
            </w:tcBorders>
            <w:shd w:val="clear" w:color="000000" w:fill="C6EFCE"/>
            <w:vAlign w:val="center"/>
            <w:hideMark/>
          </w:tcPr>
          <w:p w14:paraId="24DBE69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32A19A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126091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4B3845E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48DF44E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3863276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Celem niniejszego raportu jest ocena wpływu zmian w podatku dochodowym od osób fizycznych na efektywny wiek emerytalny w okresie 2 lat od ich wprowadzenia. W tym celu należy przeanalizować wpływ na uczestnictwo w rynku pracy, stabilność systemu emerytalnego, finanse publiczne i równość płci.  </w:t>
            </w:r>
          </w:p>
        </w:tc>
      </w:tr>
      <w:tr w:rsidR="001052B5" w:rsidRPr="009D378C" w14:paraId="04C3A76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45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46CA2489"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A69G</w:t>
            </w:r>
          </w:p>
        </w:tc>
        <w:tc>
          <w:tcPr>
            <w:tcW w:w="1984" w:type="dxa"/>
            <w:tcBorders>
              <w:top w:val="nil"/>
              <w:left w:val="nil"/>
              <w:bottom w:val="single" w:sz="4" w:space="0" w:color="auto"/>
              <w:right w:val="single" w:sz="4" w:space="0" w:color="auto"/>
            </w:tcBorders>
            <w:shd w:val="clear" w:color="000000" w:fill="C6EFCE"/>
            <w:vAlign w:val="center"/>
            <w:hideMark/>
          </w:tcPr>
          <w:p w14:paraId="53E87AA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A4.6. Wzrost uczestnictwa w rynku pracy poprzez rozwój opieki długoterminowej</w:t>
            </w:r>
          </w:p>
        </w:tc>
        <w:tc>
          <w:tcPr>
            <w:tcW w:w="1137" w:type="dxa"/>
            <w:tcBorders>
              <w:top w:val="nil"/>
              <w:left w:val="nil"/>
              <w:bottom w:val="single" w:sz="4" w:space="0" w:color="auto"/>
              <w:right w:val="single" w:sz="4" w:space="0" w:color="auto"/>
            </w:tcBorders>
            <w:shd w:val="clear" w:color="000000" w:fill="C6EFCE"/>
            <w:vAlign w:val="center"/>
            <w:hideMark/>
          </w:tcPr>
          <w:p w14:paraId="18B54AA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7DFEC70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Strategiczny przegląd opieki długoterminowej w Polsce w celu określenia priorytetów reformy </w:t>
            </w:r>
          </w:p>
        </w:tc>
        <w:tc>
          <w:tcPr>
            <w:tcW w:w="1560" w:type="dxa"/>
            <w:tcBorders>
              <w:top w:val="nil"/>
              <w:left w:val="nil"/>
              <w:bottom w:val="single" w:sz="4" w:space="0" w:color="auto"/>
              <w:right w:val="single" w:sz="4" w:space="0" w:color="auto"/>
            </w:tcBorders>
            <w:shd w:val="clear" w:color="000000" w:fill="C6EFCE"/>
            <w:vAlign w:val="center"/>
            <w:hideMark/>
          </w:tcPr>
          <w:p w14:paraId="3226653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raportu z analizy strategicznej przez Ministerstwo Rodziny i Polityki Społecznej (</w:t>
            </w:r>
            <w:proofErr w:type="spellStart"/>
            <w:r w:rsidRPr="00E06486">
              <w:rPr>
                <w:rFonts w:ascii="Times New Roman" w:eastAsia="Times New Roman" w:hAnsi="Times New Roman" w:cs="Times New Roman"/>
                <w:sz w:val="18"/>
                <w:szCs w:val="18"/>
                <w:lang w:val="pl-PL" w:eastAsia="pl-PL"/>
              </w:rPr>
              <w:t>MRiPS</w:t>
            </w:r>
            <w:proofErr w:type="spellEnd"/>
            <w:r w:rsidRPr="00E06486">
              <w:rPr>
                <w:rFonts w:ascii="Times New Roman" w:eastAsia="Times New Roman" w:hAnsi="Times New Roman" w:cs="Times New Roman"/>
                <w:sz w:val="18"/>
                <w:szCs w:val="18"/>
                <w:lang w:val="pl-PL" w:eastAsia="pl-PL"/>
              </w:rPr>
              <w:t>) oraz Ministerstwo Zdrowia</w:t>
            </w:r>
          </w:p>
        </w:tc>
        <w:tc>
          <w:tcPr>
            <w:tcW w:w="992" w:type="dxa"/>
            <w:tcBorders>
              <w:top w:val="nil"/>
              <w:left w:val="nil"/>
              <w:bottom w:val="single" w:sz="4" w:space="0" w:color="auto"/>
              <w:right w:val="single" w:sz="4" w:space="0" w:color="auto"/>
            </w:tcBorders>
            <w:shd w:val="clear" w:color="000000" w:fill="C6EFCE"/>
            <w:vAlign w:val="center"/>
            <w:hideMark/>
          </w:tcPr>
          <w:p w14:paraId="060674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0BDC90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BD5F8B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6AB3894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04A5575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5615289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Zakończenie analizy systemu opieki długoterminowej w Polsce pod kątem jego przyszłej reformy oraz opublikowanie stosownego raportu w Biuletynie Informacji Publicznej Ministerstwa Rodziny i Polityki Społecznej oraz w Biuletynie Informacji Publicznej Strona Ministerstwa Zdrowia. Analiza obejmuje w szczególności zbadanie możliwych sposobów:</w:t>
            </w:r>
            <w:r w:rsidRPr="00E06486">
              <w:rPr>
                <w:rFonts w:ascii="Times New Roman" w:eastAsia="Times New Roman" w:hAnsi="Times New Roman" w:cs="Times New Roman"/>
                <w:sz w:val="18"/>
                <w:szCs w:val="18"/>
                <w:lang w:val="pl-PL" w:eastAsia="pl-PL"/>
              </w:rPr>
              <w:br/>
              <w:t>- integrować opiekę długoterminową socjalną i zdrowotną,</w:t>
            </w:r>
            <w:r w:rsidRPr="00E06486">
              <w:rPr>
                <w:rFonts w:ascii="Times New Roman" w:eastAsia="Times New Roman" w:hAnsi="Times New Roman" w:cs="Times New Roman"/>
                <w:sz w:val="18"/>
                <w:szCs w:val="18"/>
                <w:lang w:val="pl-PL" w:eastAsia="pl-PL"/>
              </w:rPr>
              <w:br/>
              <w:t xml:space="preserve">- przyspieszyć </w:t>
            </w:r>
            <w:proofErr w:type="spellStart"/>
            <w:r w:rsidRPr="00E06486">
              <w:rPr>
                <w:rFonts w:ascii="Times New Roman" w:eastAsia="Times New Roman" w:hAnsi="Times New Roman" w:cs="Times New Roman"/>
                <w:sz w:val="18"/>
                <w:szCs w:val="18"/>
                <w:lang w:val="pl-PL" w:eastAsia="pl-PL"/>
              </w:rPr>
              <w:t>deinstytucjonalizację</w:t>
            </w:r>
            <w:proofErr w:type="spellEnd"/>
            <w:r w:rsidRPr="00E06486">
              <w:rPr>
                <w:rFonts w:ascii="Times New Roman" w:eastAsia="Times New Roman" w:hAnsi="Times New Roman" w:cs="Times New Roman"/>
                <w:sz w:val="18"/>
                <w:szCs w:val="18"/>
                <w:lang w:val="pl-PL" w:eastAsia="pl-PL"/>
              </w:rPr>
              <w:t xml:space="preserve"> tych usług,</w:t>
            </w:r>
            <w:r w:rsidRPr="00E06486">
              <w:rPr>
                <w:rFonts w:ascii="Times New Roman" w:eastAsia="Times New Roman" w:hAnsi="Times New Roman" w:cs="Times New Roman"/>
                <w:sz w:val="18"/>
                <w:szCs w:val="18"/>
                <w:lang w:val="pl-PL" w:eastAsia="pl-PL"/>
              </w:rPr>
              <w:br/>
              <w:t>- powierzyć je jednemu organowi,</w:t>
            </w:r>
            <w:r w:rsidRPr="00E06486">
              <w:rPr>
                <w:rFonts w:ascii="Times New Roman" w:eastAsia="Times New Roman" w:hAnsi="Times New Roman" w:cs="Times New Roman"/>
                <w:sz w:val="18"/>
                <w:szCs w:val="18"/>
                <w:lang w:val="pl-PL" w:eastAsia="pl-PL"/>
              </w:rPr>
              <w:br/>
              <w:t>- zmniejszyć rozdrobnienie świadczenia opieki,</w:t>
            </w:r>
            <w:r w:rsidRPr="00E06486">
              <w:rPr>
                <w:rFonts w:ascii="Times New Roman" w:eastAsia="Times New Roman" w:hAnsi="Times New Roman" w:cs="Times New Roman"/>
                <w:sz w:val="18"/>
                <w:szCs w:val="18"/>
                <w:lang w:val="pl-PL" w:eastAsia="pl-PL"/>
              </w:rPr>
              <w:br/>
              <w:t>- zrewidować świadczenia opiekuńcze w celu umożliwienia podjęcia zatrudnienia,</w:t>
            </w:r>
            <w:r w:rsidRPr="00E06486">
              <w:rPr>
                <w:rFonts w:ascii="Times New Roman" w:eastAsia="Times New Roman" w:hAnsi="Times New Roman" w:cs="Times New Roman"/>
                <w:sz w:val="18"/>
                <w:szCs w:val="18"/>
                <w:lang w:val="pl-PL" w:eastAsia="pl-PL"/>
              </w:rPr>
              <w:br/>
              <w:t>- stworzyć stabilny system odpowiedniego finansowania świadczeń opieki długoterminowej, zwłaszcza środowiskowej i domowej,</w:t>
            </w:r>
            <w:r w:rsidRPr="00E06486">
              <w:rPr>
                <w:rFonts w:ascii="Times New Roman" w:eastAsia="Times New Roman" w:hAnsi="Times New Roman" w:cs="Times New Roman"/>
                <w:sz w:val="18"/>
                <w:szCs w:val="18"/>
                <w:lang w:val="pl-PL" w:eastAsia="pl-PL"/>
              </w:rPr>
              <w:br/>
              <w:t>- wprowadzić ramy jakości dotyczące usług opieki długoterminowej (wymagania dotyczące personelu, sprzętu, dopuszczania dostawców opieki długoterminowej do rynku).</w:t>
            </w:r>
            <w:r w:rsidRPr="00E06486">
              <w:rPr>
                <w:rFonts w:ascii="Times New Roman" w:eastAsia="Times New Roman" w:hAnsi="Times New Roman" w:cs="Times New Roman"/>
                <w:sz w:val="18"/>
                <w:szCs w:val="18"/>
                <w:lang w:val="pl-PL" w:eastAsia="pl-PL"/>
              </w:rPr>
              <w:br/>
              <w:t>Analizę należy przeprowadzić w porozumieniu z odpowiednimi zainteresowanymi stronami, w tym partnerami społecznymi zajmującymi się świadczeniem opieki długoterminowej, opiekunami nieformalnymi, osobami korzystającymi z opieki, osobami, które nie otrzymują opieki, ale powinny ją otrzymać, oraz władzami lokalnymi.</w:t>
            </w:r>
          </w:p>
        </w:tc>
      </w:tr>
      <w:tr w:rsidR="001052B5" w:rsidRPr="009D378C" w14:paraId="518AE363"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18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60F95C13"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A70G</w:t>
            </w:r>
          </w:p>
        </w:tc>
        <w:tc>
          <w:tcPr>
            <w:tcW w:w="1984" w:type="dxa"/>
            <w:tcBorders>
              <w:top w:val="nil"/>
              <w:left w:val="nil"/>
              <w:bottom w:val="single" w:sz="4" w:space="0" w:color="auto"/>
              <w:right w:val="single" w:sz="4" w:space="0" w:color="auto"/>
            </w:tcBorders>
            <w:shd w:val="clear" w:color="000000" w:fill="C6EFCE"/>
            <w:vAlign w:val="center"/>
            <w:hideMark/>
          </w:tcPr>
          <w:p w14:paraId="594E404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A4.6. Wzrost uczestnictwa w rynku pracy poprzez rozwój opieki długoterminowej</w:t>
            </w:r>
          </w:p>
        </w:tc>
        <w:tc>
          <w:tcPr>
            <w:tcW w:w="1137" w:type="dxa"/>
            <w:tcBorders>
              <w:top w:val="nil"/>
              <w:left w:val="nil"/>
              <w:bottom w:val="single" w:sz="4" w:space="0" w:color="auto"/>
              <w:right w:val="single" w:sz="4" w:space="0" w:color="auto"/>
            </w:tcBorders>
            <w:shd w:val="clear" w:color="000000" w:fill="C6EFCE"/>
            <w:vAlign w:val="center"/>
            <w:hideMark/>
          </w:tcPr>
          <w:p w14:paraId="2A05F6C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41D8451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odpowiednich aktów prawnych w celu wdrożenia priorytetów reform określonych w strategicznym przeglądzie opieki długoterminowej w Polsce (zgodnie z kamieniem milowym A69G)</w:t>
            </w:r>
          </w:p>
        </w:tc>
        <w:tc>
          <w:tcPr>
            <w:tcW w:w="1560" w:type="dxa"/>
            <w:tcBorders>
              <w:top w:val="nil"/>
              <w:left w:val="nil"/>
              <w:bottom w:val="single" w:sz="4" w:space="0" w:color="auto"/>
              <w:right w:val="single" w:sz="4" w:space="0" w:color="auto"/>
            </w:tcBorders>
            <w:shd w:val="clear" w:color="000000" w:fill="C6EFCE"/>
            <w:vAlign w:val="center"/>
            <w:hideMark/>
          </w:tcPr>
          <w:p w14:paraId="20DEA02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we właściwej ustawie wskazujący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17B2BF2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F5B08F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274AE0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143F28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56BC8F5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1AD3FC8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ustawy realizującej priorytety reform, określonych w strategicznym przeglądzie opieki długoterminowej w Polsce.</w:t>
            </w:r>
          </w:p>
        </w:tc>
      </w:tr>
      <w:tr w:rsidR="001052B5" w:rsidRPr="009D378C" w14:paraId="504F38D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9" w:type="dxa"/>
          <w:trHeight w:val="2100"/>
        </w:trPr>
        <w:tc>
          <w:tcPr>
            <w:tcW w:w="854" w:type="dxa"/>
            <w:gridSpan w:val="2"/>
            <w:tcBorders>
              <w:top w:val="nil"/>
              <w:left w:val="single" w:sz="4" w:space="0" w:color="auto"/>
              <w:bottom w:val="single" w:sz="4" w:space="0" w:color="auto"/>
              <w:right w:val="single" w:sz="4" w:space="0" w:color="auto"/>
            </w:tcBorders>
            <w:shd w:val="clear" w:color="000000" w:fill="C6EFCE"/>
            <w:noWrap/>
            <w:vAlign w:val="center"/>
            <w:hideMark/>
          </w:tcPr>
          <w:p w14:paraId="584236D6"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A71G</w:t>
            </w:r>
          </w:p>
        </w:tc>
        <w:tc>
          <w:tcPr>
            <w:tcW w:w="1984" w:type="dxa"/>
            <w:tcBorders>
              <w:top w:val="nil"/>
              <w:left w:val="nil"/>
              <w:bottom w:val="single" w:sz="4" w:space="0" w:color="auto"/>
              <w:right w:val="single" w:sz="4" w:space="0" w:color="auto"/>
            </w:tcBorders>
            <w:shd w:val="clear" w:color="000000" w:fill="C6EFCE"/>
            <w:vAlign w:val="center"/>
            <w:hideMark/>
          </w:tcPr>
          <w:p w14:paraId="7F3EA2D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A4.7 Ograniczenie segmentacji rynku pracy</w:t>
            </w:r>
          </w:p>
        </w:tc>
        <w:tc>
          <w:tcPr>
            <w:tcW w:w="1137" w:type="dxa"/>
            <w:tcBorders>
              <w:top w:val="nil"/>
              <w:left w:val="nil"/>
              <w:bottom w:val="single" w:sz="4" w:space="0" w:color="auto"/>
              <w:right w:val="single" w:sz="4" w:space="0" w:color="auto"/>
            </w:tcBorders>
            <w:shd w:val="clear" w:color="000000" w:fill="C6EFCE"/>
            <w:vAlign w:val="center"/>
            <w:hideMark/>
          </w:tcPr>
          <w:p w14:paraId="20F99F3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551" w:type="dxa"/>
            <w:tcBorders>
              <w:top w:val="nil"/>
              <w:left w:val="nil"/>
              <w:bottom w:val="single" w:sz="4" w:space="0" w:color="auto"/>
              <w:right w:val="single" w:sz="4" w:space="0" w:color="auto"/>
            </w:tcBorders>
            <w:shd w:val="clear" w:color="000000" w:fill="C6EFCE"/>
            <w:vAlign w:val="center"/>
            <w:hideMark/>
          </w:tcPr>
          <w:p w14:paraId="235DF91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Wejście w życie nowelizacji odpowiednich ustaw ograniczających segmentację rynku pracy i zwiększających ochronę socjalną wszystkich osób pracujących na podstawie umów cywilnoprawnych poprzez objęcie tych umów składkami na ubezpieczenia społeczne </w:t>
            </w:r>
          </w:p>
        </w:tc>
        <w:tc>
          <w:tcPr>
            <w:tcW w:w="1560" w:type="dxa"/>
            <w:tcBorders>
              <w:top w:val="nil"/>
              <w:left w:val="nil"/>
              <w:bottom w:val="single" w:sz="4" w:space="0" w:color="auto"/>
              <w:right w:val="single" w:sz="4" w:space="0" w:color="auto"/>
            </w:tcBorders>
            <w:shd w:val="clear" w:color="000000" w:fill="C6EFCE"/>
            <w:vAlign w:val="center"/>
            <w:hideMark/>
          </w:tcPr>
          <w:p w14:paraId="6729C7B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we właściwej ustawie wskazujący wejście w życie</w:t>
            </w:r>
          </w:p>
        </w:tc>
        <w:tc>
          <w:tcPr>
            <w:tcW w:w="992" w:type="dxa"/>
            <w:tcBorders>
              <w:top w:val="nil"/>
              <w:left w:val="nil"/>
              <w:bottom w:val="single" w:sz="4" w:space="0" w:color="auto"/>
              <w:right w:val="single" w:sz="4" w:space="0" w:color="auto"/>
            </w:tcBorders>
            <w:shd w:val="clear" w:color="000000" w:fill="C6EFCE"/>
            <w:vAlign w:val="center"/>
            <w:hideMark/>
          </w:tcPr>
          <w:p w14:paraId="48DF819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17B23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C12533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560F57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Q1</w:t>
            </w:r>
          </w:p>
        </w:tc>
        <w:tc>
          <w:tcPr>
            <w:tcW w:w="709" w:type="dxa"/>
            <w:tcBorders>
              <w:top w:val="nil"/>
              <w:left w:val="nil"/>
              <w:bottom w:val="single" w:sz="4" w:space="0" w:color="auto"/>
              <w:right w:val="single" w:sz="4" w:space="0" w:color="auto"/>
            </w:tcBorders>
            <w:shd w:val="clear" w:color="000000" w:fill="C6EFCE"/>
            <w:vAlign w:val="center"/>
            <w:hideMark/>
          </w:tcPr>
          <w:p w14:paraId="25A1452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36E6D39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nowelizacji ustawy o systemie ubezpieczeń społecznych, która: (i) zapewni objęcie składkami na ubezpieczenie społeczne wszystkich umów cywilnoprawnych (emerytalnych, rentowych, wypadkowych i chorobowych, chorobowych), niezależnie od uzyskane dochody, z wyjątkiem umów ze studentami poniżej 26 roku życia; (ii) znieść zasadę opłacania składek na ubezpieczenie społeczne od płacy minimalnej z tytułu umów cywilnoprawnych.</w:t>
            </w:r>
          </w:p>
        </w:tc>
      </w:tr>
    </w:tbl>
    <w:p w14:paraId="0A438D49" w14:textId="77777777" w:rsidR="001052B5" w:rsidRPr="00E06486" w:rsidRDefault="001052B5" w:rsidP="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9E398E2" w14:textId="77777777" w:rsidR="00DE66EA" w:rsidRPr="00AF7348" w:rsidRDefault="00DE66EA">
      <w:pPr>
        <w:rPr>
          <w:rFonts w:ascii="Times New Roman" w:hAnsi="Times New Roman" w:cs="Times New Roman"/>
          <w:lang w:val="pl-PL"/>
        </w:rPr>
      </w:pPr>
    </w:p>
    <w:p w14:paraId="2CDEDEDE" w14:textId="77777777" w:rsidR="002216B7" w:rsidRDefault="002216B7" w:rsidP="005F48F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p>
    <w:p w14:paraId="16287F21" w14:textId="3B39A0E9" w:rsidR="001052B5" w:rsidRPr="00AF7348" w:rsidRDefault="001052B5" w:rsidP="005F48F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sectPr w:rsidR="001052B5" w:rsidRPr="00AF7348">
          <w:headerReference w:type="even" r:id="rId21"/>
          <w:headerReference w:type="default" r:id="rId22"/>
          <w:footerReference w:type="even" r:id="rId23"/>
          <w:footerReference w:type="default" r:id="rId24"/>
          <w:headerReference w:type="first" r:id="rId25"/>
          <w:footerReference w:type="first" r:id="rId26"/>
          <w:pgSz w:w="16839" w:h="11907" w:orient="landscape"/>
          <w:pgMar w:top="720" w:right="720" w:bottom="720" w:left="720" w:header="709" w:footer="709" w:gutter="0"/>
          <w:cols w:space="720"/>
        </w:sectPr>
      </w:pPr>
    </w:p>
    <w:p w14:paraId="371556A5" w14:textId="6ABE19A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hAnsi="Times New Roman" w:cs="Times New Roman"/>
          <w:b/>
          <w:bCs/>
          <w:color w:val="000000" w:themeColor="text1"/>
          <w:sz w:val="24"/>
          <w:szCs w:val="24"/>
          <w:lang w:val="pl-PL"/>
        </w:rPr>
        <w:lastRenderedPageBreak/>
        <w:t xml:space="preserve">A.3. </w:t>
      </w:r>
      <w:r w:rsidRPr="00AF7348">
        <w:rPr>
          <w:rFonts w:ascii="Times New Roman" w:hAnsi="Times New Roman" w:cs="Times New Roman"/>
          <w:color w:val="000000" w:themeColor="text1"/>
          <w:sz w:val="24"/>
          <w:szCs w:val="24"/>
          <w:lang w:val="pl-PL"/>
        </w:rPr>
        <w:tab/>
      </w:r>
      <w:r w:rsidRPr="00AF7348">
        <w:rPr>
          <w:rFonts w:ascii="Times New Roman" w:hAnsi="Times New Roman" w:cs="Times New Roman"/>
          <w:b/>
          <w:bCs/>
          <w:color w:val="000000" w:themeColor="text1"/>
          <w:sz w:val="24"/>
          <w:szCs w:val="24"/>
          <w:lang w:val="pl-PL"/>
        </w:rPr>
        <w:t xml:space="preserve">Opis reform i inwestycji </w:t>
      </w:r>
      <w:r w:rsidR="00C12DF2">
        <w:rPr>
          <w:rFonts w:ascii="Times New Roman" w:hAnsi="Times New Roman" w:cs="Times New Roman"/>
          <w:b/>
          <w:bCs/>
          <w:color w:val="000000" w:themeColor="text1"/>
          <w:sz w:val="24"/>
          <w:szCs w:val="24"/>
          <w:lang w:val="pl-PL"/>
        </w:rPr>
        <w:t>w części pożyczkowej</w:t>
      </w:r>
      <w:r w:rsidRPr="00AF7348">
        <w:rPr>
          <w:rFonts w:ascii="Times New Roman" w:hAnsi="Times New Roman" w:cs="Times New Roman"/>
          <w:b/>
          <w:bCs/>
          <w:color w:val="000000" w:themeColor="text1"/>
          <w:sz w:val="24"/>
          <w:szCs w:val="24"/>
          <w:lang w:val="pl-PL"/>
        </w:rPr>
        <w:t xml:space="preserve"> </w:t>
      </w:r>
    </w:p>
    <w:p w14:paraId="5BE93A62" w14:textId="77777777" w:rsidR="00FF07E1" w:rsidRPr="00AF7348" w:rsidRDefault="00FF07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color w:val="000000"/>
          <w:sz w:val="24"/>
          <w:szCs w:val="24"/>
          <w:lang w:val="pl-PL"/>
        </w:rPr>
      </w:pPr>
    </w:p>
    <w:p w14:paraId="2407045E" w14:textId="4C22B60E" w:rsidR="004A3621" w:rsidRPr="00AF7348" w:rsidRDefault="004A3621" w:rsidP="004A3621">
      <w:pPr>
        <w:pStyle w:val="Normal0"/>
        <w:spacing w:before="120" w:after="120" w:line="240" w:lineRule="auto"/>
        <w:jc w:val="both"/>
        <w:rPr>
          <w:rFonts w:ascii="Times New Roman" w:eastAsia="Times New Roman" w:hAnsi="Times New Roman" w:cs="Times New Roman"/>
          <w:b/>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A.2.5 Wzmocnienie potencjału sektora kultury i </w:t>
      </w:r>
      <w:r w:rsidR="00C12DF2">
        <w:rPr>
          <w:rFonts w:ascii="Times New Roman" w:eastAsia="Times New Roman" w:hAnsi="Times New Roman" w:cs="Times New Roman"/>
          <w:b/>
          <w:bCs/>
          <w:color w:val="000000" w:themeColor="text1"/>
          <w:sz w:val="24"/>
          <w:szCs w:val="24"/>
          <w:u w:val="single"/>
          <w:lang w:val="pl-PL"/>
        </w:rPr>
        <w:t xml:space="preserve"> przemysłów kreatywnych </w:t>
      </w:r>
      <w:r w:rsidRPr="00AF7348">
        <w:rPr>
          <w:rFonts w:ascii="Times New Roman" w:eastAsia="Times New Roman" w:hAnsi="Times New Roman" w:cs="Times New Roman"/>
          <w:b/>
          <w:bCs/>
          <w:color w:val="000000" w:themeColor="text1"/>
          <w:sz w:val="24"/>
          <w:szCs w:val="24"/>
          <w:u w:val="single"/>
          <w:lang w:val="pl-PL"/>
        </w:rPr>
        <w:t xml:space="preserve"> na </w:t>
      </w:r>
      <w:r w:rsidR="00EB6397">
        <w:rPr>
          <w:rFonts w:ascii="Times New Roman" w:eastAsia="Times New Roman" w:hAnsi="Times New Roman" w:cs="Times New Roman"/>
          <w:b/>
          <w:bCs/>
          <w:color w:val="000000" w:themeColor="text1"/>
          <w:sz w:val="24"/>
          <w:szCs w:val="24"/>
          <w:u w:val="single"/>
          <w:lang w:val="pl-PL"/>
        </w:rPr>
        <w:t>rzecz</w:t>
      </w:r>
      <w:r w:rsidR="00EB6397" w:rsidRPr="00AF7348">
        <w:rPr>
          <w:rFonts w:ascii="Times New Roman" w:eastAsia="Times New Roman" w:hAnsi="Times New Roman" w:cs="Times New Roman"/>
          <w:b/>
          <w:bCs/>
          <w:color w:val="000000" w:themeColor="text1"/>
          <w:sz w:val="24"/>
          <w:szCs w:val="24"/>
          <w:u w:val="single"/>
          <w:lang w:val="pl-PL"/>
        </w:rPr>
        <w:t xml:space="preserve"> </w:t>
      </w:r>
      <w:r w:rsidRPr="00AF7348">
        <w:rPr>
          <w:rFonts w:ascii="Times New Roman" w:eastAsia="Times New Roman" w:hAnsi="Times New Roman" w:cs="Times New Roman"/>
          <w:b/>
          <w:bCs/>
          <w:color w:val="000000" w:themeColor="text1"/>
          <w:sz w:val="24"/>
          <w:szCs w:val="24"/>
          <w:u w:val="single"/>
          <w:lang w:val="pl-PL"/>
        </w:rPr>
        <w:t>rozwoju gospodarczego</w:t>
      </w:r>
    </w:p>
    <w:p w14:paraId="2D4B7562" w14:textId="23273E28" w:rsidR="004A3621" w:rsidRPr="00AF7348" w:rsidRDefault="3F6FAA7E"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celem reformy jest opracowanie i stworzenie ram wsparcia sektora kultury i </w:t>
      </w:r>
      <w:r w:rsidR="00C12DF2">
        <w:rPr>
          <w:rFonts w:ascii="Times New Roman" w:eastAsia="Times New Roman" w:hAnsi="Times New Roman" w:cs="Times New Roman"/>
          <w:color w:val="000000" w:themeColor="text1"/>
          <w:sz w:val="24"/>
          <w:szCs w:val="24"/>
          <w:lang w:val="pl-PL"/>
        </w:rPr>
        <w:t>przemysłów kreatywnych</w:t>
      </w:r>
      <w:r w:rsidRPr="00AF7348">
        <w:rPr>
          <w:rFonts w:ascii="Times New Roman" w:eastAsia="Times New Roman" w:hAnsi="Times New Roman" w:cs="Times New Roman"/>
          <w:color w:val="000000" w:themeColor="text1"/>
          <w:sz w:val="24"/>
          <w:szCs w:val="24"/>
          <w:lang w:val="pl-PL"/>
        </w:rPr>
        <w:t xml:space="preserve"> (</w:t>
      </w:r>
      <w:proofErr w:type="spellStart"/>
      <w:r w:rsidR="00617B7A" w:rsidRPr="00617B7A">
        <w:rPr>
          <w:rFonts w:ascii="Times New Roman" w:eastAsia="Times New Roman" w:hAnsi="Times New Roman" w:cs="Times New Roman"/>
          <w:i/>
          <w:iCs/>
          <w:color w:val="000000" w:themeColor="text1"/>
          <w:sz w:val="24"/>
          <w:szCs w:val="24"/>
          <w:lang w:val="pl-PL"/>
        </w:rPr>
        <w:t>cultural</w:t>
      </w:r>
      <w:proofErr w:type="spellEnd"/>
      <w:r w:rsidR="00617B7A" w:rsidRPr="00617B7A">
        <w:rPr>
          <w:rFonts w:ascii="Times New Roman" w:eastAsia="Times New Roman" w:hAnsi="Times New Roman" w:cs="Times New Roman"/>
          <w:i/>
          <w:iCs/>
          <w:color w:val="000000" w:themeColor="text1"/>
          <w:sz w:val="24"/>
          <w:szCs w:val="24"/>
          <w:lang w:val="pl-PL"/>
        </w:rPr>
        <w:t xml:space="preserve"> and </w:t>
      </w:r>
      <w:proofErr w:type="spellStart"/>
      <w:r w:rsidR="00617B7A" w:rsidRPr="00617B7A">
        <w:rPr>
          <w:rFonts w:ascii="Times New Roman" w:eastAsia="Times New Roman" w:hAnsi="Times New Roman" w:cs="Times New Roman"/>
          <w:i/>
          <w:iCs/>
          <w:color w:val="000000" w:themeColor="text1"/>
          <w:sz w:val="24"/>
          <w:szCs w:val="24"/>
          <w:lang w:val="pl-PL"/>
        </w:rPr>
        <w:t>creative</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sector</w:t>
      </w:r>
      <w:proofErr w:type="spellEnd"/>
      <w:r w:rsidRPr="00AF7348">
        <w:rPr>
          <w:rFonts w:ascii="Times New Roman" w:eastAsia="Times New Roman" w:hAnsi="Times New Roman" w:cs="Times New Roman"/>
          <w:i/>
          <w:iCs/>
          <w:color w:val="000000" w:themeColor="text1"/>
          <w:sz w:val="24"/>
          <w:szCs w:val="24"/>
          <w:lang w:val="pl-PL"/>
        </w:rPr>
        <w:t>, dalej CCS</w:t>
      </w:r>
      <w:r w:rsidRPr="00AF7348">
        <w:rPr>
          <w:rFonts w:ascii="Times New Roman" w:eastAsia="Times New Roman" w:hAnsi="Times New Roman" w:cs="Times New Roman"/>
          <w:color w:val="000000" w:themeColor="text1"/>
          <w:sz w:val="24"/>
          <w:szCs w:val="24"/>
          <w:lang w:val="pl-PL"/>
        </w:rPr>
        <w:t xml:space="preserve">), które doznały znacznych strat w następstwie pandemii COVID-19. Reforma polega na przyjęciu dokumentu programowego, w którym poruszone zostaną następujące kwestie: (i) określenie kluczowych średnio- i długoterminowych wyzwań w </w:t>
      </w:r>
      <w:r w:rsidR="00617B7A">
        <w:rPr>
          <w:rFonts w:ascii="Times New Roman" w:eastAsia="Times New Roman" w:hAnsi="Times New Roman" w:cs="Times New Roman"/>
          <w:color w:val="000000" w:themeColor="text1"/>
          <w:sz w:val="24"/>
          <w:szCs w:val="24"/>
          <w:lang w:val="pl-PL"/>
        </w:rPr>
        <w:t>CCS</w:t>
      </w:r>
      <w:r w:rsidRPr="00AF7348">
        <w:rPr>
          <w:rFonts w:ascii="Times New Roman" w:eastAsia="Times New Roman" w:hAnsi="Times New Roman" w:cs="Times New Roman"/>
          <w:color w:val="000000" w:themeColor="text1"/>
          <w:sz w:val="24"/>
          <w:szCs w:val="24"/>
          <w:lang w:val="pl-PL"/>
        </w:rPr>
        <w:t xml:space="preserve">; (ii) zapewnienie zgodności z zasadami horyzontalnymi UE, w tym z równouprawnieniem płci i niedyskryminacją; (iii) określenie potencjału ekologicznych i cyfrowych narzędzi i platform służących sprostaniu tym wyzwaniom; (iv) opracowanie koncepcji współpracy </w:t>
      </w:r>
      <w:r w:rsidR="00220646">
        <w:rPr>
          <w:rFonts w:ascii="Times New Roman" w:eastAsia="Times New Roman" w:hAnsi="Times New Roman" w:cs="Times New Roman"/>
          <w:color w:val="000000" w:themeColor="text1"/>
          <w:sz w:val="24"/>
          <w:szCs w:val="24"/>
          <w:lang w:val="pl-PL"/>
        </w:rPr>
        <w:t xml:space="preserve">oraz </w:t>
      </w:r>
      <w:r w:rsidRPr="00AF7348">
        <w:rPr>
          <w:rFonts w:ascii="Times New Roman" w:eastAsia="Times New Roman" w:hAnsi="Times New Roman" w:cs="Times New Roman"/>
          <w:color w:val="000000" w:themeColor="text1"/>
          <w:sz w:val="24"/>
          <w:szCs w:val="24"/>
          <w:lang w:val="pl-PL"/>
        </w:rPr>
        <w:t xml:space="preserve"> transferu wiedzy i umiejętności w ramach CCS; (v) opracowanie koncepcji współpracy </w:t>
      </w:r>
      <w:r w:rsidR="00220646">
        <w:rPr>
          <w:rFonts w:ascii="Times New Roman" w:eastAsia="Times New Roman" w:hAnsi="Times New Roman" w:cs="Times New Roman"/>
          <w:color w:val="000000" w:themeColor="text1"/>
          <w:sz w:val="24"/>
          <w:szCs w:val="24"/>
          <w:lang w:val="pl-PL"/>
        </w:rPr>
        <w:t xml:space="preserve">oraz </w:t>
      </w:r>
      <w:r w:rsidRPr="00AF7348">
        <w:rPr>
          <w:rFonts w:ascii="Times New Roman" w:eastAsia="Times New Roman" w:hAnsi="Times New Roman" w:cs="Times New Roman"/>
          <w:color w:val="000000" w:themeColor="text1"/>
          <w:sz w:val="24"/>
          <w:szCs w:val="24"/>
          <w:lang w:val="pl-PL"/>
        </w:rPr>
        <w:t xml:space="preserve"> transferu wiedzy i umiejętności między CCS </w:t>
      </w:r>
      <w:r w:rsidR="00617B7A">
        <w:rPr>
          <w:rFonts w:ascii="Times New Roman" w:eastAsia="Times New Roman" w:hAnsi="Times New Roman" w:cs="Times New Roman"/>
          <w:color w:val="000000" w:themeColor="text1"/>
          <w:sz w:val="24"/>
          <w:szCs w:val="24"/>
          <w:lang w:val="pl-PL"/>
        </w:rPr>
        <w:t>oraz z</w:t>
      </w:r>
      <w:r w:rsidR="00617B7A"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sektorami nauki, edukacji, technologii i biznesu, ze szczególnym uwzględnieniem zasad ogólnych UE, w tym równości płci i niedyskryminacji; oraz (vi) określenie preferowanych wariantów zapewnienia publicznego wsparcia dla działań prowadzonych w ramach CCS.</w:t>
      </w:r>
    </w:p>
    <w:p w14:paraId="326A145B" w14:textId="77777777" w:rsidR="004A3621" w:rsidRPr="00AF7348" w:rsidRDefault="004A3621" w:rsidP="004A3621">
      <w:p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grudnia 2022 roku.</w:t>
      </w:r>
    </w:p>
    <w:p w14:paraId="384BA73E" w14:textId="77777777" w:rsidR="004A3621" w:rsidRPr="00AF7348" w:rsidRDefault="004A362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7F608D7F" w14:textId="49B6EC98" w:rsidR="004A3621" w:rsidRPr="00AF7348" w:rsidRDefault="3F6FAA7E" w:rsidP="16BD6518">
      <w:pPr>
        <w:pStyle w:val="Normal0"/>
        <w:spacing w:before="120" w:after="120" w:line="240" w:lineRule="auto"/>
        <w:jc w:val="both"/>
        <w:rPr>
          <w:rFonts w:ascii="Times New Roman" w:eastAsia="Times New Roman" w:hAnsi="Times New Roman" w:cs="Times New Roman"/>
          <w:b/>
          <w:bCs/>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A2.5.1 Program wsparcia działalności podmiotów sektora kultury i </w:t>
      </w:r>
      <w:r w:rsidR="00220646">
        <w:rPr>
          <w:rFonts w:ascii="Times New Roman" w:eastAsia="Times New Roman" w:hAnsi="Times New Roman" w:cs="Times New Roman"/>
          <w:b/>
          <w:bCs/>
          <w:color w:val="000000" w:themeColor="text1"/>
          <w:sz w:val="24"/>
          <w:szCs w:val="24"/>
          <w:u w:val="single"/>
          <w:lang w:val="pl-PL"/>
        </w:rPr>
        <w:t xml:space="preserve"> przemysłów kreatywnych</w:t>
      </w:r>
      <w:r w:rsidRPr="00AF7348">
        <w:rPr>
          <w:rFonts w:ascii="Times New Roman" w:eastAsia="Times New Roman" w:hAnsi="Times New Roman" w:cs="Times New Roman"/>
          <w:b/>
          <w:bCs/>
          <w:color w:val="000000" w:themeColor="text1"/>
          <w:sz w:val="24"/>
          <w:szCs w:val="24"/>
          <w:u w:val="single"/>
          <w:lang w:val="pl-PL"/>
        </w:rPr>
        <w:t xml:space="preserve"> </w:t>
      </w:r>
      <w:r w:rsidR="00D02D09">
        <w:rPr>
          <w:rFonts w:ascii="Times New Roman" w:eastAsia="Times New Roman" w:hAnsi="Times New Roman" w:cs="Times New Roman"/>
          <w:b/>
          <w:bCs/>
          <w:color w:val="000000" w:themeColor="text1"/>
          <w:sz w:val="24"/>
          <w:szCs w:val="24"/>
          <w:u w:val="single"/>
          <w:lang w:val="pl-PL"/>
        </w:rPr>
        <w:t xml:space="preserve">na rzecz </w:t>
      </w:r>
      <w:r w:rsidRPr="00AF7348">
        <w:rPr>
          <w:rFonts w:ascii="Times New Roman" w:eastAsia="Times New Roman" w:hAnsi="Times New Roman" w:cs="Times New Roman"/>
          <w:b/>
          <w:bCs/>
          <w:color w:val="000000" w:themeColor="text1"/>
          <w:sz w:val="24"/>
          <w:szCs w:val="24"/>
          <w:u w:val="single"/>
          <w:lang w:val="pl-PL"/>
        </w:rPr>
        <w:t>stymul</w:t>
      </w:r>
      <w:r w:rsidR="00D02D09">
        <w:rPr>
          <w:rFonts w:ascii="Times New Roman" w:eastAsia="Times New Roman" w:hAnsi="Times New Roman" w:cs="Times New Roman"/>
          <w:b/>
          <w:bCs/>
          <w:color w:val="000000" w:themeColor="text1"/>
          <w:sz w:val="24"/>
          <w:szCs w:val="24"/>
          <w:u w:val="single"/>
          <w:lang w:val="pl-PL"/>
        </w:rPr>
        <w:t xml:space="preserve">owania </w:t>
      </w:r>
      <w:r w:rsidRPr="00AF7348">
        <w:rPr>
          <w:rFonts w:ascii="Times New Roman" w:eastAsia="Times New Roman" w:hAnsi="Times New Roman" w:cs="Times New Roman"/>
          <w:b/>
          <w:bCs/>
          <w:color w:val="000000" w:themeColor="text1"/>
          <w:sz w:val="24"/>
          <w:szCs w:val="24"/>
          <w:u w:val="single"/>
          <w:lang w:val="pl-PL"/>
        </w:rPr>
        <w:t xml:space="preserve">ich </w:t>
      </w:r>
      <w:proofErr w:type="spellStart"/>
      <w:r w:rsidRPr="00AF7348">
        <w:rPr>
          <w:rFonts w:ascii="Times New Roman" w:eastAsia="Times New Roman" w:hAnsi="Times New Roman" w:cs="Times New Roman"/>
          <w:b/>
          <w:bCs/>
          <w:color w:val="000000" w:themeColor="text1"/>
          <w:sz w:val="24"/>
          <w:szCs w:val="24"/>
          <w:u w:val="single"/>
          <w:lang w:val="pl-PL"/>
        </w:rPr>
        <w:t>rozwój</w:t>
      </w:r>
      <w:r w:rsidR="00A3392A">
        <w:rPr>
          <w:rFonts w:ascii="Times New Roman" w:eastAsia="Times New Roman" w:hAnsi="Times New Roman" w:cs="Times New Roman"/>
          <w:b/>
          <w:bCs/>
          <w:color w:val="000000" w:themeColor="text1"/>
          <w:sz w:val="24"/>
          <w:szCs w:val="24"/>
          <w:u w:val="single"/>
          <w:lang w:val="pl-PL"/>
        </w:rPr>
        <w:t>u</w:t>
      </w:r>
      <w:proofErr w:type="spellEnd"/>
    </w:p>
    <w:p w14:paraId="15E6868C" w14:textId="6402A050" w:rsidR="004A3621" w:rsidRPr="00AF7348" w:rsidRDefault="00220646"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Pr>
          <w:rFonts w:ascii="Times New Roman" w:eastAsia="Times New Roman" w:hAnsi="Times New Roman" w:cs="Times New Roman"/>
          <w:color w:val="000000" w:themeColor="text1"/>
          <w:sz w:val="24"/>
          <w:szCs w:val="24"/>
          <w:lang w:val="pl-PL"/>
        </w:rPr>
        <w:t xml:space="preserve">Celem </w:t>
      </w:r>
      <w:r w:rsidRPr="00AF7348">
        <w:rPr>
          <w:rFonts w:ascii="Times New Roman" w:eastAsia="Times New Roman" w:hAnsi="Times New Roman" w:cs="Times New Roman"/>
          <w:color w:val="000000" w:themeColor="text1"/>
          <w:sz w:val="24"/>
          <w:szCs w:val="24"/>
          <w:lang w:val="pl-PL"/>
        </w:rPr>
        <w:t xml:space="preserve"> </w:t>
      </w:r>
      <w:r w:rsidR="004A3621" w:rsidRPr="00AF7348">
        <w:rPr>
          <w:rFonts w:ascii="Times New Roman" w:eastAsia="Times New Roman" w:hAnsi="Times New Roman" w:cs="Times New Roman"/>
          <w:color w:val="000000" w:themeColor="text1"/>
          <w:sz w:val="24"/>
          <w:szCs w:val="24"/>
          <w:lang w:val="pl-PL"/>
        </w:rPr>
        <w:t xml:space="preserve">tej inwestycji jest zapobieganie długotrwałym negatywnym skutkom wywołanym przez pandemię COVID-19 oraz wsparcie zielonej i cyfrowej transformacji w sektorze kultury i sektorze </w:t>
      </w:r>
      <w:r w:rsidR="00A3392A">
        <w:rPr>
          <w:rFonts w:ascii="Times New Roman" w:eastAsia="Times New Roman" w:hAnsi="Times New Roman" w:cs="Times New Roman"/>
          <w:color w:val="000000" w:themeColor="text1"/>
          <w:sz w:val="24"/>
          <w:szCs w:val="24"/>
          <w:lang w:val="pl-PL"/>
        </w:rPr>
        <w:t>przemysłów kreatywnych</w:t>
      </w:r>
      <w:r w:rsidR="00A3392A" w:rsidRPr="00AF7348">
        <w:rPr>
          <w:rFonts w:ascii="Times New Roman" w:eastAsia="Times New Roman" w:hAnsi="Times New Roman" w:cs="Times New Roman"/>
          <w:color w:val="000000" w:themeColor="text1"/>
          <w:sz w:val="24"/>
          <w:szCs w:val="24"/>
          <w:lang w:val="pl-PL"/>
        </w:rPr>
        <w:t xml:space="preserve"> (</w:t>
      </w:r>
      <w:proofErr w:type="spellStart"/>
      <w:r w:rsidR="00A3392A" w:rsidRPr="00617B7A">
        <w:rPr>
          <w:rFonts w:ascii="Times New Roman" w:eastAsia="Times New Roman" w:hAnsi="Times New Roman" w:cs="Times New Roman"/>
          <w:i/>
          <w:iCs/>
          <w:color w:val="000000" w:themeColor="text1"/>
          <w:sz w:val="24"/>
          <w:szCs w:val="24"/>
          <w:lang w:val="pl-PL"/>
        </w:rPr>
        <w:t>cultural</w:t>
      </w:r>
      <w:proofErr w:type="spellEnd"/>
      <w:r w:rsidR="00A3392A" w:rsidRPr="00617B7A">
        <w:rPr>
          <w:rFonts w:ascii="Times New Roman" w:eastAsia="Times New Roman" w:hAnsi="Times New Roman" w:cs="Times New Roman"/>
          <w:i/>
          <w:iCs/>
          <w:color w:val="000000" w:themeColor="text1"/>
          <w:sz w:val="24"/>
          <w:szCs w:val="24"/>
          <w:lang w:val="pl-PL"/>
        </w:rPr>
        <w:t xml:space="preserve"> and </w:t>
      </w:r>
      <w:proofErr w:type="spellStart"/>
      <w:r w:rsidR="00A3392A" w:rsidRPr="00617B7A">
        <w:rPr>
          <w:rFonts w:ascii="Times New Roman" w:eastAsia="Times New Roman" w:hAnsi="Times New Roman" w:cs="Times New Roman"/>
          <w:i/>
          <w:iCs/>
          <w:color w:val="000000" w:themeColor="text1"/>
          <w:sz w:val="24"/>
          <w:szCs w:val="24"/>
          <w:lang w:val="pl-PL"/>
        </w:rPr>
        <w:t>creative</w:t>
      </w:r>
      <w:proofErr w:type="spellEnd"/>
      <w:r w:rsidR="00A3392A" w:rsidRPr="00AF7348">
        <w:rPr>
          <w:rFonts w:ascii="Times New Roman" w:eastAsia="Times New Roman" w:hAnsi="Times New Roman" w:cs="Times New Roman"/>
          <w:i/>
          <w:iCs/>
          <w:color w:val="000000" w:themeColor="text1"/>
          <w:sz w:val="24"/>
          <w:szCs w:val="24"/>
          <w:lang w:val="pl-PL"/>
        </w:rPr>
        <w:t xml:space="preserve"> </w:t>
      </w:r>
      <w:proofErr w:type="spellStart"/>
      <w:r w:rsidR="00A3392A" w:rsidRPr="00AF7348">
        <w:rPr>
          <w:rFonts w:ascii="Times New Roman" w:eastAsia="Times New Roman" w:hAnsi="Times New Roman" w:cs="Times New Roman"/>
          <w:i/>
          <w:iCs/>
          <w:color w:val="000000" w:themeColor="text1"/>
          <w:sz w:val="24"/>
          <w:szCs w:val="24"/>
          <w:lang w:val="pl-PL"/>
        </w:rPr>
        <w:t>sector</w:t>
      </w:r>
      <w:proofErr w:type="spellEnd"/>
      <w:r w:rsidR="00A3392A" w:rsidRPr="00AF7348">
        <w:rPr>
          <w:rFonts w:ascii="Times New Roman" w:eastAsia="Times New Roman" w:hAnsi="Times New Roman" w:cs="Times New Roman"/>
          <w:i/>
          <w:iCs/>
          <w:color w:val="000000" w:themeColor="text1"/>
          <w:sz w:val="24"/>
          <w:szCs w:val="24"/>
          <w:lang w:val="pl-PL"/>
        </w:rPr>
        <w:t>, dalej CCS</w:t>
      </w:r>
      <w:r w:rsidR="00A3392A" w:rsidRPr="00AF7348">
        <w:rPr>
          <w:rFonts w:ascii="Times New Roman" w:eastAsia="Times New Roman" w:hAnsi="Times New Roman" w:cs="Times New Roman"/>
          <w:color w:val="000000" w:themeColor="text1"/>
          <w:sz w:val="24"/>
          <w:szCs w:val="24"/>
          <w:lang w:val="pl-PL"/>
        </w:rPr>
        <w:t>)</w:t>
      </w:r>
      <w:r w:rsidR="004A3621" w:rsidRPr="00AF7348">
        <w:rPr>
          <w:rFonts w:ascii="Times New Roman" w:eastAsia="Times New Roman" w:hAnsi="Times New Roman" w:cs="Times New Roman"/>
          <w:color w:val="000000" w:themeColor="text1"/>
          <w:sz w:val="24"/>
          <w:szCs w:val="24"/>
          <w:lang w:val="pl-PL"/>
        </w:rPr>
        <w:t xml:space="preserve">. W tym celu inwestycja zapewni wsparcie finansowe oraz pomoc techniczną dla artystów i MŚP </w:t>
      </w:r>
      <w:r w:rsidR="00A3392A">
        <w:rPr>
          <w:rFonts w:ascii="Times New Roman" w:eastAsia="Times New Roman" w:hAnsi="Times New Roman" w:cs="Times New Roman"/>
          <w:color w:val="000000" w:themeColor="text1"/>
          <w:sz w:val="24"/>
          <w:szCs w:val="24"/>
          <w:lang w:val="pl-PL"/>
        </w:rPr>
        <w:t>CCS</w:t>
      </w:r>
      <w:r w:rsidR="004A3621" w:rsidRPr="00AF7348">
        <w:rPr>
          <w:rFonts w:ascii="Times New Roman" w:eastAsia="Times New Roman" w:hAnsi="Times New Roman" w:cs="Times New Roman"/>
          <w:color w:val="000000" w:themeColor="text1"/>
          <w:sz w:val="24"/>
          <w:szCs w:val="24"/>
          <w:lang w:val="pl-PL"/>
        </w:rPr>
        <w:t>.</w:t>
      </w:r>
    </w:p>
    <w:p w14:paraId="19408C34" w14:textId="77BABC7C" w:rsidR="004A3621" w:rsidRPr="00AF7348" w:rsidRDefault="3CBACE0B"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obejmie dwa główne elementy. Po pierwsze, w ramach inwestycji zostanie stworzony program dotacji dla instytucji kulturalnych, organizacji pozarządowych, MŚP i mikroprzedsiębiorstw z </w:t>
      </w:r>
      <w:r w:rsidR="00616938">
        <w:rPr>
          <w:rFonts w:ascii="Times New Roman" w:eastAsia="Times New Roman" w:hAnsi="Times New Roman" w:cs="Times New Roman"/>
          <w:color w:val="000000" w:themeColor="text1"/>
          <w:sz w:val="24"/>
          <w:szCs w:val="24"/>
          <w:lang w:val="pl-PL"/>
        </w:rPr>
        <w:t>CCS</w:t>
      </w:r>
      <w:r w:rsidRPr="00AF7348">
        <w:rPr>
          <w:rFonts w:ascii="Times New Roman" w:eastAsia="Times New Roman" w:hAnsi="Times New Roman" w:cs="Times New Roman"/>
          <w:color w:val="000000" w:themeColor="text1"/>
          <w:sz w:val="24"/>
          <w:szCs w:val="24"/>
          <w:lang w:val="pl-PL"/>
        </w:rPr>
        <w:t xml:space="preserve"> wspierający realizację projektów związanych z: (i) podnoszeniem kompetencji cyfrowych i ekologicznych w CCS; (ii) rozwijaniem działań kulturalnych/kreatywnych, takich jak koncerty, spektakle i wystawy, w tym w formatach wirtualnych; (iii) tworzeniem programów edukacyjnych i warsztatów dotyczących architektury, </w:t>
      </w:r>
      <w:r w:rsidR="00220646">
        <w:rPr>
          <w:rFonts w:ascii="Times New Roman" w:eastAsia="Times New Roman" w:hAnsi="Times New Roman" w:cs="Times New Roman"/>
          <w:color w:val="000000" w:themeColor="text1"/>
          <w:sz w:val="24"/>
          <w:szCs w:val="24"/>
          <w:lang w:val="pl-PL"/>
        </w:rPr>
        <w:t>projektowania</w:t>
      </w:r>
      <w:r w:rsidR="002206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i sztuk kreatywnych, aby pomóc artystom i projektantom w rozwijaniu ich umiejętności ekologicznych i cyfrowych; (iv) tworzeniem warsztatów wspierających współpracę oraz wymianę wiedzy i umiejętności pomiędzy CCS </w:t>
      </w:r>
      <w:r w:rsidR="00616938">
        <w:rPr>
          <w:rFonts w:ascii="Times New Roman" w:eastAsia="Times New Roman" w:hAnsi="Times New Roman" w:cs="Times New Roman"/>
          <w:color w:val="000000" w:themeColor="text1"/>
          <w:sz w:val="24"/>
          <w:szCs w:val="24"/>
          <w:lang w:val="pl-PL"/>
        </w:rPr>
        <w:t>oraz z</w:t>
      </w:r>
      <w:r w:rsidR="00616938"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sektorami nauki, technologii i biznesu; (v) opracowywaniem w ramach CCS nowych produktów i usług wykorzystujących przełomowe technologie, takie jak sztuczna inteligencja, </w:t>
      </w:r>
      <w:proofErr w:type="spellStart"/>
      <w:r w:rsidRPr="00AF7348">
        <w:rPr>
          <w:rFonts w:ascii="Times New Roman" w:eastAsia="Times New Roman" w:hAnsi="Times New Roman" w:cs="Times New Roman"/>
          <w:color w:val="000000" w:themeColor="text1"/>
          <w:sz w:val="24"/>
          <w:szCs w:val="24"/>
          <w:lang w:val="pl-PL"/>
        </w:rPr>
        <w:t>blockchain</w:t>
      </w:r>
      <w:proofErr w:type="spellEnd"/>
      <w:r w:rsidRPr="00AF7348">
        <w:rPr>
          <w:rFonts w:ascii="Times New Roman" w:eastAsia="Times New Roman" w:hAnsi="Times New Roman" w:cs="Times New Roman"/>
          <w:color w:val="000000" w:themeColor="text1"/>
          <w:sz w:val="24"/>
          <w:szCs w:val="24"/>
          <w:lang w:val="pl-PL"/>
        </w:rPr>
        <w:t xml:space="preserve"> czy </w:t>
      </w:r>
      <w:proofErr w:type="spellStart"/>
      <w:r w:rsidRPr="00AF7348">
        <w:rPr>
          <w:rFonts w:ascii="Times New Roman" w:eastAsia="Times New Roman" w:hAnsi="Times New Roman" w:cs="Times New Roman"/>
          <w:color w:val="000000" w:themeColor="text1"/>
          <w:sz w:val="24"/>
          <w:szCs w:val="24"/>
          <w:lang w:val="pl-PL"/>
        </w:rPr>
        <w:t>internet</w:t>
      </w:r>
      <w:proofErr w:type="spellEnd"/>
      <w:r w:rsidRPr="00AF7348">
        <w:rPr>
          <w:rFonts w:ascii="Times New Roman" w:eastAsia="Times New Roman" w:hAnsi="Times New Roman" w:cs="Times New Roman"/>
          <w:color w:val="000000" w:themeColor="text1"/>
          <w:sz w:val="24"/>
          <w:szCs w:val="24"/>
          <w:lang w:val="pl-PL"/>
        </w:rPr>
        <w:t xml:space="preserve"> rzeczy. We wszystkich projektach należy uwzględnić zasady ogólne UE, w tym równości płci i niedyskryminacji.</w:t>
      </w:r>
    </w:p>
    <w:p w14:paraId="440D9AD8" w14:textId="499E1468" w:rsidR="004A3621" w:rsidRPr="00AF7348" w:rsidRDefault="004A362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Po drugie, inwestycja stworzy program stypendialny wspierający twórców, artystów, animatorów, edukatorów i naukowców z </w:t>
      </w:r>
      <w:r w:rsidR="00616938">
        <w:rPr>
          <w:rFonts w:ascii="Times New Roman" w:eastAsia="Times New Roman" w:hAnsi="Times New Roman" w:cs="Times New Roman"/>
          <w:color w:val="000000" w:themeColor="text1"/>
          <w:sz w:val="24"/>
          <w:szCs w:val="24"/>
          <w:lang w:val="pl-PL"/>
        </w:rPr>
        <w:t>CCS</w:t>
      </w:r>
      <w:r w:rsidRPr="00AF7348">
        <w:rPr>
          <w:rFonts w:ascii="Times New Roman" w:eastAsia="Times New Roman" w:hAnsi="Times New Roman" w:cs="Times New Roman"/>
          <w:color w:val="000000" w:themeColor="text1"/>
          <w:sz w:val="24"/>
          <w:szCs w:val="24"/>
          <w:lang w:val="pl-PL"/>
        </w:rPr>
        <w:t xml:space="preserve">. W szczególności program stypendialny zapewni wsparcie finansowe na: (i) kursy dla artystów rozwijające ich umiejętności artystyczne i cyfrowe lub ekologiczne; (ii) zindywidualizowane szkolenia zawodowe dla artystów; (iii) stworzenie artystom możliwości spotkań w formatach wirtualnych lub bezpośrednich z lokalnymi, krajowymi i międzynarodowymi profesjonalistami z dziedziny sztuki, poprzez warsztaty i serie dyskusyjne; (iv) stworzenie artystom możliwości współpracy w formatach wirtualnych lub bezpośrednich z profesjonalistami z innych sektorów, w tym nauki, technologii i biznesu. Stypendia będą przyznawane z poszanowaniem zasad ogólnych UE, w tym równości płci i niedyskryminacji. Kryteria wyboru wniosków o stypendia dla artystów z CSS, odpowiadające jednej z branż </w:t>
      </w:r>
      <w:r w:rsidR="008A175C">
        <w:rPr>
          <w:rFonts w:ascii="Times New Roman" w:eastAsia="Times New Roman" w:hAnsi="Times New Roman" w:cs="Times New Roman"/>
          <w:color w:val="000000" w:themeColor="text1"/>
          <w:sz w:val="24"/>
          <w:szCs w:val="24"/>
          <w:lang w:val="pl-PL"/>
        </w:rPr>
        <w:t xml:space="preserve">klasyfikacji </w:t>
      </w:r>
      <w:r w:rsidRPr="00AF7348">
        <w:rPr>
          <w:rFonts w:ascii="Times New Roman" w:eastAsia="Times New Roman" w:hAnsi="Times New Roman" w:cs="Times New Roman"/>
          <w:color w:val="000000" w:themeColor="text1"/>
          <w:sz w:val="24"/>
          <w:szCs w:val="24"/>
          <w:lang w:val="pl-PL"/>
        </w:rPr>
        <w:t>NACE</w:t>
      </w:r>
      <w:r w:rsidR="008A175C" w:rsidRPr="008A175C">
        <w:rPr>
          <w:lang w:val="pl-PL"/>
        </w:rPr>
        <w:t xml:space="preserve"> </w:t>
      </w:r>
      <w:r w:rsidR="008A175C">
        <w:rPr>
          <w:lang w:val="pl-PL"/>
        </w:rPr>
        <w:t>(</w:t>
      </w:r>
      <w:proofErr w:type="spellStart"/>
      <w:r w:rsidR="008A175C" w:rsidRPr="008A175C">
        <w:rPr>
          <w:rFonts w:ascii="Times New Roman" w:eastAsia="Times New Roman" w:hAnsi="Times New Roman" w:cs="Times New Roman"/>
          <w:i/>
          <w:iCs/>
          <w:color w:val="000000" w:themeColor="text1"/>
          <w:sz w:val="24"/>
          <w:szCs w:val="24"/>
          <w:lang w:val="pl-PL"/>
        </w:rPr>
        <w:t>Nomenclature</w:t>
      </w:r>
      <w:proofErr w:type="spellEnd"/>
      <w:r w:rsidR="008A175C" w:rsidRPr="008A175C">
        <w:rPr>
          <w:rFonts w:ascii="Times New Roman" w:eastAsia="Times New Roman" w:hAnsi="Times New Roman" w:cs="Times New Roman"/>
          <w:i/>
          <w:iCs/>
          <w:color w:val="000000" w:themeColor="text1"/>
          <w:sz w:val="24"/>
          <w:szCs w:val="24"/>
          <w:lang w:val="pl-PL"/>
        </w:rPr>
        <w:t xml:space="preserve"> </w:t>
      </w:r>
      <w:proofErr w:type="spellStart"/>
      <w:r w:rsidR="008A175C" w:rsidRPr="008A175C">
        <w:rPr>
          <w:rFonts w:ascii="Times New Roman" w:eastAsia="Times New Roman" w:hAnsi="Times New Roman" w:cs="Times New Roman"/>
          <w:i/>
          <w:iCs/>
          <w:color w:val="000000" w:themeColor="text1"/>
          <w:sz w:val="24"/>
          <w:szCs w:val="24"/>
          <w:lang w:val="pl-PL"/>
        </w:rPr>
        <w:t>statistique</w:t>
      </w:r>
      <w:proofErr w:type="spellEnd"/>
      <w:r w:rsidR="008A175C" w:rsidRPr="008A175C">
        <w:rPr>
          <w:rFonts w:ascii="Times New Roman" w:eastAsia="Times New Roman" w:hAnsi="Times New Roman" w:cs="Times New Roman"/>
          <w:i/>
          <w:iCs/>
          <w:color w:val="000000" w:themeColor="text1"/>
          <w:sz w:val="24"/>
          <w:szCs w:val="24"/>
          <w:lang w:val="pl-PL"/>
        </w:rPr>
        <w:t xml:space="preserve"> des </w:t>
      </w:r>
      <w:proofErr w:type="spellStart"/>
      <w:r w:rsidR="008A175C" w:rsidRPr="008A175C">
        <w:rPr>
          <w:rFonts w:ascii="Times New Roman" w:eastAsia="Times New Roman" w:hAnsi="Times New Roman" w:cs="Times New Roman"/>
          <w:i/>
          <w:iCs/>
          <w:color w:val="000000" w:themeColor="text1"/>
          <w:sz w:val="24"/>
          <w:szCs w:val="24"/>
          <w:lang w:val="pl-PL"/>
        </w:rPr>
        <w:t>Activités</w:t>
      </w:r>
      <w:proofErr w:type="spellEnd"/>
      <w:r w:rsidR="008A175C" w:rsidRPr="008A175C">
        <w:rPr>
          <w:rFonts w:ascii="Times New Roman" w:eastAsia="Times New Roman" w:hAnsi="Times New Roman" w:cs="Times New Roman"/>
          <w:i/>
          <w:iCs/>
          <w:color w:val="000000" w:themeColor="text1"/>
          <w:sz w:val="24"/>
          <w:szCs w:val="24"/>
          <w:lang w:val="pl-PL"/>
        </w:rPr>
        <w:t xml:space="preserve"> </w:t>
      </w:r>
      <w:proofErr w:type="spellStart"/>
      <w:r w:rsidR="008A175C" w:rsidRPr="008A175C">
        <w:rPr>
          <w:rFonts w:ascii="Times New Roman" w:eastAsia="Times New Roman" w:hAnsi="Times New Roman" w:cs="Times New Roman"/>
          <w:i/>
          <w:iCs/>
          <w:color w:val="000000" w:themeColor="text1"/>
          <w:sz w:val="24"/>
          <w:szCs w:val="24"/>
          <w:lang w:val="pl-PL"/>
        </w:rPr>
        <w:t>économiques</w:t>
      </w:r>
      <w:proofErr w:type="spellEnd"/>
      <w:r w:rsidR="008A175C" w:rsidRPr="008A175C">
        <w:rPr>
          <w:rFonts w:ascii="Times New Roman" w:eastAsia="Times New Roman" w:hAnsi="Times New Roman" w:cs="Times New Roman"/>
          <w:i/>
          <w:iCs/>
          <w:color w:val="000000" w:themeColor="text1"/>
          <w:sz w:val="24"/>
          <w:szCs w:val="24"/>
          <w:lang w:val="pl-PL"/>
        </w:rPr>
        <w:t xml:space="preserve"> </w:t>
      </w:r>
      <w:proofErr w:type="spellStart"/>
      <w:r w:rsidR="008A175C" w:rsidRPr="008A175C">
        <w:rPr>
          <w:rFonts w:ascii="Times New Roman" w:eastAsia="Times New Roman" w:hAnsi="Times New Roman" w:cs="Times New Roman"/>
          <w:i/>
          <w:iCs/>
          <w:color w:val="000000" w:themeColor="text1"/>
          <w:sz w:val="24"/>
          <w:szCs w:val="24"/>
          <w:lang w:val="pl-PL"/>
        </w:rPr>
        <w:t>dans</w:t>
      </w:r>
      <w:proofErr w:type="spellEnd"/>
      <w:r w:rsidR="008A175C" w:rsidRPr="008A175C">
        <w:rPr>
          <w:rFonts w:ascii="Times New Roman" w:eastAsia="Times New Roman" w:hAnsi="Times New Roman" w:cs="Times New Roman"/>
          <w:i/>
          <w:iCs/>
          <w:color w:val="000000" w:themeColor="text1"/>
          <w:sz w:val="24"/>
          <w:szCs w:val="24"/>
          <w:lang w:val="pl-PL"/>
        </w:rPr>
        <w:t xml:space="preserve"> la </w:t>
      </w:r>
      <w:proofErr w:type="spellStart"/>
      <w:r w:rsidR="008A175C" w:rsidRPr="008A175C">
        <w:rPr>
          <w:rFonts w:ascii="Times New Roman" w:eastAsia="Times New Roman" w:hAnsi="Times New Roman" w:cs="Times New Roman"/>
          <w:i/>
          <w:iCs/>
          <w:color w:val="000000" w:themeColor="text1"/>
          <w:sz w:val="24"/>
          <w:szCs w:val="24"/>
          <w:lang w:val="pl-PL"/>
        </w:rPr>
        <w:t>Communauté</w:t>
      </w:r>
      <w:proofErr w:type="spellEnd"/>
      <w:r w:rsidR="008A175C" w:rsidRPr="008A175C">
        <w:rPr>
          <w:rFonts w:ascii="Times New Roman" w:eastAsia="Times New Roman" w:hAnsi="Times New Roman" w:cs="Times New Roman"/>
          <w:i/>
          <w:iCs/>
          <w:color w:val="000000" w:themeColor="text1"/>
          <w:sz w:val="24"/>
          <w:szCs w:val="24"/>
          <w:lang w:val="pl-PL"/>
        </w:rPr>
        <w:t xml:space="preserve"> </w:t>
      </w:r>
      <w:proofErr w:type="spellStart"/>
      <w:r w:rsidR="008A175C" w:rsidRPr="008A175C">
        <w:rPr>
          <w:rFonts w:ascii="Times New Roman" w:eastAsia="Times New Roman" w:hAnsi="Times New Roman" w:cs="Times New Roman"/>
          <w:i/>
          <w:iCs/>
          <w:color w:val="000000" w:themeColor="text1"/>
          <w:sz w:val="24"/>
          <w:szCs w:val="24"/>
          <w:lang w:val="pl-PL"/>
        </w:rPr>
        <w:t>Européenne</w:t>
      </w:r>
      <w:proofErr w:type="spellEnd"/>
      <w:r w:rsidR="008A175C">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tak jak to definiuje Eurostat, obejmą: (a) portfolio artystyczne z ostatnich 24 miesięcy; (b) program artystyczny na następne 24 miesiące.</w:t>
      </w:r>
    </w:p>
    <w:p w14:paraId="531A07C6" w14:textId="77777777" w:rsidR="004A3621" w:rsidRPr="00AF7348" w:rsidRDefault="004A3621" w:rsidP="004A3621">
      <w:p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2024 roku.</w:t>
      </w:r>
    </w:p>
    <w:p w14:paraId="34B3F2EB" w14:textId="77777777" w:rsidR="00FF07E1" w:rsidRPr="00AF7348" w:rsidRDefault="00FF07E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06FF2F6D" w14:textId="6FA4DFE6" w:rsidR="004A3621" w:rsidRPr="00AF7348" w:rsidRDefault="004A3621" w:rsidP="004A3621">
      <w:pPr>
        <w:pStyle w:val="Normal0"/>
        <w:spacing w:before="120" w:after="120" w:line="240" w:lineRule="auto"/>
        <w:jc w:val="both"/>
        <w:rPr>
          <w:rFonts w:ascii="Times New Roman" w:eastAsia="Times New Roman" w:hAnsi="Times New Roman" w:cs="Times New Roman"/>
          <w:b/>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A2.5.2 Inwestycje na rzecz </w:t>
      </w:r>
      <w:r w:rsidR="00D02D09">
        <w:rPr>
          <w:rFonts w:ascii="Times New Roman" w:eastAsia="Times New Roman" w:hAnsi="Times New Roman" w:cs="Times New Roman"/>
          <w:b/>
          <w:bCs/>
          <w:color w:val="000000" w:themeColor="text1"/>
          <w:sz w:val="24"/>
          <w:szCs w:val="24"/>
          <w:u w:val="single"/>
          <w:lang w:val="pl-PL"/>
        </w:rPr>
        <w:t>u</w:t>
      </w:r>
      <w:r w:rsidRPr="00AF7348">
        <w:rPr>
          <w:rFonts w:ascii="Times New Roman" w:eastAsia="Times New Roman" w:hAnsi="Times New Roman" w:cs="Times New Roman"/>
          <w:b/>
          <w:bCs/>
          <w:color w:val="000000" w:themeColor="text1"/>
          <w:sz w:val="24"/>
          <w:szCs w:val="24"/>
          <w:u w:val="single"/>
          <w:lang w:val="pl-PL"/>
        </w:rPr>
        <w:t xml:space="preserve">tworzenia modelowego </w:t>
      </w:r>
      <w:r w:rsidR="00D02D09">
        <w:rPr>
          <w:rFonts w:ascii="Times New Roman" w:eastAsia="Times New Roman" w:hAnsi="Times New Roman" w:cs="Times New Roman"/>
          <w:b/>
          <w:bCs/>
          <w:color w:val="000000" w:themeColor="text1"/>
          <w:sz w:val="24"/>
          <w:szCs w:val="24"/>
          <w:u w:val="single"/>
          <w:lang w:val="pl-PL"/>
        </w:rPr>
        <w:t>centrum</w:t>
      </w:r>
      <w:r w:rsidRPr="00AF7348">
        <w:rPr>
          <w:rFonts w:ascii="Times New Roman" w:eastAsia="Times New Roman" w:hAnsi="Times New Roman" w:cs="Times New Roman"/>
          <w:b/>
          <w:bCs/>
          <w:color w:val="000000" w:themeColor="text1"/>
          <w:sz w:val="24"/>
          <w:szCs w:val="24"/>
          <w:u w:val="single"/>
          <w:lang w:val="pl-PL"/>
        </w:rPr>
        <w:t xml:space="preserve"> wsp</w:t>
      </w:r>
      <w:r w:rsidR="00D02D09">
        <w:rPr>
          <w:rFonts w:ascii="Times New Roman" w:eastAsia="Times New Roman" w:hAnsi="Times New Roman" w:cs="Times New Roman"/>
          <w:b/>
          <w:bCs/>
          <w:color w:val="000000" w:themeColor="text1"/>
          <w:sz w:val="24"/>
          <w:szCs w:val="24"/>
          <w:u w:val="single"/>
          <w:lang w:val="pl-PL"/>
        </w:rPr>
        <w:t>ierania</w:t>
      </w:r>
      <w:r w:rsidRPr="00AF7348">
        <w:rPr>
          <w:rFonts w:ascii="Times New Roman" w:eastAsia="Times New Roman" w:hAnsi="Times New Roman" w:cs="Times New Roman"/>
          <w:b/>
          <w:bCs/>
          <w:color w:val="000000" w:themeColor="text1"/>
          <w:sz w:val="24"/>
          <w:szCs w:val="24"/>
          <w:u w:val="single"/>
          <w:lang w:val="pl-PL"/>
        </w:rPr>
        <w:t xml:space="preserve"> </w:t>
      </w:r>
      <w:r w:rsidR="00220646">
        <w:rPr>
          <w:rFonts w:ascii="Times New Roman" w:eastAsia="Times New Roman" w:hAnsi="Times New Roman" w:cs="Times New Roman"/>
          <w:b/>
          <w:bCs/>
          <w:color w:val="000000" w:themeColor="text1"/>
          <w:sz w:val="24"/>
          <w:szCs w:val="24"/>
          <w:u w:val="single"/>
          <w:lang w:val="pl-PL"/>
        </w:rPr>
        <w:t xml:space="preserve"> przemysłów kreatywnych</w:t>
      </w:r>
    </w:p>
    <w:p w14:paraId="2A63F844" w14:textId="44A1AB29" w:rsidR="004A3621" w:rsidRPr="00AF7348" w:rsidRDefault="004A362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Nadrzędnym </w:t>
      </w:r>
      <w:r w:rsidR="00220646">
        <w:rPr>
          <w:rFonts w:ascii="Times New Roman" w:eastAsia="Times New Roman" w:hAnsi="Times New Roman" w:cs="Times New Roman"/>
          <w:color w:val="000000" w:themeColor="text1"/>
          <w:sz w:val="24"/>
          <w:szCs w:val="24"/>
          <w:lang w:val="pl-PL"/>
        </w:rPr>
        <w:t>celem</w:t>
      </w:r>
      <w:r w:rsidR="002206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tej inwestycji jest wspieranie </w:t>
      </w:r>
      <w:r w:rsidR="00220646">
        <w:rPr>
          <w:rFonts w:ascii="Times New Roman" w:eastAsia="Times New Roman" w:hAnsi="Times New Roman" w:cs="Times New Roman"/>
          <w:color w:val="000000" w:themeColor="text1"/>
          <w:sz w:val="24"/>
          <w:szCs w:val="24"/>
          <w:lang w:val="pl-PL"/>
        </w:rPr>
        <w:t>przemysłów</w:t>
      </w:r>
      <w:r w:rsidR="00616938">
        <w:rPr>
          <w:rFonts w:ascii="Times New Roman" w:eastAsia="Times New Roman" w:hAnsi="Times New Roman" w:cs="Times New Roman"/>
          <w:color w:val="000000" w:themeColor="text1"/>
          <w:sz w:val="24"/>
          <w:szCs w:val="24"/>
          <w:lang w:val="pl-PL"/>
        </w:rPr>
        <w:t xml:space="preserve"> kultur</w:t>
      </w:r>
      <w:r w:rsidR="00597A7D">
        <w:rPr>
          <w:rFonts w:ascii="Times New Roman" w:eastAsia="Times New Roman" w:hAnsi="Times New Roman" w:cs="Times New Roman"/>
          <w:color w:val="000000" w:themeColor="text1"/>
          <w:sz w:val="24"/>
          <w:szCs w:val="24"/>
          <w:lang w:val="pl-PL"/>
        </w:rPr>
        <w:t>y</w:t>
      </w:r>
      <w:r w:rsidR="00616938">
        <w:rPr>
          <w:rFonts w:ascii="Times New Roman" w:eastAsia="Times New Roman" w:hAnsi="Times New Roman" w:cs="Times New Roman"/>
          <w:color w:val="000000" w:themeColor="text1"/>
          <w:sz w:val="24"/>
          <w:szCs w:val="24"/>
          <w:lang w:val="pl-PL"/>
        </w:rPr>
        <w:t xml:space="preserve"> i</w:t>
      </w:r>
      <w:r w:rsidR="002206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kreatywnych, w szczególności MŚP, celem wprowadzenia do gospodarki innowacyjnych rozwiązań, w tym poprzez cyfryzację sektora </w:t>
      </w:r>
      <w:r w:rsidR="00597A7D" w:rsidRPr="00AF7348">
        <w:rPr>
          <w:rFonts w:ascii="Times New Roman" w:eastAsia="Times New Roman" w:hAnsi="Times New Roman" w:cs="Times New Roman"/>
          <w:color w:val="000000" w:themeColor="text1"/>
          <w:sz w:val="24"/>
          <w:szCs w:val="24"/>
          <w:lang w:val="pl-PL"/>
        </w:rPr>
        <w:t xml:space="preserve">kultury i sektorze </w:t>
      </w:r>
      <w:r w:rsidR="00597A7D">
        <w:rPr>
          <w:rFonts w:ascii="Times New Roman" w:eastAsia="Times New Roman" w:hAnsi="Times New Roman" w:cs="Times New Roman"/>
          <w:color w:val="000000" w:themeColor="text1"/>
          <w:sz w:val="24"/>
          <w:szCs w:val="24"/>
          <w:lang w:val="pl-PL"/>
        </w:rPr>
        <w:t>przemysłów kreatywnych</w:t>
      </w:r>
      <w:r w:rsidR="00597A7D" w:rsidRPr="00AF7348">
        <w:rPr>
          <w:rFonts w:ascii="Times New Roman" w:eastAsia="Times New Roman" w:hAnsi="Times New Roman" w:cs="Times New Roman"/>
          <w:color w:val="000000" w:themeColor="text1"/>
          <w:sz w:val="24"/>
          <w:szCs w:val="24"/>
          <w:lang w:val="pl-PL"/>
        </w:rPr>
        <w:t xml:space="preserve"> (</w:t>
      </w:r>
      <w:proofErr w:type="spellStart"/>
      <w:r w:rsidR="00597A7D" w:rsidRPr="00617B7A">
        <w:rPr>
          <w:rFonts w:ascii="Times New Roman" w:eastAsia="Times New Roman" w:hAnsi="Times New Roman" w:cs="Times New Roman"/>
          <w:i/>
          <w:iCs/>
          <w:color w:val="000000" w:themeColor="text1"/>
          <w:sz w:val="24"/>
          <w:szCs w:val="24"/>
          <w:lang w:val="pl-PL"/>
        </w:rPr>
        <w:t>cultural</w:t>
      </w:r>
      <w:proofErr w:type="spellEnd"/>
      <w:r w:rsidR="00597A7D" w:rsidRPr="00617B7A">
        <w:rPr>
          <w:rFonts w:ascii="Times New Roman" w:eastAsia="Times New Roman" w:hAnsi="Times New Roman" w:cs="Times New Roman"/>
          <w:i/>
          <w:iCs/>
          <w:color w:val="000000" w:themeColor="text1"/>
          <w:sz w:val="24"/>
          <w:szCs w:val="24"/>
          <w:lang w:val="pl-PL"/>
        </w:rPr>
        <w:t xml:space="preserve"> and </w:t>
      </w:r>
      <w:proofErr w:type="spellStart"/>
      <w:r w:rsidR="00597A7D" w:rsidRPr="00617B7A">
        <w:rPr>
          <w:rFonts w:ascii="Times New Roman" w:eastAsia="Times New Roman" w:hAnsi="Times New Roman" w:cs="Times New Roman"/>
          <w:i/>
          <w:iCs/>
          <w:color w:val="000000" w:themeColor="text1"/>
          <w:sz w:val="24"/>
          <w:szCs w:val="24"/>
          <w:lang w:val="pl-PL"/>
        </w:rPr>
        <w:t>creative</w:t>
      </w:r>
      <w:proofErr w:type="spellEnd"/>
      <w:r w:rsidR="00597A7D" w:rsidRPr="00AF7348">
        <w:rPr>
          <w:rFonts w:ascii="Times New Roman" w:eastAsia="Times New Roman" w:hAnsi="Times New Roman" w:cs="Times New Roman"/>
          <w:i/>
          <w:iCs/>
          <w:color w:val="000000" w:themeColor="text1"/>
          <w:sz w:val="24"/>
          <w:szCs w:val="24"/>
          <w:lang w:val="pl-PL"/>
        </w:rPr>
        <w:t xml:space="preserve"> </w:t>
      </w:r>
      <w:proofErr w:type="spellStart"/>
      <w:r w:rsidR="00597A7D" w:rsidRPr="00AF7348">
        <w:rPr>
          <w:rFonts w:ascii="Times New Roman" w:eastAsia="Times New Roman" w:hAnsi="Times New Roman" w:cs="Times New Roman"/>
          <w:i/>
          <w:iCs/>
          <w:color w:val="000000" w:themeColor="text1"/>
          <w:sz w:val="24"/>
          <w:szCs w:val="24"/>
          <w:lang w:val="pl-PL"/>
        </w:rPr>
        <w:t>sector</w:t>
      </w:r>
      <w:proofErr w:type="spellEnd"/>
      <w:r w:rsidR="00597A7D" w:rsidRPr="00AF7348">
        <w:rPr>
          <w:rFonts w:ascii="Times New Roman" w:eastAsia="Times New Roman" w:hAnsi="Times New Roman" w:cs="Times New Roman"/>
          <w:i/>
          <w:iCs/>
          <w:color w:val="000000" w:themeColor="text1"/>
          <w:sz w:val="24"/>
          <w:szCs w:val="24"/>
          <w:lang w:val="pl-PL"/>
        </w:rPr>
        <w:t>, dalej CCS</w:t>
      </w:r>
      <w:r w:rsidR="00597A7D" w:rsidRPr="00AF7348">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Aby to osiągnąć, inwestycja przewiduje stworzenie ośrodka wsparcia dla </w:t>
      </w:r>
      <w:r w:rsidR="00220646">
        <w:rPr>
          <w:rFonts w:ascii="Times New Roman" w:eastAsia="Times New Roman" w:hAnsi="Times New Roman" w:cs="Times New Roman"/>
          <w:color w:val="000000" w:themeColor="text1"/>
          <w:sz w:val="24"/>
          <w:szCs w:val="24"/>
          <w:lang w:val="pl-PL"/>
        </w:rPr>
        <w:t>przemysłów</w:t>
      </w:r>
      <w:r w:rsidR="00220646" w:rsidRPr="00AF7348">
        <w:rPr>
          <w:rFonts w:ascii="Times New Roman" w:eastAsia="Times New Roman" w:hAnsi="Times New Roman" w:cs="Times New Roman"/>
          <w:color w:val="000000" w:themeColor="text1"/>
          <w:sz w:val="24"/>
          <w:szCs w:val="24"/>
          <w:lang w:val="pl-PL"/>
        </w:rPr>
        <w:t xml:space="preserve"> </w:t>
      </w:r>
      <w:r w:rsidR="00597A7D">
        <w:rPr>
          <w:rFonts w:ascii="Times New Roman" w:eastAsia="Times New Roman" w:hAnsi="Times New Roman" w:cs="Times New Roman"/>
          <w:color w:val="000000" w:themeColor="text1"/>
          <w:sz w:val="24"/>
          <w:szCs w:val="24"/>
          <w:lang w:val="pl-PL"/>
        </w:rPr>
        <w:t xml:space="preserve">kultury i </w:t>
      </w:r>
      <w:r w:rsidRPr="00AF7348">
        <w:rPr>
          <w:rFonts w:ascii="Times New Roman" w:eastAsia="Times New Roman" w:hAnsi="Times New Roman" w:cs="Times New Roman"/>
          <w:color w:val="000000" w:themeColor="text1"/>
          <w:sz w:val="24"/>
          <w:szCs w:val="24"/>
          <w:lang w:val="pl-PL"/>
        </w:rPr>
        <w:t>kreatywnych, ze szczególnym uwzględnieniem wzornictwa i architektury, nauki i biznesu.</w:t>
      </w:r>
    </w:p>
    <w:p w14:paraId="6A85DEA1" w14:textId="7BBE60E5" w:rsidR="004A3621" w:rsidRPr="00AF7348" w:rsidRDefault="004A3621"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Inwestycja obejmie dwa główne elementy. Po pierwsze, inwestycja przeprowadzi renowację Muzeum Narodowego w Krakowie z myślą o stworzeniu modelowego ośrodka wsparcia dla przemysłów</w:t>
      </w:r>
      <w:r w:rsidR="00597A7D">
        <w:rPr>
          <w:rFonts w:ascii="Times New Roman" w:eastAsia="Times New Roman" w:hAnsi="Times New Roman" w:cs="Times New Roman"/>
          <w:color w:val="000000" w:themeColor="text1"/>
          <w:sz w:val="24"/>
          <w:szCs w:val="24"/>
          <w:lang w:val="pl-PL"/>
        </w:rPr>
        <w:t xml:space="preserve"> kultury i</w:t>
      </w:r>
      <w:r w:rsidRPr="00AF7348">
        <w:rPr>
          <w:rFonts w:ascii="Times New Roman" w:eastAsia="Times New Roman" w:hAnsi="Times New Roman" w:cs="Times New Roman"/>
          <w:color w:val="000000" w:themeColor="text1"/>
          <w:sz w:val="24"/>
          <w:szCs w:val="24"/>
          <w:lang w:val="pl-PL"/>
        </w:rPr>
        <w:t xml:space="preserve"> kreatywnych, w szczególności</w:t>
      </w:r>
      <w:r w:rsidR="00597A7D">
        <w:rPr>
          <w:rFonts w:ascii="Times New Roman" w:eastAsia="Times New Roman" w:hAnsi="Times New Roman" w:cs="Times New Roman"/>
          <w:color w:val="000000" w:themeColor="text1"/>
          <w:sz w:val="24"/>
          <w:szCs w:val="24"/>
          <w:lang w:val="pl-PL"/>
        </w:rPr>
        <w:t xml:space="preserve"> obejmujące</w:t>
      </w:r>
      <w:r w:rsidRPr="00AF7348">
        <w:rPr>
          <w:rFonts w:ascii="Times New Roman" w:eastAsia="Times New Roman" w:hAnsi="Times New Roman" w:cs="Times New Roman"/>
          <w:color w:val="000000" w:themeColor="text1"/>
          <w:sz w:val="24"/>
          <w:szCs w:val="24"/>
          <w:lang w:val="pl-PL"/>
        </w:rPr>
        <w:t xml:space="preserve"> wzornictw</w:t>
      </w:r>
      <w:r w:rsidR="00597A7D">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 i architektur</w:t>
      </w:r>
      <w:r w:rsidR="00597A7D">
        <w:rPr>
          <w:rFonts w:ascii="Times New Roman" w:eastAsia="Times New Roman" w:hAnsi="Times New Roman" w:cs="Times New Roman"/>
          <w:color w:val="000000" w:themeColor="text1"/>
          <w:sz w:val="24"/>
          <w:szCs w:val="24"/>
          <w:lang w:val="pl-PL"/>
        </w:rPr>
        <w:t>ę</w:t>
      </w:r>
      <w:r w:rsidRPr="00AF7348">
        <w:rPr>
          <w:rFonts w:ascii="Times New Roman" w:eastAsia="Times New Roman" w:hAnsi="Times New Roman" w:cs="Times New Roman"/>
          <w:color w:val="000000" w:themeColor="text1"/>
          <w:sz w:val="24"/>
          <w:szCs w:val="24"/>
          <w:lang w:val="pl-PL"/>
        </w:rPr>
        <w:t xml:space="preserve">. Renowacja muzeum połączy najwyższe standardy w zakresie efektywności energetycznej i materiałów renowacyjnych z najbardziej zaawansowanymi technologiami w zakresie zrównoważonego rozwoju, zgodnie z zasadą "nie czyń </w:t>
      </w:r>
      <w:r w:rsidR="00220646">
        <w:rPr>
          <w:rFonts w:ascii="Times New Roman" w:eastAsia="Times New Roman" w:hAnsi="Times New Roman" w:cs="Times New Roman"/>
          <w:color w:val="000000" w:themeColor="text1"/>
          <w:sz w:val="24"/>
          <w:szCs w:val="24"/>
          <w:lang w:val="pl-PL"/>
        </w:rPr>
        <w:t>znaczącej</w:t>
      </w:r>
      <w:r w:rsidR="002206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220646">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(DNSH). Prace renowacyjne obejmą, między innymi: (i) rozwiązania w zakresie efektywności energetycznej; (ii) rozwój zaplecza cyfrowego dostępnego dla MŚP z branży kulturalnej; (iii) demonstrację rozwiązań w zakresie zrównoważonego rozwoju dotyczących gospodarki o obiegu zamkniętym w sektorze materiałów budowlanych.</w:t>
      </w:r>
    </w:p>
    <w:p w14:paraId="4C5DC1E3" w14:textId="1696C1C2" w:rsidR="004A3621" w:rsidRPr="00AF7348" w:rsidRDefault="10CFFB90" w:rsidP="004A362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Po drugie, w ramach inwestycji zawartych zostanie dziesięć umów o współpracy pomiędzy klientami z branży kreatywnej (twórczej) a ośrodkiem wsparcia. W szczególności umowy o współpracy określą sposoby zacieśniania kooperacji pomiędzy placówkami kulturalnymi, uczelniami, początkującymi przedsiębiorcami i producentami branży kreatywnej. </w:t>
      </w:r>
    </w:p>
    <w:p w14:paraId="0B17E944" w14:textId="77777777" w:rsidR="004A3621" w:rsidRPr="00AF7348" w:rsidRDefault="004A3621" w:rsidP="004A3621">
      <w:p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7D34F5C7" w14:textId="77777777" w:rsidR="004A3621" w:rsidRPr="00AF7348" w:rsidRDefault="004A362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3011107A" w14:textId="48657DC8" w:rsidR="007C4506" w:rsidRPr="00AF7348" w:rsidRDefault="5135F4AF" w:rsidP="27342C6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themeColor="text1"/>
          <w:sz w:val="24"/>
          <w:szCs w:val="24"/>
          <w:u w:val="single"/>
          <w:lang w:val="pl-PL"/>
        </w:rPr>
        <w:t>A2.6 Reforma - Rozbudowa krajowego systemu serwisów monitoringowych, produktów, narzędzi analitycznych, usług oraz towarzyszącej infrastruktury wykorzystującej dane satelitarne</w:t>
      </w:r>
    </w:p>
    <w:p w14:paraId="3DF47A9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zwiększenie wykorzystania danych satelitarnych przez podmioty publiczne i prywatne. Nowa ustawa o działalności kosmicznej ma ułatwić administracji publicznej korzystanie z danych satelitarnych. </w:t>
      </w:r>
    </w:p>
    <w:p w14:paraId="4FD975EA" w14:textId="2A2C6DF0" w:rsidR="007C4506" w:rsidRPr="00AF7348" w:rsidRDefault="553BD9D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Ustawa ustanowi krajowego administratora danych satelitarnych. Będzie on również zobowiązany do promowania korzystania przez firmy prywatne z danych satelitarnych, m.in. poprzez organizowanie szkoleń dla wszystkich zainteresowanych podmiotów. Ustawa określi także zasady i warunki prowadzenia działalności kosmicznej i nadzoru nad nią, odpowiedzialności za szkody wyrządzone przez obiekt kosmiczny, a także zasady funkcjonowania Krajowego Rejestru Obiektów Kosmicznych.</w:t>
      </w:r>
    </w:p>
    <w:p w14:paraId="4A09802E"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30 września 2024 roku. </w:t>
      </w:r>
    </w:p>
    <w:p w14:paraId="29D6B04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 </w:t>
      </w:r>
    </w:p>
    <w:p w14:paraId="4203A76C" w14:textId="6FD7575D" w:rsidR="007C4506" w:rsidRPr="00AF7348" w:rsidRDefault="5135F4AF" w:rsidP="27342C6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themeColor="text1"/>
          <w:sz w:val="24"/>
          <w:szCs w:val="24"/>
          <w:u w:val="single"/>
          <w:lang w:val="pl-PL"/>
        </w:rPr>
        <w:t>A2.6.1 Inwestycja - Rozbudowa krajowego systemu serwisów monitoringowych, produktów, narzędzi analitycznych, usług oraz towarzyszącej infrastruktury wykorzystującej dane satelitarne</w:t>
      </w:r>
    </w:p>
    <w:p w14:paraId="6851D837" w14:textId="5746FA74" w:rsidR="007C4506" w:rsidRPr="00AF7348" w:rsidRDefault="0022064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inwestycji jest znaczne zwiększenie </w:t>
      </w:r>
      <w:r>
        <w:rPr>
          <w:rFonts w:ascii="Times New Roman" w:eastAsia="Times New Roman" w:hAnsi="Times New Roman" w:cs="Times New Roman"/>
          <w:color w:val="000000"/>
          <w:sz w:val="24"/>
          <w:szCs w:val="24"/>
          <w:lang w:val="pl-PL"/>
        </w:rPr>
        <w:t>efektywności</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wykorzystania w Polsce satelitarnej obserwacji Ziemi (dalej SOZ) oraz zagwarantowanie wydajnej i ciągłej produkcji oraz dostarczania przetworzonych informacji pochodzących z SOZ, dostosowanych do potrzeb użytkowników. Oczekuje się, że poprawi to sprawność zarządzania krajem (podejmowanie decyzji w oparciu o bardziej szczegółowe i aktualne informacje), spowoduje znaczącą transformację cyfrową w administracji oraz stworzy popyt na produkty SOZ, w tym dodatkowy popyt prywatny i publiczny </w:t>
      </w:r>
      <w:r w:rsidR="00B31839" w:rsidRPr="00AF7348">
        <w:rPr>
          <w:rFonts w:ascii="Times New Roman" w:eastAsia="Times New Roman" w:hAnsi="Times New Roman" w:cs="Times New Roman"/>
          <w:sz w:val="24"/>
          <w:szCs w:val="24"/>
          <w:lang w:val="pl-PL"/>
        </w:rPr>
        <w:t>na istniejący już</w:t>
      </w:r>
      <w:r w:rsidR="00B31839" w:rsidRPr="00AF7348">
        <w:rPr>
          <w:rFonts w:ascii="Times New Roman" w:eastAsia="Times New Roman" w:hAnsi="Times New Roman" w:cs="Times New Roman"/>
          <w:color w:val="000000"/>
          <w:sz w:val="24"/>
          <w:szCs w:val="24"/>
          <w:lang w:val="pl-PL"/>
        </w:rPr>
        <w:t xml:space="preserve"> unijny system Copernicus.</w:t>
      </w:r>
    </w:p>
    <w:p w14:paraId="502860F4" w14:textId="7264B72D" w:rsidR="007C4506" w:rsidRPr="00AF7348" w:rsidRDefault="542D1CF6"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 inwestycję złożą się dwa przedsięwzięcia. Pierwsze obejmie utworzenie </w:t>
      </w:r>
      <w:r w:rsidRPr="00AF7348">
        <w:rPr>
          <w:rFonts w:ascii="Times New Roman" w:eastAsia="Times New Roman" w:hAnsi="Times New Roman" w:cs="Times New Roman"/>
          <w:sz w:val="24"/>
          <w:szCs w:val="24"/>
          <w:lang w:val="pl-PL"/>
        </w:rPr>
        <w:t>Narodowego Systemu Informacji Satelitarnej (NSIS</w:t>
      </w:r>
      <w:r w:rsidRPr="00AF7348">
        <w:rPr>
          <w:rFonts w:ascii="Times New Roman" w:eastAsia="Times New Roman" w:hAnsi="Times New Roman" w:cs="Times New Roman"/>
          <w:color w:val="000000" w:themeColor="text1"/>
          <w:sz w:val="24"/>
          <w:szCs w:val="24"/>
          <w:lang w:val="pl-PL"/>
        </w:rPr>
        <w:t xml:space="preserve">), który będzie dostarczał usługi monitoringu z wykorzystaniem danych pochodzących z SOZ. Pierwsze usługi zostaną udostępnione użytkownikom końcowym do 30 września 2023 r. </w:t>
      </w:r>
    </w:p>
    <w:p w14:paraId="2940739C" w14:textId="633CCF79" w:rsidR="007C4506" w:rsidRPr="00AF7348" w:rsidRDefault="553BD9D4"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W ramach drugiego przedsięwzięcia na orbitę zostaną wyniesione cztery satelity. Prace przygotowawcze, prowadzone zgodnie ze standardami organizacji definiującej standardy na użytek inżynierii kosmicznej o nazwie Europejska Współpraca na rzecz Standaryzacji Przestrzeni Kosmicznej (</w:t>
      </w:r>
      <w:proofErr w:type="spellStart"/>
      <w:r w:rsidRPr="00954F5E">
        <w:rPr>
          <w:rFonts w:ascii="Times New Roman" w:eastAsia="Times New Roman" w:hAnsi="Times New Roman" w:cs="Times New Roman"/>
          <w:i/>
          <w:iCs/>
          <w:color w:val="000000" w:themeColor="text1"/>
          <w:sz w:val="24"/>
          <w:szCs w:val="24"/>
          <w:lang w:val="pl-PL"/>
        </w:rPr>
        <w:t>European</w:t>
      </w:r>
      <w:proofErr w:type="spellEnd"/>
      <w:r w:rsidRPr="00954F5E">
        <w:rPr>
          <w:rFonts w:ascii="Times New Roman" w:eastAsia="Times New Roman" w:hAnsi="Times New Roman" w:cs="Times New Roman"/>
          <w:i/>
          <w:iCs/>
          <w:color w:val="000000" w:themeColor="text1"/>
          <w:sz w:val="24"/>
          <w:szCs w:val="24"/>
          <w:lang w:val="pl-PL"/>
        </w:rPr>
        <w:t xml:space="preserve"> </w:t>
      </w:r>
      <w:proofErr w:type="spellStart"/>
      <w:r w:rsidRPr="00954F5E">
        <w:rPr>
          <w:rFonts w:ascii="Times New Roman" w:eastAsia="Times New Roman" w:hAnsi="Times New Roman" w:cs="Times New Roman"/>
          <w:i/>
          <w:iCs/>
          <w:color w:val="000000" w:themeColor="text1"/>
          <w:sz w:val="24"/>
          <w:szCs w:val="24"/>
          <w:lang w:val="pl-PL"/>
        </w:rPr>
        <w:t>Cooperation</w:t>
      </w:r>
      <w:proofErr w:type="spellEnd"/>
      <w:r w:rsidRPr="00954F5E">
        <w:rPr>
          <w:rFonts w:ascii="Times New Roman" w:eastAsia="Times New Roman" w:hAnsi="Times New Roman" w:cs="Times New Roman"/>
          <w:i/>
          <w:iCs/>
          <w:color w:val="000000" w:themeColor="text1"/>
          <w:sz w:val="24"/>
          <w:szCs w:val="24"/>
          <w:lang w:val="pl-PL"/>
        </w:rPr>
        <w:t xml:space="preserve"> for Space </w:t>
      </w:r>
      <w:proofErr w:type="spellStart"/>
      <w:r w:rsidRPr="00954F5E">
        <w:rPr>
          <w:rFonts w:ascii="Times New Roman" w:eastAsia="Times New Roman" w:hAnsi="Times New Roman" w:cs="Times New Roman"/>
          <w:i/>
          <w:iCs/>
          <w:color w:val="000000" w:themeColor="text1"/>
          <w:sz w:val="24"/>
          <w:szCs w:val="24"/>
          <w:lang w:val="pl-PL"/>
        </w:rPr>
        <w:t>Standardization</w:t>
      </w:r>
      <w:proofErr w:type="spellEnd"/>
      <w:r w:rsidRPr="00954F5E">
        <w:rPr>
          <w:rFonts w:ascii="Times New Roman" w:eastAsia="Times New Roman" w:hAnsi="Times New Roman" w:cs="Times New Roman"/>
          <w:i/>
          <w:iCs/>
          <w:color w:val="000000" w:themeColor="text1"/>
          <w:sz w:val="24"/>
          <w:szCs w:val="24"/>
          <w:lang w:val="pl-PL"/>
        </w:rPr>
        <w:t xml:space="preserve"> - w skrócie ECSS, faza 0/A/B/C</w:t>
      </w:r>
      <w:r w:rsidRPr="00AF7348">
        <w:rPr>
          <w:rFonts w:ascii="Times New Roman" w:eastAsia="Times New Roman" w:hAnsi="Times New Roman" w:cs="Times New Roman"/>
          <w:color w:val="000000" w:themeColor="text1"/>
          <w:sz w:val="24"/>
          <w:szCs w:val="24"/>
          <w:lang w:val="pl-PL"/>
        </w:rPr>
        <w:t>), zostaną zakończone do 30 czerwca 2023 roku. Wdrażanie inwestycji zostanie zakończone do 30 czerwca 2026 roku.</w:t>
      </w:r>
    </w:p>
    <w:p w14:paraId="0B4020A7" w14:textId="77777777" w:rsidR="007C4506" w:rsidRPr="00AF7348" w:rsidRDefault="007C4506" w:rsidP="002216B7">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b/>
          <w:color w:val="000000"/>
          <w:sz w:val="24"/>
          <w:szCs w:val="24"/>
          <w:lang w:val="pl-PL"/>
        </w:rPr>
        <w:sectPr w:rsidR="007C4506" w:rsidRPr="00AF7348" w:rsidSect="002216B7">
          <w:pgSz w:w="11907" w:h="16839"/>
          <w:pgMar w:top="720" w:right="720" w:bottom="720" w:left="720" w:header="709" w:footer="709" w:gutter="0"/>
          <w:cols w:space="720"/>
          <w:docGrid w:linePitch="299"/>
        </w:sectPr>
      </w:pPr>
    </w:p>
    <w:tbl>
      <w:tblPr>
        <w:tblW w:w="153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708"/>
        <w:gridCol w:w="2268"/>
        <w:gridCol w:w="1134"/>
        <w:gridCol w:w="2410"/>
        <w:gridCol w:w="1276"/>
        <w:gridCol w:w="1134"/>
        <w:gridCol w:w="708"/>
        <w:gridCol w:w="709"/>
        <w:gridCol w:w="23"/>
        <w:gridCol w:w="544"/>
        <w:gridCol w:w="709"/>
        <w:gridCol w:w="3686"/>
        <w:gridCol w:w="6"/>
      </w:tblGrid>
      <w:tr w:rsidR="0033239E" w:rsidRPr="009D378C" w14:paraId="269B5C2A" w14:textId="77777777" w:rsidTr="001052B5">
        <w:trPr>
          <w:trHeight w:val="454"/>
        </w:trPr>
        <w:tc>
          <w:tcPr>
            <w:tcW w:w="15315" w:type="dxa"/>
            <w:gridSpan w:val="13"/>
            <w:tcBorders>
              <w:top w:val="nil"/>
              <w:left w:val="nil"/>
              <w:bottom w:val="nil"/>
              <w:right w:val="nil"/>
            </w:tcBorders>
            <w:vAlign w:val="center"/>
            <w:hideMark/>
          </w:tcPr>
          <w:p w14:paraId="5F890540" w14:textId="59031C24" w:rsidR="0033239E" w:rsidRPr="00AF7348" w:rsidRDefault="0033239E">
            <w:pPr>
              <w:pStyle w:val="Normal0"/>
              <w:spacing w:after="0" w:line="240" w:lineRule="auto"/>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A.4.</w:t>
            </w:r>
            <w:r w:rsidR="0099737E">
              <w:rPr>
                <w:rFonts w:ascii="Times New Roman" w:eastAsia="Times New Roman" w:hAnsi="Times New Roman" w:cs="Times New Roman"/>
                <w:b/>
                <w:bCs/>
                <w:color w:val="000000"/>
                <w:sz w:val="24"/>
                <w:szCs w:val="24"/>
                <w:lang w:val="pl-PL"/>
              </w:rPr>
              <w:t xml:space="preserve"> </w:t>
            </w:r>
            <w:r w:rsidRPr="00AF7348">
              <w:rPr>
                <w:rFonts w:ascii="Times New Roman" w:eastAsia="Times New Roman" w:hAnsi="Times New Roman" w:cs="Times New Roman"/>
                <w:b/>
                <w:bCs/>
                <w:color w:val="000000"/>
                <w:sz w:val="24"/>
                <w:szCs w:val="24"/>
                <w:lang w:val="pl-PL"/>
              </w:rPr>
              <w:t xml:space="preserve">Kamienie milowe, </w:t>
            </w:r>
            <w:r w:rsidR="00C564B3">
              <w:rPr>
                <w:rFonts w:ascii="Times New Roman" w:eastAsia="Times New Roman" w:hAnsi="Times New Roman" w:cs="Times New Roman"/>
                <w:b/>
                <w:bCs/>
                <w:color w:val="000000"/>
                <w:sz w:val="24"/>
                <w:szCs w:val="24"/>
                <w:lang w:val="pl-PL"/>
              </w:rPr>
              <w:t>cele</w:t>
            </w:r>
            <w:r w:rsidRPr="00AF7348">
              <w:rPr>
                <w:rFonts w:ascii="Times New Roman" w:eastAsia="Times New Roman" w:hAnsi="Times New Roman" w:cs="Times New Roman"/>
                <w:b/>
                <w:bCs/>
                <w:color w:val="000000"/>
                <w:sz w:val="24"/>
                <w:szCs w:val="24"/>
                <w:lang w:val="pl-PL"/>
              </w:rPr>
              <w:t>, wskaźniki i harmonogram monitorowania i realizacji na potrzeby wsparcia finansowego w formie pożyczki</w:t>
            </w:r>
          </w:p>
        </w:tc>
      </w:tr>
      <w:tr w:rsidR="0033239E" w:rsidRPr="00AF7348" w14:paraId="6F675DE1" w14:textId="77777777" w:rsidTr="001052B5">
        <w:trPr>
          <w:trHeight w:val="454"/>
        </w:trPr>
        <w:tc>
          <w:tcPr>
            <w:tcW w:w="15315" w:type="dxa"/>
            <w:gridSpan w:val="13"/>
            <w:tcBorders>
              <w:top w:val="nil"/>
              <w:left w:val="nil"/>
              <w:bottom w:val="single" w:sz="4" w:space="0" w:color="000000" w:themeColor="text1"/>
              <w:right w:val="nil"/>
            </w:tcBorders>
            <w:vAlign w:val="center"/>
            <w:hideMark/>
          </w:tcPr>
          <w:p w14:paraId="312B9106" w14:textId="675B6F69" w:rsidR="0033239E" w:rsidRPr="00AF7348" w:rsidRDefault="0033239E">
            <w:pPr>
              <w:pStyle w:val="Normal0"/>
              <w:spacing w:after="0" w:line="240" w:lineRule="auto"/>
              <w:rPr>
                <w:rFonts w:ascii="Times New Roman" w:eastAsia="Times New Roman" w:hAnsi="Times New Roman" w:cs="Times New Roman"/>
                <w:b/>
                <w:color w:val="000000"/>
                <w:sz w:val="24"/>
                <w:szCs w:val="24"/>
                <w:lang w:val="pl-PL"/>
              </w:rPr>
            </w:pPr>
          </w:p>
        </w:tc>
      </w:tr>
      <w:tr w:rsidR="001052B5" w:rsidRPr="00990E60" w14:paraId="072ABD84" w14:textId="77777777" w:rsidTr="001052B5">
        <w:trPr>
          <w:gridAfter w:val="1"/>
          <w:wAfter w:w="6" w:type="dxa"/>
          <w:trHeight w:val="454"/>
        </w:trPr>
        <w:tc>
          <w:tcPr>
            <w:tcW w:w="15309" w:type="dxa"/>
            <w:gridSpan w:val="12"/>
            <w:tcBorders>
              <w:top w:val="nil"/>
              <w:left w:val="nil"/>
              <w:bottom w:val="single" w:sz="4" w:space="0" w:color="000000" w:themeColor="text1"/>
              <w:right w:val="nil"/>
            </w:tcBorders>
            <w:vAlign w:val="center"/>
          </w:tcPr>
          <w:p w14:paraId="174D2FAD" w14:textId="77777777" w:rsidR="001052B5" w:rsidRPr="00990E60"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F7348">
              <w:rPr>
                <w:rFonts w:ascii="Times New Roman" w:eastAsia="Times New Roman" w:hAnsi="Times New Roman" w:cs="Times New Roman"/>
                <w:b/>
                <w:bCs/>
                <w:color w:val="000000"/>
                <w:sz w:val="24"/>
                <w:szCs w:val="24"/>
                <w:u w:val="single"/>
                <w:lang w:val="pl-PL"/>
              </w:rPr>
              <w:t>A2 - INNOWACJE</w:t>
            </w:r>
          </w:p>
        </w:tc>
      </w:tr>
      <w:tr w:rsidR="001052B5" w:rsidRPr="00E06486" w14:paraId="4306CCEF" w14:textId="77777777" w:rsidTr="001052B5">
        <w:trPr>
          <w:gridAfter w:val="1"/>
          <w:wAfter w:w="6" w:type="dxa"/>
          <w:trHeight w:val="939"/>
        </w:trPr>
        <w:tc>
          <w:tcPr>
            <w:tcW w:w="708" w:type="dxa"/>
            <w:vMerge w:val="restart"/>
            <w:tcBorders>
              <w:top w:val="single" w:sz="4" w:space="0" w:color="000000" w:themeColor="text1"/>
            </w:tcBorders>
            <w:shd w:val="clear" w:color="auto" w:fill="BDD7EE"/>
            <w:vAlign w:val="center"/>
          </w:tcPr>
          <w:p w14:paraId="0DB5373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2268" w:type="dxa"/>
            <w:vMerge w:val="restart"/>
            <w:tcBorders>
              <w:top w:val="single" w:sz="4" w:space="0" w:color="000000" w:themeColor="text1"/>
            </w:tcBorders>
            <w:shd w:val="clear" w:color="auto" w:fill="BDD7EE"/>
            <w:vAlign w:val="center"/>
          </w:tcPr>
          <w:p w14:paraId="7C14E12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1134" w:type="dxa"/>
            <w:vMerge w:val="restart"/>
            <w:tcBorders>
              <w:top w:val="single" w:sz="4" w:space="0" w:color="000000" w:themeColor="text1"/>
            </w:tcBorders>
            <w:shd w:val="clear" w:color="auto" w:fill="BDD7EE"/>
            <w:vAlign w:val="center"/>
          </w:tcPr>
          <w:p w14:paraId="480F2FC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2410" w:type="dxa"/>
            <w:vMerge w:val="restart"/>
            <w:tcBorders>
              <w:top w:val="single" w:sz="4" w:space="0" w:color="000000" w:themeColor="text1"/>
            </w:tcBorders>
            <w:shd w:val="clear" w:color="auto" w:fill="BDD7EE"/>
            <w:vAlign w:val="center"/>
          </w:tcPr>
          <w:p w14:paraId="09A984A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276" w:type="dxa"/>
            <w:vMerge w:val="restart"/>
            <w:tcBorders>
              <w:top w:val="single" w:sz="4" w:space="0" w:color="000000" w:themeColor="text1"/>
            </w:tcBorders>
            <w:shd w:val="clear" w:color="auto" w:fill="BDD7EE"/>
            <w:vAlign w:val="center"/>
          </w:tcPr>
          <w:p w14:paraId="4752781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Qualitative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milestones)</w:t>
            </w:r>
          </w:p>
        </w:tc>
        <w:tc>
          <w:tcPr>
            <w:tcW w:w="2574" w:type="dxa"/>
            <w:gridSpan w:val="4"/>
            <w:tcBorders>
              <w:top w:val="single" w:sz="4" w:space="0" w:color="000000" w:themeColor="text1"/>
            </w:tcBorders>
            <w:shd w:val="clear" w:color="auto" w:fill="BDD7EE"/>
            <w:vAlign w:val="center"/>
          </w:tcPr>
          <w:p w14:paraId="41D7105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Quantitative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targets)</w:t>
            </w:r>
          </w:p>
        </w:tc>
        <w:tc>
          <w:tcPr>
            <w:tcW w:w="1253" w:type="dxa"/>
            <w:gridSpan w:val="2"/>
            <w:tcBorders>
              <w:top w:val="single" w:sz="4" w:space="0" w:color="000000" w:themeColor="text1"/>
            </w:tcBorders>
            <w:shd w:val="clear" w:color="auto" w:fill="BDD7EE"/>
            <w:vAlign w:val="center"/>
          </w:tcPr>
          <w:p w14:paraId="729B5DC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686" w:type="dxa"/>
            <w:vMerge w:val="restart"/>
            <w:tcBorders>
              <w:top w:val="single" w:sz="4" w:space="0" w:color="000000" w:themeColor="text1"/>
            </w:tcBorders>
            <w:shd w:val="clear" w:color="auto" w:fill="BDD7EE"/>
            <w:vAlign w:val="center"/>
          </w:tcPr>
          <w:p w14:paraId="4D68A82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E06486" w14:paraId="258137ED" w14:textId="77777777" w:rsidTr="001052B5">
        <w:trPr>
          <w:gridAfter w:val="1"/>
          <w:wAfter w:w="6" w:type="dxa"/>
          <w:trHeight w:val="1027"/>
        </w:trPr>
        <w:tc>
          <w:tcPr>
            <w:tcW w:w="708" w:type="dxa"/>
            <w:vMerge/>
            <w:vAlign w:val="center"/>
          </w:tcPr>
          <w:p w14:paraId="76F0C995"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268" w:type="dxa"/>
            <w:vMerge/>
            <w:vAlign w:val="center"/>
          </w:tcPr>
          <w:p w14:paraId="0E725464"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vMerge/>
            <w:vAlign w:val="center"/>
          </w:tcPr>
          <w:p w14:paraId="531C2C29"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410" w:type="dxa"/>
            <w:vMerge/>
            <w:vAlign w:val="center"/>
          </w:tcPr>
          <w:p w14:paraId="7AD704B2"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276" w:type="dxa"/>
            <w:vMerge/>
            <w:vAlign w:val="center"/>
          </w:tcPr>
          <w:p w14:paraId="25DC1EC5"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shd w:val="clear" w:color="auto" w:fill="BDD7EE"/>
            <w:vAlign w:val="center"/>
          </w:tcPr>
          <w:p w14:paraId="08953A05"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708" w:type="dxa"/>
            <w:shd w:val="clear" w:color="auto" w:fill="BDD7EE"/>
            <w:vAlign w:val="center"/>
          </w:tcPr>
          <w:p w14:paraId="5FDF8C1C"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709" w:type="dxa"/>
            <w:shd w:val="clear" w:color="auto" w:fill="BDD7EE"/>
            <w:vAlign w:val="center"/>
          </w:tcPr>
          <w:p w14:paraId="1E0EF42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567" w:type="dxa"/>
            <w:gridSpan w:val="2"/>
            <w:shd w:val="clear" w:color="auto" w:fill="BDD7EE"/>
            <w:vAlign w:val="center"/>
          </w:tcPr>
          <w:p w14:paraId="3EB937D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9" w:type="dxa"/>
            <w:shd w:val="clear" w:color="auto" w:fill="BDD7EE"/>
            <w:vAlign w:val="center"/>
          </w:tcPr>
          <w:p w14:paraId="629EF08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686" w:type="dxa"/>
            <w:vMerge/>
            <w:vAlign w:val="center"/>
          </w:tcPr>
          <w:p w14:paraId="067DDC83"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9D378C" w14:paraId="46FA1271"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3900"/>
        </w:trPr>
        <w:tc>
          <w:tcPr>
            <w:tcW w:w="70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94B4AA0"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A1L</w:t>
            </w:r>
          </w:p>
        </w:tc>
        <w:tc>
          <w:tcPr>
            <w:tcW w:w="2268" w:type="dxa"/>
            <w:tcBorders>
              <w:top w:val="single" w:sz="4" w:space="0" w:color="auto"/>
              <w:left w:val="nil"/>
              <w:bottom w:val="single" w:sz="4" w:space="0" w:color="auto"/>
              <w:right w:val="single" w:sz="4" w:space="0" w:color="auto"/>
            </w:tcBorders>
            <w:shd w:val="clear" w:color="000000" w:fill="C6EFCE"/>
            <w:vAlign w:val="center"/>
            <w:hideMark/>
          </w:tcPr>
          <w:p w14:paraId="087AB99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A2.5 Wzmacnianie potencjału sektora kultury i przemysłów kreatywnych na rzecz rozwoju gospodarczego</w:t>
            </w:r>
          </w:p>
        </w:tc>
        <w:tc>
          <w:tcPr>
            <w:tcW w:w="1134" w:type="dxa"/>
            <w:tcBorders>
              <w:top w:val="single" w:sz="4" w:space="0" w:color="auto"/>
              <w:left w:val="nil"/>
              <w:bottom w:val="single" w:sz="4" w:space="0" w:color="auto"/>
              <w:right w:val="single" w:sz="4" w:space="0" w:color="auto"/>
            </w:tcBorders>
            <w:shd w:val="clear" w:color="000000" w:fill="C6EFCE"/>
            <w:vAlign w:val="center"/>
            <w:hideMark/>
          </w:tcPr>
          <w:p w14:paraId="672D903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single" w:sz="4" w:space="0" w:color="auto"/>
              <w:left w:val="nil"/>
              <w:bottom w:val="single" w:sz="4" w:space="0" w:color="auto"/>
              <w:right w:val="single" w:sz="4" w:space="0" w:color="auto"/>
            </w:tcBorders>
            <w:shd w:val="clear" w:color="000000" w:fill="C6EFCE"/>
            <w:vAlign w:val="center"/>
            <w:hideMark/>
          </w:tcPr>
          <w:p w14:paraId="5A01A18F" w14:textId="186D986F"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Przyjęcie dokumentu kierunkowego (policy </w:t>
            </w:r>
            <w:proofErr w:type="spellStart"/>
            <w:r w:rsidRPr="00E06486">
              <w:rPr>
                <w:rFonts w:ascii="Times New Roman" w:eastAsia="Times New Roman" w:hAnsi="Times New Roman" w:cs="Times New Roman"/>
                <w:sz w:val="18"/>
                <w:szCs w:val="18"/>
                <w:lang w:val="pl-PL" w:eastAsia="pl-PL"/>
              </w:rPr>
              <w:t>paper</w:t>
            </w:r>
            <w:proofErr w:type="spellEnd"/>
            <w:r w:rsidRPr="00E06486">
              <w:rPr>
                <w:rFonts w:ascii="Times New Roman" w:eastAsia="Times New Roman" w:hAnsi="Times New Roman" w:cs="Times New Roman"/>
                <w:sz w:val="18"/>
                <w:szCs w:val="18"/>
                <w:lang w:val="pl-PL" w:eastAsia="pl-PL"/>
              </w:rPr>
              <w:t xml:space="preserve">)  wspierającego zieloną i cyfrową transformację w sektorze kultury i przemysłów kreatywnych </w:t>
            </w:r>
            <w:r w:rsidR="00E639A2">
              <w:rPr>
                <w:rFonts w:ascii="Times New Roman" w:eastAsia="Times New Roman" w:hAnsi="Times New Roman" w:cs="Times New Roman"/>
                <w:sz w:val="18"/>
                <w:szCs w:val="18"/>
                <w:lang w:val="pl-PL" w:eastAsia="pl-PL"/>
              </w:rPr>
              <w:t>(SKK)</w:t>
            </w:r>
          </w:p>
        </w:tc>
        <w:tc>
          <w:tcPr>
            <w:tcW w:w="1276" w:type="dxa"/>
            <w:tcBorders>
              <w:top w:val="single" w:sz="4" w:space="0" w:color="auto"/>
              <w:left w:val="nil"/>
              <w:bottom w:val="single" w:sz="4" w:space="0" w:color="auto"/>
              <w:right w:val="single" w:sz="4" w:space="0" w:color="auto"/>
            </w:tcBorders>
            <w:shd w:val="clear" w:color="000000" w:fill="C6EFCE"/>
            <w:vAlign w:val="center"/>
            <w:hideMark/>
          </w:tcPr>
          <w:p w14:paraId="0B9FCB2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dokumentu kierunkowego</w:t>
            </w:r>
          </w:p>
        </w:tc>
        <w:tc>
          <w:tcPr>
            <w:tcW w:w="1134" w:type="dxa"/>
            <w:tcBorders>
              <w:top w:val="single" w:sz="4" w:space="0" w:color="auto"/>
              <w:left w:val="nil"/>
              <w:bottom w:val="single" w:sz="4" w:space="0" w:color="auto"/>
              <w:right w:val="single" w:sz="4" w:space="0" w:color="auto"/>
            </w:tcBorders>
            <w:shd w:val="clear" w:color="000000" w:fill="C6EFCE"/>
            <w:noWrap/>
            <w:vAlign w:val="center"/>
            <w:hideMark/>
          </w:tcPr>
          <w:p w14:paraId="0C41A01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8" w:type="dxa"/>
            <w:tcBorders>
              <w:top w:val="single" w:sz="4" w:space="0" w:color="auto"/>
              <w:left w:val="nil"/>
              <w:bottom w:val="single" w:sz="4" w:space="0" w:color="auto"/>
              <w:right w:val="single" w:sz="4" w:space="0" w:color="auto"/>
            </w:tcBorders>
            <w:shd w:val="clear" w:color="000000" w:fill="C6EFCE"/>
            <w:noWrap/>
            <w:vAlign w:val="center"/>
            <w:hideMark/>
          </w:tcPr>
          <w:p w14:paraId="4CA65A2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9" w:type="dxa"/>
            <w:tcBorders>
              <w:top w:val="single" w:sz="4" w:space="0" w:color="auto"/>
              <w:left w:val="nil"/>
              <w:bottom w:val="single" w:sz="4" w:space="0" w:color="auto"/>
              <w:right w:val="single" w:sz="4" w:space="0" w:color="auto"/>
            </w:tcBorders>
            <w:shd w:val="clear" w:color="000000" w:fill="C6EFCE"/>
            <w:noWrap/>
            <w:vAlign w:val="center"/>
            <w:hideMark/>
          </w:tcPr>
          <w:p w14:paraId="24DE84C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gridSpan w:val="2"/>
            <w:tcBorders>
              <w:top w:val="single" w:sz="4" w:space="0" w:color="auto"/>
              <w:left w:val="nil"/>
              <w:bottom w:val="single" w:sz="4" w:space="0" w:color="auto"/>
              <w:right w:val="single" w:sz="4" w:space="0" w:color="auto"/>
            </w:tcBorders>
            <w:shd w:val="clear" w:color="000000" w:fill="C6EFCE"/>
            <w:noWrap/>
            <w:vAlign w:val="center"/>
            <w:hideMark/>
          </w:tcPr>
          <w:p w14:paraId="0798BFF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single" w:sz="4" w:space="0" w:color="auto"/>
              <w:left w:val="nil"/>
              <w:bottom w:val="single" w:sz="4" w:space="0" w:color="auto"/>
              <w:right w:val="single" w:sz="4" w:space="0" w:color="auto"/>
            </w:tcBorders>
            <w:shd w:val="clear" w:color="000000" w:fill="C6EFCE"/>
            <w:noWrap/>
            <w:vAlign w:val="center"/>
            <w:hideMark/>
          </w:tcPr>
          <w:p w14:paraId="0A09B31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686" w:type="dxa"/>
            <w:tcBorders>
              <w:top w:val="single" w:sz="4" w:space="0" w:color="auto"/>
              <w:left w:val="nil"/>
              <w:bottom w:val="single" w:sz="4" w:space="0" w:color="auto"/>
              <w:right w:val="single" w:sz="4" w:space="0" w:color="auto"/>
            </w:tcBorders>
            <w:shd w:val="clear" w:color="000000" w:fill="C6EFCE"/>
            <w:vAlign w:val="center"/>
            <w:hideMark/>
          </w:tcPr>
          <w:p w14:paraId="31272D1A" w14:textId="39CE0349"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Po konsultacjach społecznych przyjęcie przez ministra właściwego do spraw kultury dokumentu kierunkowego (policy </w:t>
            </w:r>
            <w:proofErr w:type="spellStart"/>
            <w:r w:rsidRPr="00E06486">
              <w:rPr>
                <w:rFonts w:ascii="Times New Roman" w:eastAsia="Times New Roman" w:hAnsi="Times New Roman" w:cs="Times New Roman"/>
                <w:sz w:val="18"/>
                <w:szCs w:val="18"/>
                <w:lang w:val="pl-PL" w:eastAsia="pl-PL"/>
              </w:rPr>
              <w:t>paper</w:t>
            </w:r>
            <w:proofErr w:type="spellEnd"/>
            <w:r w:rsidRPr="00E06486">
              <w:rPr>
                <w:rFonts w:ascii="Times New Roman" w:eastAsia="Times New Roman" w:hAnsi="Times New Roman" w:cs="Times New Roman"/>
                <w:sz w:val="18"/>
                <w:szCs w:val="18"/>
                <w:lang w:val="pl-PL" w:eastAsia="pl-PL"/>
              </w:rPr>
              <w:t>) dotyczącego wspierania sektora kultury i przemysłów kreatywnych (SKK). W szczególności dokument dotyczy następujących kwestii:</w:t>
            </w:r>
            <w:r w:rsidRPr="00E06486">
              <w:rPr>
                <w:rFonts w:ascii="Times New Roman" w:eastAsia="Times New Roman" w:hAnsi="Times New Roman" w:cs="Times New Roman"/>
                <w:sz w:val="18"/>
                <w:szCs w:val="18"/>
                <w:lang w:val="pl-PL" w:eastAsia="pl-PL"/>
              </w:rPr>
              <w:br/>
              <w:t>1. Identyfikacja kluczowych średnio- i długoterminowych wyzwań w SKK, w tym wnioski wyciągnięte z kryzysu Covid-19;</w:t>
            </w:r>
            <w:r w:rsidRPr="00E06486">
              <w:rPr>
                <w:rFonts w:ascii="Times New Roman" w:eastAsia="Times New Roman" w:hAnsi="Times New Roman" w:cs="Times New Roman"/>
                <w:sz w:val="18"/>
                <w:szCs w:val="18"/>
                <w:lang w:val="pl-PL" w:eastAsia="pl-PL"/>
              </w:rPr>
              <w:br/>
              <w:t>2. Zapewnienie zgodności z ogólnymi zasadami UE, w tym równości płci i niedyskryminacji, w projektach, które mają otrzymać wsparcie.</w:t>
            </w:r>
            <w:r w:rsidRPr="00E06486">
              <w:rPr>
                <w:rFonts w:ascii="Times New Roman" w:eastAsia="Times New Roman" w:hAnsi="Times New Roman" w:cs="Times New Roman"/>
                <w:sz w:val="18"/>
                <w:szCs w:val="18"/>
                <w:lang w:val="pl-PL" w:eastAsia="pl-PL"/>
              </w:rPr>
              <w:br/>
              <w:t>3. Identyfikacja potencjału ekologicznych i cyfrowych narzędzi i platform w celu sprostania tym wyzwaniom;</w:t>
            </w:r>
            <w:r w:rsidRPr="00E06486">
              <w:rPr>
                <w:rFonts w:ascii="Times New Roman" w:eastAsia="Times New Roman" w:hAnsi="Times New Roman" w:cs="Times New Roman"/>
                <w:sz w:val="18"/>
                <w:szCs w:val="18"/>
                <w:lang w:val="pl-PL" w:eastAsia="pl-PL"/>
              </w:rPr>
              <w:br/>
              <w:t xml:space="preserve">4. Opracowanie koncepcji współpracy i transferu wiedzy i umiejętności między SKK </w:t>
            </w:r>
            <w:r w:rsidR="00E639A2">
              <w:rPr>
                <w:rFonts w:ascii="Times New Roman" w:eastAsia="Times New Roman" w:hAnsi="Times New Roman" w:cs="Times New Roman"/>
                <w:sz w:val="18"/>
                <w:szCs w:val="18"/>
                <w:lang w:val="pl-PL" w:eastAsia="pl-PL"/>
              </w:rPr>
              <w:t>oraz z</w:t>
            </w:r>
            <w:r w:rsidR="00E639A2" w:rsidRPr="00E06486">
              <w:rPr>
                <w:rFonts w:ascii="Times New Roman" w:eastAsia="Times New Roman" w:hAnsi="Times New Roman" w:cs="Times New Roman"/>
                <w:sz w:val="18"/>
                <w:szCs w:val="18"/>
                <w:lang w:val="pl-PL" w:eastAsia="pl-PL"/>
              </w:rPr>
              <w:t xml:space="preserve"> </w:t>
            </w:r>
            <w:r w:rsidRPr="00E06486">
              <w:rPr>
                <w:rFonts w:ascii="Times New Roman" w:eastAsia="Times New Roman" w:hAnsi="Times New Roman" w:cs="Times New Roman"/>
                <w:sz w:val="18"/>
                <w:szCs w:val="18"/>
                <w:lang w:val="pl-PL" w:eastAsia="pl-PL"/>
              </w:rPr>
              <w:t>sektorami nauki, edukacji, technologii i biznesu, z naciskiem na ogólne zasady UE, w tym równość płci i niedyskryminację, ekologię i technologię cyfrową.</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br/>
              <w:t>Identyfikacja preferowanych opcji udzielania poparcia publicznego dla działań w ramach SKK.</w:t>
            </w:r>
          </w:p>
        </w:tc>
      </w:tr>
      <w:tr w:rsidR="001052B5" w:rsidRPr="009D378C" w14:paraId="3D135D5F"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4200"/>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02A24448"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A2L</w:t>
            </w:r>
          </w:p>
        </w:tc>
        <w:tc>
          <w:tcPr>
            <w:tcW w:w="2268" w:type="dxa"/>
            <w:tcBorders>
              <w:top w:val="nil"/>
              <w:left w:val="nil"/>
              <w:bottom w:val="single" w:sz="4" w:space="0" w:color="auto"/>
              <w:right w:val="single" w:sz="4" w:space="0" w:color="auto"/>
            </w:tcBorders>
            <w:shd w:val="clear" w:color="000000" w:fill="C6EFCE"/>
            <w:vAlign w:val="center"/>
            <w:hideMark/>
          </w:tcPr>
          <w:p w14:paraId="26223FB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A2.5.1 Program wspierania działalności podmiotów sektora kultury i przemysłów kreatywnych na rzecz stymulowania ich rozwoju </w:t>
            </w:r>
          </w:p>
        </w:tc>
        <w:tc>
          <w:tcPr>
            <w:tcW w:w="1134" w:type="dxa"/>
            <w:tcBorders>
              <w:top w:val="nil"/>
              <w:left w:val="nil"/>
              <w:bottom w:val="single" w:sz="4" w:space="0" w:color="auto"/>
              <w:right w:val="single" w:sz="4" w:space="0" w:color="auto"/>
            </w:tcBorders>
            <w:shd w:val="clear" w:color="000000" w:fill="C6EFCE"/>
            <w:vAlign w:val="center"/>
            <w:hideMark/>
          </w:tcPr>
          <w:p w14:paraId="0AF34D3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nil"/>
              <w:left w:val="nil"/>
              <w:bottom w:val="single" w:sz="4" w:space="0" w:color="auto"/>
              <w:right w:val="single" w:sz="4" w:space="0" w:color="auto"/>
            </w:tcBorders>
            <w:shd w:val="clear" w:color="000000" w:fill="C6EFCE"/>
            <w:vAlign w:val="center"/>
            <w:hideMark/>
          </w:tcPr>
          <w:p w14:paraId="32E5F985" w14:textId="51DD7ECE"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Przyjęcie kryteriów wyboru projektów w sektorze kultury i przemysłów kreatywnych </w:t>
            </w:r>
            <w:r w:rsidR="00E639A2">
              <w:rPr>
                <w:rFonts w:ascii="Times New Roman" w:eastAsia="Times New Roman" w:hAnsi="Times New Roman" w:cs="Times New Roman"/>
                <w:sz w:val="18"/>
                <w:szCs w:val="18"/>
                <w:lang w:val="pl-PL" w:eastAsia="pl-PL"/>
              </w:rPr>
              <w:t>(SKK)</w:t>
            </w:r>
          </w:p>
        </w:tc>
        <w:tc>
          <w:tcPr>
            <w:tcW w:w="1276" w:type="dxa"/>
            <w:tcBorders>
              <w:top w:val="nil"/>
              <w:left w:val="nil"/>
              <w:bottom w:val="single" w:sz="4" w:space="0" w:color="auto"/>
              <w:right w:val="single" w:sz="4" w:space="0" w:color="auto"/>
            </w:tcBorders>
            <w:shd w:val="clear" w:color="000000" w:fill="C6EFCE"/>
            <w:vAlign w:val="center"/>
            <w:hideMark/>
          </w:tcPr>
          <w:p w14:paraId="3BA2222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kryteriów wyboru i powołanie niezależnej komisji kwalifikacyjnej</w:t>
            </w:r>
          </w:p>
        </w:tc>
        <w:tc>
          <w:tcPr>
            <w:tcW w:w="1134" w:type="dxa"/>
            <w:tcBorders>
              <w:top w:val="nil"/>
              <w:left w:val="nil"/>
              <w:bottom w:val="single" w:sz="4" w:space="0" w:color="auto"/>
              <w:right w:val="single" w:sz="4" w:space="0" w:color="auto"/>
            </w:tcBorders>
            <w:shd w:val="clear" w:color="000000" w:fill="C6EFCE"/>
            <w:vAlign w:val="center"/>
            <w:hideMark/>
          </w:tcPr>
          <w:p w14:paraId="560627C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noWrap/>
            <w:vAlign w:val="center"/>
            <w:hideMark/>
          </w:tcPr>
          <w:p w14:paraId="453030A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noWrap/>
            <w:vAlign w:val="center"/>
            <w:hideMark/>
          </w:tcPr>
          <w:p w14:paraId="64C6E46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3D34778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20D9DCB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2022</w:t>
            </w:r>
          </w:p>
        </w:tc>
        <w:tc>
          <w:tcPr>
            <w:tcW w:w="3686" w:type="dxa"/>
            <w:tcBorders>
              <w:top w:val="nil"/>
              <w:left w:val="nil"/>
              <w:bottom w:val="single" w:sz="4" w:space="0" w:color="auto"/>
              <w:right w:val="single" w:sz="4" w:space="0" w:color="auto"/>
            </w:tcBorders>
            <w:shd w:val="clear" w:color="000000" w:fill="C6EFCE"/>
            <w:vAlign w:val="center"/>
            <w:hideMark/>
          </w:tcPr>
          <w:p w14:paraId="45243195" w14:textId="2F60CFD4" w:rsidR="00E639A2"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Ministerstwo Kultury i Dziedzictwa Narodowego przyjmuje i publikuje kryteria wyboru w celu wsparcia MŚP, instytucji kultury i organizacji pozarządowych w tworzeniu projektów w</w:t>
            </w:r>
            <w:r w:rsidR="00946DB3">
              <w:rPr>
                <w:rFonts w:ascii="Times New Roman" w:eastAsia="Times New Roman" w:hAnsi="Times New Roman" w:cs="Times New Roman"/>
                <w:sz w:val="18"/>
                <w:szCs w:val="18"/>
                <w:lang w:val="pl-PL" w:eastAsia="pl-PL"/>
              </w:rPr>
              <w:t xml:space="preserve"> ramach</w:t>
            </w:r>
            <w:r w:rsidRPr="00E06486">
              <w:rPr>
                <w:rFonts w:ascii="Times New Roman" w:eastAsia="Times New Roman" w:hAnsi="Times New Roman" w:cs="Times New Roman"/>
                <w:sz w:val="18"/>
                <w:szCs w:val="18"/>
                <w:lang w:val="pl-PL" w:eastAsia="pl-PL"/>
              </w:rPr>
              <w:t xml:space="preserve"> </w:t>
            </w:r>
            <w:r w:rsidR="00946DB3" w:rsidRPr="00E06486">
              <w:rPr>
                <w:rFonts w:ascii="Times New Roman" w:eastAsia="Times New Roman" w:hAnsi="Times New Roman" w:cs="Times New Roman"/>
                <w:sz w:val="18"/>
                <w:szCs w:val="18"/>
                <w:lang w:val="pl-PL" w:eastAsia="pl-PL"/>
              </w:rPr>
              <w:t>sektor</w:t>
            </w:r>
            <w:r w:rsidR="00946DB3">
              <w:rPr>
                <w:rFonts w:ascii="Times New Roman" w:eastAsia="Times New Roman" w:hAnsi="Times New Roman" w:cs="Times New Roman"/>
                <w:sz w:val="18"/>
                <w:szCs w:val="18"/>
                <w:lang w:val="pl-PL" w:eastAsia="pl-PL"/>
              </w:rPr>
              <w:t>ów</w:t>
            </w:r>
            <w:r w:rsidR="00946DB3" w:rsidRPr="00E06486">
              <w:rPr>
                <w:rFonts w:ascii="Times New Roman" w:eastAsia="Times New Roman" w:hAnsi="Times New Roman" w:cs="Times New Roman"/>
                <w:sz w:val="18"/>
                <w:szCs w:val="18"/>
                <w:lang w:val="pl-PL" w:eastAsia="pl-PL"/>
              </w:rPr>
              <w:t xml:space="preserve"> kultury i przemysłów kreatywnych </w:t>
            </w:r>
            <w:r w:rsidR="00946DB3">
              <w:rPr>
                <w:rFonts w:ascii="Times New Roman" w:eastAsia="Times New Roman" w:hAnsi="Times New Roman" w:cs="Times New Roman"/>
                <w:sz w:val="18"/>
                <w:szCs w:val="18"/>
                <w:lang w:val="pl-PL" w:eastAsia="pl-PL"/>
              </w:rPr>
              <w:t>(</w:t>
            </w:r>
            <w:r w:rsidRPr="00E06486">
              <w:rPr>
                <w:rFonts w:ascii="Times New Roman" w:eastAsia="Times New Roman" w:hAnsi="Times New Roman" w:cs="Times New Roman"/>
                <w:sz w:val="18"/>
                <w:szCs w:val="18"/>
                <w:lang w:val="pl-PL" w:eastAsia="pl-PL"/>
              </w:rPr>
              <w:t>SKK</w:t>
            </w:r>
            <w:r w:rsidR="00946DB3">
              <w:rPr>
                <w:rFonts w:ascii="Times New Roman" w:eastAsia="Times New Roman" w:hAnsi="Times New Roman" w:cs="Times New Roman"/>
                <w:sz w:val="18"/>
                <w:szCs w:val="18"/>
                <w:lang w:val="pl-PL" w:eastAsia="pl-PL"/>
              </w:rPr>
              <w:t>)</w:t>
            </w:r>
            <w:r w:rsidRPr="00E06486">
              <w:rPr>
                <w:rFonts w:ascii="Times New Roman" w:eastAsia="Times New Roman" w:hAnsi="Times New Roman" w:cs="Times New Roman"/>
                <w:sz w:val="18"/>
                <w:szCs w:val="18"/>
                <w:lang w:val="pl-PL" w:eastAsia="pl-PL"/>
              </w:rPr>
              <w:t xml:space="preserve">. </w:t>
            </w:r>
          </w:p>
          <w:p w14:paraId="60F5498C" w14:textId="3956771C"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Ponadto powołany zostanie niezależny komitet selekcyjny z ekspertami z różnych dziedzin, w skład której wejdą przedstawiciele niezależnych organizacji i instytucji SKK. O zasadach przyznawania dotacji i stypendiów decyduje komitet selekcyjny.</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br/>
              <w:t>Kryteria wyboru wniosków o dotacje na projekty od instytucji kultury, organizacji pozarządowych, MŚP i mikroprzedsiębiorstw w SKK, odpowiadających jednemu z sektorów NACE zgodnie z definicją Eurostatu:</w:t>
            </w:r>
            <w:r w:rsidRPr="00E06486">
              <w:rPr>
                <w:rFonts w:ascii="Times New Roman" w:eastAsia="Times New Roman" w:hAnsi="Times New Roman" w:cs="Times New Roman"/>
                <w:sz w:val="18"/>
                <w:szCs w:val="18"/>
                <w:lang w:val="pl-PL" w:eastAsia="pl-PL"/>
              </w:rPr>
              <w:br/>
              <w:t>a) preferować projekty, które mogą mieć trwały wpływ na cyfrową i ekologiczną transformację w SKK;</w:t>
            </w:r>
            <w:r w:rsidRPr="00E06486">
              <w:rPr>
                <w:rFonts w:ascii="Times New Roman" w:eastAsia="Times New Roman" w:hAnsi="Times New Roman" w:cs="Times New Roman"/>
                <w:sz w:val="18"/>
                <w:szCs w:val="18"/>
                <w:lang w:val="pl-PL" w:eastAsia="pl-PL"/>
              </w:rPr>
              <w:br/>
              <w:t>b) preferować tych beneficjentów, którzy posiadają biznesplan dotyczący sposobu wykorzystania dotacji na finansowanie kosztów projektu;</w:t>
            </w:r>
            <w:r w:rsidRPr="00E06486">
              <w:rPr>
                <w:rFonts w:ascii="Times New Roman" w:eastAsia="Times New Roman" w:hAnsi="Times New Roman" w:cs="Times New Roman"/>
                <w:sz w:val="18"/>
                <w:szCs w:val="18"/>
                <w:lang w:val="pl-PL" w:eastAsia="pl-PL"/>
              </w:rPr>
              <w:br/>
              <w:t>c) dają pierwszeństwo tym beneficjentom, którzy mają historię działań lub projektów w ciągu ostatnich 24 miesięcy związanych z propozycją projektu.</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br/>
              <w:t>We wszystkich projektach uwzględnia się ogólne zasady UE, w tym równość płci i niedyskryminację.</w:t>
            </w:r>
          </w:p>
        </w:tc>
      </w:tr>
      <w:tr w:rsidR="001052B5" w:rsidRPr="009D378C" w14:paraId="282756AC"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3000"/>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2AF1D35D"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A3L</w:t>
            </w:r>
          </w:p>
        </w:tc>
        <w:tc>
          <w:tcPr>
            <w:tcW w:w="2268" w:type="dxa"/>
            <w:tcBorders>
              <w:top w:val="nil"/>
              <w:left w:val="nil"/>
              <w:bottom w:val="single" w:sz="4" w:space="0" w:color="auto"/>
              <w:right w:val="single" w:sz="4" w:space="0" w:color="auto"/>
            </w:tcBorders>
            <w:shd w:val="clear" w:color="000000" w:fill="C6EFCE"/>
            <w:vAlign w:val="center"/>
            <w:hideMark/>
          </w:tcPr>
          <w:p w14:paraId="1A46661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A2.5.1 Program wspierania działalności podmiotów sektora kultury i przemysłów kreatywnych na rzecz stymulowania ich rozwoju </w:t>
            </w:r>
          </w:p>
        </w:tc>
        <w:tc>
          <w:tcPr>
            <w:tcW w:w="1134" w:type="dxa"/>
            <w:tcBorders>
              <w:top w:val="nil"/>
              <w:left w:val="nil"/>
              <w:bottom w:val="single" w:sz="4" w:space="0" w:color="auto"/>
              <w:right w:val="single" w:sz="4" w:space="0" w:color="auto"/>
            </w:tcBorders>
            <w:shd w:val="clear" w:color="000000" w:fill="C6EFCE"/>
            <w:vAlign w:val="center"/>
            <w:hideMark/>
          </w:tcPr>
          <w:p w14:paraId="19C62E0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62E0C7EA" w14:textId="079C9171"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Liczba podpisanych umów na projekty realizowane przez instytucji kultury, </w:t>
            </w:r>
            <w:proofErr w:type="spellStart"/>
            <w:r w:rsidRPr="00E06486">
              <w:rPr>
                <w:rFonts w:ascii="Times New Roman" w:eastAsia="Times New Roman" w:hAnsi="Times New Roman" w:cs="Times New Roman"/>
                <w:sz w:val="18"/>
                <w:szCs w:val="18"/>
                <w:lang w:val="pl-PL" w:eastAsia="pl-PL"/>
              </w:rPr>
              <w:t>NGO’s</w:t>
            </w:r>
            <w:proofErr w:type="spellEnd"/>
            <w:r w:rsidRPr="00E06486">
              <w:rPr>
                <w:rFonts w:ascii="Times New Roman" w:eastAsia="Times New Roman" w:hAnsi="Times New Roman" w:cs="Times New Roman"/>
                <w:sz w:val="18"/>
                <w:szCs w:val="18"/>
                <w:lang w:val="pl-PL" w:eastAsia="pl-PL"/>
              </w:rPr>
              <w:t xml:space="preserve">, MŚP i mikroprzedsiębiorstw działających w sektorze kultury i przemysłów kreatywnych </w:t>
            </w:r>
            <w:r w:rsidR="00946DB3">
              <w:rPr>
                <w:rFonts w:ascii="Times New Roman" w:eastAsia="Times New Roman" w:hAnsi="Times New Roman" w:cs="Times New Roman"/>
                <w:sz w:val="18"/>
                <w:szCs w:val="18"/>
                <w:lang w:val="pl-PL" w:eastAsia="pl-PL"/>
              </w:rPr>
              <w:t>(SKK)</w:t>
            </w:r>
          </w:p>
        </w:tc>
        <w:tc>
          <w:tcPr>
            <w:tcW w:w="1276" w:type="dxa"/>
            <w:tcBorders>
              <w:top w:val="nil"/>
              <w:left w:val="nil"/>
              <w:bottom w:val="single" w:sz="4" w:space="0" w:color="auto"/>
              <w:right w:val="single" w:sz="4" w:space="0" w:color="auto"/>
            </w:tcBorders>
            <w:shd w:val="clear" w:color="000000" w:fill="C6EFCE"/>
            <w:vAlign w:val="center"/>
            <w:hideMark/>
          </w:tcPr>
          <w:p w14:paraId="6462422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2890024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37B4DF5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30E8321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2710</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56D68C5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7FD4078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0432B3C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Celem działania jest wzmocnienie sektora kultury i przemysłów kreatywnych (SKK) poprzez wspieranie realizacji projektów upowszechniających dorobek kulturalny oraz zwiększanie obecności kultury w życiu społecznym za pomocą narzędzi i zasobów internetowych. Projekty wybierane są w drodze otwartych naborów wniosków.</w:t>
            </w:r>
            <w:r w:rsidRPr="00E06486">
              <w:rPr>
                <w:rFonts w:ascii="Times New Roman" w:eastAsia="Times New Roman" w:hAnsi="Times New Roman" w:cs="Times New Roman"/>
                <w:sz w:val="18"/>
                <w:szCs w:val="18"/>
                <w:lang w:val="pl-PL" w:eastAsia="pl-PL"/>
              </w:rPr>
              <w:br/>
              <w:t xml:space="preserve"> </w:t>
            </w:r>
            <w:r w:rsidRPr="00E06486">
              <w:rPr>
                <w:rFonts w:ascii="Times New Roman" w:eastAsia="Times New Roman" w:hAnsi="Times New Roman" w:cs="Times New Roman"/>
                <w:sz w:val="18"/>
                <w:szCs w:val="18"/>
                <w:lang w:val="pl-PL" w:eastAsia="pl-PL"/>
              </w:rPr>
              <w:br/>
              <w:t>Zakres projektów obejmie przekwalifikowanie i podniesienie kwalifikacji oraz promowanie kompetencji cyfrowych wśród operatorów kultury (zarówno prywatnych, jak i pracowników instytucji kultury).</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br/>
              <w:t>Wspierane będzie wdrażanie 2710 projektów w SKK, wybranych na podstawie kryteriów opublikowanych w kontekście kamienia milowego A2L.</w:t>
            </w:r>
          </w:p>
        </w:tc>
      </w:tr>
      <w:tr w:rsidR="001052B5" w:rsidRPr="009D378C" w14:paraId="0ED685E2"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867"/>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0834D09E"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A4L</w:t>
            </w:r>
          </w:p>
        </w:tc>
        <w:tc>
          <w:tcPr>
            <w:tcW w:w="2268" w:type="dxa"/>
            <w:tcBorders>
              <w:top w:val="nil"/>
              <w:left w:val="nil"/>
              <w:bottom w:val="single" w:sz="4" w:space="0" w:color="auto"/>
              <w:right w:val="single" w:sz="4" w:space="0" w:color="auto"/>
            </w:tcBorders>
            <w:shd w:val="clear" w:color="000000" w:fill="C6EFCE"/>
            <w:vAlign w:val="center"/>
            <w:hideMark/>
          </w:tcPr>
          <w:p w14:paraId="6D33DF7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A2.5.1 Program wspierania działalności podmiotów sektora kultury i przemysłów kreatywnych na rzecz stymulowania ich rozwoju </w:t>
            </w:r>
          </w:p>
        </w:tc>
        <w:tc>
          <w:tcPr>
            <w:tcW w:w="1134" w:type="dxa"/>
            <w:tcBorders>
              <w:top w:val="nil"/>
              <w:left w:val="nil"/>
              <w:bottom w:val="single" w:sz="4" w:space="0" w:color="auto"/>
              <w:right w:val="single" w:sz="4" w:space="0" w:color="auto"/>
            </w:tcBorders>
            <w:shd w:val="clear" w:color="000000" w:fill="C6EFCE"/>
            <w:vAlign w:val="center"/>
            <w:hideMark/>
          </w:tcPr>
          <w:p w14:paraId="7A11B10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13C21645" w14:textId="3A1226EC"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 stypendiów przyznanych w sektorze kultury i sektorze kreatywnym</w:t>
            </w:r>
            <w:r w:rsidR="00946DB3">
              <w:rPr>
                <w:rFonts w:ascii="Times New Roman" w:eastAsia="Times New Roman" w:hAnsi="Times New Roman" w:cs="Times New Roman"/>
                <w:sz w:val="18"/>
                <w:szCs w:val="18"/>
                <w:lang w:val="pl-PL" w:eastAsia="pl-PL"/>
              </w:rPr>
              <w:t xml:space="preserve"> (SKK)</w:t>
            </w:r>
            <w:r w:rsidRPr="00E06486">
              <w:rPr>
                <w:rFonts w:ascii="Times New Roman" w:eastAsia="Times New Roman" w:hAnsi="Times New Roman" w:cs="Times New Roman"/>
                <w:sz w:val="18"/>
                <w:szCs w:val="18"/>
                <w:lang w:val="pl-PL" w:eastAsia="pl-PL"/>
              </w:rPr>
              <w:t xml:space="preserve"> </w:t>
            </w:r>
          </w:p>
        </w:tc>
        <w:tc>
          <w:tcPr>
            <w:tcW w:w="1276" w:type="dxa"/>
            <w:tcBorders>
              <w:top w:val="nil"/>
              <w:left w:val="nil"/>
              <w:bottom w:val="single" w:sz="4" w:space="0" w:color="auto"/>
              <w:right w:val="single" w:sz="4" w:space="0" w:color="auto"/>
            </w:tcBorders>
            <w:shd w:val="clear" w:color="000000" w:fill="C6EFCE"/>
            <w:vAlign w:val="center"/>
            <w:hideMark/>
          </w:tcPr>
          <w:p w14:paraId="17DD00C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14729B9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0BC8DC6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33BB693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746</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37C0B6C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7731C3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4B22BDC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Inwestycja ta stworzy program stypendialny wspierający twórców, artystów, animatorów i edukatorów oraz naukowców, którzy chcą znaleźć nowe sposoby prezentacji dóbr kultury na żywo i w Internecie.</w:t>
            </w:r>
            <w:r w:rsidRPr="00E06486">
              <w:rPr>
                <w:rFonts w:ascii="Times New Roman" w:eastAsia="Times New Roman" w:hAnsi="Times New Roman" w:cs="Times New Roman"/>
                <w:sz w:val="18"/>
                <w:szCs w:val="18"/>
                <w:lang w:val="pl-PL" w:eastAsia="pl-PL"/>
              </w:rPr>
              <w:br/>
              <w:t>746 stypendiów zostanie przyznanych twórcom na rozwój ich działalności. Program stypendialny ma na celu zapewnienie wsparcia artystom w celu stymulowania działań twórczych w okresie powrotu do zdrowia po COVID-19. W szczególności program stypendialny zapewnia pomoc finansową dla:</w:t>
            </w:r>
            <w:r w:rsidRPr="00E06486">
              <w:rPr>
                <w:rFonts w:ascii="Times New Roman" w:eastAsia="Times New Roman" w:hAnsi="Times New Roman" w:cs="Times New Roman"/>
                <w:sz w:val="18"/>
                <w:szCs w:val="18"/>
                <w:lang w:val="pl-PL" w:eastAsia="pl-PL"/>
              </w:rPr>
              <w:br/>
              <w:t>- Zapewnienie artystom kursów w celu rozwijania ich umiejętności artystycznych, cyfrowych lub ekologicznych;</w:t>
            </w:r>
            <w:r w:rsidRPr="00E06486">
              <w:rPr>
                <w:rFonts w:ascii="Times New Roman" w:eastAsia="Times New Roman" w:hAnsi="Times New Roman" w:cs="Times New Roman"/>
                <w:sz w:val="18"/>
                <w:szCs w:val="18"/>
                <w:lang w:val="pl-PL" w:eastAsia="pl-PL"/>
              </w:rPr>
              <w:br/>
              <w:t>- Zapewnienie zindywidualizowanych szkoleń zawodowych dla artystów;</w:t>
            </w:r>
            <w:r w:rsidRPr="00E06486">
              <w:rPr>
                <w:rFonts w:ascii="Times New Roman" w:eastAsia="Times New Roman" w:hAnsi="Times New Roman" w:cs="Times New Roman"/>
                <w:sz w:val="18"/>
                <w:szCs w:val="18"/>
                <w:lang w:val="pl-PL" w:eastAsia="pl-PL"/>
              </w:rPr>
              <w:br/>
              <w:t>- Stwórz możliwości dla artystów do spotkań w wirtualnych lub fizycznych formatach z lokalnymi, krajowymi i międzynarodowymi profesjonalistami w dziedzinie sztuki poprzez warsztaty i serie dyskusji;</w:t>
            </w:r>
            <w:r w:rsidRPr="00E06486">
              <w:rPr>
                <w:rFonts w:ascii="Times New Roman" w:eastAsia="Times New Roman" w:hAnsi="Times New Roman" w:cs="Times New Roman"/>
                <w:sz w:val="18"/>
                <w:szCs w:val="18"/>
                <w:lang w:val="pl-PL" w:eastAsia="pl-PL"/>
              </w:rPr>
              <w:br/>
              <w:t>- Stwórz artystom możliwości współpracy w formatach wirtualnych lub fizycznych z profesjonalistami z innych sektorów, w tym nauki, technologii i biznesu.</w:t>
            </w:r>
            <w:r w:rsidRPr="00E06486">
              <w:rPr>
                <w:rFonts w:ascii="Times New Roman" w:eastAsia="Times New Roman" w:hAnsi="Times New Roman" w:cs="Times New Roman"/>
                <w:sz w:val="18"/>
                <w:szCs w:val="18"/>
                <w:lang w:val="pl-PL" w:eastAsia="pl-PL"/>
              </w:rPr>
              <w:br/>
            </w:r>
            <w:r w:rsidRPr="00E06486">
              <w:rPr>
                <w:rFonts w:ascii="Times New Roman" w:eastAsia="Times New Roman" w:hAnsi="Times New Roman" w:cs="Times New Roman"/>
                <w:sz w:val="18"/>
                <w:szCs w:val="18"/>
                <w:lang w:val="pl-PL" w:eastAsia="pl-PL"/>
              </w:rPr>
              <w:lastRenderedPageBreak/>
              <w:t>Stypendia są przyznawane z poszanowaniem ogólnych zasad UE, w tym równości płci i niedyskryminacji. Kryteria wyboru wniosków o stypendia dla artystów w SKK, odpowiadające jednemu z sektorów NACE zgodnie z definicją Eurostatu, obejmują:</w:t>
            </w:r>
            <w:r w:rsidRPr="00E06486">
              <w:rPr>
                <w:rFonts w:ascii="Times New Roman" w:eastAsia="Times New Roman" w:hAnsi="Times New Roman" w:cs="Times New Roman"/>
                <w:sz w:val="18"/>
                <w:szCs w:val="18"/>
                <w:lang w:val="pl-PL" w:eastAsia="pl-PL"/>
              </w:rPr>
              <w:br/>
              <w:t>a) przekonujące portfolio artystyczne z ostatnich 24 miesięcy;</w:t>
            </w:r>
            <w:r w:rsidRPr="00E06486">
              <w:rPr>
                <w:rFonts w:ascii="Times New Roman" w:eastAsia="Times New Roman" w:hAnsi="Times New Roman" w:cs="Times New Roman"/>
                <w:sz w:val="18"/>
                <w:szCs w:val="18"/>
                <w:lang w:val="pl-PL" w:eastAsia="pl-PL"/>
              </w:rPr>
              <w:br/>
              <w:t>b) przekonujący plan artystyczny na najbliższe 24 miesiące.</w:t>
            </w:r>
            <w:r w:rsidRPr="00E06486">
              <w:rPr>
                <w:rFonts w:ascii="Times New Roman" w:eastAsia="Times New Roman" w:hAnsi="Times New Roman" w:cs="Times New Roman"/>
                <w:sz w:val="18"/>
                <w:szCs w:val="18"/>
                <w:lang w:val="pl-PL" w:eastAsia="pl-PL"/>
              </w:rPr>
              <w:br/>
              <w:t>O wyborze stypendystów decyduje komisja kwalifikacyjna, o której mowa w kamieniu milowym A2L</w:t>
            </w:r>
          </w:p>
        </w:tc>
      </w:tr>
      <w:tr w:rsidR="001052B5" w:rsidRPr="009D378C" w14:paraId="70332EDE"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4200"/>
        </w:trPr>
        <w:tc>
          <w:tcPr>
            <w:tcW w:w="708" w:type="dxa"/>
            <w:tcBorders>
              <w:top w:val="nil"/>
              <w:left w:val="single" w:sz="4" w:space="0" w:color="auto"/>
              <w:bottom w:val="single" w:sz="4" w:space="0" w:color="auto"/>
              <w:right w:val="single" w:sz="4" w:space="0" w:color="auto"/>
            </w:tcBorders>
            <w:shd w:val="clear" w:color="000000" w:fill="C6EFCE"/>
            <w:vAlign w:val="center"/>
            <w:hideMark/>
          </w:tcPr>
          <w:p w14:paraId="56DAF0B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lastRenderedPageBreak/>
              <w:t>A5L</w:t>
            </w:r>
          </w:p>
        </w:tc>
        <w:tc>
          <w:tcPr>
            <w:tcW w:w="2268" w:type="dxa"/>
            <w:tcBorders>
              <w:top w:val="nil"/>
              <w:left w:val="nil"/>
              <w:bottom w:val="single" w:sz="4" w:space="0" w:color="auto"/>
              <w:right w:val="single" w:sz="4" w:space="0" w:color="auto"/>
            </w:tcBorders>
            <w:shd w:val="clear" w:color="000000" w:fill="C6EFCE"/>
            <w:vAlign w:val="center"/>
            <w:hideMark/>
          </w:tcPr>
          <w:p w14:paraId="285260F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A2.5.2 Utworzenie modelowego centrum wspierania przemysłów kreatywnych</w:t>
            </w:r>
          </w:p>
        </w:tc>
        <w:tc>
          <w:tcPr>
            <w:tcW w:w="1134" w:type="dxa"/>
            <w:tcBorders>
              <w:top w:val="nil"/>
              <w:left w:val="nil"/>
              <w:bottom w:val="single" w:sz="4" w:space="0" w:color="auto"/>
              <w:right w:val="single" w:sz="4" w:space="0" w:color="auto"/>
            </w:tcBorders>
            <w:shd w:val="clear" w:color="000000" w:fill="C6EFCE"/>
            <w:vAlign w:val="center"/>
            <w:hideMark/>
          </w:tcPr>
          <w:p w14:paraId="7B5FE46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nil"/>
              <w:left w:val="nil"/>
              <w:bottom w:val="single" w:sz="4" w:space="0" w:color="auto"/>
              <w:right w:val="single" w:sz="4" w:space="0" w:color="auto"/>
            </w:tcBorders>
            <w:shd w:val="clear" w:color="000000" w:fill="C6EFCE"/>
            <w:vAlign w:val="center"/>
            <w:hideMark/>
          </w:tcPr>
          <w:p w14:paraId="28CA7ED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Renowacja muzeum na potrzeby modelowego centrum wspierania przemysłów kreatywnych</w:t>
            </w:r>
          </w:p>
        </w:tc>
        <w:tc>
          <w:tcPr>
            <w:tcW w:w="1276" w:type="dxa"/>
            <w:tcBorders>
              <w:top w:val="nil"/>
              <w:left w:val="nil"/>
              <w:bottom w:val="single" w:sz="4" w:space="0" w:color="auto"/>
              <w:right w:val="single" w:sz="4" w:space="0" w:color="auto"/>
            </w:tcBorders>
            <w:shd w:val="clear" w:color="000000" w:fill="C6EFCE"/>
            <w:vAlign w:val="center"/>
            <w:hideMark/>
          </w:tcPr>
          <w:p w14:paraId="7B6FD65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Zakończenie prac remontowych</w:t>
            </w:r>
          </w:p>
        </w:tc>
        <w:tc>
          <w:tcPr>
            <w:tcW w:w="1134" w:type="dxa"/>
            <w:tcBorders>
              <w:top w:val="nil"/>
              <w:left w:val="nil"/>
              <w:bottom w:val="single" w:sz="4" w:space="0" w:color="auto"/>
              <w:right w:val="single" w:sz="4" w:space="0" w:color="auto"/>
            </w:tcBorders>
            <w:shd w:val="clear" w:color="000000" w:fill="C6EFCE"/>
            <w:vAlign w:val="center"/>
            <w:hideMark/>
          </w:tcPr>
          <w:p w14:paraId="0C7EAD3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vAlign w:val="center"/>
            <w:hideMark/>
          </w:tcPr>
          <w:p w14:paraId="72C7AFC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vAlign w:val="center"/>
            <w:hideMark/>
          </w:tcPr>
          <w:p w14:paraId="71AF6A3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gridSpan w:val="2"/>
            <w:tcBorders>
              <w:top w:val="nil"/>
              <w:left w:val="nil"/>
              <w:bottom w:val="single" w:sz="4" w:space="0" w:color="auto"/>
              <w:right w:val="single" w:sz="4" w:space="0" w:color="auto"/>
            </w:tcBorders>
            <w:shd w:val="clear" w:color="000000" w:fill="C6EFCE"/>
            <w:vAlign w:val="center"/>
            <w:hideMark/>
          </w:tcPr>
          <w:p w14:paraId="718AA2C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6E94CF8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5DE9DF9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Muzeum Przemysłów Kreatywnych w Krakowie zostanie wyremontowane i rozbudowane z myślą o powołaniu modelowego centrum wsparcia przemysłów kreatywnych, ze szczególnym uwzględnieniem projektowania i architektury, współpracy z nauką i przedsiębiorcami, w celu wprowadzenia innowacyjnych rozwiązań do gospodarki, m.in. cyfryzacji oraz promowanie MŚP w tych branżach.</w:t>
            </w:r>
            <w:r w:rsidRPr="00E06486">
              <w:rPr>
                <w:rFonts w:ascii="Times New Roman" w:eastAsia="Times New Roman" w:hAnsi="Times New Roman" w:cs="Times New Roman"/>
                <w:sz w:val="18"/>
                <w:szCs w:val="18"/>
                <w:lang w:val="pl-PL" w:eastAsia="pl-PL"/>
              </w:rPr>
              <w:br/>
              <w:t>Renowacja Muzeum będzie integrować najwyższe standardy w zakresie efektywności energetycznej i materiałów renowacyjnych z najbardziej zaawansowanymi technologiami pod względem zrównoważonego rozwoju zgodnie z zasadą nie szkodzić (DNHS) oraz zgodnie z Dyrektywą o Charakterystyce Energetycznej Budynków ( EPBD).</w:t>
            </w:r>
            <w:r w:rsidRPr="00E06486">
              <w:rPr>
                <w:rFonts w:ascii="Times New Roman" w:eastAsia="Times New Roman" w:hAnsi="Times New Roman" w:cs="Times New Roman"/>
                <w:sz w:val="18"/>
                <w:szCs w:val="18"/>
                <w:lang w:val="pl-PL" w:eastAsia="pl-PL"/>
              </w:rPr>
              <w:br/>
              <w:t xml:space="preserve">Będzie wspierać inicjatywę New </w:t>
            </w:r>
            <w:proofErr w:type="spellStart"/>
            <w:r w:rsidRPr="00E06486">
              <w:rPr>
                <w:rFonts w:ascii="Times New Roman" w:eastAsia="Times New Roman" w:hAnsi="Times New Roman" w:cs="Times New Roman"/>
                <w:sz w:val="18"/>
                <w:szCs w:val="18"/>
                <w:lang w:val="pl-PL" w:eastAsia="pl-PL"/>
              </w:rPr>
              <w:t>Bauhaus</w:t>
            </w:r>
            <w:proofErr w:type="spellEnd"/>
            <w:r w:rsidRPr="00E06486">
              <w:rPr>
                <w:rFonts w:ascii="Times New Roman" w:eastAsia="Times New Roman" w:hAnsi="Times New Roman" w:cs="Times New Roman"/>
                <w:sz w:val="18"/>
                <w:szCs w:val="18"/>
                <w:lang w:val="pl-PL" w:eastAsia="pl-PL"/>
              </w:rPr>
              <w:t xml:space="preserve"> w szczególności poprzez zachęcanie do współpracy świata nauki i technologii, sztuki i kultury; oraz (ii) prezentacja modelowych rozwiązań w zakresie efektywności energetycznej i renowacji. </w:t>
            </w:r>
            <w:r w:rsidRPr="00E06486">
              <w:rPr>
                <w:rFonts w:ascii="Times New Roman" w:eastAsia="Times New Roman" w:hAnsi="Times New Roman" w:cs="Times New Roman"/>
                <w:sz w:val="18"/>
                <w:szCs w:val="18"/>
                <w:lang w:val="pl-PL" w:eastAsia="pl-PL"/>
              </w:rPr>
              <w:br/>
              <w:t>Prace remontowe obejmą m.in.:</w:t>
            </w:r>
            <w:r w:rsidRPr="00E06486">
              <w:rPr>
                <w:rFonts w:ascii="Times New Roman" w:eastAsia="Times New Roman" w:hAnsi="Times New Roman" w:cs="Times New Roman"/>
                <w:sz w:val="18"/>
                <w:szCs w:val="18"/>
                <w:lang w:val="pl-PL" w:eastAsia="pl-PL"/>
              </w:rPr>
              <w:br/>
              <w:t>• Rozwiązania w zakresie efektywności energetycznej</w:t>
            </w:r>
            <w:r w:rsidRPr="00E06486">
              <w:rPr>
                <w:rFonts w:ascii="Times New Roman" w:eastAsia="Times New Roman" w:hAnsi="Times New Roman" w:cs="Times New Roman"/>
                <w:sz w:val="18"/>
                <w:szCs w:val="18"/>
                <w:lang w:val="pl-PL" w:eastAsia="pl-PL"/>
              </w:rPr>
              <w:br/>
              <w:t>• Rozwój infrastruktury cyfrowej otwartej dla MŚP w branżach kultury</w:t>
            </w:r>
            <w:r w:rsidRPr="00E06486">
              <w:rPr>
                <w:rFonts w:ascii="Times New Roman" w:eastAsia="Times New Roman" w:hAnsi="Times New Roman" w:cs="Times New Roman"/>
                <w:sz w:val="18"/>
                <w:szCs w:val="18"/>
                <w:lang w:val="pl-PL" w:eastAsia="pl-PL"/>
              </w:rPr>
              <w:br/>
              <w:t>• Demonstracja zrównoważonych rozwiązań dla gospodarki o obiegu zamkniętym na materiałach budowlanych</w:t>
            </w:r>
          </w:p>
        </w:tc>
      </w:tr>
      <w:tr w:rsidR="001052B5" w:rsidRPr="009D378C" w14:paraId="31AFE836"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4755"/>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7699EF62"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A6L</w:t>
            </w:r>
          </w:p>
        </w:tc>
        <w:tc>
          <w:tcPr>
            <w:tcW w:w="2268" w:type="dxa"/>
            <w:tcBorders>
              <w:top w:val="nil"/>
              <w:left w:val="nil"/>
              <w:bottom w:val="single" w:sz="4" w:space="0" w:color="auto"/>
              <w:right w:val="single" w:sz="4" w:space="0" w:color="auto"/>
            </w:tcBorders>
            <w:shd w:val="clear" w:color="000000" w:fill="C6EFCE"/>
            <w:vAlign w:val="center"/>
            <w:hideMark/>
          </w:tcPr>
          <w:p w14:paraId="0A8182C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A2.5.2 Utworzenie modelowego centrum wspierania przemysłów kreatywnych</w:t>
            </w:r>
          </w:p>
        </w:tc>
        <w:tc>
          <w:tcPr>
            <w:tcW w:w="1134" w:type="dxa"/>
            <w:tcBorders>
              <w:top w:val="nil"/>
              <w:left w:val="nil"/>
              <w:bottom w:val="single" w:sz="4" w:space="0" w:color="auto"/>
              <w:right w:val="single" w:sz="4" w:space="0" w:color="auto"/>
            </w:tcBorders>
            <w:shd w:val="clear" w:color="000000" w:fill="C6EFCE"/>
            <w:vAlign w:val="center"/>
            <w:hideMark/>
          </w:tcPr>
          <w:p w14:paraId="2583EA9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50CB367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Umowy o współpracy zawarte pomiędzy klientami centrum wsparcia przemysłów kreatywnych</w:t>
            </w:r>
          </w:p>
        </w:tc>
        <w:tc>
          <w:tcPr>
            <w:tcW w:w="1276" w:type="dxa"/>
            <w:tcBorders>
              <w:top w:val="nil"/>
              <w:left w:val="nil"/>
              <w:bottom w:val="single" w:sz="4" w:space="0" w:color="auto"/>
              <w:right w:val="single" w:sz="4" w:space="0" w:color="auto"/>
            </w:tcBorders>
            <w:shd w:val="clear" w:color="000000" w:fill="C6EFCE"/>
            <w:vAlign w:val="center"/>
            <w:hideMark/>
          </w:tcPr>
          <w:p w14:paraId="1EF6238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63BD4B1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6FF62D1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522C714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10</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0E023A9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068F44A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41493CD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Umowy o współpracy obejmujące innowacyjne przedsięwzięcia (produkty) z zakresu wysokich technologii i wzornictwa, takie jak innowacyjne metody konserwacji, wzornictwo stosowane, architektura i urbanistyka. Umowy o współpracy określają sposoby współpracy twórczej pomiędzy instytucjami kultury, uczelniami, początkującymi przedsiębiorcami i producentami z branż kreatywnych.</w:t>
            </w:r>
            <w:r w:rsidRPr="00E06486">
              <w:rPr>
                <w:rFonts w:ascii="Times New Roman" w:eastAsia="Times New Roman" w:hAnsi="Times New Roman" w:cs="Times New Roman"/>
                <w:sz w:val="18"/>
                <w:szCs w:val="18"/>
                <w:lang w:val="pl-PL" w:eastAsia="pl-PL"/>
              </w:rPr>
              <w:br/>
              <w:t>Oczekiwane rezultaty to:</w:t>
            </w:r>
            <w:r w:rsidRPr="00E06486">
              <w:rPr>
                <w:rFonts w:ascii="Times New Roman" w:eastAsia="Times New Roman" w:hAnsi="Times New Roman" w:cs="Times New Roman"/>
                <w:sz w:val="18"/>
                <w:szCs w:val="18"/>
                <w:lang w:val="pl-PL" w:eastAsia="pl-PL"/>
              </w:rPr>
              <w:br/>
              <w:t>- wymianę umiejętności i wiedzy z ww. dziedzin,</w:t>
            </w:r>
            <w:r w:rsidRPr="00E06486">
              <w:rPr>
                <w:rFonts w:ascii="Times New Roman" w:eastAsia="Times New Roman" w:hAnsi="Times New Roman" w:cs="Times New Roman"/>
                <w:sz w:val="18"/>
                <w:szCs w:val="18"/>
                <w:lang w:val="pl-PL" w:eastAsia="pl-PL"/>
              </w:rPr>
              <w:br/>
              <w:t>- realizacji specjalistycznych projektów badawczo-rozwojowych do zastosowania w nowych produktach i technologiach,</w:t>
            </w:r>
            <w:r w:rsidRPr="00E06486">
              <w:rPr>
                <w:rFonts w:ascii="Times New Roman" w:eastAsia="Times New Roman" w:hAnsi="Times New Roman" w:cs="Times New Roman"/>
                <w:sz w:val="18"/>
                <w:szCs w:val="18"/>
                <w:lang w:val="pl-PL" w:eastAsia="pl-PL"/>
              </w:rPr>
              <w:br/>
              <w:t>- nowe modele przedsięwzięć kooperacyjnych pomiędzy szkolnictwem wyższym, przemysłami kreatywnymi i kulturą,</w:t>
            </w:r>
            <w:r w:rsidRPr="00E06486">
              <w:rPr>
                <w:rFonts w:ascii="Times New Roman" w:eastAsia="Times New Roman" w:hAnsi="Times New Roman" w:cs="Times New Roman"/>
                <w:sz w:val="18"/>
                <w:szCs w:val="18"/>
                <w:lang w:val="pl-PL" w:eastAsia="pl-PL"/>
              </w:rPr>
              <w:br/>
              <w:t>- promocja lokalnych przemysłów, organizacji pozarządowych i operatorów artystycznych,</w:t>
            </w:r>
            <w:r w:rsidRPr="00E06486">
              <w:rPr>
                <w:rFonts w:ascii="Times New Roman" w:eastAsia="Times New Roman" w:hAnsi="Times New Roman" w:cs="Times New Roman"/>
                <w:sz w:val="18"/>
                <w:szCs w:val="18"/>
                <w:lang w:val="pl-PL" w:eastAsia="pl-PL"/>
              </w:rPr>
              <w:br/>
              <w:t>- projekty edukacyjne dotyczące podnoszenia świadomości na temat zrównoważonego rozwoju i środowiska,</w:t>
            </w:r>
            <w:r w:rsidRPr="00E06486">
              <w:rPr>
                <w:rFonts w:ascii="Times New Roman" w:eastAsia="Times New Roman" w:hAnsi="Times New Roman" w:cs="Times New Roman"/>
                <w:sz w:val="18"/>
                <w:szCs w:val="18"/>
                <w:lang w:val="pl-PL" w:eastAsia="pl-PL"/>
              </w:rPr>
              <w:br/>
              <w:t>- Indykatywne wytyczne dotyczące modelowych przestrzeni publicznych i projektów urbanistycznych dla sektora prywatnego i publicznego.</w:t>
            </w:r>
          </w:p>
        </w:tc>
      </w:tr>
      <w:tr w:rsidR="001052B5" w:rsidRPr="009D378C" w14:paraId="4E61DA33"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835"/>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446C2CDE"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A7L</w:t>
            </w:r>
          </w:p>
        </w:tc>
        <w:tc>
          <w:tcPr>
            <w:tcW w:w="2268" w:type="dxa"/>
            <w:tcBorders>
              <w:top w:val="nil"/>
              <w:left w:val="nil"/>
              <w:bottom w:val="single" w:sz="4" w:space="0" w:color="auto"/>
              <w:right w:val="single" w:sz="4" w:space="0" w:color="auto"/>
            </w:tcBorders>
            <w:shd w:val="clear" w:color="000000" w:fill="C6EFCE"/>
            <w:vAlign w:val="center"/>
            <w:hideMark/>
          </w:tcPr>
          <w:p w14:paraId="050224E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 Reforma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3E4E8D1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nil"/>
              <w:left w:val="nil"/>
              <w:bottom w:val="single" w:sz="4" w:space="0" w:color="auto"/>
              <w:right w:val="single" w:sz="4" w:space="0" w:color="auto"/>
            </w:tcBorders>
            <w:shd w:val="clear" w:color="000000" w:fill="C6EFCE"/>
            <w:vAlign w:val="center"/>
            <w:hideMark/>
          </w:tcPr>
          <w:p w14:paraId="668820D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Wejście w życie ustawy o działalności kosmicznej, która ma być przyjęta przez Parlament</w:t>
            </w:r>
          </w:p>
        </w:tc>
        <w:tc>
          <w:tcPr>
            <w:tcW w:w="1276" w:type="dxa"/>
            <w:tcBorders>
              <w:top w:val="nil"/>
              <w:left w:val="nil"/>
              <w:bottom w:val="single" w:sz="4" w:space="0" w:color="auto"/>
              <w:right w:val="single" w:sz="4" w:space="0" w:color="auto"/>
            </w:tcBorders>
            <w:shd w:val="clear" w:color="000000" w:fill="C6EFCE"/>
            <w:vAlign w:val="center"/>
            <w:hideMark/>
          </w:tcPr>
          <w:p w14:paraId="0F5FF43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Przepis w ustawie wskazujący na wejście w życie</w:t>
            </w:r>
          </w:p>
        </w:tc>
        <w:tc>
          <w:tcPr>
            <w:tcW w:w="1134" w:type="dxa"/>
            <w:tcBorders>
              <w:top w:val="nil"/>
              <w:left w:val="nil"/>
              <w:bottom w:val="single" w:sz="4" w:space="0" w:color="auto"/>
              <w:right w:val="single" w:sz="4" w:space="0" w:color="auto"/>
            </w:tcBorders>
            <w:shd w:val="clear" w:color="000000" w:fill="C6EFCE"/>
            <w:noWrap/>
            <w:vAlign w:val="center"/>
            <w:hideMark/>
          </w:tcPr>
          <w:p w14:paraId="6F292A0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noWrap/>
            <w:vAlign w:val="center"/>
            <w:hideMark/>
          </w:tcPr>
          <w:p w14:paraId="193E9AB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noWrap/>
            <w:vAlign w:val="center"/>
            <w:hideMark/>
          </w:tcPr>
          <w:p w14:paraId="11C2840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6E4EB0D7"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noWrap/>
            <w:vAlign w:val="center"/>
            <w:hideMark/>
          </w:tcPr>
          <w:p w14:paraId="5BE314D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2024</w:t>
            </w:r>
          </w:p>
        </w:tc>
        <w:tc>
          <w:tcPr>
            <w:tcW w:w="3686" w:type="dxa"/>
            <w:tcBorders>
              <w:top w:val="nil"/>
              <w:left w:val="nil"/>
              <w:bottom w:val="single" w:sz="4" w:space="0" w:color="auto"/>
              <w:right w:val="single" w:sz="4" w:space="0" w:color="auto"/>
            </w:tcBorders>
            <w:shd w:val="clear" w:color="000000" w:fill="C6EFCE"/>
            <w:vAlign w:val="center"/>
            <w:hideMark/>
          </w:tcPr>
          <w:p w14:paraId="31A2D21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Nowe prawo ma m.in. ułatwić korzystanie z danych satelitarnych przez administrację publiczną. Ustawa powołuje narodowego operatora danych </w:t>
            </w:r>
            <w:proofErr w:type="spellStart"/>
            <w:r w:rsidRPr="00E06486">
              <w:rPr>
                <w:rFonts w:ascii="Times New Roman" w:eastAsia="Times New Roman" w:hAnsi="Times New Roman" w:cs="Times New Roman"/>
                <w:sz w:val="18"/>
                <w:szCs w:val="18"/>
                <w:lang w:val="pl-PL" w:eastAsia="pl-PL"/>
              </w:rPr>
              <w:t>satelitarnych.Ustawa</w:t>
            </w:r>
            <w:proofErr w:type="spellEnd"/>
            <w:r w:rsidRPr="00E06486">
              <w:rPr>
                <w:rFonts w:ascii="Times New Roman" w:eastAsia="Times New Roman" w:hAnsi="Times New Roman" w:cs="Times New Roman"/>
                <w:sz w:val="18"/>
                <w:szCs w:val="18"/>
                <w:lang w:val="pl-PL" w:eastAsia="pl-PL"/>
              </w:rPr>
              <w:t xml:space="preserve"> określa obowiązek krajowego administratora do promowania wykorzystania danych satelitarnych przez firmy prywatne, m.in. poprzez organizowanie szkoleń dla wszystkich zainteresowanych podmiotów.</w:t>
            </w:r>
          </w:p>
        </w:tc>
      </w:tr>
      <w:tr w:rsidR="001052B5" w:rsidRPr="009D378C" w14:paraId="54D7E6C4"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583"/>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1AFCB251"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A8L</w:t>
            </w:r>
          </w:p>
        </w:tc>
        <w:tc>
          <w:tcPr>
            <w:tcW w:w="2268" w:type="dxa"/>
            <w:tcBorders>
              <w:top w:val="nil"/>
              <w:left w:val="nil"/>
              <w:bottom w:val="single" w:sz="4" w:space="0" w:color="auto"/>
              <w:right w:val="single" w:sz="4" w:space="0" w:color="auto"/>
            </w:tcBorders>
            <w:shd w:val="clear" w:color="000000" w:fill="C6EFCE"/>
            <w:vAlign w:val="center"/>
            <w:hideMark/>
          </w:tcPr>
          <w:p w14:paraId="6B51947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A2.6.1 Inwestycja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33B92DD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622042C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Rozwój niezbędnej infrastruktury: Narodowy System Informacji Satelitarnej, który będzie świadczyć usługi monitoringu z wykorzystaniem danych z satelitarnych obserwacji Ziemi (EO) </w:t>
            </w:r>
          </w:p>
        </w:tc>
        <w:tc>
          <w:tcPr>
            <w:tcW w:w="1276" w:type="dxa"/>
            <w:tcBorders>
              <w:top w:val="nil"/>
              <w:left w:val="nil"/>
              <w:bottom w:val="single" w:sz="4" w:space="0" w:color="auto"/>
              <w:right w:val="single" w:sz="4" w:space="0" w:color="auto"/>
            </w:tcBorders>
            <w:shd w:val="clear" w:color="000000" w:fill="C6EFCE"/>
            <w:vAlign w:val="center"/>
            <w:hideMark/>
          </w:tcPr>
          <w:p w14:paraId="0AAEDCE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715D797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2A0A75A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6E500E7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1048993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noWrap/>
            <w:vAlign w:val="center"/>
            <w:hideMark/>
          </w:tcPr>
          <w:p w14:paraId="4C29C73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686" w:type="dxa"/>
            <w:tcBorders>
              <w:top w:val="nil"/>
              <w:left w:val="nil"/>
              <w:bottom w:val="single" w:sz="4" w:space="0" w:color="auto"/>
              <w:right w:val="single" w:sz="4" w:space="0" w:color="auto"/>
            </w:tcBorders>
            <w:shd w:val="clear" w:color="000000" w:fill="C6EFCE"/>
            <w:vAlign w:val="center"/>
            <w:hideMark/>
          </w:tcPr>
          <w:p w14:paraId="79CD523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Uruchomiony zostanie Narodowy System Informacji Satelitarnej. Uruchomienie wstępnych usług we współpracy z użytkownikami w dwóch obszarach zastosowań Elektronicznego Przechwytywania Danych (EDC) o dużym znaczeniu dla gospodarki i bezpieczeństwa Polski, wybranych spośród następujących obszarów: gospodarka przestrzenna, zarządzanie kryzysowe, rolnictwo i leśnictwo, gospodarka wodna, monitoring środowisko bałtyckie.</w:t>
            </w:r>
          </w:p>
        </w:tc>
      </w:tr>
      <w:tr w:rsidR="001052B5" w:rsidRPr="009D378C" w14:paraId="295D4C89"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562"/>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79BCBE7F"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A9L</w:t>
            </w:r>
          </w:p>
        </w:tc>
        <w:tc>
          <w:tcPr>
            <w:tcW w:w="2268" w:type="dxa"/>
            <w:tcBorders>
              <w:top w:val="nil"/>
              <w:left w:val="nil"/>
              <w:bottom w:val="single" w:sz="4" w:space="0" w:color="auto"/>
              <w:right w:val="single" w:sz="4" w:space="0" w:color="auto"/>
            </w:tcBorders>
            <w:shd w:val="clear" w:color="000000" w:fill="C6EFCE"/>
            <w:vAlign w:val="center"/>
            <w:hideMark/>
          </w:tcPr>
          <w:p w14:paraId="58E5116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A2.6.1 Inwestycja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66D9CBF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kamień milowy</w:t>
            </w:r>
          </w:p>
        </w:tc>
        <w:tc>
          <w:tcPr>
            <w:tcW w:w="2410" w:type="dxa"/>
            <w:tcBorders>
              <w:top w:val="nil"/>
              <w:left w:val="nil"/>
              <w:bottom w:val="single" w:sz="4" w:space="0" w:color="auto"/>
              <w:right w:val="single" w:sz="4" w:space="0" w:color="auto"/>
            </w:tcBorders>
            <w:shd w:val="clear" w:color="000000" w:fill="C6EFCE"/>
            <w:vAlign w:val="center"/>
            <w:hideMark/>
          </w:tcPr>
          <w:p w14:paraId="4C72FFB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Prace przygotowawcze do uruchomienia pierwszego polskiego satelity: ECSS Faza 0/A/B/C (Analiza misji/identyfikacja potrzeb, wykonalność i definicja) </w:t>
            </w:r>
          </w:p>
        </w:tc>
        <w:tc>
          <w:tcPr>
            <w:tcW w:w="1276" w:type="dxa"/>
            <w:tcBorders>
              <w:top w:val="nil"/>
              <w:left w:val="nil"/>
              <w:bottom w:val="single" w:sz="4" w:space="0" w:color="auto"/>
              <w:right w:val="single" w:sz="4" w:space="0" w:color="auto"/>
            </w:tcBorders>
            <w:shd w:val="clear" w:color="000000" w:fill="C6EFCE"/>
            <w:vAlign w:val="center"/>
            <w:hideMark/>
          </w:tcPr>
          <w:p w14:paraId="72C8539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Publikacja raportów</w:t>
            </w:r>
          </w:p>
        </w:tc>
        <w:tc>
          <w:tcPr>
            <w:tcW w:w="1134" w:type="dxa"/>
            <w:tcBorders>
              <w:top w:val="nil"/>
              <w:left w:val="nil"/>
              <w:bottom w:val="single" w:sz="4" w:space="0" w:color="auto"/>
              <w:right w:val="single" w:sz="4" w:space="0" w:color="auto"/>
            </w:tcBorders>
            <w:shd w:val="clear" w:color="000000" w:fill="C6EFCE"/>
            <w:vAlign w:val="center"/>
            <w:hideMark/>
          </w:tcPr>
          <w:p w14:paraId="0A3C82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trike/>
                <w:sz w:val="18"/>
                <w:szCs w:val="18"/>
                <w:lang w:val="pl-PL" w:eastAsia="pl-PL"/>
              </w:rPr>
              <w:t> </w:t>
            </w:r>
          </w:p>
        </w:tc>
        <w:tc>
          <w:tcPr>
            <w:tcW w:w="708" w:type="dxa"/>
            <w:tcBorders>
              <w:top w:val="nil"/>
              <w:left w:val="nil"/>
              <w:bottom w:val="single" w:sz="4" w:space="0" w:color="auto"/>
              <w:right w:val="single" w:sz="4" w:space="0" w:color="auto"/>
            </w:tcBorders>
            <w:shd w:val="clear" w:color="000000" w:fill="C6EFCE"/>
            <w:noWrap/>
            <w:vAlign w:val="center"/>
            <w:hideMark/>
          </w:tcPr>
          <w:p w14:paraId="4E74D6B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trike/>
                <w:sz w:val="18"/>
                <w:szCs w:val="18"/>
                <w:lang w:val="pl-PL" w:eastAsia="pl-PL"/>
              </w:rPr>
              <w:t> </w:t>
            </w:r>
          </w:p>
        </w:tc>
        <w:tc>
          <w:tcPr>
            <w:tcW w:w="709" w:type="dxa"/>
            <w:tcBorders>
              <w:top w:val="nil"/>
              <w:left w:val="nil"/>
              <w:bottom w:val="single" w:sz="4" w:space="0" w:color="auto"/>
              <w:right w:val="single" w:sz="4" w:space="0" w:color="auto"/>
            </w:tcBorders>
            <w:shd w:val="clear" w:color="000000" w:fill="C6EFCE"/>
            <w:noWrap/>
            <w:vAlign w:val="center"/>
            <w:hideMark/>
          </w:tcPr>
          <w:p w14:paraId="735DE512"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trike/>
                <w:sz w:val="18"/>
                <w:szCs w:val="18"/>
                <w:lang w:val="pl-PL" w:eastAsia="pl-PL"/>
              </w:rPr>
              <w:t> </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7429E56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0651FEE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2023</w:t>
            </w:r>
          </w:p>
        </w:tc>
        <w:tc>
          <w:tcPr>
            <w:tcW w:w="3686" w:type="dxa"/>
            <w:tcBorders>
              <w:top w:val="nil"/>
              <w:left w:val="nil"/>
              <w:bottom w:val="single" w:sz="4" w:space="0" w:color="auto"/>
              <w:right w:val="single" w:sz="4" w:space="0" w:color="auto"/>
            </w:tcBorders>
            <w:shd w:val="clear" w:color="000000" w:fill="C6EFCE"/>
            <w:vAlign w:val="center"/>
            <w:hideMark/>
          </w:tcPr>
          <w:p w14:paraId="12AD9C99"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Wskaźnik odnosi się do trzech opublikowanych raportów (przegląd definicji misji, przegląd wymagań wstępnych, przegląd projektu krytycznego). Segment kosmiczny obejmie satelitarne platformy mikro-czujników umożliwiające akwizycję danych optoelektronicznych i radarowych, wyposażone m.in. w moduł kompresji oraz szyfrowane łącza radiowe </w:t>
            </w:r>
            <w:proofErr w:type="spellStart"/>
            <w:r w:rsidRPr="00E06486">
              <w:rPr>
                <w:rFonts w:ascii="Times New Roman" w:eastAsia="Times New Roman" w:hAnsi="Times New Roman" w:cs="Times New Roman"/>
                <w:sz w:val="18"/>
                <w:szCs w:val="18"/>
                <w:lang w:val="pl-PL" w:eastAsia="pl-PL"/>
              </w:rPr>
              <w:t>uplink</w:t>
            </w:r>
            <w:proofErr w:type="spellEnd"/>
            <w:r w:rsidRPr="00E06486">
              <w:rPr>
                <w:rFonts w:ascii="Times New Roman" w:eastAsia="Times New Roman" w:hAnsi="Times New Roman" w:cs="Times New Roman"/>
                <w:sz w:val="18"/>
                <w:szCs w:val="18"/>
                <w:lang w:val="pl-PL" w:eastAsia="pl-PL"/>
              </w:rPr>
              <w:t>/</w:t>
            </w:r>
            <w:proofErr w:type="spellStart"/>
            <w:r w:rsidRPr="00E06486">
              <w:rPr>
                <w:rFonts w:ascii="Times New Roman" w:eastAsia="Times New Roman" w:hAnsi="Times New Roman" w:cs="Times New Roman"/>
                <w:sz w:val="18"/>
                <w:szCs w:val="18"/>
                <w:lang w:val="pl-PL" w:eastAsia="pl-PL"/>
              </w:rPr>
              <w:t>downlink</w:t>
            </w:r>
            <w:proofErr w:type="spellEnd"/>
            <w:r w:rsidRPr="00E06486">
              <w:rPr>
                <w:rFonts w:ascii="Times New Roman" w:eastAsia="Times New Roman" w:hAnsi="Times New Roman" w:cs="Times New Roman"/>
                <w:sz w:val="18"/>
                <w:szCs w:val="18"/>
                <w:lang w:val="pl-PL" w:eastAsia="pl-PL"/>
              </w:rPr>
              <w:t>. Prace przygotowawcze będą prowadzone zgodnie ze standardami Europejskiej Współpracy na rzecz Normalizacji Przestrzeni Kosmicznej (ECSS).</w:t>
            </w:r>
          </w:p>
        </w:tc>
      </w:tr>
      <w:tr w:rsidR="001052B5" w:rsidRPr="009D378C" w14:paraId="26F316E9"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2268"/>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7B4DEB06"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t>A10L</w:t>
            </w:r>
          </w:p>
        </w:tc>
        <w:tc>
          <w:tcPr>
            <w:tcW w:w="2268" w:type="dxa"/>
            <w:tcBorders>
              <w:top w:val="nil"/>
              <w:left w:val="nil"/>
              <w:bottom w:val="single" w:sz="4" w:space="0" w:color="auto"/>
              <w:right w:val="single" w:sz="4" w:space="0" w:color="auto"/>
            </w:tcBorders>
            <w:shd w:val="clear" w:color="000000" w:fill="C6EFCE"/>
            <w:vAlign w:val="center"/>
            <w:hideMark/>
          </w:tcPr>
          <w:p w14:paraId="773E3B6A"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A2.6.1 Inwestycja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297A43A0"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52811D2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W1: Uruchomienie pierwszego polskiego satelity</w:t>
            </w:r>
          </w:p>
        </w:tc>
        <w:tc>
          <w:tcPr>
            <w:tcW w:w="1276" w:type="dxa"/>
            <w:tcBorders>
              <w:top w:val="nil"/>
              <w:left w:val="nil"/>
              <w:bottom w:val="single" w:sz="4" w:space="0" w:color="auto"/>
              <w:right w:val="single" w:sz="4" w:space="0" w:color="auto"/>
            </w:tcBorders>
            <w:shd w:val="clear" w:color="000000" w:fill="C6EFCE"/>
            <w:vAlign w:val="center"/>
            <w:hideMark/>
          </w:tcPr>
          <w:p w14:paraId="3E492F33"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18A487EE"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7AFF651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0</w:t>
            </w:r>
          </w:p>
        </w:tc>
        <w:tc>
          <w:tcPr>
            <w:tcW w:w="709" w:type="dxa"/>
            <w:tcBorders>
              <w:top w:val="nil"/>
              <w:left w:val="nil"/>
              <w:bottom w:val="single" w:sz="4" w:space="0" w:color="auto"/>
              <w:right w:val="single" w:sz="4" w:space="0" w:color="auto"/>
            </w:tcBorders>
            <w:shd w:val="clear" w:color="000000" w:fill="C6EFCE"/>
            <w:noWrap/>
            <w:vAlign w:val="center"/>
            <w:hideMark/>
          </w:tcPr>
          <w:p w14:paraId="32D6F77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7BE008F6"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5CC4ADD1"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2025</w:t>
            </w:r>
          </w:p>
        </w:tc>
        <w:tc>
          <w:tcPr>
            <w:tcW w:w="3686" w:type="dxa"/>
            <w:tcBorders>
              <w:top w:val="nil"/>
              <w:left w:val="nil"/>
              <w:bottom w:val="single" w:sz="4" w:space="0" w:color="auto"/>
              <w:right w:val="single" w:sz="4" w:space="0" w:color="auto"/>
            </w:tcBorders>
            <w:shd w:val="clear" w:color="000000" w:fill="C6EFCE"/>
            <w:vAlign w:val="center"/>
            <w:hideMark/>
          </w:tcPr>
          <w:p w14:paraId="004D0CD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 uruchomionych satelitów, na które składa się kompletna produkcja, montaż i testowanie sprzętu/oprogramowania do lotu, w tym powiązane wsparcie naziemne, wprowadzające pierwszego satelitę na orbitę.</w:t>
            </w:r>
          </w:p>
        </w:tc>
      </w:tr>
      <w:tr w:rsidR="001052B5" w:rsidRPr="009D378C" w14:paraId="6DF3A6FB" w14:textId="77777777" w:rsidTr="0010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6" w:type="dxa"/>
          <w:trHeight w:val="3000"/>
        </w:trPr>
        <w:tc>
          <w:tcPr>
            <w:tcW w:w="708" w:type="dxa"/>
            <w:tcBorders>
              <w:top w:val="nil"/>
              <w:left w:val="single" w:sz="4" w:space="0" w:color="auto"/>
              <w:bottom w:val="single" w:sz="4" w:space="0" w:color="auto"/>
              <w:right w:val="single" w:sz="4" w:space="0" w:color="auto"/>
            </w:tcBorders>
            <w:shd w:val="clear" w:color="000000" w:fill="C6EFCE"/>
            <w:noWrap/>
            <w:vAlign w:val="center"/>
            <w:hideMark/>
          </w:tcPr>
          <w:p w14:paraId="56C2AAF5" w14:textId="77777777" w:rsidR="001052B5" w:rsidRPr="00E06486" w:rsidRDefault="001052B5" w:rsidP="00A20CA7">
            <w:pPr>
              <w:spacing w:after="0" w:line="240" w:lineRule="auto"/>
              <w:rPr>
                <w:rFonts w:ascii="Times New Roman" w:eastAsia="Times New Roman" w:hAnsi="Times New Roman" w:cs="Times New Roman"/>
                <w:b/>
                <w:bCs/>
                <w:sz w:val="18"/>
                <w:szCs w:val="18"/>
                <w:lang w:val="pl-PL" w:eastAsia="pl-PL"/>
              </w:rPr>
            </w:pPr>
            <w:r w:rsidRPr="00E06486">
              <w:rPr>
                <w:rFonts w:ascii="Times New Roman" w:eastAsia="Times New Roman" w:hAnsi="Times New Roman" w:cs="Times New Roman"/>
                <w:b/>
                <w:bCs/>
                <w:sz w:val="18"/>
                <w:szCs w:val="18"/>
                <w:lang w:val="pl-PL" w:eastAsia="pl-PL"/>
              </w:rPr>
              <w:lastRenderedPageBreak/>
              <w:t>A11L</w:t>
            </w:r>
          </w:p>
        </w:tc>
        <w:tc>
          <w:tcPr>
            <w:tcW w:w="2268" w:type="dxa"/>
            <w:tcBorders>
              <w:top w:val="nil"/>
              <w:left w:val="nil"/>
              <w:bottom w:val="single" w:sz="4" w:space="0" w:color="auto"/>
              <w:right w:val="single" w:sz="4" w:space="0" w:color="auto"/>
            </w:tcBorders>
            <w:shd w:val="clear" w:color="000000" w:fill="C6EFCE"/>
            <w:vAlign w:val="center"/>
            <w:hideMark/>
          </w:tcPr>
          <w:p w14:paraId="052557B8"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A2.6.1 Inwestycja - Rozbudowa krajowego systemu serwisów monitoringowych, produktów, narzędzi analitycznych i usług i towarzyszącej infrastruktury wykorzystujących dane satelitarne</w:t>
            </w:r>
          </w:p>
        </w:tc>
        <w:tc>
          <w:tcPr>
            <w:tcW w:w="1134" w:type="dxa"/>
            <w:tcBorders>
              <w:top w:val="nil"/>
              <w:left w:val="nil"/>
              <w:bottom w:val="single" w:sz="4" w:space="0" w:color="auto"/>
              <w:right w:val="single" w:sz="4" w:space="0" w:color="auto"/>
            </w:tcBorders>
            <w:shd w:val="clear" w:color="000000" w:fill="C6EFCE"/>
            <w:vAlign w:val="center"/>
            <w:hideMark/>
          </w:tcPr>
          <w:p w14:paraId="04A2D1BD"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wskaźnik</w:t>
            </w:r>
          </w:p>
        </w:tc>
        <w:tc>
          <w:tcPr>
            <w:tcW w:w="2410" w:type="dxa"/>
            <w:tcBorders>
              <w:top w:val="nil"/>
              <w:left w:val="nil"/>
              <w:bottom w:val="single" w:sz="4" w:space="0" w:color="auto"/>
              <w:right w:val="single" w:sz="4" w:space="0" w:color="auto"/>
            </w:tcBorders>
            <w:shd w:val="clear" w:color="000000" w:fill="C6EFCE"/>
            <w:vAlign w:val="center"/>
            <w:hideMark/>
          </w:tcPr>
          <w:p w14:paraId="7554F35C"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W2: Uruchomienie kolejnych trzech polskich satelitów</w:t>
            </w:r>
          </w:p>
        </w:tc>
        <w:tc>
          <w:tcPr>
            <w:tcW w:w="1276" w:type="dxa"/>
            <w:tcBorders>
              <w:top w:val="nil"/>
              <w:left w:val="nil"/>
              <w:bottom w:val="single" w:sz="4" w:space="0" w:color="auto"/>
              <w:right w:val="single" w:sz="4" w:space="0" w:color="auto"/>
            </w:tcBorders>
            <w:shd w:val="clear" w:color="000000" w:fill="C6EFCE"/>
            <w:vAlign w:val="center"/>
            <w:hideMark/>
          </w:tcPr>
          <w:p w14:paraId="5708F6F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w:t>
            </w:r>
          </w:p>
        </w:tc>
        <w:tc>
          <w:tcPr>
            <w:tcW w:w="1134" w:type="dxa"/>
            <w:tcBorders>
              <w:top w:val="nil"/>
              <w:left w:val="nil"/>
              <w:bottom w:val="single" w:sz="4" w:space="0" w:color="auto"/>
              <w:right w:val="single" w:sz="4" w:space="0" w:color="auto"/>
            </w:tcBorders>
            <w:shd w:val="clear" w:color="000000" w:fill="C6EFCE"/>
            <w:vAlign w:val="center"/>
            <w:hideMark/>
          </w:tcPr>
          <w:p w14:paraId="0DF8881B"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liczba</w:t>
            </w:r>
          </w:p>
        </w:tc>
        <w:tc>
          <w:tcPr>
            <w:tcW w:w="708" w:type="dxa"/>
            <w:tcBorders>
              <w:top w:val="nil"/>
              <w:left w:val="nil"/>
              <w:bottom w:val="single" w:sz="4" w:space="0" w:color="auto"/>
              <w:right w:val="single" w:sz="4" w:space="0" w:color="auto"/>
            </w:tcBorders>
            <w:shd w:val="clear" w:color="000000" w:fill="C6EFCE"/>
            <w:noWrap/>
            <w:vAlign w:val="center"/>
            <w:hideMark/>
          </w:tcPr>
          <w:p w14:paraId="128A23C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1</w:t>
            </w:r>
          </w:p>
        </w:tc>
        <w:tc>
          <w:tcPr>
            <w:tcW w:w="709" w:type="dxa"/>
            <w:tcBorders>
              <w:top w:val="nil"/>
              <w:left w:val="nil"/>
              <w:bottom w:val="single" w:sz="4" w:space="0" w:color="auto"/>
              <w:right w:val="single" w:sz="4" w:space="0" w:color="auto"/>
            </w:tcBorders>
            <w:shd w:val="clear" w:color="000000" w:fill="C6EFCE"/>
            <w:noWrap/>
            <w:vAlign w:val="center"/>
            <w:hideMark/>
          </w:tcPr>
          <w:p w14:paraId="588AD345"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4</w:t>
            </w:r>
          </w:p>
        </w:tc>
        <w:tc>
          <w:tcPr>
            <w:tcW w:w="567" w:type="dxa"/>
            <w:gridSpan w:val="2"/>
            <w:tcBorders>
              <w:top w:val="nil"/>
              <w:left w:val="nil"/>
              <w:bottom w:val="single" w:sz="4" w:space="0" w:color="auto"/>
              <w:right w:val="single" w:sz="4" w:space="0" w:color="auto"/>
            </w:tcBorders>
            <w:shd w:val="clear" w:color="000000" w:fill="C6EFCE"/>
            <w:noWrap/>
            <w:vAlign w:val="center"/>
            <w:hideMark/>
          </w:tcPr>
          <w:p w14:paraId="60D7D954"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53B94E7F" w14:textId="77777777"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2026</w:t>
            </w:r>
          </w:p>
        </w:tc>
        <w:tc>
          <w:tcPr>
            <w:tcW w:w="3686" w:type="dxa"/>
            <w:tcBorders>
              <w:top w:val="nil"/>
              <w:left w:val="nil"/>
              <w:bottom w:val="single" w:sz="4" w:space="0" w:color="auto"/>
              <w:right w:val="single" w:sz="4" w:space="0" w:color="auto"/>
            </w:tcBorders>
            <w:shd w:val="clear" w:color="000000" w:fill="C6EFCE"/>
            <w:vAlign w:val="center"/>
            <w:hideMark/>
          </w:tcPr>
          <w:p w14:paraId="070535F5" w14:textId="3011B65B" w:rsidR="001052B5" w:rsidRPr="00E06486" w:rsidRDefault="001052B5" w:rsidP="00A20CA7">
            <w:pPr>
              <w:spacing w:after="0" w:line="240" w:lineRule="auto"/>
              <w:rPr>
                <w:rFonts w:ascii="Times New Roman" w:eastAsia="Times New Roman" w:hAnsi="Times New Roman" w:cs="Times New Roman"/>
                <w:sz w:val="18"/>
                <w:szCs w:val="18"/>
                <w:lang w:val="pl-PL" w:eastAsia="pl-PL"/>
              </w:rPr>
            </w:pPr>
            <w:r w:rsidRPr="00E06486">
              <w:rPr>
                <w:rFonts w:ascii="Times New Roman" w:eastAsia="Times New Roman" w:hAnsi="Times New Roman" w:cs="Times New Roman"/>
                <w:sz w:val="18"/>
                <w:szCs w:val="18"/>
                <w:lang w:val="pl-PL" w:eastAsia="pl-PL"/>
              </w:rPr>
              <w:t xml:space="preserve">Cel dotyczy liczby uruchomionych satelitów (zgodnie z wymogami określonymi dla działania powyżej). Kompletna produkcja, montaż i testy sprzętu/oprogramowania do lotu, w tym powiązane wsparcie naziemne, prowadzące do </w:t>
            </w:r>
            <w:r w:rsidR="00A96148" w:rsidRPr="00E06486">
              <w:rPr>
                <w:rFonts w:ascii="Times New Roman" w:eastAsia="Times New Roman" w:hAnsi="Times New Roman" w:cs="Times New Roman"/>
                <w:sz w:val="18"/>
                <w:szCs w:val="18"/>
                <w:lang w:val="pl-PL" w:eastAsia="pl-PL"/>
              </w:rPr>
              <w:t>uruchomi</w:t>
            </w:r>
            <w:r w:rsidR="00A96148">
              <w:rPr>
                <w:rFonts w:ascii="Times New Roman" w:eastAsia="Times New Roman" w:hAnsi="Times New Roman" w:cs="Times New Roman"/>
                <w:sz w:val="18"/>
                <w:szCs w:val="18"/>
                <w:lang w:val="pl-PL" w:eastAsia="pl-PL"/>
              </w:rPr>
              <w:t>enia</w:t>
            </w:r>
            <w:r w:rsidR="00A96148" w:rsidRPr="00E06486">
              <w:rPr>
                <w:rFonts w:ascii="Times New Roman" w:eastAsia="Times New Roman" w:hAnsi="Times New Roman" w:cs="Times New Roman"/>
                <w:sz w:val="18"/>
                <w:szCs w:val="18"/>
                <w:lang w:val="pl-PL" w:eastAsia="pl-PL"/>
              </w:rPr>
              <w:t xml:space="preserve"> </w:t>
            </w:r>
            <w:r w:rsidRPr="00E06486">
              <w:rPr>
                <w:rFonts w:ascii="Times New Roman" w:eastAsia="Times New Roman" w:hAnsi="Times New Roman" w:cs="Times New Roman"/>
                <w:sz w:val="18"/>
                <w:szCs w:val="18"/>
                <w:lang w:val="pl-PL" w:eastAsia="pl-PL"/>
              </w:rPr>
              <w:t>kolejnych trzech satelitów na orbitę.</w:t>
            </w:r>
          </w:p>
        </w:tc>
      </w:tr>
    </w:tbl>
    <w:p w14:paraId="462DC97B" w14:textId="77777777" w:rsidR="001052B5"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916C19D" w14:textId="01FC469E" w:rsidR="001052B5" w:rsidRPr="00AF7348"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1052B5" w:rsidRPr="00AF7348">
          <w:headerReference w:type="even" r:id="rId27"/>
          <w:headerReference w:type="default" r:id="rId28"/>
          <w:footerReference w:type="even" r:id="rId29"/>
          <w:footerReference w:type="default" r:id="rId30"/>
          <w:headerReference w:type="first" r:id="rId31"/>
          <w:footerReference w:type="first" r:id="rId32"/>
          <w:pgSz w:w="16839" w:h="11907" w:orient="landscape"/>
          <w:pgMar w:top="720" w:right="720" w:bottom="720" w:left="720" w:header="709" w:footer="709" w:gutter="0"/>
          <w:cols w:space="720"/>
        </w:sectPr>
      </w:pPr>
    </w:p>
    <w:p w14:paraId="67DB6013" w14:textId="77777777" w:rsidR="007C4506" w:rsidRPr="00AF7348"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smallCaps/>
          <w:color w:val="000000"/>
          <w:sz w:val="24"/>
          <w:szCs w:val="24"/>
          <w:lang w:val="pl-PL"/>
        </w:rPr>
        <w:lastRenderedPageBreak/>
        <w:t xml:space="preserve">B. KOMPONENT B: ZIELONA ENERGIA I ZMNIEJSZENIE ENERGOCHŁONNOŚCI </w:t>
      </w:r>
    </w:p>
    <w:p w14:paraId="6ED381A2" w14:textId="64F13E30"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Ten komponent Krajowego Planu Odbudowy i Zwiększenia Odporności (KPO) ma na celu sprostanie kilku wyzwaniom związanym z dekarbonizacją i zanieczyszczeniem powietrza, przed którymi stoi obecnie polski sektor energetyczny. Po pierwsze, zależność Polski od węgla jest nadal znacznie wyższa niż w innych państwach członkowskich, co sprawia, że przejście na neutralność węglową stanowi poważne wyzwanie. Po drugie, około 70% budynków mieszkalnych jednorodzinnych oraz wiele budynków wielorodzinnych i publicznych nie spełnia standardów efektywności energetycznej. W połączeniu z wciąż powszechnym stosowaniem w indywidualnych systemach grzewczych węgla słabej jakości prowadzi to do niskiej jakości powietrza. Po trzecie, poważnym problemem jest niski poziom retencji oraz niedobory wody (w tym pitnej) na obszarach wiejskich.</w:t>
      </w:r>
      <w:r w:rsidR="0099737E">
        <w:rPr>
          <w:rFonts w:ascii="Times New Roman" w:eastAsia="Times New Roman" w:hAnsi="Times New Roman" w:cs="Times New Roman"/>
          <w:color w:val="000000"/>
          <w:sz w:val="24"/>
          <w:szCs w:val="24"/>
          <w:lang w:val="pl-PL"/>
        </w:rPr>
        <w:t xml:space="preserve"> </w:t>
      </w:r>
    </w:p>
    <w:p w14:paraId="7197CB5D" w14:textId="33937277"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Głównym </w:t>
      </w:r>
      <w:r w:rsidR="000A7B70">
        <w:rPr>
          <w:rFonts w:ascii="Times New Roman" w:eastAsia="Times New Roman" w:hAnsi="Times New Roman" w:cs="Times New Roman"/>
          <w:color w:val="000000"/>
          <w:sz w:val="24"/>
          <w:szCs w:val="24"/>
          <w:lang w:val="pl-PL"/>
        </w:rPr>
        <w:t>celem</w:t>
      </w:r>
      <w:r w:rsidR="000A7B70" w:rsidRPr="00AF7348">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 xml:space="preserve">komponentu jest zmiana </w:t>
      </w:r>
      <w:proofErr w:type="spellStart"/>
      <w:r w:rsidR="000A7B70">
        <w:rPr>
          <w:rFonts w:ascii="Times New Roman" w:eastAsia="Times New Roman" w:hAnsi="Times New Roman" w:cs="Times New Roman"/>
          <w:color w:val="000000"/>
          <w:sz w:val="24"/>
          <w:szCs w:val="24"/>
          <w:lang w:val="pl-PL"/>
        </w:rPr>
        <w:t>miksu</w:t>
      </w:r>
      <w:proofErr w:type="spellEnd"/>
      <w:r w:rsidR="000A7B70" w:rsidRPr="00AF7348">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energetyczne</w:t>
      </w:r>
      <w:r w:rsidR="000A7B70">
        <w:rPr>
          <w:rFonts w:ascii="Times New Roman" w:eastAsia="Times New Roman" w:hAnsi="Times New Roman" w:cs="Times New Roman"/>
          <w:color w:val="000000"/>
          <w:sz w:val="24"/>
          <w:szCs w:val="24"/>
          <w:lang w:val="pl-PL"/>
        </w:rPr>
        <w:t>go</w:t>
      </w:r>
      <w:r w:rsidRPr="00AF7348">
        <w:rPr>
          <w:rFonts w:ascii="Times New Roman" w:eastAsia="Times New Roman" w:hAnsi="Times New Roman" w:cs="Times New Roman"/>
          <w:color w:val="000000"/>
          <w:sz w:val="24"/>
          <w:szCs w:val="24"/>
          <w:lang w:val="pl-PL"/>
        </w:rPr>
        <w:t xml:space="preserve"> w kierunku technologii niskoemisyjnych, poprzez wspieranie wprowadzania odnawialnych źródeł energii oraz zwiększenie wykorzystania alternatywnych źródeł energii, takich jak wodór i biogaz. Komponent ma również na celu zmniejszenie zużycia energii poprzez wspieranie </w:t>
      </w:r>
      <w:r w:rsidR="0022381B">
        <w:rPr>
          <w:rFonts w:ascii="Times New Roman" w:eastAsia="Times New Roman" w:hAnsi="Times New Roman" w:cs="Times New Roman"/>
          <w:color w:val="000000"/>
          <w:sz w:val="24"/>
          <w:szCs w:val="24"/>
          <w:lang w:val="pl-PL"/>
        </w:rPr>
        <w:t>gruntownej</w:t>
      </w:r>
      <w:r w:rsidRPr="00AF7348">
        <w:rPr>
          <w:rFonts w:ascii="Times New Roman" w:eastAsia="Times New Roman" w:hAnsi="Times New Roman" w:cs="Times New Roman"/>
          <w:color w:val="000000"/>
          <w:sz w:val="24"/>
          <w:szCs w:val="24"/>
          <w:lang w:val="pl-PL"/>
        </w:rPr>
        <w:t xml:space="preserve"> modernizacji budynków, w tym termomodernizacji, oraz zmniejszenie energochłonności przemysłu i usług, a także gospodarstw domowych. Wreszcie, komponent będzie koncentrował się na zmniejszeniu wpływu człowieka na środowisko, w szczególności poprzez inwestycje w neutralizację zagrożeń oraz rekultywację dużych obszarów zdegradowanych, w tym Morza Bałtyckiego.</w:t>
      </w:r>
    </w:p>
    <w:p w14:paraId="4FBC8519" w14:textId="539DCAA0"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Komponent wspiera realizację zaleceń krajowych (</w:t>
      </w:r>
      <w:r w:rsidRPr="00AF7348">
        <w:rPr>
          <w:rFonts w:ascii="Times New Roman" w:eastAsia="Times New Roman" w:hAnsi="Times New Roman" w:cs="Times New Roman"/>
          <w:i/>
          <w:iCs/>
          <w:color w:val="000000" w:themeColor="text1"/>
          <w:sz w:val="24"/>
          <w:szCs w:val="24"/>
          <w:lang w:val="pl-PL"/>
        </w:rPr>
        <w:t>Country-</w:t>
      </w:r>
      <w:proofErr w:type="spellStart"/>
      <w:r w:rsidRPr="00AF7348">
        <w:rPr>
          <w:rFonts w:ascii="Times New Roman" w:eastAsia="Times New Roman" w:hAnsi="Times New Roman" w:cs="Times New Roman"/>
          <w:i/>
          <w:iCs/>
          <w:color w:val="000000" w:themeColor="text1"/>
          <w:sz w:val="24"/>
          <w:szCs w:val="24"/>
          <w:lang w:val="pl-PL"/>
        </w:rPr>
        <w:t>Specific</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Recommendations</w:t>
      </w:r>
      <w:proofErr w:type="spellEnd"/>
      <w:r w:rsidRPr="00AF7348">
        <w:rPr>
          <w:rFonts w:ascii="Times New Roman" w:eastAsia="Times New Roman" w:hAnsi="Times New Roman" w:cs="Times New Roman"/>
          <w:i/>
          <w:iCs/>
          <w:color w:val="000000" w:themeColor="text1"/>
          <w:sz w:val="24"/>
          <w:szCs w:val="24"/>
          <w:lang w:val="pl-PL"/>
        </w:rPr>
        <w:t>, CSR</w:t>
      </w:r>
      <w:r w:rsidRPr="00AF7348">
        <w:rPr>
          <w:rFonts w:ascii="Times New Roman" w:eastAsia="Times New Roman" w:hAnsi="Times New Roman" w:cs="Times New Roman"/>
          <w:color w:val="000000" w:themeColor="text1"/>
          <w:sz w:val="24"/>
          <w:szCs w:val="24"/>
          <w:lang w:val="pl-PL"/>
        </w:rPr>
        <w:t>) dotyczących ukierunkowania polityki gospodarczej związanej z inwestycjami na innowacje, transport, w szczególności na jego zrównoważony rozwój, infrastrukturę cyfrową i energetyczną, opiekę zdrowotną i czystą energię, z uwzględnieniem różnic regionalnych (CSR 3, 2019) oraz jej koncentracji na zielonych inwestycjach i inwestycjach w cyfrową transformację, w szczególności w infrastrukturę cyfrową, czystą i efektywną produkcję i wykorzystanie energii oraz zrównoważony transport, co przyczyni się do stopniowej dekarbonizacji gospodarki, w tym w regionach górniczych (CSR 3, 2020).</w:t>
      </w:r>
    </w:p>
    <w:p w14:paraId="146126AB" w14:textId="5E6067D6" w:rsidR="007C4506" w:rsidRPr="00AF7348" w:rsidRDefault="5F76C050">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żaden środek przewidziany w tym komponencie nie spowoduje znaczącej szkody dla celów środowiskowych w rozumieniu art. 17 Rozporządzenia (UE) 2020/852, biorąc pod uwagę opis środków i działań określonych w </w:t>
      </w:r>
      <w:r w:rsidR="0022381B">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22381B">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22381B">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22381B">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22381B">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dporności zgodnie z Wytycznymi Technicznymi Dotyczącymi Zasady DNSH - Nie Czyń </w:t>
      </w:r>
      <w:r w:rsidR="000A7B70">
        <w:rPr>
          <w:rFonts w:ascii="Times New Roman" w:eastAsia="Times New Roman" w:hAnsi="Times New Roman" w:cs="Times New Roman"/>
          <w:color w:val="000000" w:themeColor="text1"/>
          <w:sz w:val="24"/>
          <w:szCs w:val="24"/>
          <w:lang w:val="pl-PL"/>
        </w:rPr>
        <w:t>Znaczącej</w:t>
      </w:r>
      <w:r w:rsidR="000A7B70"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0A7B70">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22381B">
        <w:rPr>
          <w:rFonts w:ascii="Times New Roman" w:eastAsia="Times New Roman" w:hAnsi="Times New Roman" w:cs="Times New Roman"/>
          <w:i/>
          <w:iCs/>
          <w:color w:val="000000" w:themeColor="text1"/>
          <w:sz w:val="24"/>
          <w:szCs w:val="24"/>
          <w:lang w:val="pl-PL"/>
        </w:rPr>
        <w:t xml:space="preserve">DNSH Technical </w:t>
      </w:r>
      <w:proofErr w:type="spellStart"/>
      <w:r w:rsidRPr="0022381B">
        <w:rPr>
          <w:rFonts w:ascii="Times New Roman" w:eastAsia="Times New Roman" w:hAnsi="Times New Roman" w:cs="Times New Roman"/>
          <w:i/>
          <w:iCs/>
          <w:color w:val="000000" w:themeColor="text1"/>
          <w:sz w:val="24"/>
          <w:szCs w:val="24"/>
          <w:lang w:val="pl-PL"/>
        </w:rPr>
        <w:t>Guidance</w:t>
      </w:r>
      <w:proofErr w:type="spellEnd"/>
      <w:r w:rsidRPr="0022381B">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W przypadku wszystkich środków podejmowanych w ramach tego komponentu i obejmujących rozwój infrastruktury, wymagana jest zgodność z prawodawstwem UE aby uniknąć szkód w zakresie różnorodności biologicznej. Oznacza to w szczególności Dyrektywę OOŚ (2011/92/UE) oraz, w przypadku miejsc/operacji zlokalizowanych na obszarach wrażliwych pod względem różnorodności biologicznej lub w ich pobliżu, art. 6(3) oraz 12 Dyrektywy Siedliskowej (92/43/EWG), a także art. 5 Dyrektywy Ptasiej (2009/147/WE). </w:t>
      </w:r>
    </w:p>
    <w:p w14:paraId="74869460" w14:textId="77777777" w:rsidR="007C4506" w:rsidRPr="00AF7348" w:rsidRDefault="007C4506">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color w:val="000000"/>
          <w:sz w:val="24"/>
          <w:szCs w:val="24"/>
          <w:lang w:val="pl-PL"/>
        </w:rPr>
      </w:pPr>
    </w:p>
    <w:p w14:paraId="2CED5D07" w14:textId="6DA5658F" w:rsidR="0002330F"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color w:val="000000"/>
          <w:sz w:val="24"/>
          <w:szCs w:val="24"/>
          <w:lang w:val="pl-PL"/>
        </w:rPr>
      </w:pPr>
      <w:r w:rsidRPr="00AF7348">
        <w:rPr>
          <w:rFonts w:ascii="Times New Roman" w:hAnsi="Times New Roman" w:cs="Times New Roman"/>
          <w:b/>
          <w:bCs/>
          <w:color w:val="000000" w:themeColor="text1"/>
          <w:sz w:val="24"/>
          <w:szCs w:val="24"/>
          <w:lang w:val="pl-PL"/>
        </w:rPr>
        <w:t xml:space="preserve">B.1. </w:t>
      </w:r>
      <w:r w:rsidRPr="00AF7348">
        <w:rPr>
          <w:rFonts w:ascii="Times New Roman" w:hAnsi="Times New Roman" w:cs="Times New Roman"/>
          <w:color w:val="000000" w:themeColor="text1"/>
          <w:sz w:val="24"/>
          <w:szCs w:val="24"/>
          <w:lang w:val="pl-PL"/>
        </w:rPr>
        <w:tab/>
      </w:r>
      <w:r w:rsidRPr="00AF7348">
        <w:rPr>
          <w:rFonts w:ascii="Times New Roman" w:hAnsi="Times New Roman" w:cs="Times New Roman"/>
          <w:b/>
          <w:bCs/>
          <w:color w:val="000000" w:themeColor="text1"/>
          <w:sz w:val="24"/>
          <w:szCs w:val="24"/>
          <w:lang w:val="pl-PL"/>
        </w:rPr>
        <w:t>Opis reform i inwestycji</w:t>
      </w:r>
      <w:r w:rsidR="001225FF">
        <w:rPr>
          <w:rFonts w:ascii="Times New Roman" w:hAnsi="Times New Roman" w:cs="Times New Roman"/>
          <w:b/>
          <w:bCs/>
          <w:color w:val="000000" w:themeColor="text1"/>
          <w:sz w:val="24"/>
          <w:szCs w:val="24"/>
          <w:lang w:val="pl-PL"/>
        </w:rPr>
        <w:t xml:space="preserve"> realizowanych w ramach wsparcia </w:t>
      </w:r>
      <w:r w:rsidRPr="00AF7348">
        <w:rPr>
          <w:rFonts w:ascii="Times New Roman" w:hAnsi="Times New Roman" w:cs="Times New Roman"/>
          <w:b/>
          <w:bCs/>
          <w:color w:val="000000" w:themeColor="text1"/>
          <w:sz w:val="24"/>
          <w:szCs w:val="24"/>
          <w:lang w:val="pl-PL"/>
        </w:rPr>
        <w:t>bezzwrotnego</w:t>
      </w:r>
    </w:p>
    <w:p w14:paraId="37FBD4D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B1.1 Czyste powietrze i efektywność energetyczna</w:t>
      </w:r>
    </w:p>
    <w:p w14:paraId="1125BE6B" w14:textId="34434FA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Celem reformy jest ograniczenie emisji gazów cieplarnianych oraz zwiększenie efektywności energetycznej wybranych sektorów gospodarki. Ma też na celu poprawę jakości powietrza poprzez przyspieszenie procesu wymiany zanieczyszczających źródeł wytwarzania ciepła i energii elektrycznej.</w:t>
      </w:r>
    </w:p>
    <w:p w14:paraId="321723D8" w14:textId="7D36127C"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color w:val="000000" w:themeColor="text1"/>
          <w:sz w:val="24"/>
          <w:szCs w:val="24"/>
          <w:lang w:val="pl-PL"/>
        </w:rPr>
        <w:t>Cele te zostaną osiągnięte, po pierwsze, poprzez zestaw środków optymalizujących wsparcie inwestycji w efektywność energetyczną, głównie w ramach Systemu Zobowiązującego do Efektywności Energetycznej (</w:t>
      </w:r>
      <w:r w:rsidRPr="00AF7348">
        <w:rPr>
          <w:rFonts w:ascii="Times New Roman" w:eastAsia="Times New Roman" w:hAnsi="Times New Roman" w:cs="Times New Roman"/>
          <w:i/>
          <w:iCs/>
          <w:color w:val="000000" w:themeColor="text1"/>
          <w:sz w:val="24"/>
          <w:szCs w:val="24"/>
          <w:lang w:val="pl-PL"/>
        </w:rPr>
        <w:t xml:space="preserve">Energy </w:t>
      </w:r>
      <w:proofErr w:type="spellStart"/>
      <w:r w:rsidRPr="00AF7348">
        <w:rPr>
          <w:rFonts w:ascii="Times New Roman" w:eastAsia="Times New Roman" w:hAnsi="Times New Roman" w:cs="Times New Roman"/>
          <w:i/>
          <w:iCs/>
          <w:color w:val="000000" w:themeColor="text1"/>
          <w:sz w:val="24"/>
          <w:szCs w:val="24"/>
          <w:lang w:val="pl-PL"/>
        </w:rPr>
        <w:t>Efficiency</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Obligation</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Scheme</w:t>
      </w:r>
      <w:proofErr w:type="spellEnd"/>
      <w:r w:rsidRPr="00AF7348">
        <w:rPr>
          <w:rFonts w:ascii="Times New Roman" w:eastAsia="Times New Roman" w:hAnsi="Times New Roman" w:cs="Times New Roman"/>
          <w:color w:val="000000" w:themeColor="text1"/>
          <w:sz w:val="24"/>
          <w:szCs w:val="24"/>
          <w:lang w:val="pl-PL"/>
        </w:rPr>
        <w:t>). Obejmą one ułatwienia w stosowaniu Umów o Poprawę Efektywności Energetycznej (</w:t>
      </w:r>
      <w:r w:rsidRPr="00AF7348">
        <w:rPr>
          <w:rFonts w:ascii="Times New Roman" w:eastAsia="Times New Roman" w:hAnsi="Times New Roman" w:cs="Times New Roman"/>
          <w:i/>
          <w:iCs/>
          <w:color w:val="000000" w:themeColor="text1"/>
          <w:sz w:val="24"/>
          <w:szCs w:val="24"/>
          <w:lang w:val="pl-PL"/>
        </w:rPr>
        <w:t xml:space="preserve">Energy Performance </w:t>
      </w:r>
      <w:proofErr w:type="spellStart"/>
      <w:r w:rsidRPr="00AF7348">
        <w:rPr>
          <w:rFonts w:ascii="Times New Roman" w:eastAsia="Times New Roman" w:hAnsi="Times New Roman" w:cs="Times New Roman"/>
          <w:i/>
          <w:iCs/>
          <w:color w:val="000000" w:themeColor="text1"/>
          <w:sz w:val="24"/>
          <w:szCs w:val="24"/>
          <w:lang w:val="pl-PL"/>
        </w:rPr>
        <w:t>Contracts</w:t>
      </w:r>
      <w:proofErr w:type="spellEnd"/>
      <w:r w:rsidRPr="00AF7348">
        <w:rPr>
          <w:rFonts w:ascii="Times New Roman" w:eastAsia="Times New Roman" w:hAnsi="Times New Roman" w:cs="Times New Roman"/>
          <w:color w:val="000000" w:themeColor="text1"/>
          <w:sz w:val="24"/>
          <w:szCs w:val="24"/>
          <w:lang w:val="pl-PL"/>
        </w:rPr>
        <w:t>) w sektorze publicznym, umożliwienie podmiotom objętym systemem zobowiązującym do efektywności energetycznej rozliczania się ze zobowiązań w zakresie oszczędności energii w ramach tzw. programów dotacyjnych oraz umożliwienie Przedsiębiorstwom Usług Energetycznych (</w:t>
      </w:r>
      <w:r w:rsidRPr="00AF7348">
        <w:rPr>
          <w:rFonts w:ascii="Times New Roman" w:eastAsia="Times New Roman" w:hAnsi="Times New Roman" w:cs="Times New Roman"/>
          <w:i/>
          <w:iCs/>
          <w:color w:val="000000" w:themeColor="text1"/>
          <w:sz w:val="24"/>
          <w:szCs w:val="24"/>
          <w:lang w:val="pl-PL"/>
        </w:rPr>
        <w:t xml:space="preserve">Energy Services </w:t>
      </w:r>
      <w:proofErr w:type="spellStart"/>
      <w:r w:rsidRPr="00AF7348">
        <w:rPr>
          <w:rFonts w:ascii="Times New Roman" w:eastAsia="Times New Roman" w:hAnsi="Times New Roman" w:cs="Times New Roman"/>
          <w:i/>
          <w:iCs/>
          <w:color w:val="000000" w:themeColor="text1"/>
          <w:sz w:val="24"/>
          <w:szCs w:val="24"/>
          <w:lang w:val="pl-PL"/>
        </w:rPr>
        <w:t>Companies</w:t>
      </w:r>
      <w:proofErr w:type="spellEnd"/>
      <w:r w:rsidRPr="00AF7348">
        <w:rPr>
          <w:rFonts w:ascii="Times New Roman" w:eastAsia="Times New Roman" w:hAnsi="Times New Roman" w:cs="Times New Roman"/>
          <w:i/>
          <w:iCs/>
          <w:color w:val="000000" w:themeColor="text1"/>
          <w:sz w:val="24"/>
          <w:szCs w:val="24"/>
          <w:lang w:val="pl-PL"/>
        </w:rPr>
        <w:t>, dalej ESCO</w:t>
      </w:r>
      <w:r w:rsidRPr="00AF7348">
        <w:rPr>
          <w:rFonts w:ascii="Times New Roman" w:eastAsia="Times New Roman" w:hAnsi="Times New Roman" w:cs="Times New Roman"/>
          <w:color w:val="000000" w:themeColor="text1"/>
          <w:sz w:val="24"/>
          <w:szCs w:val="24"/>
          <w:lang w:val="pl-PL"/>
        </w:rPr>
        <w:t>) uczestnictwa w systemie zobowiązującym do efektywności energetycznej. Cel ten zostanie osiągnięty poprzez nowelizację</w:t>
      </w:r>
      <w:r w:rsidR="004831CF">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ustawy o efektywności energetycznej w połączeniu ze zmianami w ustawie o wspieraniu termomodernizacji i remontów oraz o centralnym rejestrze emisji budynków; ustaw</w:t>
      </w:r>
      <w:r w:rsidR="004831CF">
        <w:rPr>
          <w:rFonts w:ascii="Times New Roman" w:eastAsia="Times New Roman" w:hAnsi="Times New Roman" w:cs="Times New Roman"/>
          <w:color w:val="000000" w:themeColor="text1"/>
          <w:sz w:val="24"/>
          <w:szCs w:val="24"/>
          <w:lang w:val="pl-PL"/>
        </w:rPr>
        <w:t>y</w:t>
      </w:r>
      <w:r w:rsidRPr="00AF7348">
        <w:rPr>
          <w:rFonts w:ascii="Times New Roman" w:eastAsia="Times New Roman" w:hAnsi="Times New Roman" w:cs="Times New Roman"/>
          <w:color w:val="000000" w:themeColor="text1"/>
          <w:sz w:val="24"/>
          <w:szCs w:val="24"/>
          <w:lang w:val="pl-PL"/>
        </w:rPr>
        <w:t xml:space="preserve"> o finansowym wsparciu tworzenia lokali mieszkalnych na wynajem; ustaw</w:t>
      </w:r>
      <w:r w:rsidR="00F15137">
        <w:rPr>
          <w:rFonts w:ascii="Times New Roman" w:eastAsia="Times New Roman" w:hAnsi="Times New Roman" w:cs="Times New Roman"/>
          <w:color w:val="000000" w:themeColor="text1"/>
          <w:sz w:val="24"/>
          <w:szCs w:val="24"/>
          <w:lang w:val="pl-PL"/>
        </w:rPr>
        <w:t>y</w:t>
      </w:r>
      <w:r w:rsidRPr="00AF7348">
        <w:rPr>
          <w:rFonts w:ascii="Times New Roman" w:eastAsia="Times New Roman" w:hAnsi="Times New Roman" w:cs="Times New Roman"/>
          <w:color w:val="000000" w:themeColor="text1"/>
          <w:sz w:val="24"/>
          <w:szCs w:val="24"/>
          <w:lang w:val="pl-PL"/>
        </w:rPr>
        <w:t xml:space="preserve"> o niektórych rodzajach </w:t>
      </w:r>
      <w:r w:rsidRPr="00AF7348">
        <w:rPr>
          <w:rFonts w:ascii="Times New Roman" w:eastAsia="Times New Roman" w:hAnsi="Times New Roman" w:cs="Times New Roman"/>
          <w:sz w:val="24"/>
          <w:szCs w:val="24"/>
          <w:lang w:val="pl-PL"/>
        </w:rPr>
        <w:t>wsparcia mieszkaniowego; oraz ustaw</w:t>
      </w:r>
      <w:r w:rsidR="00F15137">
        <w:rPr>
          <w:rFonts w:ascii="Times New Roman" w:eastAsia="Times New Roman" w:hAnsi="Times New Roman" w:cs="Times New Roman"/>
          <w:sz w:val="24"/>
          <w:szCs w:val="24"/>
          <w:lang w:val="pl-PL"/>
        </w:rPr>
        <w:t>y</w:t>
      </w:r>
      <w:r w:rsidRPr="00AF7348">
        <w:rPr>
          <w:rFonts w:ascii="Times New Roman" w:eastAsia="Times New Roman" w:hAnsi="Times New Roman" w:cs="Times New Roman"/>
          <w:sz w:val="24"/>
          <w:szCs w:val="24"/>
          <w:lang w:val="pl-PL"/>
        </w:rPr>
        <w:t xml:space="preserve"> o odnawialnych źródłach energii. Te akty prawne </w:t>
      </w:r>
      <w:r w:rsidR="00562FB6">
        <w:rPr>
          <w:rFonts w:ascii="Times New Roman" w:eastAsia="Times New Roman" w:hAnsi="Times New Roman" w:cs="Times New Roman"/>
          <w:sz w:val="24"/>
          <w:szCs w:val="24"/>
          <w:lang w:val="pl-PL"/>
        </w:rPr>
        <w:t>powinny wejść</w:t>
      </w:r>
      <w:r w:rsidR="00562FB6" w:rsidRPr="00AF7348">
        <w:rPr>
          <w:rFonts w:ascii="Times New Roman" w:eastAsia="Times New Roman" w:hAnsi="Times New Roman" w:cs="Times New Roman"/>
          <w:sz w:val="24"/>
          <w:szCs w:val="24"/>
          <w:lang w:val="pl-PL"/>
        </w:rPr>
        <w:t xml:space="preserve"> </w:t>
      </w:r>
      <w:r w:rsidRPr="00AF7348">
        <w:rPr>
          <w:rFonts w:ascii="Times New Roman" w:eastAsia="Times New Roman" w:hAnsi="Times New Roman" w:cs="Times New Roman"/>
          <w:sz w:val="24"/>
          <w:szCs w:val="24"/>
          <w:lang w:val="pl-PL"/>
        </w:rPr>
        <w:t>w życie do 31 marca 2022 roku.</w:t>
      </w:r>
    </w:p>
    <w:p w14:paraId="54738AF4" w14:textId="504C735D" w:rsidR="007C4506" w:rsidRPr="00AF7348" w:rsidRDefault="1E733C4C"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Po drugie, cele reformy "Czyste powietrze i efektywność energetyczna" zostaną osiągnięte dzięki opracowaniu Programu Priorytetowego Czyste Powietrze zgodnie z długoterminową strategią renowacji na mocy Dyrektywy dotyczącej charakterystyki energetycznej budynków (2010/31/UE), który będzie głównym napędem dla działań związanych z poprawą efektywności energetycznej budynków. Skuteczność wdrażania obecnego Programu Czyste Powietrze zostanie zwiększona poprzez usprawnienie procedur składania wniosków. W ramach programu zostanie opracowane specjalne wsparcie dla gospodarstw domowych o najniższych dochodach, a w przypadku gospodarstw domowych o dochodach wyższych odbędzie się to w formie pożyczek połączonych z dotacjami, przy udziale sektora bankowego. Zmiany te stworzą podstawy do uruchomienia wsparcia w ramach inwestycji B1.1.2. "Wymiana źródeł ciepła i poprawa efektywności energetycznej w budynkach mieszkalnych", co pozwoli na znaczne zwiększenie tempa remontów budynków i wymiany grzejników wspieranych w ramach tego programu. Aktualizacje Programu Priorytetowego Czyste Powietrze zostaną przyjęte do 31 marca 2023 r. </w:t>
      </w:r>
    </w:p>
    <w:p w14:paraId="77FBA49A" w14:textId="4C45D92B" w:rsidR="00A2142E" w:rsidRPr="00AF7348" w:rsidRDefault="00B31839"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Trzecim elementem stanowiącym podstawę tej reformy będzie aktualizacja Krajowego Programu Ochrony Powietrza. Jej celem jest określenie kompleksowego, długoterminowego zestawu wymagań i warunków umożliwiających władzom regionalnym i lokalnym uzyskanie poprawy jakości powietrza. Władze te zostaną upoważnione do podjęcia konkretnych działań obniżających poziom emitowanych zanieczyszczeń powietrza pochodzących z ogrzewania gospodarstw domowych i transportu, w przypadku przekroczenia określonego progu takiego zanieczyszczenia. Władze lokalne i regionalne otrzymają także określony budżet na egzekwowanie przepisów dotyczących ochrony powietrza, w szczególności ustalonych w ramach tzw. uchwał antysmogowych. Zaktualizowany Krajowy Program Ochrony Powietrza ma w założeniu doprowadzić do zaprzestania, do 31 grudnia 2021 roku, udzielania jakiegokolwiek wsparcia publicznego dla inwestycji w nowe </w:t>
      </w:r>
      <w:r w:rsidR="00F15137">
        <w:rPr>
          <w:rFonts w:ascii="Times New Roman" w:eastAsia="Times New Roman" w:hAnsi="Times New Roman" w:cs="Times New Roman"/>
          <w:sz w:val="24"/>
          <w:szCs w:val="24"/>
          <w:lang w:val="pl-PL"/>
        </w:rPr>
        <w:t>urządzenia grzewcze</w:t>
      </w:r>
      <w:r w:rsidRPr="00AF7348">
        <w:rPr>
          <w:rFonts w:ascii="Times New Roman" w:eastAsia="Times New Roman" w:hAnsi="Times New Roman" w:cs="Times New Roman"/>
          <w:sz w:val="24"/>
          <w:szCs w:val="24"/>
          <w:lang w:val="pl-PL"/>
        </w:rPr>
        <w:t xml:space="preserve"> </w:t>
      </w:r>
      <w:r w:rsidR="00F15137">
        <w:rPr>
          <w:rFonts w:ascii="Times New Roman" w:eastAsia="Times New Roman" w:hAnsi="Times New Roman" w:cs="Times New Roman"/>
          <w:sz w:val="24"/>
          <w:szCs w:val="24"/>
          <w:lang w:val="pl-PL"/>
        </w:rPr>
        <w:t xml:space="preserve">na bazie </w:t>
      </w:r>
      <w:r w:rsidRPr="00AF7348">
        <w:rPr>
          <w:rFonts w:ascii="Times New Roman" w:eastAsia="Times New Roman" w:hAnsi="Times New Roman" w:cs="Times New Roman"/>
          <w:sz w:val="24"/>
          <w:szCs w:val="24"/>
          <w:lang w:val="pl-PL"/>
        </w:rPr>
        <w:t>węgl</w:t>
      </w:r>
      <w:r w:rsidR="00F15137">
        <w:rPr>
          <w:rFonts w:ascii="Times New Roman" w:eastAsia="Times New Roman" w:hAnsi="Times New Roman" w:cs="Times New Roman"/>
          <w:sz w:val="24"/>
          <w:szCs w:val="24"/>
          <w:lang w:val="pl-PL"/>
        </w:rPr>
        <w:t>a</w:t>
      </w:r>
      <w:r w:rsidRPr="00AF7348">
        <w:rPr>
          <w:rFonts w:ascii="Times New Roman" w:eastAsia="Times New Roman" w:hAnsi="Times New Roman" w:cs="Times New Roman"/>
          <w:sz w:val="24"/>
          <w:szCs w:val="24"/>
          <w:lang w:val="pl-PL"/>
        </w:rPr>
        <w:t>.</w:t>
      </w:r>
    </w:p>
    <w:p w14:paraId="6E81314A" w14:textId="0DC6406E" w:rsidR="007C4506" w:rsidRPr="00AF7348" w:rsidRDefault="28CF86CE" w:rsidP="28D0ECD1">
      <w:pPr>
        <w:pStyle w:val="Normal0"/>
        <w:pBdr>
          <w:top w:val="nil"/>
          <w:left w:val="nil"/>
          <w:bottom w:val="nil"/>
          <w:right w:val="nil"/>
          <w:between w:val="nil"/>
        </w:pBdr>
        <w:spacing w:after="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Czwartym elementem reformy będzie nowelizacja rozporządzenia Ministra Klimatu i Środowiska określającego normy dla paliw stałych. W związku z wprowadzonym w 2018 roku zakazem stosowania do ogrzewania gospodarstw domowych węgla niskiej jakości, nowelizacja ta określi również minimalne normy dla paliw stałych oraz zakaże producentom stosowania wprowadzających w błąd oznaczeń. Wejdzie w życie do 31 grudnia 2022 roku. </w:t>
      </w:r>
    </w:p>
    <w:p w14:paraId="06BBA33E" w14:textId="77777777" w:rsidR="007C4506" w:rsidRPr="00AF7348" w:rsidRDefault="007C4506"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p>
    <w:p w14:paraId="1B677B3C" w14:textId="1E7022D9"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B1.1.1 Inwestycje w źródła ciepła w systemach ciepłowniczych</w:t>
      </w:r>
    </w:p>
    <w:p w14:paraId="0189DED1" w14:textId="4EF5A5CA" w:rsidR="007C4506" w:rsidRPr="00AF7348" w:rsidRDefault="00A604D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sz w:val="24"/>
          <w:szCs w:val="24"/>
          <w:lang w:val="pl-PL"/>
        </w:rPr>
        <w:t>Celem</w:t>
      </w:r>
      <w:r w:rsidRPr="00AF7348">
        <w:rPr>
          <w:rFonts w:ascii="Times New Roman" w:eastAsia="Times New Roman" w:hAnsi="Times New Roman" w:cs="Times New Roman"/>
          <w:sz w:val="24"/>
          <w:szCs w:val="24"/>
          <w:lang w:val="pl-PL"/>
        </w:rPr>
        <w:t xml:space="preserve"> </w:t>
      </w:r>
      <w:r w:rsidR="74D65981" w:rsidRPr="00AF7348">
        <w:rPr>
          <w:rFonts w:ascii="Times New Roman" w:eastAsia="Times New Roman" w:hAnsi="Times New Roman" w:cs="Times New Roman"/>
          <w:sz w:val="24"/>
          <w:szCs w:val="24"/>
          <w:lang w:val="pl-PL"/>
        </w:rPr>
        <w:t xml:space="preserve">tej inwestycji jest modernizacja ciepłownictwa komunalnego oraz zmniejszenie emisji gazów cieplarnianych. Znaczna część systemów ciepłowniczych w Polsce wymaga modernizacji, polegającej na wymianie źródeł </w:t>
      </w:r>
      <w:r w:rsidR="00AF7348" w:rsidRPr="00AF7348">
        <w:rPr>
          <w:rFonts w:ascii="Times New Roman" w:eastAsia="Times New Roman" w:hAnsi="Times New Roman" w:cs="Times New Roman"/>
          <w:sz w:val="24"/>
          <w:szCs w:val="24"/>
          <w:lang w:val="pl-PL"/>
        </w:rPr>
        <w:t>ciepła</w:t>
      </w:r>
      <w:r w:rsidR="74D65981" w:rsidRPr="00AF7348">
        <w:rPr>
          <w:rFonts w:ascii="Times New Roman" w:eastAsia="Times New Roman" w:hAnsi="Times New Roman" w:cs="Times New Roman"/>
          <w:sz w:val="24"/>
          <w:szCs w:val="24"/>
          <w:lang w:val="pl-PL"/>
        </w:rPr>
        <w:t>, których zły stan techniczny nie odpowiada definicji efektywnego systemu ciepłowniczego. Konieczność wymiany źródeł ciepła wiąże się także z niskim udziałem odnawialnych źródeł energii w systemie ciepłowniczym, wynoszącym obecnie ok. 9.5%. Celem jest zatem zmniejszenie energochłonności oraz emisji związanych z wytwarzaniem ciepła. W ramach tego działania realizowane będą wyłącznie inwestycje w instalacje niskoemisyjne oraz w odnawialne źródła energii. Wsparcie uzyskają instalacje wykorzystujące do produkcji ciepła: energię ze źródeł odnawialnych; paliwa gazowe w kogeneracji, bez udziału węgla; pompy ciepła i źródła geotermalne oraz inne technologie spełniające wymagania DNSH w zakresie zastępowania węgla w ogrzewaniu systemowym. Nie dopuszcza się stosowania paliwa pochodzącego z odpadów. Próg 250g CO</w:t>
      </w:r>
      <w:r w:rsidR="74D65981" w:rsidRPr="00AF7348">
        <w:rPr>
          <w:rFonts w:ascii="Times New Roman" w:eastAsia="Times New Roman" w:hAnsi="Times New Roman" w:cs="Times New Roman"/>
          <w:sz w:val="24"/>
          <w:szCs w:val="24"/>
          <w:vertAlign w:val="subscript"/>
          <w:lang w:val="pl-PL"/>
        </w:rPr>
        <w:t>2</w:t>
      </w:r>
      <w:r w:rsidR="74D65981" w:rsidRPr="00AF7348">
        <w:rPr>
          <w:rFonts w:ascii="Times New Roman" w:eastAsia="Times New Roman" w:hAnsi="Times New Roman" w:cs="Times New Roman"/>
          <w:color w:val="000000" w:themeColor="text1"/>
          <w:sz w:val="24"/>
          <w:szCs w:val="24"/>
          <w:lang w:val="pl-PL"/>
        </w:rPr>
        <w:t>/</w:t>
      </w:r>
      <w:r w:rsidR="00AF7348" w:rsidRPr="00AF7348">
        <w:rPr>
          <w:rFonts w:ascii="Times New Roman" w:eastAsia="Times New Roman" w:hAnsi="Times New Roman" w:cs="Times New Roman"/>
          <w:color w:val="000000" w:themeColor="text1"/>
          <w:sz w:val="24"/>
          <w:szCs w:val="24"/>
          <w:lang w:val="pl-PL"/>
        </w:rPr>
        <w:t>kWh</w:t>
      </w:r>
      <w:r w:rsidR="74D65981" w:rsidRPr="00AF7348">
        <w:rPr>
          <w:rFonts w:ascii="Times New Roman" w:eastAsia="Times New Roman" w:hAnsi="Times New Roman" w:cs="Times New Roman"/>
          <w:color w:val="000000" w:themeColor="text1"/>
          <w:sz w:val="24"/>
          <w:szCs w:val="24"/>
          <w:lang w:val="pl-PL"/>
        </w:rPr>
        <w:t xml:space="preserve"> wytworzonej energii nie może być przekraczany w instalacjach zasilanych gazem ziemnym. Beneficjentami będą podmioty, których działalność polega na produkcji ciepła na potrzeby komunalne i mieszkaniowe. Projekty będą wybierane w drodze konkursów otwartych, z uwzględnieniem następujących kryteriów: (i) gotowość i dojrzałość projektu do realizacji; (ii) stopień obniżenia emisji CO</w:t>
      </w:r>
      <w:r w:rsidR="74D65981" w:rsidRPr="00AF7348">
        <w:rPr>
          <w:rFonts w:ascii="Times New Roman" w:eastAsia="Times New Roman" w:hAnsi="Times New Roman" w:cs="Times New Roman"/>
          <w:color w:val="000000" w:themeColor="text1"/>
          <w:sz w:val="24"/>
          <w:szCs w:val="24"/>
          <w:vertAlign w:val="subscript"/>
          <w:lang w:val="pl-PL"/>
        </w:rPr>
        <w:t>2</w:t>
      </w:r>
      <w:r w:rsidR="74D65981" w:rsidRPr="00AF7348">
        <w:rPr>
          <w:rFonts w:ascii="Times New Roman" w:eastAsia="Times New Roman" w:hAnsi="Times New Roman" w:cs="Times New Roman"/>
          <w:color w:val="000000" w:themeColor="text1"/>
          <w:sz w:val="24"/>
          <w:szCs w:val="24"/>
          <w:lang w:val="pl-PL"/>
        </w:rPr>
        <w:t xml:space="preserve"> i/lub PM</w:t>
      </w:r>
      <w:r w:rsidR="74D65981" w:rsidRPr="00AF7348">
        <w:rPr>
          <w:rFonts w:ascii="Times New Roman" w:eastAsia="Times New Roman" w:hAnsi="Times New Roman" w:cs="Times New Roman"/>
          <w:color w:val="000000" w:themeColor="text1"/>
          <w:sz w:val="24"/>
          <w:szCs w:val="24"/>
          <w:vertAlign w:val="subscript"/>
          <w:lang w:val="pl-PL"/>
        </w:rPr>
        <w:t>2.5</w:t>
      </w:r>
      <w:r w:rsidR="74D65981" w:rsidRPr="00AF7348">
        <w:rPr>
          <w:rFonts w:ascii="Times New Roman" w:eastAsia="Times New Roman" w:hAnsi="Times New Roman" w:cs="Times New Roman"/>
          <w:color w:val="000000" w:themeColor="text1"/>
          <w:sz w:val="24"/>
          <w:szCs w:val="24"/>
          <w:lang w:val="pl-PL"/>
        </w:rPr>
        <w:t xml:space="preserve"> i PM</w:t>
      </w:r>
      <w:r w:rsidR="74D65981" w:rsidRPr="00AF7348">
        <w:rPr>
          <w:rFonts w:ascii="Times New Roman" w:eastAsia="Times New Roman" w:hAnsi="Times New Roman" w:cs="Times New Roman"/>
          <w:color w:val="000000" w:themeColor="text1"/>
          <w:sz w:val="24"/>
          <w:szCs w:val="24"/>
          <w:vertAlign w:val="subscript"/>
          <w:lang w:val="pl-PL"/>
        </w:rPr>
        <w:t>10</w:t>
      </w:r>
      <w:r w:rsidR="74D65981" w:rsidRPr="00AF7348">
        <w:rPr>
          <w:rFonts w:ascii="Times New Roman" w:eastAsia="Times New Roman" w:hAnsi="Times New Roman" w:cs="Times New Roman"/>
          <w:color w:val="000000" w:themeColor="text1"/>
          <w:sz w:val="24"/>
          <w:szCs w:val="24"/>
          <w:lang w:val="pl-PL"/>
        </w:rPr>
        <w:t xml:space="preserve"> w wyniku realizacji projektu; (iii) wykorzystanie odnawialnych źródeł energii; (iv) lokalizacja na obszarach o największej rocznej emisji PM</w:t>
      </w:r>
      <w:r w:rsidR="74D65981" w:rsidRPr="00AF7348">
        <w:rPr>
          <w:rFonts w:ascii="Times New Roman" w:eastAsia="Times New Roman" w:hAnsi="Times New Roman" w:cs="Times New Roman"/>
          <w:color w:val="000000" w:themeColor="text1"/>
          <w:sz w:val="24"/>
          <w:szCs w:val="24"/>
          <w:vertAlign w:val="subscript"/>
          <w:lang w:val="pl-PL"/>
        </w:rPr>
        <w:t>2.5</w:t>
      </w:r>
      <w:r w:rsidR="74D65981" w:rsidRPr="00AF7348">
        <w:rPr>
          <w:rFonts w:ascii="Times New Roman" w:eastAsia="Times New Roman" w:hAnsi="Times New Roman" w:cs="Times New Roman"/>
          <w:color w:val="000000" w:themeColor="text1"/>
          <w:sz w:val="24"/>
          <w:szCs w:val="24"/>
          <w:lang w:val="pl-PL"/>
        </w:rPr>
        <w:t xml:space="preserve"> i PM</w:t>
      </w:r>
      <w:r w:rsidR="74D65981" w:rsidRPr="00AF7348">
        <w:rPr>
          <w:rFonts w:ascii="Times New Roman" w:eastAsia="Times New Roman" w:hAnsi="Times New Roman" w:cs="Times New Roman"/>
          <w:color w:val="000000" w:themeColor="text1"/>
          <w:sz w:val="24"/>
          <w:szCs w:val="24"/>
          <w:vertAlign w:val="subscript"/>
          <w:lang w:val="pl-PL"/>
        </w:rPr>
        <w:t>10</w:t>
      </w:r>
      <w:r w:rsidR="74D65981" w:rsidRPr="00AF7348">
        <w:rPr>
          <w:rFonts w:ascii="Times New Roman" w:eastAsia="Times New Roman" w:hAnsi="Times New Roman" w:cs="Times New Roman"/>
          <w:color w:val="000000" w:themeColor="text1"/>
          <w:sz w:val="24"/>
          <w:szCs w:val="24"/>
          <w:lang w:val="pl-PL"/>
        </w:rPr>
        <w:t>.</w:t>
      </w:r>
    </w:p>
    <w:p w14:paraId="20F6D37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464FCBC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0F4FDF66" w14:textId="262BF14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B1.1.2 Wymiana źródeł ciepła i poprawa efektywności energetycznej w budynkach mieszkalnych</w:t>
      </w:r>
    </w:p>
    <w:p w14:paraId="29B87816" w14:textId="60CCAA44" w:rsidR="00B976D4" w:rsidRPr="00AF7348" w:rsidRDefault="00325AE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Pr>
          <w:rFonts w:ascii="Times New Roman" w:hAnsi="Times New Roman" w:cs="Times New Roman"/>
          <w:sz w:val="24"/>
          <w:szCs w:val="24"/>
          <w:lang w:val="pl-PL"/>
        </w:rPr>
        <w:t>Celem</w:t>
      </w:r>
      <w:r w:rsidRPr="00E518C3">
        <w:rPr>
          <w:rFonts w:ascii="Times New Roman" w:hAnsi="Times New Roman" w:cs="Times New Roman"/>
          <w:sz w:val="24"/>
          <w:szCs w:val="24"/>
          <w:lang w:val="pl-PL"/>
        </w:rPr>
        <w:t xml:space="preserve"> </w:t>
      </w:r>
      <w:r w:rsidR="7672226F" w:rsidRPr="00E518C3">
        <w:rPr>
          <w:rFonts w:ascii="Times New Roman" w:hAnsi="Times New Roman" w:cs="Times New Roman"/>
          <w:sz w:val="24"/>
          <w:szCs w:val="24"/>
          <w:lang w:val="pl-PL"/>
        </w:rPr>
        <w:t>tej inwestycji jest poprawa jakości powietrza, w tym zmniejszenie emisji pyłu zawieszonego poprzez zastąpienie wysokoemisyjnych źródeł ciepła oraz poprawę efektywności energetycznej jedno- i wielorodzinnych budynków mieszkalnych.</w:t>
      </w:r>
      <w:r w:rsidR="7672226F" w:rsidRPr="00E518C3">
        <w:rPr>
          <w:rFonts w:ascii="Times New Roman" w:eastAsia="Times New Roman" w:hAnsi="Times New Roman" w:cs="Times New Roman"/>
          <w:color w:val="000000" w:themeColor="text1"/>
          <w:sz w:val="24"/>
          <w:szCs w:val="24"/>
          <w:lang w:val="pl-PL"/>
        </w:rPr>
        <w:t xml:space="preserve"> Inwestycja będzie realizowana poprzez Program Priorytetowy Czyste Powietrze, </w:t>
      </w:r>
      <w:r w:rsidR="7672226F" w:rsidRPr="00E518C3">
        <w:rPr>
          <w:rFonts w:ascii="Times New Roman" w:eastAsia="Times New Roman" w:hAnsi="Times New Roman" w:cs="Times New Roman"/>
          <w:sz w:val="24"/>
          <w:szCs w:val="24"/>
          <w:lang w:val="pl-PL"/>
        </w:rPr>
        <w:t xml:space="preserve">którego aktualizacja, zgodnie z długoterminową strategią </w:t>
      </w:r>
      <w:r>
        <w:rPr>
          <w:rFonts w:ascii="Times New Roman" w:eastAsia="Times New Roman" w:hAnsi="Times New Roman" w:cs="Times New Roman"/>
          <w:sz w:val="24"/>
          <w:szCs w:val="24"/>
          <w:lang w:val="pl-PL"/>
        </w:rPr>
        <w:t>renowacji</w:t>
      </w:r>
      <w:r w:rsidRPr="00E518C3">
        <w:rPr>
          <w:rFonts w:ascii="Times New Roman" w:eastAsia="Times New Roman" w:hAnsi="Times New Roman" w:cs="Times New Roman"/>
          <w:sz w:val="24"/>
          <w:szCs w:val="24"/>
          <w:lang w:val="pl-PL"/>
        </w:rPr>
        <w:t xml:space="preserve"> </w:t>
      </w:r>
      <w:r w:rsidR="7672226F" w:rsidRPr="00E518C3">
        <w:rPr>
          <w:rFonts w:ascii="Times New Roman" w:eastAsia="Times New Roman" w:hAnsi="Times New Roman" w:cs="Times New Roman"/>
          <w:sz w:val="24"/>
          <w:szCs w:val="24"/>
          <w:lang w:val="pl-PL"/>
        </w:rPr>
        <w:t>na mocy Dyrektywy dotyczącej charakterystyki energetycznej budynków, jest jednym z kluczowych działań w ramach</w:t>
      </w:r>
      <w:r w:rsidR="7672226F" w:rsidRPr="00AF7348">
        <w:rPr>
          <w:rFonts w:ascii="Times New Roman" w:eastAsia="Times New Roman" w:hAnsi="Times New Roman" w:cs="Times New Roman"/>
          <w:sz w:val="24"/>
          <w:szCs w:val="24"/>
          <w:lang w:val="pl-PL"/>
        </w:rPr>
        <w:t xml:space="preserve"> Reformy B1.1, jak to opisano wyżej (oraz Funduszu Termomodernizacji i </w:t>
      </w:r>
      <w:r w:rsidRPr="00AF7348">
        <w:rPr>
          <w:rFonts w:ascii="Times New Roman" w:eastAsia="Times New Roman" w:hAnsi="Times New Roman" w:cs="Times New Roman"/>
          <w:sz w:val="24"/>
          <w:szCs w:val="24"/>
          <w:lang w:val="pl-PL"/>
        </w:rPr>
        <w:t>Re</w:t>
      </w:r>
      <w:r>
        <w:rPr>
          <w:rFonts w:ascii="Times New Roman" w:eastAsia="Times New Roman" w:hAnsi="Times New Roman" w:cs="Times New Roman"/>
          <w:sz w:val="24"/>
          <w:szCs w:val="24"/>
          <w:lang w:val="pl-PL"/>
        </w:rPr>
        <w:t>nowacji</w:t>
      </w:r>
      <w:r w:rsidRPr="00AF7348">
        <w:rPr>
          <w:rFonts w:ascii="Times New Roman" w:eastAsia="Times New Roman" w:hAnsi="Times New Roman" w:cs="Times New Roman"/>
          <w:sz w:val="24"/>
          <w:szCs w:val="24"/>
          <w:lang w:val="pl-PL"/>
        </w:rPr>
        <w:t xml:space="preserve"> </w:t>
      </w:r>
      <w:r w:rsidR="7672226F" w:rsidRPr="00AF7348">
        <w:rPr>
          <w:rFonts w:ascii="Times New Roman" w:eastAsia="Times New Roman" w:hAnsi="Times New Roman" w:cs="Times New Roman"/>
          <w:sz w:val="24"/>
          <w:szCs w:val="24"/>
          <w:lang w:val="pl-PL"/>
        </w:rPr>
        <w:t>w ramach budownictwa wielorodzinnego). Program będzie opierał się na doświadczeniach Programu Priorytetowego Czyste Powietrze. Inwestycje będą polegały na</w:t>
      </w:r>
      <w:r w:rsidR="002C1E3A">
        <w:rPr>
          <w:rFonts w:ascii="Times New Roman" w:eastAsia="Times New Roman" w:hAnsi="Times New Roman" w:cs="Times New Roman"/>
          <w:sz w:val="24"/>
          <w:szCs w:val="24"/>
          <w:lang w:val="pl-PL"/>
        </w:rPr>
        <w:t>:</w:t>
      </w:r>
      <w:r w:rsidR="7672226F" w:rsidRPr="00AF7348">
        <w:rPr>
          <w:rFonts w:ascii="Times New Roman" w:eastAsia="Times New Roman" w:hAnsi="Times New Roman" w:cs="Times New Roman"/>
          <w:sz w:val="24"/>
          <w:szCs w:val="24"/>
          <w:lang w:val="pl-PL"/>
        </w:rPr>
        <w:t xml:space="preserve"> (i) wymianie nieefektywnych źródeł ogrzewania pomieszczeń i wody; i/lub (ii) termomodernizacji budynków mieszkalnych; i/lub (iii) montażu instalacji wytwarzających energię ze źródeł odnawialnych (głównie paneli fotowoltaicznych, kolektorów słonecznych). Poziom wsparcia dostosowany zostanie do siły nabywczej odbiorców końcowych. Wsparcie będzie udzielane zgodnie z zasadą DNSH (nie czyń </w:t>
      </w:r>
      <w:r>
        <w:rPr>
          <w:rFonts w:ascii="Times New Roman" w:eastAsia="Times New Roman" w:hAnsi="Times New Roman" w:cs="Times New Roman"/>
          <w:sz w:val="24"/>
          <w:szCs w:val="24"/>
          <w:lang w:val="pl-PL"/>
        </w:rPr>
        <w:t>znaczącej</w:t>
      </w:r>
      <w:r w:rsidRPr="00AF7348">
        <w:rPr>
          <w:rFonts w:ascii="Times New Roman" w:eastAsia="Times New Roman" w:hAnsi="Times New Roman" w:cs="Times New Roman"/>
          <w:sz w:val="24"/>
          <w:szCs w:val="24"/>
          <w:lang w:val="pl-PL"/>
        </w:rPr>
        <w:t xml:space="preserve"> </w:t>
      </w:r>
      <w:r w:rsidR="7672226F" w:rsidRPr="00AF7348">
        <w:rPr>
          <w:rFonts w:ascii="Times New Roman" w:eastAsia="Times New Roman" w:hAnsi="Times New Roman" w:cs="Times New Roman"/>
          <w:sz w:val="24"/>
          <w:szCs w:val="24"/>
          <w:lang w:val="pl-PL"/>
        </w:rPr>
        <w:t>szk</w:t>
      </w:r>
      <w:r>
        <w:rPr>
          <w:rFonts w:ascii="Times New Roman" w:eastAsia="Times New Roman" w:hAnsi="Times New Roman" w:cs="Times New Roman"/>
          <w:sz w:val="24"/>
          <w:szCs w:val="24"/>
          <w:lang w:val="pl-PL"/>
        </w:rPr>
        <w:t>ody</w:t>
      </w:r>
      <w:r w:rsidR="7672226F" w:rsidRPr="00AF7348">
        <w:rPr>
          <w:rFonts w:ascii="Times New Roman" w:eastAsia="Times New Roman" w:hAnsi="Times New Roman" w:cs="Times New Roman"/>
          <w:sz w:val="24"/>
          <w:szCs w:val="24"/>
          <w:lang w:val="pl-PL"/>
        </w:rPr>
        <w:t xml:space="preserve">). Działania w ramach tej inwestycji powinny prowadzić, średnio, do co najmniej 30% oszczędności energii pierwotnej, a także do znacznego zmniejszenia emisji gazów cieplarnianych. Przyniosą również znaczące korzyści dla środowiska i zdrowia publicznego, zwłaszcza dzięki zmniejszeniu zanieczyszczeń, w szczególności na obszarach, gdzie normy jakości powietrza UE określone w </w:t>
      </w:r>
      <w:r w:rsidR="002C1E3A">
        <w:rPr>
          <w:rFonts w:ascii="Times New Roman" w:eastAsia="Times New Roman" w:hAnsi="Times New Roman" w:cs="Times New Roman"/>
          <w:sz w:val="24"/>
          <w:szCs w:val="24"/>
          <w:lang w:val="pl-PL"/>
        </w:rPr>
        <w:t>D</w:t>
      </w:r>
      <w:r w:rsidR="7672226F" w:rsidRPr="00AF7348">
        <w:rPr>
          <w:rFonts w:ascii="Times New Roman" w:eastAsia="Times New Roman" w:hAnsi="Times New Roman" w:cs="Times New Roman"/>
          <w:sz w:val="24"/>
          <w:szCs w:val="24"/>
          <w:lang w:val="pl-PL"/>
        </w:rPr>
        <w:t xml:space="preserve">yrektywie 2008/50/UE są przekraczane lub istnieje ryzyko ich przekroczenia. </w:t>
      </w:r>
    </w:p>
    <w:p w14:paraId="08E0D1DD" w14:textId="77777777" w:rsidR="007C4506"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30 czerwca 2026 roku. </w:t>
      </w:r>
    </w:p>
    <w:p w14:paraId="5C8C6B09" w14:textId="77777777" w:rsidR="007C4506" w:rsidRPr="00AF7348" w:rsidRDefault="007C4506"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1F1AD0AF" w14:textId="77777777" w:rsidR="007C4506"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B1.1.3 Wymiana źródeł ciepła i poprawa efektywności energetycznej szkół</w:t>
      </w:r>
    </w:p>
    <w:p w14:paraId="4FBBBD08" w14:textId="26ACEEA3" w:rsidR="007C4506" w:rsidRPr="00AF7348" w:rsidRDefault="00325AE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lastRenderedPageBreak/>
        <w:t>Celem</w:t>
      </w:r>
      <w:r w:rsidRPr="00AF7348">
        <w:rPr>
          <w:rFonts w:ascii="Times New Roman" w:eastAsia="Times New Roman" w:hAnsi="Times New Roman" w:cs="Times New Roman"/>
          <w:color w:val="000000" w:themeColor="text1"/>
          <w:sz w:val="24"/>
          <w:szCs w:val="24"/>
          <w:lang w:val="pl-PL"/>
        </w:rPr>
        <w:t xml:space="preserve"> </w:t>
      </w:r>
      <w:r w:rsidR="0AD6B531" w:rsidRPr="00AF7348">
        <w:rPr>
          <w:rFonts w:ascii="Times New Roman" w:eastAsia="Times New Roman" w:hAnsi="Times New Roman" w:cs="Times New Roman"/>
          <w:color w:val="000000" w:themeColor="text1"/>
          <w:sz w:val="24"/>
          <w:szCs w:val="24"/>
          <w:lang w:val="pl-PL"/>
        </w:rPr>
        <w:t>tej inwestycji jest poprawa efektywności energetycznej szkół oraz zastąpienie wysokoemisyjnych źródeł ciepła bardziej ekologicznymi alternatywami. Podejmowane działania mogą obejmować m.in. odnawialne źródła energii oraz dostosowanie funkcji, instalacji i systemów technicznych budynków do aktualnych wymagań obowiązującego prawa; gruntowne remonty; modernizację systemów ogrzewania pomieszczeń i wody; instalację energooszczędnego oświetlenia. Inwestycje wspierane w ramach Instrumentu na rzecz Odbudowy i Zwiększania Odporności (RRF) powinny prowadzić średnio do co najmniej 30% oszczędności energii pierwotnej. Projekty będą wybierane w drodze konkursów otwartych, z uwzględnieniem następujących kryteriów: (i) gotowość i dojrzałość projektu do realizacji; (ii) stopień obniżenia emisji CO</w:t>
      </w:r>
      <w:r w:rsidR="0AD6B531" w:rsidRPr="00AF7348">
        <w:rPr>
          <w:rFonts w:ascii="Times New Roman" w:eastAsia="Times New Roman" w:hAnsi="Times New Roman" w:cs="Times New Roman"/>
          <w:color w:val="000000" w:themeColor="text1"/>
          <w:sz w:val="24"/>
          <w:szCs w:val="24"/>
          <w:vertAlign w:val="subscript"/>
          <w:lang w:val="pl-PL"/>
        </w:rPr>
        <w:t>2</w:t>
      </w:r>
      <w:r w:rsidR="0AD6B531" w:rsidRPr="00AF7348">
        <w:rPr>
          <w:rFonts w:ascii="Times New Roman" w:eastAsia="Times New Roman" w:hAnsi="Times New Roman" w:cs="Times New Roman"/>
          <w:color w:val="000000" w:themeColor="text1"/>
          <w:sz w:val="24"/>
          <w:szCs w:val="24"/>
          <w:lang w:val="pl-PL"/>
        </w:rPr>
        <w:t xml:space="preserve"> i/lub PM</w:t>
      </w:r>
      <w:r w:rsidR="0AD6B531" w:rsidRPr="00AF7348">
        <w:rPr>
          <w:rFonts w:ascii="Times New Roman" w:eastAsia="Times New Roman" w:hAnsi="Times New Roman" w:cs="Times New Roman"/>
          <w:color w:val="000000" w:themeColor="text1"/>
          <w:sz w:val="24"/>
          <w:szCs w:val="24"/>
          <w:vertAlign w:val="subscript"/>
          <w:lang w:val="pl-PL"/>
        </w:rPr>
        <w:t>2.5</w:t>
      </w:r>
      <w:r w:rsidR="0AD6B531" w:rsidRPr="00AF7348">
        <w:rPr>
          <w:rFonts w:ascii="Times New Roman" w:eastAsia="Times New Roman" w:hAnsi="Times New Roman" w:cs="Times New Roman"/>
          <w:color w:val="000000" w:themeColor="text1"/>
          <w:sz w:val="24"/>
          <w:szCs w:val="24"/>
          <w:lang w:val="pl-PL"/>
        </w:rPr>
        <w:t xml:space="preserve"> i PM</w:t>
      </w:r>
      <w:r w:rsidR="0AD6B531" w:rsidRPr="00AF7348">
        <w:rPr>
          <w:rFonts w:ascii="Times New Roman" w:eastAsia="Times New Roman" w:hAnsi="Times New Roman" w:cs="Times New Roman"/>
          <w:color w:val="000000" w:themeColor="text1"/>
          <w:sz w:val="24"/>
          <w:szCs w:val="24"/>
          <w:vertAlign w:val="subscript"/>
          <w:lang w:val="pl-PL"/>
        </w:rPr>
        <w:t>10</w:t>
      </w:r>
      <w:r w:rsidR="0AD6B531" w:rsidRPr="00AF7348">
        <w:rPr>
          <w:rFonts w:ascii="Times New Roman" w:eastAsia="Times New Roman" w:hAnsi="Times New Roman" w:cs="Times New Roman"/>
          <w:color w:val="000000" w:themeColor="text1"/>
          <w:sz w:val="24"/>
          <w:szCs w:val="24"/>
          <w:lang w:val="pl-PL"/>
        </w:rPr>
        <w:t>; (iii) stopień obniżenia zużycia energii pierwotnej; (iv) wykorzystanie OZE.</w:t>
      </w:r>
    </w:p>
    <w:p w14:paraId="7AD77D6E" w14:textId="5CB2E5E0" w:rsidR="00F45022"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Działania uzupełniające mogą obejmować działania edukacyjne, podnoszące świadomość nauczycieli, uczniów i społeczności lokalnych na temat zanieczyszczenia powietrza, łagodzenia zmian klimatu oraz wykorzystania odnawialnych źródeł energii. </w:t>
      </w:r>
    </w:p>
    <w:p w14:paraId="5E653E8F" w14:textId="6D4B3FB2" w:rsidR="007C4506"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3382A365" w14:textId="77777777" w:rsidR="007C4506" w:rsidRPr="00AF7348" w:rsidRDefault="007C4506"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183ACC09" w14:textId="185EF944" w:rsidR="007C4506" w:rsidRPr="00AF7348"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B1.1.4 </w:t>
      </w:r>
      <w:r w:rsidR="00325AE2">
        <w:rPr>
          <w:rFonts w:ascii="Times New Roman" w:eastAsia="Times New Roman" w:hAnsi="Times New Roman" w:cs="Times New Roman"/>
          <w:b/>
          <w:bCs/>
          <w:color w:val="000000" w:themeColor="text1"/>
          <w:sz w:val="24"/>
          <w:szCs w:val="24"/>
          <w:u w:val="single"/>
          <w:lang w:val="pl-PL"/>
        </w:rPr>
        <w:t>Z</w:t>
      </w:r>
      <w:r w:rsidRPr="00AF7348">
        <w:rPr>
          <w:rFonts w:ascii="Times New Roman" w:eastAsia="Times New Roman" w:hAnsi="Times New Roman" w:cs="Times New Roman"/>
          <w:b/>
          <w:bCs/>
          <w:color w:val="000000" w:themeColor="text1"/>
          <w:sz w:val="24"/>
          <w:szCs w:val="24"/>
          <w:u w:val="single"/>
          <w:lang w:val="pl-PL"/>
        </w:rPr>
        <w:t>większeni</w:t>
      </w:r>
      <w:r w:rsidR="00325AE2">
        <w:rPr>
          <w:rFonts w:ascii="Times New Roman" w:eastAsia="Times New Roman" w:hAnsi="Times New Roman" w:cs="Times New Roman"/>
          <w:b/>
          <w:bCs/>
          <w:color w:val="000000" w:themeColor="text1"/>
          <w:sz w:val="24"/>
          <w:szCs w:val="24"/>
          <w:u w:val="single"/>
          <w:lang w:val="pl-PL"/>
        </w:rPr>
        <w:t>e</w:t>
      </w:r>
      <w:r w:rsidRPr="00AF7348">
        <w:rPr>
          <w:rFonts w:ascii="Times New Roman" w:eastAsia="Times New Roman" w:hAnsi="Times New Roman" w:cs="Times New Roman"/>
          <w:b/>
          <w:bCs/>
          <w:color w:val="000000" w:themeColor="text1"/>
          <w:sz w:val="24"/>
          <w:szCs w:val="24"/>
          <w:u w:val="single"/>
          <w:lang w:val="pl-PL"/>
        </w:rPr>
        <w:t xml:space="preserve"> efektywności energetycznej obiektów lokalnej aktywności społecznej </w:t>
      </w:r>
    </w:p>
    <w:p w14:paraId="676A96B1" w14:textId="0E8D5E94" w:rsidR="007C4506" w:rsidRPr="00AF7348" w:rsidRDefault="00325AE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294B0EBF" w:rsidRPr="00AF7348">
        <w:rPr>
          <w:rFonts w:ascii="Times New Roman" w:eastAsia="Times New Roman" w:hAnsi="Times New Roman" w:cs="Times New Roman"/>
          <w:color w:val="000000" w:themeColor="text1"/>
          <w:sz w:val="24"/>
          <w:szCs w:val="24"/>
          <w:lang w:val="pl-PL"/>
        </w:rPr>
        <w:t>inwestycji jest zwiększenie efektywności energetycznej obiektów lokalnej aktywności społecznej oraz zastąpienie wysokoemisyjnych źródeł ciepła czystszymi alternatywami. Podejmowane działania mogą obejmować m.in. odnawialne źródła energii oraz dostosowanie funkcji, instalacji i systemów technicznych budynków do aktualnych wymagań obowiązującego prawa; gruntowne remonty; modernizację systemów ogrzewania pomieszczeń i wody; instalację energooszczędnego oświetlenia. Inwestycje powinny docelowo prowadzić do średnio co najmniej 30% oszczędności w zużyciu energii. Projekty będą wybierane w drodze konkursów otwartych, z uwzględnieniem następujących kryteriów: (i) gotowość i dojrzałość projektu do realizacji; (ii) stopień obniżenia emisji CO</w:t>
      </w:r>
      <w:r w:rsidR="294B0EBF" w:rsidRPr="00AF7348">
        <w:rPr>
          <w:rFonts w:ascii="Times New Roman" w:eastAsia="Times New Roman" w:hAnsi="Times New Roman" w:cs="Times New Roman"/>
          <w:color w:val="000000" w:themeColor="text1"/>
          <w:sz w:val="24"/>
          <w:szCs w:val="24"/>
          <w:vertAlign w:val="subscript"/>
          <w:lang w:val="pl-PL"/>
        </w:rPr>
        <w:t>2</w:t>
      </w:r>
      <w:r w:rsidR="294B0EBF" w:rsidRPr="00AF7348">
        <w:rPr>
          <w:rFonts w:ascii="Times New Roman" w:eastAsia="Times New Roman" w:hAnsi="Times New Roman" w:cs="Times New Roman"/>
          <w:color w:val="000000" w:themeColor="text1"/>
          <w:sz w:val="24"/>
          <w:szCs w:val="24"/>
          <w:lang w:val="pl-PL"/>
        </w:rPr>
        <w:t xml:space="preserve"> i/lub PM</w:t>
      </w:r>
      <w:r w:rsidR="294B0EBF" w:rsidRPr="00AF7348">
        <w:rPr>
          <w:rFonts w:ascii="Times New Roman" w:eastAsia="Times New Roman" w:hAnsi="Times New Roman" w:cs="Times New Roman"/>
          <w:color w:val="000000" w:themeColor="text1"/>
          <w:sz w:val="24"/>
          <w:szCs w:val="24"/>
          <w:vertAlign w:val="subscript"/>
          <w:lang w:val="pl-PL"/>
        </w:rPr>
        <w:t>2.5</w:t>
      </w:r>
      <w:r w:rsidR="294B0EBF" w:rsidRPr="00AF7348">
        <w:rPr>
          <w:rFonts w:ascii="Times New Roman" w:eastAsia="Times New Roman" w:hAnsi="Times New Roman" w:cs="Times New Roman"/>
          <w:color w:val="000000" w:themeColor="text1"/>
          <w:sz w:val="24"/>
          <w:szCs w:val="24"/>
          <w:lang w:val="pl-PL"/>
        </w:rPr>
        <w:t xml:space="preserve"> i PM</w:t>
      </w:r>
      <w:r w:rsidR="294B0EBF" w:rsidRPr="00AF7348">
        <w:rPr>
          <w:rFonts w:ascii="Times New Roman" w:eastAsia="Times New Roman" w:hAnsi="Times New Roman" w:cs="Times New Roman"/>
          <w:color w:val="000000" w:themeColor="text1"/>
          <w:sz w:val="24"/>
          <w:szCs w:val="24"/>
          <w:vertAlign w:val="subscript"/>
          <w:lang w:val="pl-PL"/>
        </w:rPr>
        <w:t>10</w:t>
      </w:r>
      <w:r w:rsidR="294B0EBF" w:rsidRPr="00AF7348">
        <w:rPr>
          <w:rFonts w:ascii="Times New Roman" w:eastAsia="Times New Roman" w:hAnsi="Times New Roman" w:cs="Times New Roman"/>
          <w:color w:val="000000" w:themeColor="text1"/>
          <w:sz w:val="24"/>
          <w:szCs w:val="24"/>
          <w:lang w:val="pl-PL"/>
        </w:rPr>
        <w:t>; (iii) stopień obniżenia zużycia energii pierwotnej; (iv) wykorzystanie OZE.</w:t>
      </w:r>
    </w:p>
    <w:p w14:paraId="07BE4AC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5C71F136"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u w:val="single"/>
          <w:lang w:val="pl-PL"/>
        </w:rPr>
      </w:pPr>
    </w:p>
    <w:p w14:paraId="4EBF4C0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B2.1 Poprawa warunków dla rozwoju technologii wodorowych oraz innych gazów zdekarbonizowanych</w:t>
      </w:r>
    </w:p>
    <w:p w14:paraId="37404AA0" w14:textId="39B9AE9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Celem reformy jest rozwój rynku odnawialnego i niskoemisyjnego wodoru</w:t>
      </w:r>
      <w:r w:rsidR="00325AE2">
        <w:rPr>
          <w:rFonts w:ascii="Times New Roman" w:eastAsia="Times New Roman" w:hAnsi="Times New Roman" w:cs="Times New Roman"/>
          <w:color w:val="000000"/>
          <w:sz w:val="24"/>
          <w:szCs w:val="24"/>
          <w:lang w:val="pl-PL"/>
        </w:rPr>
        <w:t>,</w:t>
      </w:r>
      <w:r w:rsidRPr="00AF7348">
        <w:rPr>
          <w:rFonts w:ascii="Times New Roman" w:eastAsia="Times New Roman" w:hAnsi="Times New Roman" w:cs="Times New Roman"/>
          <w:color w:val="000000"/>
          <w:sz w:val="24"/>
          <w:szCs w:val="24"/>
          <w:lang w:val="pl-PL"/>
        </w:rPr>
        <w:t xml:space="preserve"> a także innych paliw alternatywnych.</w:t>
      </w:r>
    </w:p>
    <w:p w14:paraId="48D21A91" w14:textId="22FC781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koncentruje się na dwóch działaniach. </w:t>
      </w:r>
      <w:r w:rsidR="00325AE2">
        <w:rPr>
          <w:rFonts w:ascii="Times New Roman" w:eastAsia="Times New Roman" w:hAnsi="Times New Roman" w:cs="Times New Roman"/>
          <w:color w:val="000000" w:themeColor="text1"/>
          <w:sz w:val="24"/>
          <w:szCs w:val="24"/>
          <w:lang w:val="pl-PL"/>
        </w:rPr>
        <w:t>Celem</w:t>
      </w:r>
      <w:r w:rsidR="00325AE2"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pierwszego jest stworzenie ram </w:t>
      </w:r>
      <w:r w:rsidR="00325AE2">
        <w:rPr>
          <w:rFonts w:ascii="Times New Roman" w:eastAsia="Times New Roman" w:hAnsi="Times New Roman" w:cs="Times New Roman"/>
          <w:color w:val="000000" w:themeColor="text1"/>
          <w:sz w:val="24"/>
          <w:szCs w:val="24"/>
          <w:lang w:val="pl-PL"/>
        </w:rPr>
        <w:t>prawnych</w:t>
      </w:r>
      <w:r w:rsidR="00325AE2"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dla funkcjonowania wodoru jako paliwa alternatywnego w transporcie, poprzez wprowadzenie przepisów dotyczących budowy, bezpiecznej eksploatacji i modernizacji stacji wodorowych, a także określenie organów odpowiedzialnych za wydawanie zezwoleń na korzystanie z takich stacji oraz gwarantujących ich niezbędną kontrolę techniczną. Określi również system monitorowania i kontroli jakości paliw wodorowych stosowanych do zasilania pojazdów. Wdrażanie działania </w:t>
      </w:r>
      <w:r w:rsidR="009A15B7">
        <w:rPr>
          <w:rFonts w:ascii="Times New Roman" w:eastAsia="Times New Roman" w:hAnsi="Times New Roman" w:cs="Times New Roman"/>
          <w:color w:val="000000" w:themeColor="text1"/>
          <w:sz w:val="24"/>
          <w:szCs w:val="24"/>
          <w:lang w:val="pl-PL"/>
        </w:rPr>
        <w:t xml:space="preserve">powinno być </w:t>
      </w:r>
      <w:r w:rsidRPr="00AF7348">
        <w:rPr>
          <w:rFonts w:ascii="Times New Roman" w:eastAsia="Times New Roman" w:hAnsi="Times New Roman" w:cs="Times New Roman"/>
          <w:color w:val="000000" w:themeColor="text1"/>
          <w:sz w:val="24"/>
          <w:szCs w:val="24"/>
          <w:lang w:val="pl-PL"/>
        </w:rPr>
        <w:t>zakończone do 30 grudnia 2021 r.</w:t>
      </w:r>
    </w:p>
    <w:p w14:paraId="5626394E" w14:textId="4161B25E" w:rsidR="00325AE2"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Drugie działanie zakłada stworzenie infrastruktury wodorowej oraz zaprojektowanie rynków wodoru z myślą o wspieraniu wprowadzania na rynek odnawialnego i niskoemisyjnego wodoru, integracji produkcji wodoru z innymi rynkami energii, a także stworzenie odpowiedniej otoczki legislacyjnej dla inwestorów. Reformy będą zgodne z Wytycznymi Technicznymi Dotyczącymi Zasady DNSH - Nie Czyń </w:t>
      </w:r>
      <w:r w:rsidR="00325AE2">
        <w:rPr>
          <w:rFonts w:ascii="Times New Roman" w:eastAsia="Times New Roman" w:hAnsi="Times New Roman" w:cs="Times New Roman"/>
          <w:color w:val="000000" w:themeColor="text1"/>
          <w:sz w:val="24"/>
          <w:szCs w:val="24"/>
          <w:lang w:val="pl-PL"/>
        </w:rPr>
        <w:t>Znaczącej</w:t>
      </w:r>
      <w:r w:rsidR="00325AE2"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325AE2">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i/>
          <w:iCs/>
          <w:color w:val="000000" w:themeColor="text1"/>
          <w:sz w:val="24"/>
          <w:szCs w:val="24"/>
          <w:lang w:val="pl-PL"/>
        </w:rPr>
        <w:t xml:space="preserve">DNSH Technical </w:t>
      </w:r>
      <w:proofErr w:type="spellStart"/>
      <w:r w:rsidRPr="00AF7348">
        <w:rPr>
          <w:rFonts w:ascii="Times New Roman" w:eastAsia="Times New Roman" w:hAnsi="Times New Roman" w:cs="Times New Roman"/>
          <w:i/>
          <w:iCs/>
          <w:color w:val="000000" w:themeColor="text1"/>
          <w:sz w:val="24"/>
          <w:szCs w:val="24"/>
          <w:lang w:val="pl-PL"/>
        </w:rPr>
        <w:t>Guidance</w:t>
      </w:r>
      <w:proofErr w:type="spellEnd"/>
      <w:r w:rsidRPr="00AF734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gwarantującymi, że reforma nie utrudni stosowania i wprowadzania do obrotu wodoru odnawialnego w porównaniu do innych źródeł wodoru. </w:t>
      </w:r>
      <w:r w:rsidR="00325AE2" w:rsidRPr="00325AE2">
        <w:rPr>
          <w:rFonts w:ascii="Times New Roman" w:eastAsia="Times New Roman" w:hAnsi="Times New Roman" w:cs="Times New Roman"/>
          <w:color w:val="000000"/>
          <w:sz w:val="24"/>
          <w:szCs w:val="24"/>
          <w:lang w:val="pl-PL"/>
        </w:rPr>
        <w:t xml:space="preserve">Reforma ma na celu </w:t>
      </w:r>
      <w:r w:rsidR="00325AE2" w:rsidRPr="00325AE2">
        <w:rPr>
          <w:rFonts w:ascii="Times New Roman" w:eastAsia="Times New Roman" w:hAnsi="Times New Roman" w:cs="Times New Roman"/>
          <w:color w:val="000000"/>
          <w:sz w:val="24"/>
          <w:szCs w:val="24"/>
          <w:lang w:val="pl-PL"/>
        </w:rPr>
        <w:lastRenderedPageBreak/>
        <w:t>rozwój wodoru odnawialnego lub wodoru produkowanego z elektrolizerów i ma promować wodór niskoemisyjny, zgodn</w:t>
      </w:r>
      <w:r w:rsidR="005B6F46">
        <w:rPr>
          <w:rFonts w:ascii="Times New Roman" w:eastAsia="Times New Roman" w:hAnsi="Times New Roman" w:cs="Times New Roman"/>
          <w:color w:val="000000"/>
          <w:sz w:val="24"/>
          <w:szCs w:val="24"/>
          <w:lang w:val="pl-PL"/>
        </w:rPr>
        <w:t>ie</w:t>
      </w:r>
      <w:r w:rsidR="00325AE2" w:rsidRPr="00325AE2">
        <w:rPr>
          <w:rFonts w:ascii="Times New Roman" w:eastAsia="Times New Roman" w:hAnsi="Times New Roman" w:cs="Times New Roman"/>
          <w:color w:val="000000"/>
          <w:sz w:val="24"/>
          <w:szCs w:val="24"/>
          <w:lang w:val="pl-PL"/>
        </w:rPr>
        <w:t xml:space="preserve"> z unijną strategią wodorową.</w:t>
      </w:r>
    </w:p>
    <w:p w14:paraId="5765CF63" w14:textId="01F99C3F" w:rsidR="66E7BAD6" w:rsidRPr="00AF7348" w:rsidRDefault="66E7BAD6" w:rsidP="48DECEA6">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31 grudnia 2023 roku.</w:t>
      </w:r>
    </w:p>
    <w:p w14:paraId="62199465"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F464A0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B2.1.1 Inwestycje w technologie wodorowe, wytwarzanie, magazynowanie i transport wodoru</w:t>
      </w:r>
    </w:p>
    <w:p w14:paraId="01D9965D" w14:textId="7B6F6E6B" w:rsidR="007C4506" w:rsidRPr="00AF7348" w:rsidRDefault="005B6F46"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hAnsi="Times New Roman" w:cs="Times New Roman"/>
          <w:color w:val="000000" w:themeColor="text1"/>
          <w:sz w:val="24"/>
          <w:szCs w:val="24"/>
          <w:lang w:val="pl-PL"/>
        </w:rPr>
        <w:t>Celem</w:t>
      </w:r>
      <w:r w:rsidRPr="00AF7348">
        <w:rPr>
          <w:rFonts w:ascii="Times New Roman" w:hAnsi="Times New Roman" w:cs="Times New Roman"/>
          <w:color w:val="000000" w:themeColor="text1"/>
          <w:sz w:val="24"/>
          <w:szCs w:val="24"/>
          <w:lang w:val="pl-PL"/>
        </w:rPr>
        <w:t xml:space="preserve"> </w:t>
      </w:r>
      <w:r w:rsidR="360203B3" w:rsidRPr="00AF7348">
        <w:rPr>
          <w:rFonts w:ascii="Times New Roman" w:hAnsi="Times New Roman" w:cs="Times New Roman"/>
          <w:color w:val="000000" w:themeColor="text1"/>
          <w:sz w:val="24"/>
          <w:szCs w:val="24"/>
          <w:lang w:val="pl-PL"/>
        </w:rPr>
        <w:t>tej inwestycji jest stworzenie przemysłu wodorowego w Polsce oraz zwiększenie wykorzystania odnawialnego i niskoemisyjnego wodoru.</w:t>
      </w:r>
      <w:r w:rsidR="360203B3" w:rsidRPr="00AF7348">
        <w:rPr>
          <w:rFonts w:ascii="Times New Roman" w:hAnsi="Times New Roman" w:cs="Times New Roman"/>
          <w:lang w:val="pl-PL"/>
        </w:rPr>
        <w:t xml:space="preserve"> </w:t>
      </w:r>
      <w:r w:rsidR="360203B3" w:rsidRPr="00AF7348">
        <w:rPr>
          <w:rFonts w:ascii="Times New Roman" w:hAnsi="Times New Roman" w:cs="Times New Roman"/>
          <w:color w:val="000000" w:themeColor="text1"/>
          <w:sz w:val="24"/>
          <w:szCs w:val="24"/>
          <w:lang w:val="pl-PL"/>
        </w:rPr>
        <w:t xml:space="preserve">Projekty będą częścią zintegrowanego podejścia polityki, w ramach którego priorytetem będzie wodór odnawialny. Inwestycja będzie się składać z kilku projektów. Wszystkie projekty muszą być zgodne z Wytycznymi Technicznymi Dotyczącymi Zasady DNSH - Nie Czyń </w:t>
      </w:r>
      <w:r>
        <w:rPr>
          <w:rFonts w:ascii="Times New Roman" w:hAnsi="Times New Roman" w:cs="Times New Roman"/>
          <w:color w:val="000000" w:themeColor="text1"/>
          <w:sz w:val="24"/>
          <w:szCs w:val="24"/>
          <w:lang w:val="pl-PL"/>
        </w:rPr>
        <w:t>Znaczącej</w:t>
      </w:r>
      <w:r w:rsidRPr="00AF7348">
        <w:rPr>
          <w:rFonts w:ascii="Times New Roman" w:hAnsi="Times New Roman" w:cs="Times New Roman"/>
          <w:color w:val="000000" w:themeColor="text1"/>
          <w:sz w:val="24"/>
          <w:szCs w:val="24"/>
          <w:lang w:val="pl-PL"/>
        </w:rPr>
        <w:t xml:space="preserve"> </w:t>
      </w:r>
      <w:r w:rsidR="360203B3" w:rsidRPr="00AF7348">
        <w:rPr>
          <w:rFonts w:ascii="Times New Roman" w:hAnsi="Times New Roman" w:cs="Times New Roman"/>
          <w:color w:val="000000" w:themeColor="text1"/>
          <w:sz w:val="24"/>
          <w:szCs w:val="24"/>
          <w:lang w:val="pl-PL"/>
        </w:rPr>
        <w:t>Szk</w:t>
      </w:r>
      <w:r>
        <w:rPr>
          <w:rFonts w:ascii="Times New Roman" w:hAnsi="Times New Roman" w:cs="Times New Roman"/>
          <w:color w:val="000000" w:themeColor="text1"/>
          <w:sz w:val="24"/>
          <w:szCs w:val="24"/>
          <w:lang w:val="pl-PL"/>
        </w:rPr>
        <w:t>ody</w:t>
      </w:r>
      <w:r w:rsidR="360203B3" w:rsidRPr="00AF7348">
        <w:rPr>
          <w:rFonts w:ascii="Times New Roman" w:hAnsi="Times New Roman" w:cs="Times New Roman"/>
          <w:color w:val="000000" w:themeColor="text1"/>
          <w:sz w:val="24"/>
          <w:szCs w:val="24"/>
          <w:lang w:val="pl-PL"/>
        </w:rPr>
        <w:t xml:space="preserve"> (</w:t>
      </w:r>
      <w:r w:rsidR="360203B3" w:rsidRPr="00AF7348">
        <w:rPr>
          <w:rFonts w:ascii="Times New Roman" w:hAnsi="Times New Roman" w:cs="Times New Roman"/>
          <w:i/>
          <w:iCs/>
          <w:color w:val="000000" w:themeColor="text1"/>
          <w:sz w:val="24"/>
          <w:szCs w:val="24"/>
          <w:lang w:val="pl-PL"/>
        </w:rPr>
        <w:t xml:space="preserve">DNSH Technical </w:t>
      </w:r>
      <w:proofErr w:type="spellStart"/>
      <w:r w:rsidR="360203B3" w:rsidRPr="00AF7348">
        <w:rPr>
          <w:rFonts w:ascii="Times New Roman" w:hAnsi="Times New Roman" w:cs="Times New Roman"/>
          <w:i/>
          <w:iCs/>
          <w:color w:val="000000" w:themeColor="text1"/>
          <w:sz w:val="24"/>
          <w:szCs w:val="24"/>
          <w:lang w:val="pl-PL"/>
        </w:rPr>
        <w:t>Guidance</w:t>
      </w:r>
      <w:proofErr w:type="spellEnd"/>
      <w:r w:rsidR="360203B3" w:rsidRPr="00AF7348">
        <w:rPr>
          <w:rFonts w:ascii="Times New Roman" w:hAnsi="Times New Roman" w:cs="Times New Roman"/>
          <w:i/>
          <w:iCs/>
          <w:color w:val="000000" w:themeColor="text1"/>
          <w:sz w:val="24"/>
          <w:szCs w:val="24"/>
          <w:lang w:val="pl-PL"/>
        </w:rPr>
        <w:t>, 2021/C 58/01</w:t>
      </w:r>
      <w:r w:rsidR="360203B3" w:rsidRPr="00AF7348">
        <w:rPr>
          <w:rFonts w:ascii="Times New Roman" w:hAnsi="Times New Roman" w:cs="Times New Roman"/>
          <w:color w:val="000000" w:themeColor="text1"/>
          <w:sz w:val="24"/>
          <w:szCs w:val="24"/>
          <w:lang w:val="pl-PL"/>
        </w:rPr>
        <w:t>).</w:t>
      </w:r>
    </w:p>
    <w:p w14:paraId="5B76D9DC" w14:textId="768D3915" w:rsidR="007C4506" w:rsidRPr="00AF7348" w:rsidRDefault="3B2F9BC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Pierwszy projekt obejmie inwestycje w stacje tankowania wodoru, w tym w jego </w:t>
      </w:r>
      <w:r w:rsidR="005B6F46">
        <w:rPr>
          <w:rFonts w:ascii="Times New Roman" w:eastAsia="Times New Roman" w:hAnsi="Times New Roman" w:cs="Times New Roman"/>
          <w:color w:val="000000" w:themeColor="text1"/>
          <w:sz w:val="24"/>
          <w:szCs w:val="24"/>
          <w:lang w:val="pl-PL"/>
        </w:rPr>
        <w:t xml:space="preserve"> magazynowanie</w:t>
      </w:r>
      <w:r w:rsidRPr="00AF7348">
        <w:rPr>
          <w:rFonts w:ascii="Times New Roman" w:eastAsia="Times New Roman" w:hAnsi="Times New Roman" w:cs="Times New Roman"/>
          <w:color w:val="000000" w:themeColor="text1"/>
          <w:sz w:val="24"/>
          <w:szCs w:val="24"/>
          <w:lang w:val="pl-PL"/>
        </w:rPr>
        <w:t xml:space="preserve">. Instalacje do </w:t>
      </w:r>
      <w:r w:rsidR="005B6F46">
        <w:rPr>
          <w:rFonts w:ascii="Times New Roman" w:eastAsia="Times New Roman" w:hAnsi="Times New Roman" w:cs="Times New Roman"/>
          <w:color w:val="000000" w:themeColor="text1"/>
          <w:sz w:val="24"/>
          <w:szCs w:val="24"/>
          <w:lang w:val="pl-PL"/>
        </w:rPr>
        <w:t>magazynowania</w:t>
      </w:r>
      <w:r w:rsidR="005B6F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wodoru będą przystosowane do wszystkich źródeł wodoru, jednak z czasem ilość </w:t>
      </w:r>
      <w:r w:rsidR="005B6F46">
        <w:rPr>
          <w:rFonts w:ascii="Times New Roman" w:eastAsia="Times New Roman" w:hAnsi="Times New Roman" w:cs="Times New Roman"/>
          <w:color w:val="000000" w:themeColor="text1"/>
          <w:sz w:val="24"/>
          <w:szCs w:val="24"/>
          <w:lang w:val="pl-PL"/>
        </w:rPr>
        <w:t>magazynowanego</w:t>
      </w:r>
      <w:r w:rsidR="005B6F4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tzw. szarego wodoru (wodoru z paliw kopalnych) będzie się zmniejszać. </w:t>
      </w:r>
    </w:p>
    <w:p w14:paraId="5F46DD70" w14:textId="663B034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Drug</w:t>
      </w:r>
      <w:r w:rsidR="00DC486B">
        <w:rPr>
          <w:rFonts w:ascii="Times New Roman" w:eastAsia="Times New Roman" w:hAnsi="Times New Roman" w:cs="Times New Roman"/>
          <w:color w:val="000000"/>
          <w:sz w:val="24"/>
          <w:szCs w:val="24"/>
          <w:lang w:val="pl-PL"/>
        </w:rPr>
        <w:t>i</w:t>
      </w:r>
      <w:r w:rsidRPr="00AF7348">
        <w:rPr>
          <w:rFonts w:ascii="Times New Roman" w:eastAsia="Times New Roman" w:hAnsi="Times New Roman" w:cs="Times New Roman"/>
          <w:color w:val="000000"/>
          <w:sz w:val="24"/>
          <w:szCs w:val="24"/>
          <w:lang w:val="pl-PL"/>
        </w:rPr>
        <w:t xml:space="preserve"> projekt będzie wspierać rozwój, budowę i wdrażanie innowacyjnych jednostek transportowych zasilanych wodorem. Inwestycja skupi się na opracowaniu, testowaniu, demonstracji i komercjalizacji różnych typów jednostek transportowych napędzanych wodorowymi ogniwami paliwowymi tak, aby wspierać wysiłki Polski na rzecz dekarbonizacji tego sektora gospodarki. Upowszechnienie innowacyjnych typów jednostek transportowych zasilanych wodorem przyczyni się do dekarbonizacji całej branży. I chodzi tu zarówno o budowę nowych jednostek, jak i modernizację już istniejących. Jednostki transportowe nie będą przeznaczane do transportu paliw kopalnych.</w:t>
      </w:r>
    </w:p>
    <w:p w14:paraId="38956432" w14:textId="53F7344B" w:rsidR="007C4506" w:rsidRPr="00AF7348" w:rsidRDefault="7F53E8D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Trzeci projekt obejmie rozwój możliwości wytwarzania niskoemisyjnego wodoru oraz instalacji do wytwarzania wodoru odnawialnego, w tym elektrolizerów, wraz z infrastrukturą towarzyszącą. Projekt spełni wymóg ograniczenia emisji gazów cieplarnianych w całym cyklu życia o 73.4% w przypadku wodoru, co oznacza, że emisje gazów cieplarnianych w całym cyklu życia będą niższe niż 3 tCO2eq/tH2. Spowoduje również ograniczenie o 70% emisji gazów cieplarnianych w przypadku paliw syntetycznych opartych na wodorze, w stosunku do paliwa kopalnego o wartości 94 g CO2e/MJ, co oznacza 2.256 tCO2eq/tH2, czyli spełnione zostaną warunki określone w art. 25(2) i załączniku V Dyrektywy (UE) 2018/2001. Ograniczenie emisji gazów cieplarnianych w całym cyklu życia oblicza się przy użyciu metodyki, o której mowa w art. 28(5) Dyrektywy (UE) 2018/2001, lub alternatywnie przy użyciu normy ISO 14067:2018 lub ISO 14064-1:2018. Projekty będą wybierane w drodze konkursów otwartych, z uwzględnieniem gotowości i dojrzałości projektu do realizacji. </w:t>
      </w:r>
    </w:p>
    <w:p w14:paraId="7C5BBC2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inwestycji zostanie zakończone do 30 czerwca 2026 roku. </w:t>
      </w:r>
    </w:p>
    <w:p w14:paraId="100C5B5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 </w:t>
      </w:r>
    </w:p>
    <w:p w14:paraId="77D8FAA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B2.2 Poprawa warunków dla rozwoju odnawialnych źródeł energii</w:t>
      </w:r>
    </w:p>
    <w:p w14:paraId="164D8A0F" w14:textId="34037F8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poprawa otoczenia legislacyjnego w sektorze energetyki rozproszonej i </w:t>
      </w:r>
      <w:proofErr w:type="spellStart"/>
      <w:r w:rsidRPr="00AF7348">
        <w:rPr>
          <w:rFonts w:ascii="Times New Roman" w:eastAsia="Times New Roman" w:hAnsi="Times New Roman" w:cs="Times New Roman"/>
          <w:color w:val="000000"/>
          <w:sz w:val="24"/>
          <w:szCs w:val="24"/>
          <w:lang w:val="pl-PL"/>
        </w:rPr>
        <w:t>prosumenckiej</w:t>
      </w:r>
      <w:proofErr w:type="spellEnd"/>
      <w:r w:rsidRPr="00AF7348">
        <w:rPr>
          <w:rFonts w:ascii="Times New Roman" w:eastAsia="Times New Roman" w:hAnsi="Times New Roman" w:cs="Times New Roman"/>
          <w:color w:val="000000"/>
          <w:sz w:val="24"/>
          <w:szCs w:val="24"/>
          <w:lang w:val="pl-PL"/>
        </w:rPr>
        <w:t>, rozwój łańcucha dostaw dla morskiej energii wiatrowej, wdrożenie systemów zarządzania energią, zwiększenie mocy zainstalowanej OZE oraz zwiększenie udziału energii z OZE.</w:t>
      </w:r>
    </w:p>
    <w:p w14:paraId="28A8F42F" w14:textId="076EC29B" w:rsidR="007C4506" w:rsidRPr="00AF7348" w:rsidRDefault="22347A1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polega na wprowadzeniu zmian do ustawy o odnawialnych źródłach energii (Ustawy o OZE), takich jak wprowadzenie korzystniejszych warunków funkcjonowania klastrów energii, wdrożenie kolektywnych modeli prosumentów energii, wdrożenie przepisów </w:t>
      </w:r>
      <w:r w:rsidRPr="00AF7348">
        <w:rPr>
          <w:rFonts w:ascii="Times New Roman" w:eastAsia="Times New Roman" w:hAnsi="Times New Roman" w:cs="Times New Roman"/>
          <w:color w:val="000000" w:themeColor="text1"/>
          <w:sz w:val="24"/>
          <w:szCs w:val="24"/>
          <w:lang w:val="pl-PL"/>
        </w:rPr>
        <w:lastRenderedPageBreak/>
        <w:t xml:space="preserve">dotyczących nowych wspólnot energii odnawialnej, wprowadzenie przepisów określających zasady działania jednego z modeli wspólnoty energii odnawialnej oraz przyjęcie zasad prowadzenia działalności w sektorze </w:t>
      </w:r>
      <w:proofErr w:type="spellStart"/>
      <w:r w:rsidRPr="00AF7348">
        <w:rPr>
          <w:rFonts w:ascii="Times New Roman" w:eastAsia="Times New Roman" w:hAnsi="Times New Roman" w:cs="Times New Roman"/>
          <w:color w:val="000000" w:themeColor="text1"/>
          <w:sz w:val="24"/>
          <w:szCs w:val="24"/>
          <w:lang w:val="pl-PL"/>
        </w:rPr>
        <w:t>biometanu</w:t>
      </w:r>
      <w:proofErr w:type="spellEnd"/>
      <w:r w:rsidRPr="00AF7348">
        <w:rPr>
          <w:rFonts w:ascii="Times New Roman" w:eastAsia="Times New Roman" w:hAnsi="Times New Roman" w:cs="Times New Roman"/>
          <w:color w:val="000000" w:themeColor="text1"/>
          <w:sz w:val="24"/>
          <w:szCs w:val="24"/>
          <w:lang w:val="pl-PL"/>
        </w:rPr>
        <w:t>. Nowelizacja przedłuży również okres obowiązywania systemu wsparcia OZE do 31 grudnia 2027 r.</w:t>
      </w:r>
    </w:p>
    <w:p w14:paraId="02DE390E" w14:textId="771E60D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30 marca 2023 roku.</w:t>
      </w:r>
    </w:p>
    <w:p w14:paraId="257D971E"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wprowadzi również zmiany w ustawie o inwestycjach w zakresie lądowej energetyki wiatrowej, aby ułatwić realizację tych inwestycji w gminach, które chcą ulokować na swoim terenie takie instalacje, poprzez przyznanie władzom gminnym większych uprawnień w zakresie określania lokalizacji poszczególnych inwestycji oraz umożliwienie lokalizowania elektrowni bliżej budynków mieszkalnych niż obecnie obowiązująca minimalna odległość, wynosząca dziesięciokrotność wysokości instalacji.</w:t>
      </w:r>
    </w:p>
    <w:p w14:paraId="0380EB49" w14:textId="21C95429" w:rsidR="007C4506" w:rsidRPr="00AF7348" w:rsidRDefault="043CEA3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30 czerwca 2022 r.</w:t>
      </w:r>
    </w:p>
    <w:p w14:paraId="47B38748" w14:textId="053F409F"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Reformie towarzyszyć będzie </w:t>
      </w:r>
      <w:r w:rsidR="00D100B5">
        <w:rPr>
          <w:rFonts w:ascii="Times New Roman" w:eastAsia="Times New Roman" w:hAnsi="Times New Roman" w:cs="Times New Roman"/>
          <w:color w:val="000000" w:themeColor="text1"/>
          <w:sz w:val="24"/>
          <w:szCs w:val="24"/>
          <w:lang w:val="pl-PL"/>
        </w:rPr>
        <w:t xml:space="preserve">wejście w życie </w:t>
      </w:r>
      <w:r w:rsidRPr="00AF7348">
        <w:rPr>
          <w:rFonts w:ascii="Times New Roman" w:eastAsia="Times New Roman" w:hAnsi="Times New Roman" w:cs="Times New Roman"/>
          <w:color w:val="000000" w:themeColor="text1"/>
          <w:sz w:val="24"/>
          <w:szCs w:val="24"/>
          <w:lang w:val="pl-PL"/>
        </w:rPr>
        <w:t xml:space="preserve">rozporządzenia zawierającego plan aukcji odnawialnych źródeł energii w podziale na technologie (w tym dla nowych lądowych farm wiatrowych). Plan ten określi budżet i wolumen energii elektrycznej, który będzie dostępny dla każdej aukcji konkursowej w latach 2022-2027. Rozporządzenie zostanie opublikowane do 30 września 2022 roku. </w:t>
      </w:r>
    </w:p>
    <w:p w14:paraId="23858BFB" w14:textId="2DB26B8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Ponadto Polska stopniowo zwiększy moc zainstalowaną lądowych farm wiatrowych i instalacji fotowoltaicznych, co przyczyni się do zielonej transformacji. Do 30 czerwca 2026 r. moc zainstalowana lądowych farm wiatrowych i instalacji fotowoltaicznych wyniesie 23.5 GW. </w:t>
      </w:r>
    </w:p>
    <w:p w14:paraId="3C1FB798" w14:textId="2D08E40F" w:rsidR="007C4506" w:rsidRPr="00AF7348" w:rsidRDefault="4C1E96AC" w:rsidP="7EFEC9F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 odniesieniu do rozwoju morskich farm wiatrowych reforma wprowadzi szczegółowe zasady wnoszenia opłaty koncesyjnej na rzecz Prezesa Urzędu Regulacji Energetyki rozszerzonej o podmioty zajmujące się wytwarzaniem energii elektrycznej w morskich farmach wiatrowych. </w:t>
      </w:r>
    </w:p>
    <w:p w14:paraId="6EA5C150" w14:textId="58999FEE" w:rsidR="007C4506" w:rsidRPr="00AF7348" w:rsidRDefault="6D25BB9E" w:rsidP="7EFEC9F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30 czerwca 2022 roku.</w:t>
      </w:r>
    </w:p>
    <w:p w14:paraId="4D2C4F4F" w14:textId="19ED2447" w:rsidR="007C4506" w:rsidRPr="00AF7348"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Ponadto reforma będzie również regulować rodzaje przepływów pieniężnych, które należy uwzględnić przy obliczaniu ceny skorygowanej, oraz szczegółową metodę obliczania tej ceny.</w:t>
      </w:r>
    </w:p>
    <w:p w14:paraId="61A14B31" w14:textId="36CD8A62" w:rsidR="007A0027"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31 grudnia 2022 roku.</w:t>
      </w:r>
    </w:p>
    <w:p w14:paraId="60399BC6" w14:textId="77777777" w:rsidR="00C32C00" w:rsidRPr="00AF7348" w:rsidRDefault="00C32C0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E5E7DE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B2.2.1 Rozwój sieci przesyłowych, inteligentna infrastruktura elektroenergetyczna</w:t>
      </w:r>
    </w:p>
    <w:p w14:paraId="23391CE9" w14:textId="669ED58C" w:rsidR="007C4506" w:rsidRPr="00AF7348" w:rsidRDefault="005B6F4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tej inwestycji jest rozbudowa i modernizacja sieci przesyłowych w szeregu regionów, w tym rozbudowa połączeń pomiędzy północną i południową częścią kraju. </w:t>
      </w:r>
    </w:p>
    <w:p w14:paraId="7468C07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będzie polegała na rozbudowie linii przesyłowych 400 </w:t>
      </w:r>
      <w:proofErr w:type="spellStart"/>
      <w:r w:rsidRPr="00AF7348">
        <w:rPr>
          <w:rFonts w:ascii="Times New Roman" w:eastAsia="Times New Roman" w:hAnsi="Times New Roman" w:cs="Times New Roman"/>
          <w:color w:val="000000" w:themeColor="text1"/>
          <w:sz w:val="24"/>
          <w:szCs w:val="24"/>
          <w:lang w:val="pl-PL"/>
        </w:rPr>
        <w:t>kV</w:t>
      </w:r>
      <w:proofErr w:type="spellEnd"/>
      <w:r w:rsidRPr="00AF7348">
        <w:rPr>
          <w:rFonts w:ascii="Times New Roman" w:eastAsia="Times New Roman" w:hAnsi="Times New Roman" w:cs="Times New Roman"/>
          <w:color w:val="000000" w:themeColor="text1"/>
          <w:sz w:val="24"/>
          <w:szCs w:val="24"/>
          <w:lang w:val="pl-PL"/>
        </w:rPr>
        <w:t xml:space="preserve"> wraz z odpowiednimi stacjami oraz na wdrożeniu na rynku energii elektrycznej centrum danych oraz analizatora jakości energii. Oczekuje się, że działanie to umożliwi dalszą rozbudowę sieci dystrybucyjnej oraz przyspieszy integrację OZE, w szczególności morskiej i lądowej energii wiatrowej w północnej Polsce, ale także </w:t>
      </w:r>
      <w:proofErr w:type="spellStart"/>
      <w:r w:rsidRPr="00AF7348">
        <w:rPr>
          <w:rFonts w:ascii="Times New Roman" w:eastAsia="Times New Roman" w:hAnsi="Times New Roman" w:cs="Times New Roman"/>
          <w:color w:val="000000" w:themeColor="text1"/>
          <w:sz w:val="24"/>
          <w:szCs w:val="24"/>
          <w:lang w:val="pl-PL"/>
        </w:rPr>
        <w:t>fotowoltaiki</w:t>
      </w:r>
      <w:proofErr w:type="spellEnd"/>
      <w:r w:rsidRPr="00AF7348">
        <w:rPr>
          <w:rFonts w:ascii="Times New Roman" w:eastAsia="Times New Roman" w:hAnsi="Times New Roman" w:cs="Times New Roman"/>
          <w:color w:val="000000" w:themeColor="text1"/>
          <w:sz w:val="24"/>
          <w:szCs w:val="24"/>
          <w:lang w:val="pl-PL"/>
        </w:rPr>
        <w:t>, z systemem elektroenergetycznym. Modernizacja linii przesyłowych pozwoli również zmniejszyć straty energii, co doprowadzi do ogólnego zmniejszenia emisji.</w:t>
      </w:r>
    </w:p>
    <w:p w14:paraId="50E53BEE" w14:textId="3FA305E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Realizacja centrum danych zostanie zakończona do 3</w:t>
      </w:r>
      <w:r w:rsidR="00D100B5">
        <w:rPr>
          <w:rFonts w:ascii="Times New Roman" w:eastAsia="Times New Roman" w:hAnsi="Times New Roman" w:cs="Times New Roman"/>
          <w:color w:val="000000" w:themeColor="text1"/>
          <w:sz w:val="24"/>
          <w:szCs w:val="24"/>
          <w:lang w:val="pl-PL"/>
        </w:rPr>
        <w:t>1</w:t>
      </w:r>
      <w:r w:rsidRPr="00AF7348">
        <w:rPr>
          <w:rFonts w:ascii="Times New Roman" w:eastAsia="Times New Roman" w:hAnsi="Times New Roman" w:cs="Times New Roman"/>
          <w:color w:val="000000" w:themeColor="text1"/>
          <w:sz w:val="24"/>
          <w:szCs w:val="24"/>
          <w:lang w:val="pl-PL"/>
        </w:rPr>
        <w:t xml:space="preserve"> </w:t>
      </w:r>
      <w:r w:rsidR="00D100B5">
        <w:rPr>
          <w:rFonts w:ascii="Times New Roman" w:eastAsia="Times New Roman" w:hAnsi="Times New Roman" w:cs="Times New Roman"/>
          <w:color w:val="000000" w:themeColor="text1"/>
          <w:sz w:val="24"/>
          <w:szCs w:val="24"/>
          <w:lang w:val="pl-PL"/>
        </w:rPr>
        <w:t>grudnia</w:t>
      </w:r>
      <w:r w:rsidR="00D100B5"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2024 roku, a realizacja inwestycji w linie przesyłowe do 30 czerwca 2026 roku. </w:t>
      </w:r>
    </w:p>
    <w:p w14:paraId="4C4CEA3D"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711FC12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B2.2.2. Instalacje OZE realizowane przez społeczności energetyczne</w:t>
      </w:r>
    </w:p>
    <w:p w14:paraId="5AD06B13" w14:textId="26682A86" w:rsidR="007C4506" w:rsidRPr="00AF7348" w:rsidRDefault="005B6F4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inwestycji jest zachęcenie do rozwoju lokalnych źródeł energii odnawialnej realizowanych przez społeczności energetyczne (w tym klastry energii, spółdzielnie </w:t>
      </w:r>
      <w:r w:rsidR="00B31839" w:rsidRPr="00AF7348">
        <w:rPr>
          <w:rFonts w:ascii="Times New Roman" w:eastAsia="Times New Roman" w:hAnsi="Times New Roman" w:cs="Times New Roman"/>
          <w:color w:val="000000"/>
          <w:sz w:val="24"/>
          <w:szCs w:val="24"/>
          <w:lang w:val="pl-PL"/>
        </w:rPr>
        <w:lastRenderedPageBreak/>
        <w:t>energetyczne i pozostałe społeczności energetyczne powstałe w wyniku wdrożenia RED II, prosumentów grupowych (prosumentów zbiorowych i wirtualnych), ze szczególnym uwzględnieniem roli samorządów (w szczególności gmin i związków gmin) tworzących takie lokalne wspólnoty i społeczności energetyczne.</w:t>
      </w:r>
    </w:p>
    <w:p w14:paraId="3D2659D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Inwestycja będzie realizowana poprzez program wsparcia </w:t>
      </w:r>
      <w:proofErr w:type="spellStart"/>
      <w:r w:rsidRPr="00AF7348">
        <w:rPr>
          <w:rFonts w:ascii="Times New Roman" w:eastAsia="Times New Roman" w:hAnsi="Times New Roman" w:cs="Times New Roman"/>
          <w:color w:val="000000"/>
          <w:sz w:val="24"/>
          <w:szCs w:val="24"/>
          <w:lang w:val="pl-PL"/>
        </w:rPr>
        <w:t>przedinwestycyjnego</w:t>
      </w:r>
      <w:proofErr w:type="spellEnd"/>
      <w:r w:rsidRPr="00AF7348">
        <w:rPr>
          <w:rFonts w:ascii="Times New Roman" w:eastAsia="Times New Roman" w:hAnsi="Times New Roman" w:cs="Times New Roman"/>
          <w:color w:val="000000"/>
          <w:sz w:val="24"/>
          <w:szCs w:val="24"/>
          <w:lang w:val="pl-PL"/>
        </w:rPr>
        <w:t xml:space="preserve"> i inwestycyjnego obejmujący istniejące społeczności energetyczne lub podmioty zamierzające utworzyć takie społeczności.</w:t>
      </w:r>
    </w:p>
    <w:p w14:paraId="1CA907C7" w14:textId="7BE8920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Program wsparcia </w:t>
      </w:r>
      <w:proofErr w:type="spellStart"/>
      <w:r w:rsidRPr="00AF7348">
        <w:rPr>
          <w:rFonts w:ascii="Times New Roman" w:eastAsia="Times New Roman" w:hAnsi="Times New Roman" w:cs="Times New Roman"/>
          <w:color w:val="000000" w:themeColor="text1"/>
          <w:sz w:val="24"/>
          <w:szCs w:val="24"/>
          <w:lang w:val="pl-PL"/>
        </w:rPr>
        <w:t>przedinwestycyjnego</w:t>
      </w:r>
      <w:proofErr w:type="spellEnd"/>
      <w:r w:rsidRPr="00AF7348">
        <w:rPr>
          <w:rFonts w:ascii="Times New Roman" w:eastAsia="Times New Roman" w:hAnsi="Times New Roman" w:cs="Times New Roman"/>
          <w:color w:val="000000" w:themeColor="text1"/>
          <w:sz w:val="24"/>
          <w:szCs w:val="24"/>
          <w:lang w:val="pl-PL"/>
        </w:rPr>
        <w:t xml:space="preserve"> polega na opracowaniu optymalnego formatu prawnego/organizacyjnego i modelu biznesowego dla uruchomienia lub rozwoju społeczności energetycznej oraz przygotowaniu niezbędnych analiz i dokumentacji dla przygotowania inwestycji. Program ten będzie wspierał m.in. lokalne strategie rozwoju rynku energii; analizy lokalnego popytu na energię i jej podaży; inwentaryzacje lokalnych zasobów energetycznych (infrastruktury) i ich potencjału (np. zdolności do dostarczania przyłączy energetycznych); studia wykonalności, biznesplany, dokumenty </w:t>
      </w:r>
      <w:proofErr w:type="spellStart"/>
      <w:r w:rsidRPr="00D73800">
        <w:rPr>
          <w:rFonts w:ascii="Times New Roman" w:eastAsia="Times New Roman" w:hAnsi="Times New Roman" w:cs="Times New Roman"/>
          <w:i/>
          <w:iCs/>
          <w:color w:val="000000" w:themeColor="text1"/>
          <w:sz w:val="24"/>
          <w:szCs w:val="24"/>
          <w:lang w:val="pl-PL"/>
        </w:rPr>
        <w:t>due</w:t>
      </w:r>
      <w:proofErr w:type="spellEnd"/>
      <w:r w:rsidRPr="00D73800">
        <w:rPr>
          <w:rFonts w:ascii="Times New Roman" w:eastAsia="Times New Roman" w:hAnsi="Times New Roman" w:cs="Times New Roman"/>
          <w:i/>
          <w:iCs/>
          <w:color w:val="000000" w:themeColor="text1"/>
          <w:sz w:val="24"/>
          <w:szCs w:val="24"/>
          <w:lang w:val="pl-PL"/>
        </w:rPr>
        <w:t xml:space="preserve"> </w:t>
      </w:r>
      <w:proofErr w:type="spellStart"/>
      <w:r w:rsidRPr="00D73800">
        <w:rPr>
          <w:rFonts w:ascii="Times New Roman" w:eastAsia="Times New Roman" w:hAnsi="Times New Roman" w:cs="Times New Roman"/>
          <w:i/>
          <w:iCs/>
          <w:color w:val="000000" w:themeColor="text1"/>
          <w:sz w:val="24"/>
          <w:szCs w:val="24"/>
          <w:lang w:val="pl-PL"/>
        </w:rPr>
        <w:t>diligence</w:t>
      </w:r>
      <w:proofErr w:type="spellEnd"/>
      <w:r w:rsidRPr="00AF7348">
        <w:rPr>
          <w:rFonts w:ascii="Times New Roman" w:eastAsia="Times New Roman" w:hAnsi="Times New Roman" w:cs="Times New Roman"/>
          <w:color w:val="000000" w:themeColor="text1"/>
          <w:sz w:val="24"/>
          <w:szCs w:val="24"/>
          <w:lang w:val="pl-PL"/>
        </w:rPr>
        <w:t>; dokumentację techniczną oraz projekty budowlane.</w:t>
      </w:r>
    </w:p>
    <w:p w14:paraId="29D4857A" w14:textId="17B9CA9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Program wsparcia inwestycyjnego zakłada wdrożenie zaawansowanych systemów technicznych i prawnych promujących usługi energetyczne w najbardziej zaawansowanych społecznościach energetycznych. W ramach wsparcia inwestycyjnego finansowanie obejmie między innymi nowe technologie ukierunkowane na produkcję energii elektrycznej ze źródeł odnawialnych; infrastrukturę uzupełniającą dla technologii innych niż energia elektryczna; infrastrukturę towarzyszącą (taką jak elementy sieci i liczniki); urządzenia do magazynowania energii oraz oprogramowanie IT do zarządzania społecznością energetyczną czy też optymalizacji zużycia energii.</w:t>
      </w:r>
    </w:p>
    <w:p w14:paraId="20BE3B92" w14:textId="447059F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wsparcia </w:t>
      </w:r>
      <w:proofErr w:type="spellStart"/>
      <w:r w:rsidRPr="00AF7348">
        <w:rPr>
          <w:rFonts w:ascii="Times New Roman" w:eastAsia="Times New Roman" w:hAnsi="Times New Roman" w:cs="Times New Roman"/>
          <w:color w:val="000000" w:themeColor="text1"/>
          <w:sz w:val="24"/>
          <w:szCs w:val="24"/>
          <w:lang w:val="pl-PL"/>
        </w:rPr>
        <w:t>przedinwestycyjnego</w:t>
      </w:r>
      <w:proofErr w:type="spellEnd"/>
      <w:r w:rsidRPr="00AF7348">
        <w:rPr>
          <w:rFonts w:ascii="Times New Roman" w:eastAsia="Times New Roman" w:hAnsi="Times New Roman" w:cs="Times New Roman"/>
          <w:color w:val="000000" w:themeColor="text1"/>
          <w:sz w:val="24"/>
          <w:szCs w:val="24"/>
          <w:lang w:val="pl-PL"/>
        </w:rPr>
        <w:t xml:space="preserve"> zostanie zakończone do 30 marca 2025 roku, a realizacja inwestycji do 30 czerwca 2026 roku. </w:t>
      </w:r>
    </w:p>
    <w:p w14:paraId="50895670"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651B4A62" w14:textId="68D6AF35" w:rsidR="007C4506" w:rsidRPr="000F7FDB"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B2.2.3 Budowa infrastruktury </w:t>
      </w:r>
      <w:proofErr w:type="spellStart"/>
      <w:r w:rsidRPr="00AF7348">
        <w:rPr>
          <w:rFonts w:ascii="Times New Roman" w:eastAsia="Times New Roman" w:hAnsi="Times New Roman" w:cs="Times New Roman"/>
          <w:b/>
          <w:bCs/>
          <w:color w:val="000000"/>
          <w:sz w:val="24"/>
          <w:szCs w:val="24"/>
          <w:u w:val="single"/>
          <w:lang w:val="pl-PL"/>
        </w:rPr>
        <w:t>terminal</w:t>
      </w:r>
      <w:r w:rsidR="00A2579A">
        <w:rPr>
          <w:rFonts w:ascii="Times New Roman" w:eastAsia="Times New Roman" w:hAnsi="Times New Roman" w:cs="Times New Roman"/>
          <w:b/>
          <w:bCs/>
          <w:color w:val="000000"/>
          <w:sz w:val="24"/>
          <w:szCs w:val="24"/>
          <w:u w:val="single"/>
          <w:lang w:val="pl-PL"/>
        </w:rPr>
        <w:t>owej</w:t>
      </w:r>
      <w:r w:rsidR="000F7FDB">
        <w:rPr>
          <w:rFonts w:ascii="Times New Roman" w:eastAsia="Times New Roman" w:hAnsi="Times New Roman" w:cs="Times New Roman"/>
          <w:b/>
          <w:bCs/>
          <w:color w:val="000000"/>
          <w:sz w:val="24"/>
          <w:szCs w:val="24"/>
          <w:u w:val="single"/>
          <w:lang w:val="pl-PL"/>
        </w:rPr>
        <w:t>u</w:t>
      </w:r>
      <w:r w:rsidR="006B1A57">
        <w:rPr>
          <w:rFonts w:ascii="Times New Roman" w:eastAsia="Times New Roman" w:hAnsi="Times New Roman" w:cs="Times New Roman"/>
          <w:b/>
          <w:bCs/>
          <w:color w:val="000000"/>
          <w:sz w:val="24"/>
          <w:szCs w:val="24"/>
          <w:u w:val="single"/>
          <w:lang w:val="pl-PL"/>
        </w:rPr>
        <w:t>offshore</w:t>
      </w:r>
      <w:proofErr w:type="spellEnd"/>
    </w:p>
    <w:p w14:paraId="5FA858D3" w14:textId="0F0C850F" w:rsidR="007C4506" w:rsidRPr="00AF7348" w:rsidRDefault="000F7FD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tej inwestycji jest ograniczenie ryzyka związanego z opóźnieniami w realizacji projektów morskich farm wiatrowych oraz zapewnienie właściwej eksploatacji i bezpieczeństwa tych farm.</w:t>
      </w:r>
    </w:p>
    <w:p w14:paraId="6F97E84C" w14:textId="1ECDD50B" w:rsidR="007C4506" w:rsidRPr="00AF7348"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w:t>
      </w:r>
      <w:r w:rsidR="00D73800">
        <w:rPr>
          <w:rFonts w:ascii="Times New Roman" w:eastAsia="Times New Roman" w:hAnsi="Times New Roman" w:cs="Times New Roman"/>
          <w:color w:val="000000" w:themeColor="text1"/>
          <w:sz w:val="24"/>
          <w:szCs w:val="24"/>
          <w:lang w:val="pl-PL"/>
        </w:rPr>
        <w:t>składa się</w:t>
      </w:r>
      <w:r w:rsidRPr="00AF7348">
        <w:rPr>
          <w:rFonts w:ascii="Times New Roman" w:eastAsia="Times New Roman" w:hAnsi="Times New Roman" w:cs="Times New Roman"/>
          <w:color w:val="000000" w:themeColor="text1"/>
          <w:sz w:val="24"/>
          <w:szCs w:val="24"/>
          <w:lang w:val="pl-PL"/>
        </w:rPr>
        <w:t xml:space="preserve"> z dwóch projektów. Pierwszy z nich to budowa głębokowodnego terminalu instalacyjnego o powierzchni ok. 30 ha, który umożliwi jednoczesną eksploatację dwóch jednostek instalacyjnych. Drugi projekt obejmie przebudowę portów i dostępu do nich od strony morza (w tym falochronów). W portach w Łebie i Ustce powstaną dwa terminale serwisowe dla morskiej energetyki wiatrowej, które stanowić będą kluczową infrastrukturę obsługującą instalacje morskie.</w:t>
      </w:r>
    </w:p>
    <w:p w14:paraId="7775EF71" w14:textId="080A43A6" w:rsidR="007C4506" w:rsidRPr="00AF7348"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w morski terminal instalacyjny zostanie zakończone do 30 czerwca 2025 roku. Realizacja inwestycji w morskie terminale serwisowe w Łebie i Ustce zakończy się do 30 czerwca 2026 roku.</w:t>
      </w:r>
    </w:p>
    <w:p w14:paraId="38C1F859"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5C36445B" w14:textId="6E594D23" w:rsidR="007C4506" w:rsidRPr="00AF7348"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B3.1 Wsp</w:t>
      </w:r>
      <w:r w:rsidR="00A2579A">
        <w:rPr>
          <w:rFonts w:ascii="Times New Roman" w:eastAsia="Times New Roman" w:hAnsi="Times New Roman" w:cs="Times New Roman"/>
          <w:b/>
          <w:bCs/>
          <w:color w:val="000000" w:themeColor="text1"/>
          <w:sz w:val="24"/>
          <w:szCs w:val="24"/>
          <w:u w:val="single"/>
          <w:lang w:val="pl-PL"/>
        </w:rPr>
        <w:t>arcie</w:t>
      </w:r>
      <w:r w:rsidRPr="00AF7348">
        <w:rPr>
          <w:rFonts w:ascii="Times New Roman" w:eastAsia="Times New Roman" w:hAnsi="Times New Roman" w:cs="Times New Roman"/>
          <w:b/>
          <w:bCs/>
          <w:color w:val="000000" w:themeColor="text1"/>
          <w:sz w:val="24"/>
          <w:szCs w:val="24"/>
          <w:u w:val="single"/>
          <w:lang w:val="pl-PL"/>
        </w:rPr>
        <w:t xml:space="preserve"> zrównoważonej gospodarki wodno-ściekowej na terenach wiejskich</w:t>
      </w:r>
    </w:p>
    <w:p w14:paraId="7DFF3EF4" w14:textId="72F13CDC" w:rsidR="007C4506" w:rsidRPr="00AF7348" w:rsidRDefault="00B31839" w:rsidP="00A146F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w:t>
      </w:r>
      <w:r w:rsidR="000F7FDB">
        <w:rPr>
          <w:rFonts w:ascii="Times New Roman" w:eastAsia="Times New Roman" w:hAnsi="Times New Roman" w:cs="Times New Roman"/>
          <w:color w:val="000000"/>
          <w:sz w:val="24"/>
          <w:szCs w:val="24"/>
          <w:lang w:val="pl-PL"/>
        </w:rPr>
        <w:t>zapewnienie</w:t>
      </w:r>
      <w:r w:rsidRPr="00AF7348">
        <w:rPr>
          <w:rFonts w:ascii="Times New Roman" w:eastAsia="Times New Roman" w:hAnsi="Times New Roman" w:cs="Times New Roman"/>
          <w:color w:val="000000"/>
          <w:sz w:val="24"/>
          <w:szCs w:val="24"/>
          <w:lang w:val="pl-PL"/>
        </w:rPr>
        <w:t>, aby alternatywne rozwiązania w zakresie gospodarki wodno-ściekowej, takie jak indywidualne oczyszczalnie ścieków czy szamba, były odpowiednio monitorowane, utrzymywane i kontrolowane, co pozwoli zapobiec pogorszeniu się ich stanu.</w:t>
      </w:r>
    </w:p>
    <w:p w14:paraId="4439983E" w14:textId="3066C4AF" w:rsidR="007C4506" w:rsidRPr="00AF7348" w:rsidRDefault="5135F4AF" w:rsidP="00A146F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ma polegać na wprowadzeniu obowiązku stosowania przez gminy instrumentów zapobiegających niewłaściwemu pozbywaniu się ścieków oraz mechanizmu tzw. wykonania </w:t>
      </w:r>
      <w:r w:rsidRPr="00AF7348">
        <w:rPr>
          <w:rFonts w:ascii="Times New Roman" w:eastAsia="Times New Roman" w:hAnsi="Times New Roman" w:cs="Times New Roman"/>
          <w:color w:val="000000" w:themeColor="text1"/>
          <w:sz w:val="24"/>
          <w:szCs w:val="24"/>
          <w:lang w:val="pl-PL"/>
        </w:rPr>
        <w:lastRenderedPageBreak/>
        <w:t>zastępczego, czyli organizowania przez gminę opróżniania szamb, stosowanego wobec właścicieli nieruchomości, którzy nie zawarli umów na ich opróżnianie. Wprowadzi także obowiązek przeprowadzania regularnych kontroli oraz wprowadzi skuteczny mechanizm egzekwowania prawa.</w:t>
      </w:r>
    </w:p>
    <w:p w14:paraId="1606FD51" w14:textId="6901201D" w:rsidR="007C4506" w:rsidRPr="00AF7348" w:rsidRDefault="542D1CF6" w:rsidP="00A146FB">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działania zostanie zakończone do 3</w:t>
      </w:r>
      <w:r w:rsidR="00D100B5">
        <w:rPr>
          <w:rFonts w:ascii="Times New Roman" w:eastAsia="Times New Roman" w:hAnsi="Times New Roman" w:cs="Times New Roman"/>
          <w:color w:val="000000" w:themeColor="text1"/>
          <w:sz w:val="24"/>
          <w:szCs w:val="24"/>
          <w:lang w:val="pl-PL"/>
        </w:rPr>
        <w:t>0</w:t>
      </w:r>
      <w:r w:rsidRPr="00AF7348">
        <w:rPr>
          <w:rFonts w:ascii="Times New Roman" w:eastAsia="Times New Roman" w:hAnsi="Times New Roman" w:cs="Times New Roman"/>
          <w:color w:val="000000" w:themeColor="text1"/>
          <w:sz w:val="24"/>
          <w:szCs w:val="24"/>
          <w:lang w:val="pl-PL"/>
        </w:rPr>
        <w:t xml:space="preserve"> </w:t>
      </w:r>
      <w:r w:rsidR="00D100B5">
        <w:rPr>
          <w:rFonts w:ascii="Times New Roman" w:eastAsia="Times New Roman" w:hAnsi="Times New Roman" w:cs="Times New Roman"/>
          <w:color w:val="000000" w:themeColor="text1"/>
          <w:sz w:val="24"/>
          <w:szCs w:val="24"/>
          <w:lang w:val="pl-PL"/>
        </w:rPr>
        <w:t xml:space="preserve">czerwca </w:t>
      </w:r>
      <w:r w:rsidRPr="00AF7348">
        <w:rPr>
          <w:rFonts w:ascii="Times New Roman" w:eastAsia="Times New Roman" w:hAnsi="Times New Roman" w:cs="Times New Roman"/>
          <w:color w:val="000000" w:themeColor="text1"/>
          <w:sz w:val="24"/>
          <w:szCs w:val="24"/>
          <w:lang w:val="pl-PL"/>
        </w:rPr>
        <w:t xml:space="preserve">2022 roku. </w:t>
      </w:r>
    </w:p>
    <w:p w14:paraId="090EE4F2" w14:textId="4CC1B509" w:rsidR="007C4506" w:rsidRPr="00AF7348" w:rsidRDefault="00B31839" w:rsidP="00A146FB">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ustanowi również terytorialne kryteria wyboru beneficjentów wsparcia dla inwestycji w zakresie zaopatrzenia w wodę lub odprowadzania ścieków na obszarach wiejskich. Kryteria wyboru powinny dawać pierwszeństwo gminom o najmniejszych możliwościach finansowania</w:t>
      </w:r>
      <w:r w:rsidR="000F7FDB" w:rsidRPr="000F7FDB">
        <w:rPr>
          <w:rFonts w:ascii="Times New Roman" w:eastAsia="Times New Roman" w:hAnsi="Times New Roman" w:cs="Times New Roman"/>
          <w:color w:val="000000" w:themeColor="text1"/>
          <w:sz w:val="24"/>
          <w:szCs w:val="24"/>
          <w:lang w:val="pl-PL"/>
        </w:rPr>
        <w:t xml:space="preserve"> </w:t>
      </w:r>
      <w:r w:rsidR="000F7FDB" w:rsidRPr="00AF7348">
        <w:rPr>
          <w:rFonts w:ascii="Times New Roman" w:eastAsia="Times New Roman" w:hAnsi="Times New Roman" w:cs="Times New Roman"/>
          <w:color w:val="000000" w:themeColor="text1"/>
          <w:sz w:val="24"/>
          <w:szCs w:val="24"/>
          <w:lang w:val="pl-PL"/>
        </w:rPr>
        <w:t>inwestycji</w:t>
      </w:r>
      <w:r w:rsidRPr="00AF7348">
        <w:rPr>
          <w:rFonts w:ascii="Times New Roman" w:eastAsia="Times New Roman" w:hAnsi="Times New Roman" w:cs="Times New Roman"/>
          <w:color w:val="000000" w:themeColor="text1"/>
          <w:sz w:val="24"/>
          <w:szCs w:val="24"/>
          <w:lang w:val="pl-PL"/>
        </w:rPr>
        <w:t xml:space="preserve"> z własnych środków oraz projektom o największym potencjale łagodzenia istniejących, negatywnych oddziaływań na środowisko. </w:t>
      </w:r>
    </w:p>
    <w:p w14:paraId="56225A1A" w14:textId="3E4AF289" w:rsidR="007C4506" w:rsidRPr="00AF7348" w:rsidRDefault="00B31839" w:rsidP="00A146F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działania </w:t>
      </w:r>
      <w:r w:rsidR="009A15B7">
        <w:rPr>
          <w:rFonts w:ascii="Times New Roman" w:eastAsia="Times New Roman" w:hAnsi="Times New Roman" w:cs="Times New Roman"/>
          <w:color w:val="000000" w:themeColor="text1"/>
          <w:sz w:val="24"/>
          <w:szCs w:val="24"/>
          <w:lang w:val="pl-PL"/>
        </w:rPr>
        <w:t xml:space="preserve">powinno być </w:t>
      </w:r>
      <w:r w:rsidRPr="00AF7348">
        <w:rPr>
          <w:rFonts w:ascii="Times New Roman" w:eastAsia="Times New Roman" w:hAnsi="Times New Roman" w:cs="Times New Roman"/>
          <w:color w:val="000000" w:themeColor="text1"/>
          <w:sz w:val="24"/>
          <w:szCs w:val="24"/>
          <w:lang w:val="pl-PL"/>
        </w:rPr>
        <w:t xml:space="preserve"> zakończone do 31 grudnia 2021 roku.</w:t>
      </w:r>
    </w:p>
    <w:p w14:paraId="0C8FE7C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339AD8C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B3.1.1 Inwestycje w zrównoważoną gospodarkę wodno-ściekową na terenach wiejskich</w:t>
      </w:r>
    </w:p>
    <w:p w14:paraId="2D04966D" w14:textId="5C474A8F" w:rsidR="007C4506" w:rsidRPr="00AF7348" w:rsidRDefault="000F7FD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 xml:space="preserve">tej inwestycji jest zwiększenie dostępności infrastruktury wodno-kanalizacyjnej na obszarach wiejskich o największych deficytach oraz poprawa jakości życia na tych obszarach poprzez rozwój infrastruktury wodno-kanalizacyjnej. Inwestycja ma także na celu zwiększenie potencjału inwestycyjnego obszarów wiejskich. </w:t>
      </w:r>
    </w:p>
    <w:p w14:paraId="0C56EA90" w14:textId="36043328" w:rsidR="00A2142E"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obejmie wsparcie dla nowych podłączeń do infrastruktury wodnej, w tym budowę, rozbudowę lub modernizację systemów zaopatrzenia w wodę lub odprowadzania ścieków na obszarach wiejskich, i będzie prowadzić do wzrostu liczby ludności wiejskiej korzystającej z infrastruktury wodociągowej i kanalizacyjnej. </w:t>
      </w:r>
      <w:r w:rsidRPr="009A15B7">
        <w:rPr>
          <w:rFonts w:ascii="Times New Roman" w:eastAsia="Times New Roman" w:hAnsi="Times New Roman" w:cs="Times New Roman"/>
          <w:color w:val="000000" w:themeColor="text1"/>
          <w:sz w:val="24"/>
          <w:szCs w:val="24"/>
          <w:lang w:val="pl-PL"/>
        </w:rPr>
        <w:t>Wspierane będą również inwestycje związane z promocją racjonalnej gospodarki wodno-ściekowej</w:t>
      </w:r>
      <w:r w:rsidRPr="001D6B91">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W ramach inwestycji będzie możliwość dofinansowania infrastruktury wykorzystującej rozwiązania cyfrowe, np. instalacji/wymiany wodomierzy na urządzenia zdalnego odczytu, tworzenia elektronicznych systemów zarządzania wodą i </w:t>
      </w:r>
      <w:r w:rsidR="000F7FDB" w:rsidRPr="00AF7348">
        <w:rPr>
          <w:rFonts w:ascii="Times New Roman" w:eastAsia="Times New Roman" w:hAnsi="Times New Roman" w:cs="Times New Roman"/>
          <w:color w:val="000000" w:themeColor="text1"/>
          <w:sz w:val="24"/>
          <w:szCs w:val="24"/>
          <w:lang w:val="pl-PL"/>
        </w:rPr>
        <w:t>kana</w:t>
      </w:r>
      <w:r w:rsidR="000F7FDB">
        <w:rPr>
          <w:rFonts w:ascii="Times New Roman" w:eastAsia="Times New Roman" w:hAnsi="Times New Roman" w:cs="Times New Roman"/>
          <w:color w:val="000000" w:themeColor="text1"/>
          <w:sz w:val="24"/>
          <w:szCs w:val="24"/>
          <w:lang w:val="pl-PL"/>
        </w:rPr>
        <w:t>lizacją</w:t>
      </w:r>
      <w:r w:rsidRPr="00AF7348">
        <w:rPr>
          <w:rFonts w:ascii="Times New Roman" w:eastAsia="Times New Roman" w:hAnsi="Times New Roman" w:cs="Times New Roman"/>
          <w:color w:val="000000" w:themeColor="text1"/>
          <w:sz w:val="24"/>
          <w:szCs w:val="24"/>
          <w:lang w:val="pl-PL"/>
        </w:rPr>
        <w:t xml:space="preserve">. Rozważone zostaną alternatywne rozwiązania w zakresie infrastruktury zaopatrzenia w wodę i oczyszczania ścieków na obszarach wiejskich (takie jak łączenie systemów zbiorczych z szambami lub indywidualne oczyszczalnie). </w:t>
      </w:r>
    </w:p>
    <w:p w14:paraId="5FAB60C8" w14:textId="552EEC4E" w:rsidR="007C4506" w:rsidRPr="00AF7348"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31 grudnia 2025 roku. </w:t>
      </w:r>
    </w:p>
    <w:p w14:paraId="41004F19"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212550" w:rsidRPr="00AF7348">
          <w:headerReference w:type="even" r:id="rId33"/>
          <w:headerReference w:type="default" r:id="rId34"/>
          <w:footerReference w:type="even" r:id="rId35"/>
          <w:footerReference w:type="default" r:id="rId36"/>
          <w:headerReference w:type="first" r:id="rId37"/>
          <w:footerReference w:type="first" r:id="rId38"/>
          <w:pgSz w:w="11907" w:h="16839"/>
          <w:pgMar w:top="1134" w:right="1417" w:bottom="1134" w:left="1417" w:header="709" w:footer="709" w:gutter="0"/>
          <w:cols w:space="720"/>
        </w:sectPr>
      </w:pPr>
    </w:p>
    <w:p w14:paraId="7818863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27F77CE" w14:textId="5A2B4BE3" w:rsidR="0033239E" w:rsidRPr="00AF7348" w:rsidRDefault="0033239E" w:rsidP="0033239E">
      <w:pPr>
        <w:pStyle w:val="Normal0"/>
        <w:spacing w:before="120" w:after="0" w:line="240" w:lineRule="auto"/>
        <w:jc w:val="both"/>
        <w:rPr>
          <w:rFonts w:ascii="Times New Roman" w:eastAsia="Times New Roman" w:hAnsi="Times New Roman" w:cs="Times New Roman"/>
          <w:b/>
          <w:color w:val="000000"/>
          <w:sz w:val="24"/>
          <w:szCs w:val="24"/>
          <w:lang w:val="pl-PL"/>
        </w:rPr>
      </w:pPr>
      <w:r w:rsidRPr="00AF7348">
        <w:rPr>
          <w:rFonts w:ascii="Times New Roman" w:eastAsia="Times New Roman" w:hAnsi="Times New Roman" w:cs="Times New Roman"/>
          <w:b/>
          <w:bCs/>
          <w:color w:val="000000"/>
          <w:sz w:val="24"/>
          <w:szCs w:val="24"/>
          <w:lang w:val="pl-PL"/>
        </w:rPr>
        <w:t xml:space="preserve">B.2.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 xml:space="preserve">Kamienie milowe, </w:t>
      </w:r>
      <w:r w:rsidR="000F7FDB">
        <w:rPr>
          <w:rFonts w:ascii="Times New Roman" w:eastAsia="Times New Roman" w:hAnsi="Times New Roman" w:cs="Times New Roman"/>
          <w:b/>
          <w:bCs/>
          <w:color w:val="000000"/>
          <w:sz w:val="24"/>
          <w:szCs w:val="24"/>
          <w:lang w:val="pl-PL"/>
        </w:rPr>
        <w:t>cele</w:t>
      </w:r>
      <w:r w:rsidRPr="00AF7348">
        <w:rPr>
          <w:rFonts w:ascii="Times New Roman" w:eastAsia="Times New Roman" w:hAnsi="Times New Roman" w:cs="Times New Roman"/>
          <w:b/>
          <w:bCs/>
          <w:color w:val="000000"/>
          <w:sz w:val="24"/>
          <w:szCs w:val="24"/>
          <w:lang w:val="pl-PL"/>
        </w:rPr>
        <w:t>, wskaźniki i harmonogram monitorowania i realizacji na potrzeby bezzwrotnego wsparcia finansowego</w:t>
      </w:r>
    </w:p>
    <w:tbl>
      <w:tblPr>
        <w:tblW w:w="15168" w:type="dxa"/>
        <w:tblInd w:w="-4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1"/>
        <w:gridCol w:w="1841"/>
        <w:gridCol w:w="1134"/>
        <w:gridCol w:w="1985"/>
        <w:gridCol w:w="1559"/>
        <w:gridCol w:w="49"/>
        <w:gridCol w:w="943"/>
        <w:gridCol w:w="39"/>
        <w:gridCol w:w="954"/>
        <w:gridCol w:w="850"/>
        <w:gridCol w:w="82"/>
        <w:gridCol w:w="627"/>
        <w:gridCol w:w="11"/>
        <w:gridCol w:w="702"/>
        <w:gridCol w:w="3541"/>
      </w:tblGrid>
      <w:tr w:rsidR="001052B5" w:rsidRPr="00990E60" w14:paraId="26BC07AC" w14:textId="77777777" w:rsidTr="00A20CA7">
        <w:trPr>
          <w:trHeight w:val="939"/>
        </w:trPr>
        <w:tc>
          <w:tcPr>
            <w:tcW w:w="851" w:type="dxa"/>
            <w:vMerge w:val="restart"/>
            <w:shd w:val="clear" w:color="auto" w:fill="BDD7EE"/>
            <w:vAlign w:val="center"/>
          </w:tcPr>
          <w:p w14:paraId="68D7F2B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841" w:type="dxa"/>
            <w:vMerge w:val="restart"/>
            <w:shd w:val="clear" w:color="auto" w:fill="BDD7EE"/>
            <w:vAlign w:val="center"/>
          </w:tcPr>
          <w:p w14:paraId="3F8729F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1134" w:type="dxa"/>
            <w:vMerge w:val="restart"/>
            <w:shd w:val="clear" w:color="auto" w:fill="BDD7EE"/>
            <w:vAlign w:val="center"/>
          </w:tcPr>
          <w:p w14:paraId="3F61367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1985" w:type="dxa"/>
            <w:vMerge w:val="restart"/>
            <w:shd w:val="clear" w:color="auto" w:fill="BDD7EE"/>
            <w:vAlign w:val="center"/>
          </w:tcPr>
          <w:p w14:paraId="0F72DE8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1608" w:type="dxa"/>
            <w:gridSpan w:val="2"/>
            <w:vMerge w:val="restart"/>
            <w:shd w:val="clear" w:color="auto" w:fill="BDD7EE"/>
            <w:vAlign w:val="center"/>
          </w:tcPr>
          <w:p w14:paraId="44D09BF7"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Qualitative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milestones)</w:t>
            </w:r>
          </w:p>
        </w:tc>
        <w:tc>
          <w:tcPr>
            <w:tcW w:w="2868" w:type="dxa"/>
            <w:gridSpan w:val="5"/>
            <w:shd w:val="clear" w:color="auto" w:fill="BDD7EE"/>
            <w:vAlign w:val="center"/>
          </w:tcPr>
          <w:p w14:paraId="11FC3D48"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Quantitative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targets)</w:t>
            </w:r>
          </w:p>
        </w:tc>
        <w:tc>
          <w:tcPr>
            <w:tcW w:w="1340" w:type="dxa"/>
            <w:gridSpan w:val="3"/>
            <w:shd w:val="clear" w:color="auto" w:fill="BDD7EE"/>
            <w:vAlign w:val="center"/>
          </w:tcPr>
          <w:p w14:paraId="14C7B1E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541" w:type="dxa"/>
            <w:vMerge w:val="restart"/>
            <w:shd w:val="clear" w:color="auto" w:fill="BDD7EE"/>
            <w:vAlign w:val="center"/>
          </w:tcPr>
          <w:p w14:paraId="4BFF932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990E60" w14:paraId="4FC78A3D" w14:textId="77777777" w:rsidTr="00A20CA7">
        <w:trPr>
          <w:trHeight w:val="1027"/>
        </w:trPr>
        <w:tc>
          <w:tcPr>
            <w:tcW w:w="851" w:type="dxa"/>
            <w:vMerge/>
            <w:vAlign w:val="center"/>
          </w:tcPr>
          <w:p w14:paraId="167F0B2F"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841" w:type="dxa"/>
            <w:vMerge/>
            <w:vAlign w:val="center"/>
          </w:tcPr>
          <w:p w14:paraId="22DCB84F"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34" w:type="dxa"/>
            <w:vMerge/>
            <w:vAlign w:val="center"/>
          </w:tcPr>
          <w:p w14:paraId="089764F3"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85" w:type="dxa"/>
            <w:vMerge/>
            <w:vAlign w:val="center"/>
          </w:tcPr>
          <w:p w14:paraId="3308853C"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608" w:type="dxa"/>
            <w:gridSpan w:val="2"/>
            <w:vMerge/>
            <w:vAlign w:val="center"/>
          </w:tcPr>
          <w:p w14:paraId="68EC2929"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82" w:type="dxa"/>
            <w:gridSpan w:val="2"/>
            <w:shd w:val="clear" w:color="auto" w:fill="BDD7EE"/>
            <w:vAlign w:val="center"/>
          </w:tcPr>
          <w:p w14:paraId="46F3E5F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54" w:type="dxa"/>
            <w:shd w:val="clear" w:color="auto" w:fill="BDD7EE"/>
            <w:vAlign w:val="center"/>
          </w:tcPr>
          <w:p w14:paraId="15CAB118"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850" w:type="dxa"/>
            <w:shd w:val="clear" w:color="auto" w:fill="BDD7EE"/>
            <w:vAlign w:val="center"/>
          </w:tcPr>
          <w:p w14:paraId="1BF89035"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720" w:type="dxa"/>
            <w:gridSpan w:val="3"/>
            <w:shd w:val="clear" w:color="auto" w:fill="BDD7EE"/>
            <w:vAlign w:val="center"/>
          </w:tcPr>
          <w:p w14:paraId="29C0F45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2" w:type="dxa"/>
            <w:shd w:val="clear" w:color="auto" w:fill="BDD7EE"/>
            <w:vAlign w:val="center"/>
          </w:tcPr>
          <w:p w14:paraId="6A6B1C4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541" w:type="dxa"/>
            <w:vMerge/>
            <w:vAlign w:val="center"/>
          </w:tcPr>
          <w:p w14:paraId="2A27B13F"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9D378C" w14:paraId="24B8214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50F2386"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B1G</w:t>
            </w:r>
          </w:p>
        </w:tc>
        <w:tc>
          <w:tcPr>
            <w:tcW w:w="1841" w:type="dxa"/>
            <w:tcBorders>
              <w:top w:val="single" w:sz="4" w:space="0" w:color="auto"/>
              <w:left w:val="nil"/>
              <w:bottom w:val="single" w:sz="4" w:space="0" w:color="auto"/>
              <w:right w:val="single" w:sz="4" w:space="0" w:color="auto"/>
            </w:tcBorders>
            <w:shd w:val="clear" w:color="000000" w:fill="C6EFCE"/>
            <w:vAlign w:val="center"/>
            <w:hideMark/>
          </w:tcPr>
          <w:p w14:paraId="20D28B9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single" w:sz="4" w:space="0" w:color="auto"/>
              <w:left w:val="nil"/>
              <w:bottom w:val="single" w:sz="4" w:space="0" w:color="auto"/>
              <w:right w:val="single" w:sz="4" w:space="0" w:color="auto"/>
            </w:tcBorders>
            <w:shd w:val="clear" w:color="000000" w:fill="C6EFCE"/>
            <w:vAlign w:val="center"/>
            <w:hideMark/>
          </w:tcPr>
          <w:p w14:paraId="48421DB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single" w:sz="4" w:space="0" w:color="auto"/>
              <w:left w:val="nil"/>
              <w:bottom w:val="single" w:sz="4" w:space="0" w:color="auto"/>
              <w:right w:val="single" w:sz="4" w:space="0" w:color="auto"/>
            </w:tcBorders>
            <w:shd w:val="clear" w:color="000000" w:fill="C6EFCE"/>
            <w:vAlign w:val="center"/>
            <w:hideMark/>
          </w:tcPr>
          <w:p w14:paraId="2B7B95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nowelizacji ustawy o efektywności energetycznej i powiązanych aktów   </w:t>
            </w:r>
          </w:p>
        </w:tc>
        <w:tc>
          <w:tcPr>
            <w:tcW w:w="1559" w:type="dxa"/>
            <w:tcBorders>
              <w:top w:val="single" w:sz="4" w:space="0" w:color="auto"/>
              <w:left w:val="nil"/>
              <w:bottom w:val="single" w:sz="4" w:space="0" w:color="auto"/>
              <w:right w:val="single" w:sz="4" w:space="0" w:color="auto"/>
            </w:tcBorders>
            <w:shd w:val="clear" w:color="000000" w:fill="C6EFCE"/>
            <w:vAlign w:val="center"/>
            <w:hideMark/>
          </w:tcPr>
          <w:p w14:paraId="3F14F90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Przepisy w znowelizowanej ustawie o efektywności energetycznej oraz w powiązanych aktach prawnych wskazujące na ich wejście w życie</w:t>
            </w:r>
          </w:p>
        </w:tc>
        <w:tc>
          <w:tcPr>
            <w:tcW w:w="992" w:type="dxa"/>
            <w:gridSpan w:val="2"/>
            <w:tcBorders>
              <w:top w:val="single" w:sz="4" w:space="0" w:color="auto"/>
              <w:left w:val="nil"/>
              <w:bottom w:val="single" w:sz="4" w:space="0" w:color="auto"/>
              <w:right w:val="single" w:sz="4" w:space="0" w:color="auto"/>
            </w:tcBorders>
            <w:shd w:val="clear" w:color="000000" w:fill="C6EFCE"/>
            <w:vAlign w:val="center"/>
            <w:hideMark/>
          </w:tcPr>
          <w:p w14:paraId="22A2DD9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single" w:sz="4" w:space="0" w:color="auto"/>
              <w:left w:val="nil"/>
              <w:bottom w:val="single" w:sz="4" w:space="0" w:color="auto"/>
              <w:right w:val="single" w:sz="4" w:space="0" w:color="auto"/>
            </w:tcBorders>
            <w:shd w:val="clear" w:color="000000" w:fill="C6EFCE"/>
            <w:vAlign w:val="center"/>
            <w:hideMark/>
          </w:tcPr>
          <w:p w14:paraId="5D1C6F8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single" w:sz="4" w:space="0" w:color="auto"/>
              <w:left w:val="nil"/>
              <w:bottom w:val="single" w:sz="4" w:space="0" w:color="auto"/>
              <w:right w:val="single" w:sz="4" w:space="0" w:color="auto"/>
            </w:tcBorders>
            <w:shd w:val="clear" w:color="000000" w:fill="C6EFCE"/>
            <w:vAlign w:val="center"/>
            <w:hideMark/>
          </w:tcPr>
          <w:p w14:paraId="26EE8CC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single" w:sz="4" w:space="0" w:color="auto"/>
              <w:left w:val="nil"/>
              <w:bottom w:val="single" w:sz="4" w:space="0" w:color="auto"/>
              <w:right w:val="single" w:sz="4" w:space="0" w:color="auto"/>
            </w:tcBorders>
            <w:shd w:val="clear" w:color="000000" w:fill="C6EFCE"/>
            <w:vAlign w:val="center"/>
            <w:hideMark/>
          </w:tcPr>
          <w:p w14:paraId="289C14E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Q1</w:t>
            </w:r>
          </w:p>
        </w:tc>
        <w:tc>
          <w:tcPr>
            <w:tcW w:w="713" w:type="dxa"/>
            <w:gridSpan w:val="2"/>
            <w:tcBorders>
              <w:top w:val="single" w:sz="4" w:space="0" w:color="auto"/>
              <w:left w:val="nil"/>
              <w:bottom w:val="single" w:sz="4" w:space="0" w:color="auto"/>
              <w:right w:val="single" w:sz="4" w:space="0" w:color="auto"/>
            </w:tcBorders>
            <w:shd w:val="clear" w:color="000000" w:fill="C6EFCE"/>
            <w:vAlign w:val="center"/>
            <w:hideMark/>
          </w:tcPr>
          <w:p w14:paraId="06DB7F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single" w:sz="4" w:space="0" w:color="auto"/>
              <w:left w:val="nil"/>
              <w:bottom w:val="single" w:sz="4" w:space="0" w:color="auto"/>
              <w:right w:val="single" w:sz="4" w:space="0" w:color="auto"/>
            </w:tcBorders>
            <w:shd w:val="clear" w:color="000000" w:fill="C6EFCE"/>
            <w:vAlign w:val="center"/>
            <w:hideMark/>
          </w:tcPr>
          <w:p w14:paraId="2DA4C220" w14:textId="4A0B32CF"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znowelizowanej ustawy o efektywności energetycznej oraz związanych z nią </w:t>
            </w:r>
            <w:r w:rsidR="00F44DB5">
              <w:rPr>
                <w:rFonts w:ascii="Times New Roman" w:eastAsia="Times New Roman" w:hAnsi="Times New Roman" w:cs="Times New Roman"/>
                <w:sz w:val="18"/>
                <w:szCs w:val="18"/>
                <w:lang w:val="pl-PL" w:eastAsia="pl-PL"/>
              </w:rPr>
              <w:t>aktów prawnych</w:t>
            </w:r>
            <w:r w:rsidR="00F44D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 xml:space="preserve">(o wspieraniu termomodernizacji i remontów oraz o centralnej ewidencji emisyjności budynków; ustawa o finansowym wsparciu tworzenia lokali mieszkalnych na wynajem; ustawa o niektórych rodzajach wsparcia mieszkaniowego; oraz ustawa o odnawialnych źródłach energii).  Przepisy te umożliwią podmiotom objętym systemem zobowiązującym do poprawy efektywności energetycznej rozliczanie obowiązków w zakresie oszczędności energii w ramach tzw. programów dopłat. Sprecyzują one możliwości wykorzystania umów o poprawę efektywności energetycznej w sektorze publicznym. Umożliwią one przedsiębiorstwom usług energetycznych uczestnictwo w systemach zobowiązujących do efektywności energetycznej. </w:t>
            </w:r>
          </w:p>
        </w:tc>
      </w:tr>
      <w:tr w:rsidR="001052B5" w:rsidRPr="009D378C" w14:paraId="7B76CA8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8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6E0E6CC"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B2G</w:t>
            </w:r>
          </w:p>
        </w:tc>
        <w:tc>
          <w:tcPr>
            <w:tcW w:w="1841" w:type="dxa"/>
            <w:tcBorders>
              <w:top w:val="nil"/>
              <w:left w:val="nil"/>
              <w:bottom w:val="single" w:sz="4" w:space="0" w:color="auto"/>
              <w:right w:val="single" w:sz="4" w:space="0" w:color="auto"/>
            </w:tcBorders>
            <w:shd w:val="clear" w:color="000000" w:fill="C6EFCE"/>
            <w:vAlign w:val="center"/>
            <w:hideMark/>
          </w:tcPr>
          <w:p w14:paraId="3D0309A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nil"/>
              <w:left w:val="nil"/>
              <w:bottom w:val="single" w:sz="4" w:space="0" w:color="auto"/>
              <w:right w:val="single" w:sz="4" w:space="0" w:color="auto"/>
            </w:tcBorders>
            <w:shd w:val="clear" w:color="000000" w:fill="C6EFCE"/>
            <w:vAlign w:val="center"/>
            <w:hideMark/>
          </w:tcPr>
          <w:p w14:paraId="389755C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20C310B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Aktualizacja Programu Priorytetowego "Czyste Powietrze" </w:t>
            </w:r>
          </w:p>
        </w:tc>
        <w:tc>
          <w:tcPr>
            <w:tcW w:w="1559" w:type="dxa"/>
            <w:tcBorders>
              <w:top w:val="nil"/>
              <w:left w:val="nil"/>
              <w:bottom w:val="single" w:sz="4" w:space="0" w:color="auto"/>
              <w:right w:val="single" w:sz="4" w:space="0" w:color="auto"/>
            </w:tcBorders>
            <w:shd w:val="clear" w:color="000000" w:fill="C6EFCE"/>
            <w:vAlign w:val="center"/>
            <w:hideMark/>
          </w:tcPr>
          <w:p w14:paraId="7664BFE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Przyjęcie zmian w Programie Priorytetowym "Czyste Powietrze" przez Narodowy Fundusz Ochrony Środowiska, w tym zapisów dotyczących wsparcia skierowanego do: a) gospodarstw domowych o wyższych dochodach, w szczególności z udziałem sektora bankowego udzielającego pożyczek połączonych z dotacjami; b) gospodarstw domowych o niskich dochodach; c) gospodarstw domowych o najniższych dochodach.</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223CE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2B8B16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027A614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BF2EF1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Q1</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1CAE6F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000C85D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Narodowy Fundusz Ochrony Środowiska przyjmie zaktualizowany Program Priorytetowy "Czyste Powietrze", zgodnie z Długoterminową Strategią Renowacji wynikającą z dyrektywy w sprawie charakterystyki energetycznej budynków, w tym dedykowane wsparcie ukierunkowane na:  (a) gospodarstwa domowe o wyższych dochodach, w szczególności z udziałem sektora bankowego udzielającego pożyczek połączonych z dotacjami; (b) gospodarstwa domowe o niskich dochodach; (c) gospodarstwa domowe o najniższych dochodach (zgodnie z definicjami mającymi zastosowanie w ramach Programu Priorytetowego "Czyste Powietrze". </w:t>
            </w:r>
            <w:r w:rsidRPr="009B25FB">
              <w:rPr>
                <w:rFonts w:ascii="Times New Roman" w:eastAsia="Times New Roman" w:hAnsi="Times New Roman" w:cs="Times New Roman"/>
                <w:sz w:val="18"/>
                <w:szCs w:val="18"/>
                <w:lang w:val="pl-PL" w:eastAsia="pl-PL"/>
              </w:rPr>
              <w:br/>
              <w:t xml:space="preserve">Do 31 marca 2023 r. przepisy zapewniające ukierunkowane wsparcie ww. grupom będą w pełni operacyjne, a odbiorcy </w:t>
            </w:r>
            <w:proofErr w:type="spellStart"/>
            <w:r w:rsidRPr="009B25FB">
              <w:rPr>
                <w:rFonts w:ascii="Times New Roman" w:eastAsia="Times New Roman" w:hAnsi="Times New Roman" w:cs="Times New Roman"/>
                <w:sz w:val="18"/>
                <w:szCs w:val="18"/>
                <w:lang w:val="pl-PL" w:eastAsia="pl-PL"/>
              </w:rPr>
              <w:t>bedą</w:t>
            </w:r>
            <w:proofErr w:type="spellEnd"/>
            <w:r w:rsidRPr="009B25FB">
              <w:rPr>
                <w:rFonts w:ascii="Times New Roman" w:eastAsia="Times New Roman" w:hAnsi="Times New Roman" w:cs="Times New Roman"/>
                <w:sz w:val="18"/>
                <w:szCs w:val="18"/>
                <w:lang w:val="pl-PL" w:eastAsia="pl-PL"/>
              </w:rPr>
              <w:t xml:space="preserve"> mieć dostęp do korzystania z tego wsparcia.</w:t>
            </w:r>
          </w:p>
        </w:tc>
      </w:tr>
      <w:tr w:rsidR="001052B5" w:rsidRPr="009D378C" w14:paraId="0B7D771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26"/>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744F6A4"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B3G</w:t>
            </w:r>
          </w:p>
        </w:tc>
        <w:tc>
          <w:tcPr>
            <w:tcW w:w="1841" w:type="dxa"/>
            <w:tcBorders>
              <w:top w:val="nil"/>
              <w:left w:val="nil"/>
              <w:bottom w:val="single" w:sz="4" w:space="0" w:color="auto"/>
              <w:right w:val="single" w:sz="4" w:space="0" w:color="auto"/>
            </w:tcBorders>
            <w:shd w:val="clear" w:color="000000" w:fill="C6EFCE"/>
            <w:vAlign w:val="center"/>
            <w:hideMark/>
          </w:tcPr>
          <w:p w14:paraId="4BB69F0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nil"/>
              <w:left w:val="nil"/>
              <w:bottom w:val="single" w:sz="4" w:space="0" w:color="auto"/>
              <w:right w:val="single" w:sz="4" w:space="0" w:color="auto"/>
            </w:tcBorders>
            <w:shd w:val="clear" w:color="000000" w:fill="C6EFCE"/>
            <w:vAlign w:val="center"/>
            <w:hideMark/>
          </w:tcPr>
          <w:p w14:paraId="3800E61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1588639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Aktualizacja Krajowego Programu Ochrony Powietrza   </w:t>
            </w:r>
          </w:p>
        </w:tc>
        <w:tc>
          <w:tcPr>
            <w:tcW w:w="1559" w:type="dxa"/>
            <w:tcBorders>
              <w:top w:val="nil"/>
              <w:left w:val="nil"/>
              <w:bottom w:val="single" w:sz="4" w:space="0" w:color="auto"/>
              <w:right w:val="single" w:sz="4" w:space="0" w:color="auto"/>
            </w:tcBorders>
            <w:shd w:val="clear" w:color="000000" w:fill="C6EFCE"/>
            <w:vAlign w:val="center"/>
            <w:hideMark/>
          </w:tcPr>
          <w:p w14:paraId="2C6254A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Przyjęcie przez Ministra Klimatu i Środowiska zaktualizowanego Krajowego Programu Ochrony Powietrza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356639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438227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688E7A4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CF4FFB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E02926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2021</w:t>
            </w:r>
          </w:p>
        </w:tc>
        <w:tc>
          <w:tcPr>
            <w:tcW w:w="3541" w:type="dxa"/>
            <w:tcBorders>
              <w:top w:val="nil"/>
              <w:left w:val="nil"/>
              <w:bottom w:val="single" w:sz="4" w:space="0" w:color="auto"/>
              <w:right w:val="single" w:sz="4" w:space="0" w:color="auto"/>
            </w:tcBorders>
            <w:shd w:val="clear" w:color="000000" w:fill="C6EFCE"/>
            <w:vAlign w:val="center"/>
            <w:hideMark/>
          </w:tcPr>
          <w:p w14:paraId="63B7567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Znowelizowany Krajowy Program Ochrony Powietrza określi nowe zadania do realizacji do roku 2025, 2030 i 2040 na poziomie krajowym, wojewódzkim i gminnym: (1) ustanowienie standardów stref niskiej emisji dla gmin, w których przekroczone zostały dopuszczalne poziomy NO2; (2) zobowiązanie województw do podjęcia uchwał antysmogowych w miastach, w których nie są dotrzymywane określone standardy jakości powietrza; (3) wsparcie finansowe dla samorządów wojewódzkich i lokalnych na promocję realizacji działań określonych w uchwałach antysmogowych oraz </w:t>
            </w:r>
            <w:r w:rsidRPr="009B25FB">
              <w:rPr>
                <w:rFonts w:ascii="Times New Roman" w:eastAsia="Times New Roman" w:hAnsi="Times New Roman" w:cs="Times New Roman"/>
                <w:sz w:val="18"/>
                <w:szCs w:val="18"/>
                <w:lang w:val="pl-PL" w:eastAsia="pl-PL"/>
              </w:rPr>
              <w:lastRenderedPageBreak/>
              <w:t>przygotowanie punktów informacyjnych dla mieszkańców ubiegających się o finansowanie w ramach Programu Priorytetowego "Czyste Powietrze"; (4) wprowadzenie zadania polegającego na wzmocnieniu przepisów o systemie kontroli egzekwowania realizacji zadań określonych w uchwałach antysmogowych; (5) zobowiązanie prawne do nieudzielania wsparcia na zakup nowych pieców węglowych od 1 stycznia 2022 r. </w:t>
            </w:r>
          </w:p>
        </w:tc>
      </w:tr>
      <w:tr w:rsidR="001052B5" w:rsidRPr="009D378C" w14:paraId="1AA279F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74E6EFE"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B4G</w:t>
            </w:r>
          </w:p>
        </w:tc>
        <w:tc>
          <w:tcPr>
            <w:tcW w:w="1841" w:type="dxa"/>
            <w:tcBorders>
              <w:top w:val="nil"/>
              <w:left w:val="nil"/>
              <w:bottom w:val="single" w:sz="4" w:space="0" w:color="auto"/>
              <w:right w:val="single" w:sz="4" w:space="0" w:color="auto"/>
            </w:tcBorders>
            <w:shd w:val="clear" w:color="000000" w:fill="C6EFCE"/>
            <w:vAlign w:val="center"/>
            <w:hideMark/>
          </w:tcPr>
          <w:p w14:paraId="4704E49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nil"/>
              <w:left w:val="nil"/>
              <w:bottom w:val="single" w:sz="4" w:space="0" w:color="auto"/>
              <w:right w:val="single" w:sz="4" w:space="0" w:color="auto"/>
            </w:tcBorders>
            <w:shd w:val="clear" w:color="000000" w:fill="C6EFCE"/>
            <w:vAlign w:val="center"/>
            <w:hideMark/>
          </w:tcPr>
          <w:p w14:paraId="21C3027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5141BE1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znowelizowanego rozporządzenia Ministra Klimatu i Środowiska w sprawie norm jakościowych dla paliw stałych </w:t>
            </w:r>
          </w:p>
        </w:tc>
        <w:tc>
          <w:tcPr>
            <w:tcW w:w="1559" w:type="dxa"/>
            <w:tcBorders>
              <w:top w:val="nil"/>
              <w:left w:val="nil"/>
              <w:bottom w:val="single" w:sz="4" w:space="0" w:color="auto"/>
              <w:right w:val="single" w:sz="4" w:space="0" w:color="auto"/>
            </w:tcBorders>
            <w:shd w:val="clear" w:color="000000" w:fill="C6EFCE"/>
            <w:vAlign w:val="center"/>
            <w:hideMark/>
          </w:tcPr>
          <w:p w14:paraId="62261055" w14:textId="1F96C5DE"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Przepis w </w:t>
            </w:r>
            <w:r w:rsidR="00D100B5">
              <w:rPr>
                <w:rFonts w:ascii="Times New Roman" w:eastAsia="Times New Roman" w:hAnsi="Times New Roman" w:cs="Times New Roman"/>
                <w:sz w:val="18"/>
                <w:szCs w:val="18"/>
                <w:lang w:val="pl-PL" w:eastAsia="pl-PL"/>
              </w:rPr>
              <w:t xml:space="preserve">znowelizowanym </w:t>
            </w:r>
            <w:r w:rsidRPr="009B25FB">
              <w:rPr>
                <w:rFonts w:ascii="Times New Roman" w:eastAsia="Times New Roman" w:hAnsi="Times New Roman" w:cs="Times New Roman"/>
                <w:sz w:val="18"/>
                <w:szCs w:val="18"/>
                <w:lang w:val="pl-PL" w:eastAsia="pl-PL"/>
              </w:rPr>
              <w:t>Rozporządzeniu w sprawie norm jakościowych dla paliw stałych wskazujący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94D6B8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A226A3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7552845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9AC0A2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580F0A8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5413E76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Zespół międzyresortowy przedstawi rekomendacje dotyczące koniecznych lub zalecanych zmian legislacyjnych. Następnie zostaną przeprowadzone konsultacje propozycji z organizacjami pozarządowymi i izbami gospodarczymi sektora węglowego. Zmienione rozporządzenie w sprawie paliw stałych węglowych wejdzie w życie do dnia 31 grudnia 2022 r. Wprowadzi ono zakaz stosowania przez producentów paliw stałych węglowych oznaczeń wprowadzających w błąd. </w:t>
            </w:r>
          </w:p>
        </w:tc>
      </w:tr>
      <w:tr w:rsidR="001052B5" w:rsidRPr="009D378C" w14:paraId="1E2D3BD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62E0778"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B5G</w:t>
            </w:r>
          </w:p>
        </w:tc>
        <w:tc>
          <w:tcPr>
            <w:tcW w:w="1841" w:type="dxa"/>
            <w:tcBorders>
              <w:top w:val="nil"/>
              <w:left w:val="nil"/>
              <w:bottom w:val="single" w:sz="4" w:space="0" w:color="auto"/>
              <w:right w:val="single" w:sz="4" w:space="0" w:color="auto"/>
            </w:tcBorders>
            <w:shd w:val="clear" w:color="000000" w:fill="C6EFCE"/>
            <w:vAlign w:val="center"/>
            <w:hideMark/>
          </w:tcPr>
          <w:p w14:paraId="0EE1616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 Czyste powietrze i efektywność energetyczna</w:t>
            </w:r>
          </w:p>
        </w:tc>
        <w:tc>
          <w:tcPr>
            <w:tcW w:w="1134" w:type="dxa"/>
            <w:tcBorders>
              <w:top w:val="nil"/>
              <w:left w:val="nil"/>
              <w:bottom w:val="single" w:sz="4" w:space="0" w:color="auto"/>
              <w:right w:val="single" w:sz="4" w:space="0" w:color="auto"/>
            </w:tcBorders>
            <w:shd w:val="clear" w:color="000000" w:fill="C6EFCE"/>
            <w:vAlign w:val="center"/>
            <w:hideMark/>
          </w:tcPr>
          <w:p w14:paraId="7762B25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205F979B" w14:textId="3153DBBD"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D100B5">
              <w:rPr>
                <w:rFonts w:ascii="Times New Roman" w:eastAsia="Times New Roman" w:hAnsi="Times New Roman" w:cs="Times New Roman"/>
                <w:sz w:val="18"/>
                <w:szCs w:val="18"/>
                <w:lang w:val="pl-PL" w:eastAsia="pl-PL"/>
              </w:rPr>
              <w:t>rozporządzenia</w:t>
            </w:r>
            <w:r w:rsidR="00D100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określając</w:t>
            </w:r>
            <w:r w:rsidR="00D100B5">
              <w:rPr>
                <w:rFonts w:ascii="Times New Roman" w:eastAsia="Times New Roman" w:hAnsi="Times New Roman" w:cs="Times New Roman"/>
                <w:sz w:val="18"/>
                <w:szCs w:val="18"/>
                <w:lang w:val="pl-PL" w:eastAsia="pl-PL"/>
              </w:rPr>
              <w:t>ego</w:t>
            </w:r>
            <w:r w:rsidRPr="009B25FB">
              <w:rPr>
                <w:rFonts w:ascii="Times New Roman" w:eastAsia="Times New Roman" w:hAnsi="Times New Roman" w:cs="Times New Roman"/>
                <w:sz w:val="18"/>
                <w:szCs w:val="18"/>
                <w:lang w:val="pl-PL" w:eastAsia="pl-PL"/>
              </w:rPr>
              <w:t xml:space="preserve"> standardy jakości paliw stałych z biomasy</w:t>
            </w:r>
          </w:p>
        </w:tc>
        <w:tc>
          <w:tcPr>
            <w:tcW w:w="1559" w:type="dxa"/>
            <w:tcBorders>
              <w:top w:val="nil"/>
              <w:left w:val="nil"/>
              <w:bottom w:val="single" w:sz="4" w:space="0" w:color="auto"/>
              <w:right w:val="single" w:sz="4" w:space="0" w:color="auto"/>
            </w:tcBorders>
            <w:shd w:val="clear" w:color="000000" w:fill="C6EFCE"/>
            <w:vAlign w:val="center"/>
            <w:hideMark/>
          </w:tcPr>
          <w:p w14:paraId="0E47E88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 w Rozporządzeniu w sprawie norm jakości paliw stałych z biomasy</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7B161D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B03F95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128105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ABFAE3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68A8D2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2C56EF7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Rozporządzenie określi standardy jakości paliw stałych z biomasy, w tym </w:t>
            </w:r>
            <w:proofErr w:type="spellStart"/>
            <w:r w:rsidRPr="009B25FB">
              <w:rPr>
                <w:rFonts w:ascii="Times New Roman" w:eastAsia="Times New Roman" w:hAnsi="Times New Roman" w:cs="Times New Roman"/>
                <w:sz w:val="18"/>
                <w:szCs w:val="18"/>
                <w:lang w:val="pl-PL" w:eastAsia="pl-PL"/>
              </w:rPr>
              <w:t>peletów</w:t>
            </w:r>
            <w:proofErr w:type="spellEnd"/>
            <w:r w:rsidRPr="009B25FB">
              <w:rPr>
                <w:rFonts w:ascii="Times New Roman" w:eastAsia="Times New Roman" w:hAnsi="Times New Roman" w:cs="Times New Roman"/>
                <w:sz w:val="18"/>
                <w:szCs w:val="18"/>
                <w:lang w:val="pl-PL" w:eastAsia="pl-PL"/>
              </w:rPr>
              <w:t xml:space="preserve"> drzewnych.</w:t>
            </w:r>
            <w:r w:rsidRPr="009B25FB">
              <w:rPr>
                <w:rFonts w:ascii="Times New Roman" w:eastAsia="Times New Roman" w:hAnsi="Times New Roman" w:cs="Times New Roman"/>
                <w:sz w:val="18"/>
                <w:szCs w:val="18"/>
                <w:lang w:val="pl-PL" w:eastAsia="pl-PL"/>
              </w:rPr>
              <w:br/>
              <w:t>Rozporządzenie wprowadzi również zakaz stosowania przez producentów oznaczeń wprowadzających w błąd</w:t>
            </w:r>
          </w:p>
        </w:tc>
      </w:tr>
      <w:tr w:rsidR="001052B5" w:rsidRPr="009D378C" w14:paraId="6CF3403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85E5764"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B6G</w:t>
            </w:r>
          </w:p>
        </w:tc>
        <w:tc>
          <w:tcPr>
            <w:tcW w:w="1841" w:type="dxa"/>
            <w:tcBorders>
              <w:top w:val="nil"/>
              <w:left w:val="nil"/>
              <w:bottom w:val="single" w:sz="4" w:space="0" w:color="auto"/>
              <w:right w:val="single" w:sz="4" w:space="0" w:color="auto"/>
            </w:tcBorders>
            <w:shd w:val="clear" w:color="000000" w:fill="C6EFCE"/>
            <w:vAlign w:val="center"/>
            <w:hideMark/>
          </w:tcPr>
          <w:p w14:paraId="664B6374" w14:textId="7921A850"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B1.1.1 Inwestycje w źródła ciepła w systemach ciepłowniczych</w:t>
            </w:r>
          </w:p>
        </w:tc>
        <w:tc>
          <w:tcPr>
            <w:tcW w:w="1134" w:type="dxa"/>
            <w:tcBorders>
              <w:top w:val="nil"/>
              <w:left w:val="nil"/>
              <w:bottom w:val="single" w:sz="4" w:space="0" w:color="auto"/>
              <w:right w:val="single" w:sz="4" w:space="0" w:color="auto"/>
            </w:tcBorders>
            <w:shd w:val="clear" w:color="000000" w:fill="C6EFCE"/>
            <w:vAlign w:val="center"/>
            <w:hideMark/>
          </w:tcPr>
          <w:p w14:paraId="753347F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B5C74A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 Źródła ciepła w systemach ciepłowniczych</w:t>
            </w:r>
          </w:p>
        </w:tc>
        <w:tc>
          <w:tcPr>
            <w:tcW w:w="1559" w:type="dxa"/>
            <w:tcBorders>
              <w:top w:val="nil"/>
              <w:left w:val="nil"/>
              <w:bottom w:val="single" w:sz="4" w:space="0" w:color="auto"/>
              <w:right w:val="single" w:sz="4" w:space="0" w:color="auto"/>
            </w:tcBorders>
            <w:shd w:val="clear" w:color="000000" w:fill="C6EFCE"/>
            <w:vAlign w:val="center"/>
            <w:hideMark/>
          </w:tcPr>
          <w:p w14:paraId="34F3B47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45FCB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9FC4DB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0F3E499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45</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399CCB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E50794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2024</w:t>
            </w:r>
          </w:p>
        </w:tc>
        <w:tc>
          <w:tcPr>
            <w:tcW w:w="3541" w:type="dxa"/>
            <w:tcBorders>
              <w:top w:val="nil"/>
              <w:left w:val="nil"/>
              <w:bottom w:val="single" w:sz="4" w:space="0" w:color="auto"/>
              <w:right w:val="single" w:sz="4" w:space="0" w:color="auto"/>
            </w:tcBorders>
            <w:shd w:val="clear" w:color="000000" w:fill="C6EFCE"/>
            <w:vAlign w:val="center"/>
            <w:hideMark/>
          </w:tcPr>
          <w:p w14:paraId="104973F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źródeł ciepła w ramach podpisanych umów spełniających wymagania DNSH. Wspierane technologie będą obejmować jednostki kogeneracji na gaz ziemny, OZE (energia słoneczna, geotermalna, bioenergia), pompy ciepła. Próg 250g CO2/kWh wytworzonej energii nie zostanie przekroczony dla żadnej ze wspieranych instalacji. W przypadku instalacji wykorzystujących bioenergię należy zapewnić zgodność z Dyrektywą 2018/2001 OZE, Należy również zapewnić, że biogaz / </w:t>
            </w:r>
            <w:proofErr w:type="spellStart"/>
            <w:r w:rsidRPr="009B25FB">
              <w:rPr>
                <w:rFonts w:ascii="Times New Roman" w:eastAsia="Times New Roman" w:hAnsi="Times New Roman" w:cs="Times New Roman"/>
                <w:sz w:val="18"/>
                <w:szCs w:val="18"/>
                <w:lang w:val="pl-PL" w:eastAsia="pl-PL"/>
              </w:rPr>
              <w:t>biometan</w:t>
            </w:r>
            <w:proofErr w:type="spellEnd"/>
            <w:r w:rsidRPr="009B25FB">
              <w:rPr>
                <w:rFonts w:ascii="Times New Roman" w:eastAsia="Times New Roman" w:hAnsi="Times New Roman" w:cs="Times New Roman"/>
                <w:sz w:val="18"/>
                <w:szCs w:val="18"/>
                <w:lang w:val="pl-PL" w:eastAsia="pl-PL"/>
              </w:rPr>
              <w:t xml:space="preserve"> eksploatowany przez gazociąg będzie spełniał kryteria zrównoważonego </w:t>
            </w:r>
            <w:r w:rsidRPr="009B25FB">
              <w:rPr>
                <w:rFonts w:ascii="Times New Roman" w:eastAsia="Times New Roman" w:hAnsi="Times New Roman" w:cs="Times New Roman"/>
                <w:sz w:val="18"/>
                <w:szCs w:val="18"/>
                <w:lang w:val="pl-PL" w:eastAsia="pl-PL"/>
              </w:rPr>
              <w:lastRenderedPageBreak/>
              <w:t xml:space="preserve">rozwoju i redukcji emisji gazów cieplarnianych (zgodnie z Dyrektywą OZE). </w:t>
            </w:r>
          </w:p>
        </w:tc>
      </w:tr>
      <w:tr w:rsidR="001052B5" w:rsidRPr="009D378C" w14:paraId="1FB5BB2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AF29A1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B7G</w:t>
            </w:r>
          </w:p>
        </w:tc>
        <w:tc>
          <w:tcPr>
            <w:tcW w:w="1841" w:type="dxa"/>
            <w:tcBorders>
              <w:top w:val="nil"/>
              <w:left w:val="nil"/>
              <w:bottom w:val="single" w:sz="4" w:space="0" w:color="auto"/>
              <w:right w:val="single" w:sz="4" w:space="0" w:color="auto"/>
            </w:tcBorders>
            <w:shd w:val="clear" w:color="000000" w:fill="C6EFCE"/>
            <w:vAlign w:val="center"/>
            <w:hideMark/>
          </w:tcPr>
          <w:p w14:paraId="580EAC7D" w14:textId="1B431048"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B1.1.1 Inwestycje w źródła ciepła</w:t>
            </w:r>
            <w:r w:rsidR="004F08A5">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w systemach ciepłowniczych</w:t>
            </w:r>
          </w:p>
        </w:tc>
        <w:tc>
          <w:tcPr>
            <w:tcW w:w="1134" w:type="dxa"/>
            <w:tcBorders>
              <w:top w:val="nil"/>
              <w:left w:val="nil"/>
              <w:bottom w:val="single" w:sz="4" w:space="0" w:color="auto"/>
              <w:right w:val="single" w:sz="4" w:space="0" w:color="auto"/>
            </w:tcBorders>
            <w:shd w:val="clear" w:color="000000" w:fill="C6EFCE"/>
            <w:vAlign w:val="center"/>
            <w:hideMark/>
          </w:tcPr>
          <w:p w14:paraId="45FC177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731D2B2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Źródła ciepła w systemach ciepłowniczych</w:t>
            </w:r>
          </w:p>
        </w:tc>
        <w:tc>
          <w:tcPr>
            <w:tcW w:w="1559" w:type="dxa"/>
            <w:tcBorders>
              <w:top w:val="nil"/>
              <w:left w:val="nil"/>
              <w:bottom w:val="single" w:sz="4" w:space="0" w:color="auto"/>
              <w:right w:val="single" w:sz="4" w:space="0" w:color="auto"/>
            </w:tcBorders>
            <w:shd w:val="clear" w:color="000000" w:fill="C6EFCE"/>
            <w:vAlign w:val="center"/>
            <w:hideMark/>
          </w:tcPr>
          <w:p w14:paraId="410EAD0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B1192A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C34F7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45</w:t>
            </w:r>
          </w:p>
        </w:tc>
        <w:tc>
          <w:tcPr>
            <w:tcW w:w="850" w:type="dxa"/>
            <w:tcBorders>
              <w:top w:val="nil"/>
              <w:left w:val="nil"/>
              <w:bottom w:val="single" w:sz="4" w:space="0" w:color="auto"/>
              <w:right w:val="single" w:sz="4" w:space="0" w:color="auto"/>
            </w:tcBorders>
            <w:shd w:val="clear" w:color="000000" w:fill="C6EFCE"/>
            <w:vAlign w:val="center"/>
            <w:hideMark/>
          </w:tcPr>
          <w:p w14:paraId="370A9EA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D74C40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73923C0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4C16BF4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źródeł ciepła w ramach podpisanych umów spełniających wymagania DNSH. Wspierane technologie będą obejmować jednostki kogeneracji na gaz ziemny, OZE (energia słoneczna, geotermalna, bioenergia), pompy ciepła. Próg 250g CO2/kWh wytworzonej energii nie zostanie przekroczony dla żadnej ze wspieranych instalacji. W przypadku instalacji wykorzystujących bioenergię należy zapewnić zgodność z Dyrektywą 2018/2001 OZE, Należy również zapewnić, że biogaz / </w:t>
            </w:r>
            <w:proofErr w:type="spellStart"/>
            <w:r w:rsidRPr="009B25FB">
              <w:rPr>
                <w:rFonts w:ascii="Times New Roman" w:eastAsia="Times New Roman" w:hAnsi="Times New Roman" w:cs="Times New Roman"/>
                <w:sz w:val="18"/>
                <w:szCs w:val="18"/>
                <w:lang w:val="pl-PL" w:eastAsia="pl-PL"/>
              </w:rPr>
              <w:t>biometan</w:t>
            </w:r>
            <w:proofErr w:type="spellEnd"/>
            <w:r w:rsidRPr="009B25FB">
              <w:rPr>
                <w:rFonts w:ascii="Times New Roman" w:eastAsia="Times New Roman" w:hAnsi="Times New Roman" w:cs="Times New Roman"/>
                <w:sz w:val="18"/>
                <w:szCs w:val="18"/>
                <w:lang w:val="pl-PL" w:eastAsia="pl-PL"/>
              </w:rPr>
              <w:t xml:space="preserve"> eksploatowany przez gazociąg będzie spełniał kryteria zrównoważonego rozwoju i redukcji emisji gazów cieplarnianych (zgodnie z Dyrektywą OZE). </w:t>
            </w:r>
          </w:p>
        </w:tc>
      </w:tr>
      <w:tr w:rsidR="001052B5" w:rsidRPr="009D378C" w14:paraId="7B0F2B6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9D87F69"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B8G</w:t>
            </w:r>
          </w:p>
        </w:tc>
        <w:tc>
          <w:tcPr>
            <w:tcW w:w="1841" w:type="dxa"/>
            <w:tcBorders>
              <w:top w:val="nil"/>
              <w:left w:val="nil"/>
              <w:bottom w:val="single" w:sz="4" w:space="0" w:color="auto"/>
              <w:right w:val="single" w:sz="4" w:space="0" w:color="auto"/>
            </w:tcBorders>
            <w:shd w:val="clear" w:color="000000" w:fill="C6EFCE"/>
            <w:vAlign w:val="center"/>
            <w:hideMark/>
          </w:tcPr>
          <w:p w14:paraId="219CAF3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B1.1.2. Wymiana źródeł ciepła i poprawa efektywności energetycznej w budynkach mieszkalnych </w:t>
            </w:r>
          </w:p>
        </w:tc>
        <w:tc>
          <w:tcPr>
            <w:tcW w:w="1134" w:type="dxa"/>
            <w:tcBorders>
              <w:top w:val="nil"/>
              <w:left w:val="nil"/>
              <w:bottom w:val="single" w:sz="4" w:space="0" w:color="auto"/>
              <w:right w:val="single" w:sz="4" w:space="0" w:color="auto"/>
            </w:tcBorders>
            <w:shd w:val="clear" w:color="000000" w:fill="C6EFCE"/>
            <w:vAlign w:val="center"/>
            <w:hideMark/>
          </w:tcPr>
          <w:p w14:paraId="12FBBE0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EB610F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 Wymiana źródła ciepła w budynkach jednorodzinnych</w:t>
            </w:r>
          </w:p>
        </w:tc>
        <w:tc>
          <w:tcPr>
            <w:tcW w:w="1559" w:type="dxa"/>
            <w:tcBorders>
              <w:top w:val="nil"/>
              <w:left w:val="nil"/>
              <w:bottom w:val="single" w:sz="4" w:space="0" w:color="auto"/>
              <w:right w:val="single" w:sz="4" w:space="0" w:color="auto"/>
            </w:tcBorders>
            <w:shd w:val="clear" w:color="000000" w:fill="C6EFCE"/>
            <w:vAlign w:val="center"/>
            <w:hideMark/>
          </w:tcPr>
          <w:p w14:paraId="09B4FE2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F875A7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6A64C7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34D044C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250000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4EB4E1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21F093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3BB071E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zainstalowanych źródeł ciepła spełniających wymagania DNSH (w ramach </w:t>
            </w:r>
            <w:proofErr w:type="spellStart"/>
            <w:r w:rsidRPr="009B25FB">
              <w:rPr>
                <w:rFonts w:ascii="Times New Roman" w:eastAsia="Times New Roman" w:hAnsi="Times New Roman" w:cs="Times New Roman"/>
                <w:sz w:val="18"/>
                <w:szCs w:val="18"/>
                <w:lang w:val="pl-PL" w:eastAsia="pl-PL"/>
              </w:rPr>
              <w:t>podpsianych</w:t>
            </w:r>
            <w:proofErr w:type="spellEnd"/>
            <w:r w:rsidRPr="009B25FB">
              <w:rPr>
                <w:rFonts w:ascii="Times New Roman" w:eastAsia="Times New Roman" w:hAnsi="Times New Roman" w:cs="Times New Roman"/>
                <w:sz w:val="18"/>
                <w:szCs w:val="18"/>
                <w:lang w:val="pl-PL" w:eastAsia="pl-PL"/>
              </w:rPr>
              <w:t xml:space="preserve"> kontraktów).</w:t>
            </w:r>
            <w:r w:rsidRPr="009B25FB">
              <w:rPr>
                <w:rFonts w:ascii="Times New Roman" w:eastAsia="Times New Roman" w:hAnsi="Times New Roman" w:cs="Times New Roman"/>
                <w:strike/>
                <w:sz w:val="18"/>
                <w:szCs w:val="18"/>
                <w:lang w:val="pl-PL" w:eastAsia="pl-PL"/>
              </w:rPr>
              <w:t>.</w:t>
            </w:r>
            <w:r w:rsidRPr="009B25FB">
              <w:rPr>
                <w:rFonts w:ascii="Times New Roman" w:eastAsia="Times New Roman" w:hAnsi="Times New Roman" w:cs="Times New Roman"/>
                <w:sz w:val="18"/>
                <w:szCs w:val="18"/>
                <w:lang w:val="pl-PL" w:eastAsia="pl-PL"/>
              </w:rPr>
              <w:t xml:space="preserve"> Inwestycje będą wspierane w ramach Programu Priorytetowego "Czyste Powietrze" i funduszu termomodernizacyjnego, zgodnie z długoterminową strategią renowacji w ramach dyrektywy w sprawie charakterystyki energetycznej budynków  . Należy zapewnić, aby poziom oszczędności energii pierwotnej na poziomie programu wynosił co najmniej 30%. Wsparcie dla kotłów gazowych powinno być realizowane zgodnie z wytycznymi KE dot. DNSH (2021/C58/021),  w szczególności powinno to </w:t>
            </w:r>
            <w:proofErr w:type="spellStart"/>
            <w:r w:rsidRPr="009B25FB">
              <w:rPr>
                <w:rFonts w:ascii="Times New Roman" w:eastAsia="Times New Roman" w:hAnsi="Times New Roman" w:cs="Times New Roman"/>
                <w:sz w:val="18"/>
                <w:szCs w:val="18"/>
                <w:lang w:val="pl-PL" w:eastAsia="pl-PL"/>
              </w:rPr>
              <w:t>prowadzic</w:t>
            </w:r>
            <w:proofErr w:type="spellEnd"/>
            <w:r w:rsidRPr="009B25FB">
              <w:rPr>
                <w:rFonts w:ascii="Times New Roman" w:eastAsia="Times New Roman" w:hAnsi="Times New Roman" w:cs="Times New Roman"/>
                <w:sz w:val="18"/>
                <w:szCs w:val="18"/>
                <w:lang w:val="pl-PL" w:eastAsia="pl-PL"/>
              </w:rPr>
              <w:t xml:space="preserve"> do znacznej </w:t>
            </w:r>
            <w:proofErr w:type="spellStart"/>
            <w:r w:rsidRPr="009B25FB">
              <w:rPr>
                <w:rFonts w:ascii="Times New Roman" w:eastAsia="Times New Roman" w:hAnsi="Times New Roman" w:cs="Times New Roman"/>
                <w:sz w:val="18"/>
                <w:szCs w:val="18"/>
                <w:lang w:val="pl-PL" w:eastAsia="pl-PL"/>
              </w:rPr>
              <w:t>redukacji</w:t>
            </w:r>
            <w:proofErr w:type="spellEnd"/>
            <w:r w:rsidRPr="009B25FB">
              <w:rPr>
                <w:rFonts w:ascii="Times New Roman" w:eastAsia="Times New Roman" w:hAnsi="Times New Roman" w:cs="Times New Roman"/>
                <w:sz w:val="18"/>
                <w:szCs w:val="18"/>
                <w:lang w:val="pl-PL" w:eastAsia="pl-PL"/>
              </w:rPr>
              <w:t xml:space="preserve"> emisji GHG i znacznej poprawy środowiska (głównie poprzez redukcję zanieczyszczeń)  oraz zdrowia publicznego. Ponadto należy zapewnić, aby kotły gazowe nie stanowiły więcej niż 40% całkowitej liczby wymienionych źródeł ciepła na poziomie inwestycji.</w:t>
            </w:r>
          </w:p>
        </w:tc>
      </w:tr>
      <w:tr w:rsidR="001052B5" w:rsidRPr="009D378C" w14:paraId="1FB388B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000B888"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B9G</w:t>
            </w:r>
          </w:p>
        </w:tc>
        <w:tc>
          <w:tcPr>
            <w:tcW w:w="1841" w:type="dxa"/>
            <w:tcBorders>
              <w:top w:val="nil"/>
              <w:left w:val="nil"/>
              <w:bottom w:val="single" w:sz="4" w:space="0" w:color="auto"/>
              <w:right w:val="single" w:sz="4" w:space="0" w:color="auto"/>
            </w:tcBorders>
            <w:shd w:val="clear" w:color="000000" w:fill="C6EFCE"/>
            <w:vAlign w:val="center"/>
            <w:hideMark/>
          </w:tcPr>
          <w:p w14:paraId="06B3F02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B1.1.2. Wymiana źródeł ciepła i poprawa efektywności energetycznej w budynkach mieszkalnych </w:t>
            </w:r>
          </w:p>
        </w:tc>
        <w:tc>
          <w:tcPr>
            <w:tcW w:w="1134" w:type="dxa"/>
            <w:tcBorders>
              <w:top w:val="nil"/>
              <w:left w:val="nil"/>
              <w:bottom w:val="single" w:sz="4" w:space="0" w:color="auto"/>
              <w:right w:val="single" w:sz="4" w:space="0" w:color="auto"/>
            </w:tcBorders>
            <w:shd w:val="clear" w:color="000000" w:fill="C6EFCE"/>
            <w:vAlign w:val="center"/>
            <w:hideMark/>
          </w:tcPr>
          <w:p w14:paraId="4011E61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09B4978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Wymiana źródła ciepła w budynkach jednorodzinnych</w:t>
            </w:r>
          </w:p>
        </w:tc>
        <w:tc>
          <w:tcPr>
            <w:tcW w:w="1559" w:type="dxa"/>
            <w:tcBorders>
              <w:top w:val="nil"/>
              <w:left w:val="nil"/>
              <w:bottom w:val="single" w:sz="4" w:space="0" w:color="auto"/>
              <w:right w:val="single" w:sz="4" w:space="0" w:color="auto"/>
            </w:tcBorders>
            <w:shd w:val="clear" w:color="000000" w:fill="C6EFCE"/>
            <w:vAlign w:val="center"/>
            <w:hideMark/>
          </w:tcPr>
          <w:p w14:paraId="702534E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E6CA57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913BA3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250000</w:t>
            </w:r>
          </w:p>
        </w:tc>
        <w:tc>
          <w:tcPr>
            <w:tcW w:w="850" w:type="dxa"/>
            <w:tcBorders>
              <w:top w:val="nil"/>
              <w:left w:val="nil"/>
              <w:bottom w:val="single" w:sz="4" w:space="0" w:color="auto"/>
              <w:right w:val="single" w:sz="4" w:space="0" w:color="auto"/>
            </w:tcBorders>
            <w:shd w:val="clear" w:color="000000" w:fill="C6EFCE"/>
            <w:vAlign w:val="center"/>
            <w:hideMark/>
          </w:tcPr>
          <w:p w14:paraId="54DAB0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791200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4C47C7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60E73DD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223D2B5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zainstalowanych źródeł ciepła spełniających wymagania DNSH (w ramach </w:t>
            </w:r>
            <w:proofErr w:type="spellStart"/>
            <w:r w:rsidRPr="009B25FB">
              <w:rPr>
                <w:rFonts w:ascii="Times New Roman" w:eastAsia="Times New Roman" w:hAnsi="Times New Roman" w:cs="Times New Roman"/>
                <w:sz w:val="18"/>
                <w:szCs w:val="18"/>
                <w:lang w:val="pl-PL" w:eastAsia="pl-PL"/>
              </w:rPr>
              <w:t>podpsianych</w:t>
            </w:r>
            <w:proofErr w:type="spellEnd"/>
            <w:r w:rsidRPr="009B25FB">
              <w:rPr>
                <w:rFonts w:ascii="Times New Roman" w:eastAsia="Times New Roman" w:hAnsi="Times New Roman" w:cs="Times New Roman"/>
                <w:sz w:val="18"/>
                <w:szCs w:val="18"/>
                <w:lang w:val="pl-PL" w:eastAsia="pl-PL"/>
              </w:rPr>
              <w:t xml:space="preserve"> kontraktów).</w:t>
            </w:r>
            <w:r w:rsidRPr="009B25FB">
              <w:rPr>
                <w:rFonts w:ascii="Times New Roman" w:eastAsia="Times New Roman" w:hAnsi="Times New Roman" w:cs="Times New Roman"/>
                <w:strike/>
                <w:sz w:val="18"/>
                <w:szCs w:val="18"/>
                <w:lang w:val="pl-PL" w:eastAsia="pl-PL"/>
              </w:rPr>
              <w:t>.</w:t>
            </w:r>
            <w:r w:rsidRPr="009B25FB">
              <w:rPr>
                <w:rFonts w:ascii="Times New Roman" w:eastAsia="Times New Roman" w:hAnsi="Times New Roman" w:cs="Times New Roman"/>
                <w:sz w:val="18"/>
                <w:szCs w:val="18"/>
                <w:lang w:val="pl-PL" w:eastAsia="pl-PL"/>
              </w:rPr>
              <w:t xml:space="preserve"> Inwestycje będą wspierane w ramach Programu Priorytetowego "Czyste Powietrze" i funduszu termomodernizacyjnego, zgodnie z długoterminową strategią renowacji w ramach dyrektywy w sprawie charakterystyki energetycznej budynków  . Należy zapewnić, aby poziom oszczędności energii pierwotnej na poziomie programu wynosił co najmniej 30%. Wsparcie dla kotłów gazowych powinno być realizowane zgodnie z wytycznymi KE dot. DNSH (2021/C58/021),  w szczególności powinno to </w:t>
            </w:r>
            <w:proofErr w:type="spellStart"/>
            <w:r w:rsidRPr="009B25FB">
              <w:rPr>
                <w:rFonts w:ascii="Times New Roman" w:eastAsia="Times New Roman" w:hAnsi="Times New Roman" w:cs="Times New Roman"/>
                <w:sz w:val="18"/>
                <w:szCs w:val="18"/>
                <w:lang w:val="pl-PL" w:eastAsia="pl-PL"/>
              </w:rPr>
              <w:t>prowadzic</w:t>
            </w:r>
            <w:proofErr w:type="spellEnd"/>
            <w:r w:rsidRPr="009B25FB">
              <w:rPr>
                <w:rFonts w:ascii="Times New Roman" w:eastAsia="Times New Roman" w:hAnsi="Times New Roman" w:cs="Times New Roman"/>
                <w:sz w:val="18"/>
                <w:szCs w:val="18"/>
                <w:lang w:val="pl-PL" w:eastAsia="pl-PL"/>
              </w:rPr>
              <w:t xml:space="preserve"> do znacznej </w:t>
            </w:r>
            <w:proofErr w:type="spellStart"/>
            <w:r w:rsidRPr="009B25FB">
              <w:rPr>
                <w:rFonts w:ascii="Times New Roman" w:eastAsia="Times New Roman" w:hAnsi="Times New Roman" w:cs="Times New Roman"/>
                <w:sz w:val="18"/>
                <w:szCs w:val="18"/>
                <w:lang w:val="pl-PL" w:eastAsia="pl-PL"/>
              </w:rPr>
              <w:t>redukacji</w:t>
            </w:r>
            <w:proofErr w:type="spellEnd"/>
            <w:r w:rsidRPr="009B25FB">
              <w:rPr>
                <w:rFonts w:ascii="Times New Roman" w:eastAsia="Times New Roman" w:hAnsi="Times New Roman" w:cs="Times New Roman"/>
                <w:sz w:val="18"/>
                <w:szCs w:val="18"/>
                <w:lang w:val="pl-PL" w:eastAsia="pl-PL"/>
              </w:rPr>
              <w:t xml:space="preserve"> emisji GHG i znacznej poprawy środowiska (głównie poprzez redukcję zanieczyszczeń)  oraz zdrowia publicznego. Ponadto należy zapewnić, aby kotły gazowe nie stanowiły więcej niż 40% całkowitej liczby wymienionych źródeł ciepła na poziomie inwestycji.</w:t>
            </w:r>
          </w:p>
        </w:tc>
      </w:tr>
      <w:tr w:rsidR="001052B5" w:rsidRPr="009D378C" w14:paraId="0A15D5E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5907021"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B10G</w:t>
            </w:r>
          </w:p>
        </w:tc>
        <w:tc>
          <w:tcPr>
            <w:tcW w:w="1841" w:type="dxa"/>
            <w:tcBorders>
              <w:top w:val="nil"/>
              <w:left w:val="nil"/>
              <w:bottom w:val="single" w:sz="4" w:space="0" w:color="auto"/>
              <w:right w:val="single" w:sz="4" w:space="0" w:color="auto"/>
            </w:tcBorders>
            <w:shd w:val="clear" w:color="000000" w:fill="C6EFCE"/>
            <w:vAlign w:val="center"/>
            <w:hideMark/>
          </w:tcPr>
          <w:p w14:paraId="512A7CC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B1.1.2. Wymiana źródeł ciepła i poprawa efektywności energetycznej w budynkach mieszkalnych </w:t>
            </w:r>
          </w:p>
        </w:tc>
        <w:tc>
          <w:tcPr>
            <w:tcW w:w="1134" w:type="dxa"/>
            <w:tcBorders>
              <w:top w:val="nil"/>
              <w:left w:val="nil"/>
              <w:bottom w:val="single" w:sz="4" w:space="0" w:color="auto"/>
              <w:right w:val="single" w:sz="4" w:space="0" w:color="auto"/>
            </w:tcBorders>
            <w:shd w:val="clear" w:color="000000" w:fill="C6EFCE"/>
            <w:vAlign w:val="center"/>
            <w:hideMark/>
          </w:tcPr>
          <w:p w14:paraId="6602A40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0E5AAAE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 Termomodernizacja i instalacja OZE w budynkach mieszkalnych (jednorodzinnych i wielorodzinnych)</w:t>
            </w:r>
          </w:p>
        </w:tc>
        <w:tc>
          <w:tcPr>
            <w:tcW w:w="1559" w:type="dxa"/>
            <w:tcBorders>
              <w:top w:val="nil"/>
              <w:left w:val="nil"/>
              <w:bottom w:val="single" w:sz="4" w:space="0" w:color="auto"/>
              <w:right w:val="single" w:sz="4" w:space="0" w:color="auto"/>
            </w:tcBorders>
            <w:shd w:val="clear" w:color="000000" w:fill="C6EFCE"/>
            <w:vAlign w:val="center"/>
            <w:hideMark/>
          </w:tcPr>
          <w:p w14:paraId="475B596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680A29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FE9AE0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22C721F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244952</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C6E89C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7A9302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40A80D5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zmodernizowanych energetycznie domów jednorodzinnych i wielorodzinnych spełniających standardy efektywności energetycznej w ramach Programu Priorytetowego "Czyste Powietrze" i Funduszu Termomodernizacji i Remontów. Należy zapewnić, aby poziom oszczędności energii pierwotnej na poziomie programu wynosił co najmniej 30%. Wsparcie powinno być udzielane zgodnie z wytycznymi Komisji dot. DNSH (2021/C58/021). W szczególności należy zapewnić, aby co najmniej 70% odpadów budowlanych wytworzonych w ramach programu zostało ponownie wykorzystane lub poddane recyklingowi.</w:t>
            </w:r>
          </w:p>
        </w:tc>
      </w:tr>
      <w:tr w:rsidR="001052B5" w:rsidRPr="009D378C" w14:paraId="4EED095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2BA961F"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B11G</w:t>
            </w:r>
          </w:p>
        </w:tc>
        <w:tc>
          <w:tcPr>
            <w:tcW w:w="1841" w:type="dxa"/>
            <w:tcBorders>
              <w:top w:val="nil"/>
              <w:left w:val="nil"/>
              <w:bottom w:val="single" w:sz="4" w:space="0" w:color="auto"/>
              <w:right w:val="single" w:sz="4" w:space="0" w:color="auto"/>
            </w:tcBorders>
            <w:shd w:val="clear" w:color="000000" w:fill="C6EFCE"/>
            <w:vAlign w:val="center"/>
            <w:hideMark/>
          </w:tcPr>
          <w:p w14:paraId="4B1DC9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B1.1.2. Wymiana źródeł ciepła i poprawa efektywności energetycznej w budynkach mieszkalnych </w:t>
            </w:r>
          </w:p>
        </w:tc>
        <w:tc>
          <w:tcPr>
            <w:tcW w:w="1134" w:type="dxa"/>
            <w:tcBorders>
              <w:top w:val="nil"/>
              <w:left w:val="nil"/>
              <w:bottom w:val="single" w:sz="4" w:space="0" w:color="auto"/>
              <w:right w:val="single" w:sz="4" w:space="0" w:color="auto"/>
            </w:tcBorders>
            <w:shd w:val="clear" w:color="000000" w:fill="C6EFCE"/>
            <w:vAlign w:val="center"/>
            <w:hideMark/>
          </w:tcPr>
          <w:p w14:paraId="50B5DA0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6B79154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Termomodernizacja i instalacja OZE w budynkach mieszkalnych (jednorodzinnych i wielorodzinnych)</w:t>
            </w:r>
          </w:p>
        </w:tc>
        <w:tc>
          <w:tcPr>
            <w:tcW w:w="1559" w:type="dxa"/>
            <w:tcBorders>
              <w:top w:val="nil"/>
              <w:left w:val="nil"/>
              <w:bottom w:val="single" w:sz="4" w:space="0" w:color="auto"/>
              <w:right w:val="single" w:sz="4" w:space="0" w:color="auto"/>
            </w:tcBorders>
            <w:shd w:val="clear" w:color="000000" w:fill="C6EFCE"/>
            <w:vAlign w:val="center"/>
            <w:hideMark/>
          </w:tcPr>
          <w:p w14:paraId="1F32387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4ADB1E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768EE85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244952</w:t>
            </w:r>
          </w:p>
        </w:tc>
        <w:tc>
          <w:tcPr>
            <w:tcW w:w="850" w:type="dxa"/>
            <w:tcBorders>
              <w:top w:val="nil"/>
              <w:left w:val="nil"/>
              <w:bottom w:val="single" w:sz="4" w:space="0" w:color="auto"/>
              <w:right w:val="single" w:sz="4" w:space="0" w:color="auto"/>
            </w:tcBorders>
            <w:shd w:val="clear" w:color="000000" w:fill="C6EFCE"/>
            <w:vAlign w:val="center"/>
            <w:hideMark/>
          </w:tcPr>
          <w:p w14:paraId="63747AB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700390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0694BD5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33053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4003053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zmodernizowanych energetycznie domów jednorodzinnych i wielorodzinnych spełniających standardy efektywności energetycznej w ramach Programu Priorytetowego "Czyste Powietrze" i Funduszu Termomodernizacji i Remontów. Należy zapewnić, aby poziom oszczędności energii pierwotnej na poziomie programu wynosił co najmniej 30%. Wsparcie powinno być udzielane zgodnie z wytycznymi Komisji dot. DNSH (2021/C58/021). W szczególności należy zapewnić, aby co najmniej 70% odpadów budowlanych wytworzonych w ramach programu zostało ponownie wykorzystane lub poddane recyklingowi.</w:t>
            </w:r>
          </w:p>
        </w:tc>
      </w:tr>
      <w:tr w:rsidR="001052B5" w:rsidRPr="009D378C" w14:paraId="540FBD2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68D3FED"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B12G</w:t>
            </w:r>
          </w:p>
        </w:tc>
        <w:tc>
          <w:tcPr>
            <w:tcW w:w="1841" w:type="dxa"/>
            <w:tcBorders>
              <w:top w:val="nil"/>
              <w:left w:val="nil"/>
              <w:bottom w:val="single" w:sz="4" w:space="0" w:color="auto"/>
              <w:right w:val="single" w:sz="4" w:space="0" w:color="auto"/>
            </w:tcBorders>
            <w:shd w:val="clear" w:color="000000" w:fill="C6EFCE"/>
            <w:vAlign w:val="center"/>
            <w:hideMark/>
          </w:tcPr>
          <w:p w14:paraId="23DA4CB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B1.1.3. Wymiana źródeł ciepła i poprawa efektywności energetycznej szkół</w:t>
            </w:r>
          </w:p>
        </w:tc>
        <w:tc>
          <w:tcPr>
            <w:tcW w:w="1134" w:type="dxa"/>
            <w:tcBorders>
              <w:top w:val="nil"/>
              <w:left w:val="nil"/>
              <w:bottom w:val="single" w:sz="4" w:space="0" w:color="auto"/>
              <w:right w:val="single" w:sz="4" w:space="0" w:color="auto"/>
            </w:tcBorders>
            <w:shd w:val="clear" w:color="000000" w:fill="C6EFCE"/>
            <w:vAlign w:val="center"/>
            <w:hideMark/>
          </w:tcPr>
          <w:p w14:paraId="08BD548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6261AA2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Zmodernizowane lub wymienione źródła ciepła  w budynkach placówek oświatowych spełniające wymagania DNSH  (na podstawie podpisanych umów)</w:t>
            </w:r>
          </w:p>
        </w:tc>
        <w:tc>
          <w:tcPr>
            <w:tcW w:w="1559" w:type="dxa"/>
            <w:tcBorders>
              <w:top w:val="nil"/>
              <w:left w:val="nil"/>
              <w:bottom w:val="single" w:sz="4" w:space="0" w:color="auto"/>
              <w:right w:val="single" w:sz="4" w:space="0" w:color="auto"/>
            </w:tcBorders>
            <w:shd w:val="clear" w:color="000000" w:fill="C6EFCE"/>
            <w:vAlign w:val="center"/>
            <w:hideMark/>
          </w:tcPr>
          <w:p w14:paraId="57C9301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C47F79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4FF15B8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795037E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157E9E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358109B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325DD06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wymienionych lub zmodernizowanych źródeł ciepła w budynkach placówek oświatowych spełniających wymagania dla zasady DNSH (w ramach podpisanych umów). Zrealizowane inwestycje powinny pozwolić na uzyskanie oszczędności energii na poziomie całego programu inwestycyjnego w wysokości co najmniej 30%.</w:t>
            </w:r>
            <w:r w:rsidRPr="009B25FB">
              <w:rPr>
                <w:rFonts w:ascii="Times New Roman" w:eastAsia="Times New Roman" w:hAnsi="Times New Roman" w:cs="Times New Roman"/>
                <w:sz w:val="18"/>
                <w:szCs w:val="18"/>
                <w:lang w:val="pl-PL" w:eastAsia="pl-PL"/>
              </w:rPr>
              <w:br/>
              <w:t>Wsparcie dla kotłów gazowych powinno być realizowane zgodnie z wytycznymi Komisji dotyczącymi zasady DNSH (2021/C58/021). Ponadto należy zapewnić, aby kotły gazowe nie stanowiły więcej niż 20% całkowitej liczby wymienionych źródeł ciepła na poziomie inwestycji.</w:t>
            </w:r>
          </w:p>
        </w:tc>
      </w:tr>
      <w:tr w:rsidR="001052B5" w:rsidRPr="009D378C" w14:paraId="2AFA69E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AD7750C"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B13G</w:t>
            </w:r>
          </w:p>
        </w:tc>
        <w:tc>
          <w:tcPr>
            <w:tcW w:w="1841" w:type="dxa"/>
            <w:tcBorders>
              <w:top w:val="nil"/>
              <w:left w:val="nil"/>
              <w:bottom w:val="single" w:sz="4" w:space="0" w:color="auto"/>
              <w:right w:val="single" w:sz="4" w:space="0" w:color="auto"/>
            </w:tcBorders>
            <w:shd w:val="clear" w:color="000000" w:fill="C6EFCE"/>
            <w:vAlign w:val="center"/>
            <w:hideMark/>
          </w:tcPr>
          <w:p w14:paraId="36B25A4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B1.1.3. Wymiana źródeł ciepła i poprawa efektywności energetycznej szkół</w:t>
            </w:r>
          </w:p>
        </w:tc>
        <w:tc>
          <w:tcPr>
            <w:tcW w:w="1134" w:type="dxa"/>
            <w:tcBorders>
              <w:top w:val="nil"/>
              <w:left w:val="nil"/>
              <w:bottom w:val="single" w:sz="4" w:space="0" w:color="auto"/>
              <w:right w:val="single" w:sz="4" w:space="0" w:color="auto"/>
            </w:tcBorders>
            <w:shd w:val="clear" w:color="000000" w:fill="C6EFCE"/>
            <w:vAlign w:val="center"/>
            <w:hideMark/>
          </w:tcPr>
          <w:p w14:paraId="733F091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44BF43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Zmodernizowane energetycznie budynki placówek oświatowych (na podstawie podpisanych umów)</w:t>
            </w:r>
          </w:p>
        </w:tc>
        <w:tc>
          <w:tcPr>
            <w:tcW w:w="1559" w:type="dxa"/>
            <w:tcBorders>
              <w:top w:val="nil"/>
              <w:left w:val="nil"/>
              <w:bottom w:val="single" w:sz="4" w:space="0" w:color="auto"/>
              <w:right w:val="single" w:sz="4" w:space="0" w:color="auto"/>
            </w:tcBorders>
            <w:shd w:val="clear" w:color="000000" w:fill="C6EFCE"/>
            <w:vAlign w:val="center"/>
            <w:hideMark/>
          </w:tcPr>
          <w:p w14:paraId="00E4EBC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935E63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3CCC8C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723F83E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322</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09B55B8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0D849BD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335A51A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budynków placówek oświatowych wspartych w zakresie inwestycji w modernizację energetyczną i/lub z zastosowaniem nowoczesnych rozwiązań instalacyjnych, w tym: odnawialnych źródeł energii oraz dostosowanie funkcji, instalacji i systemów technicznych budynków do aktualnych wymogów obowiązującego prawa. Zrealizowane inwestycje pozwolą na uzyskanie oszczędności energii na poziomie całego programu inwestycyjnego w wysokości co najmniej 30%.</w:t>
            </w:r>
          </w:p>
        </w:tc>
      </w:tr>
      <w:tr w:rsidR="001052B5" w:rsidRPr="009D378C" w14:paraId="6B38874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3BC8EC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B14G</w:t>
            </w:r>
          </w:p>
        </w:tc>
        <w:tc>
          <w:tcPr>
            <w:tcW w:w="1841" w:type="dxa"/>
            <w:tcBorders>
              <w:top w:val="nil"/>
              <w:left w:val="nil"/>
              <w:bottom w:val="single" w:sz="4" w:space="0" w:color="auto"/>
              <w:right w:val="single" w:sz="4" w:space="0" w:color="auto"/>
            </w:tcBorders>
            <w:shd w:val="clear" w:color="000000" w:fill="C6EFCE"/>
            <w:vAlign w:val="center"/>
            <w:hideMark/>
          </w:tcPr>
          <w:p w14:paraId="53BEC21C" w14:textId="030457AC"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B1.1.4. </w:t>
            </w:r>
            <w:r w:rsidR="00482CC0">
              <w:rPr>
                <w:rFonts w:ascii="Times New Roman" w:eastAsia="Times New Roman" w:hAnsi="Times New Roman" w:cs="Times New Roman"/>
                <w:sz w:val="18"/>
                <w:szCs w:val="18"/>
                <w:lang w:val="pl-PL" w:eastAsia="pl-PL"/>
              </w:rPr>
              <w:t>Z</w:t>
            </w:r>
            <w:r w:rsidRPr="009B25FB">
              <w:rPr>
                <w:rFonts w:ascii="Times New Roman" w:eastAsia="Times New Roman" w:hAnsi="Times New Roman" w:cs="Times New Roman"/>
                <w:sz w:val="18"/>
                <w:szCs w:val="18"/>
                <w:lang w:val="pl-PL" w:eastAsia="pl-PL"/>
              </w:rPr>
              <w:t>większeni</w:t>
            </w:r>
            <w:r w:rsidR="00482CC0">
              <w:rPr>
                <w:rFonts w:ascii="Times New Roman" w:eastAsia="Times New Roman" w:hAnsi="Times New Roman" w:cs="Times New Roman"/>
                <w:sz w:val="18"/>
                <w:szCs w:val="18"/>
                <w:lang w:val="pl-PL" w:eastAsia="pl-PL"/>
              </w:rPr>
              <w:t>e</w:t>
            </w:r>
            <w:r w:rsidRPr="009B25FB">
              <w:rPr>
                <w:rFonts w:ascii="Times New Roman" w:eastAsia="Times New Roman" w:hAnsi="Times New Roman" w:cs="Times New Roman"/>
                <w:sz w:val="18"/>
                <w:szCs w:val="18"/>
                <w:lang w:val="pl-PL" w:eastAsia="pl-PL"/>
              </w:rPr>
              <w:t xml:space="preserve"> efektywności energetycznej obiektów lokalnej aktywności społecznej</w:t>
            </w:r>
          </w:p>
        </w:tc>
        <w:tc>
          <w:tcPr>
            <w:tcW w:w="1134" w:type="dxa"/>
            <w:tcBorders>
              <w:top w:val="nil"/>
              <w:left w:val="nil"/>
              <w:bottom w:val="single" w:sz="4" w:space="0" w:color="auto"/>
              <w:right w:val="single" w:sz="4" w:space="0" w:color="auto"/>
            </w:tcBorders>
            <w:shd w:val="clear" w:color="000000" w:fill="C6EFCE"/>
            <w:vAlign w:val="center"/>
            <w:hideMark/>
          </w:tcPr>
          <w:p w14:paraId="582987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C3210D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Obiekty lokalnej aktywności społecznej, w których wymieniono nieefektywne źródła ciepła na paliwo stałe na nowoczesne źródła ciepła zgodne z zasadą DNSH </w:t>
            </w:r>
          </w:p>
        </w:tc>
        <w:tc>
          <w:tcPr>
            <w:tcW w:w="1559" w:type="dxa"/>
            <w:tcBorders>
              <w:top w:val="nil"/>
              <w:left w:val="nil"/>
              <w:bottom w:val="single" w:sz="4" w:space="0" w:color="auto"/>
              <w:right w:val="single" w:sz="4" w:space="0" w:color="auto"/>
            </w:tcBorders>
            <w:shd w:val="clear" w:color="000000" w:fill="C6EFCE"/>
            <w:vAlign w:val="center"/>
            <w:hideMark/>
          </w:tcPr>
          <w:p w14:paraId="37BC309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49A0E4B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C728AA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113F256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21</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E89D0D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81E3A8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4AB70B4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obiektów lokalnej aktywności społecznej, w których wymieniono nieefektywne źródła ciepła na paliwo stałe na nowoczesne źródła ciepła spełniające wymagania DNSH (w ramach podpisanych umów). Zrealizowane inwestycje pozwolą na uzyskanie oszczędności energii na poziomie całego programu inwestycyjnego w wysokości co najmniej 30%.</w:t>
            </w:r>
            <w:r w:rsidRPr="009B25FB">
              <w:rPr>
                <w:rFonts w:ascii="Times New Roman" w:eastAsia="Times New Roman" w:hAnsi="Times New Roman" w:cs="Times New Roman"/>
                <w:sz w:val="18"/>
                <w:szCs w:val="18"/>
                <w:lang w:val="pl-PL" w:eastAsia="pl-PL"/>
              </w:rPr>
              <w:br/>
              <w:t>Wsparcie dla kotłów gazowych powinno być realizowane zgodnie z technicznymi wskazówkami Komisji dotyczącymi zasady DNSH</w:t>
            </w:r>
            <w:r w:rsidRPr="009B25FB">
              <w:rPr>
                <w:rFonts w:ascii="Times New Roman" w:eastAsia="Times New Roman" w:hAnsi="Times New Roman" w:cs="Times New Roman"/>
                <w:strike/>
                <w:sz w:val="18"/>
                <w:szCs w:val="18"/>
                <w:lang w:val="pl-PL" w:eastAsia="pl-PL"/>
              </w:rPr>
              <w:t xml:space="preserve"> </w:t>
            </w:r>
            <w:r w:rsidRPr="009B25FB">
              <w:rPr>
                <w:rFonts w:ascii="Times New Roman" w:eastAsia="Times New Roman" w:hAnsi="Times New Roman" w:cs="Times New Roman"/>
                <w:sz w:val="18"/>
                <w:szCs w:val="18"/>
                <w:lang w:val="pl-PL" w:eastAsia="pl-PL"/>
              </w:rPr>
              <w:t>(2021/C58/021). Ponadto należy zapewnić, aby kotły gazowe nie stanowiły więcej niż 20% całkowitej liczby wymienionych źródeł ciepła na poziomie inwestycji.</w:t>
            </w:r>
          </w:p>
        </w:tc>
      </w:tr>
      <w:tr w:rsidR="001052B5" w:rsidRPr="009D378C" w14:paraId="3DD2029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2AA5228"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B15G</w:t>
            </w:r>
          </w:p>
        </w:tc>
        <w:tc>
          <w:tcPr>
            <w:tcW w:w="1841" w:type="dxa"/>
            <w:tcBorders>
              <w:top w:val="nil"/>
              <w:left w:val="nil"/>
              <w:bottom w:val="single" w:sz="4" w:space="0" w:color="auto"/>
              <w:right w:val="single" w:sz="4" w:space="0" w:color="auto"/>
            </w:tcBorders>
            <w:shd w:val="clear" w:color="000000" w:fill="C6EFCE"/>
            <w:vAlign w:val="center"/>
            <w:hideMark/>
          </w:tcPr>
          <w:p w14:paraId="0B1EBE8C" w14:textId="7A495FCF"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B1.1.4. </w:t>
            </w:r>
            <w:r w:rsidR="00482CC0">
              <w:rPr>
                <w:rFonts w:ascii="Times New Roman" w:eastAsia="Times New Roman" w:hAnsi="Times New Roman" w:cs="Times New Roman"/>
                <w:sz w:val="18"/>
                <w:szCs w:val="18"/>
                <w:lang w:val="pl-PL" w:eastAsia="pl-PL"/>
              </w:rPr>
              <w:t>Z</w:t>
            </w:r>
            <w:r w:rsidRPr="009B25FB">
              <w:rPr>
                <w:rFonts w:ascii="Times New Roman" w:eastAsia="Times New Roman" w:hAnsi="Times New Roman" w:cs="Times New Roman"/>
                <w:sz w:val="18"/>
                <w:szCs w:val="18"/>
                <w:lang w:val="pl-PL" w:eastAsia="pl-PL"/>
              </w:rPr>
              <w:t>większeni</w:t>
            </w:r>
            <w:r w:rsidR="00482CC0">
              <w:rPr>
                <w:rFonts w:ascii="Times New Roman" w:eastAsia="Times New Roman" w:hAnsi="Times New Roman" w:cs="Times New Roman"/>
                <w:sz w:val="18"/>
                <w:szCs w:val="18"/>
                <w:lang w:val="pl-PL" w:eastAsia="pl-PL"/>
              </w:rPr>
              <w:t>e</w:t>
            </w:r>
            <w:r w:rsidRPr="009B25FB">
              <w:rPr>
                <w:rFonts w:ascii="Times New Roman" w:eastAsia="Times New Roman" w:hAnsi="Times New Roman" w:cs="Times New Roman"/>
                <w:sz w:val="18"/>
                <w:szCs w:val="18"/>
                <w:lang w:val="pl-PL" w:eastAsia="pl-PL"/>
              </w:rPr>
              <w:t xml:space="preserve"> efektywności energetycznej obiektów lokalnej aktywności społecznej</w:t>
            </w:r>
          </w:p>
        </w:tc>
        <w:tc>
          <w:tcPr>
            <w:tcW w:w="1134" w:type="dxa"/>
            <w:tcBorders>
              <w:top w:val="nil"/>
              <w:left w:val="nil"/>
              <w:bottom w:val="single" w:sz="4" w:space="0" w:color="auto"/>
              <w:right w:val="single" w:sz="4" w:space="0" w:color="auto"/>
            </w:tcBorders>
            <w:shd w:val="clear" w:color="000000" w:fill="C6EFCE"/>
            <w:vAlign w:val="center"/>
            <w:hideMark/>
          </w:tcPr>
          <w:p w14:paraId="3580B7A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2611933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proofErr w:type="spellStart"/>
            <w:r w:rsidRPr="009B25FB">
              <w:rPr>
                <w:rFonts w:ascii="Times New Roman" w:eastAsia="Times New Roman" w:hAnsi="Times New Roman" w:cs="Times New Roman"/>
                <w:sz w:val="18"/>
                <w:szCs w:val="18"/>
                <w:lang w:val="pl-PL" w:eastAsia="pl-PL"/>
              </w:rPr>
              <w:t>Termomodernizowane</w:t>
            </w:r>
            <w:proofErr w:type="spellEnd"/>
            <w:r w:rsidRPr="009B25FB">
              <w:rPr>
                <w:rFonts w:ascii="Times New Roman" w:eastAsia="Times New Roman" w:hAnsi="Times New Roman" w:cs="Times New Roman"/>
                <w:sz w:val="18"/>
                <w:szCs w:val="18"/>
                <w:lang w:val="pl-PL" w:eastAsia="pl-PL"/>
              </w:rPr>
              <w:t xml:space="preserve"> obiekty działalności społecznej</w:t>
            </w:r>
          </w:p>
        </w:tc>
        <w:tc>
          <w:tcPr>
            <w:tcW w:w="1559" w:type="dxa"/>
            <w:tcBorders>
              <w:top w:val="nil"/>
              <w:left w:val="nil"/>
              <w:bottom w:val="single" w:sz="4" w:space="0" w:color="auto"/>
              <w:right w:val="single" w:sz="4" w:space="0" w:color="auto"/>
            </w:tcBorders>
            <w:shd w:val="clear" w:color="000000" w:fill="C6EFCE"/>
            <w:vAlign w:val="center"/>
            <w:hideMark/>
          </w:tcPr>
          <w:p w14:paraId="0B49D59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2A93BA3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05B272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43F9908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85</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8298B7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CD7497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7A2A24C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w:t>
            </w:r>
            <w:proofErr w:type="spellStart"/>
            <w:r w:rsidRPr="009B25FB">
              <w:rPr>
                <w:rFonts w:ascii="Times New Roman" w:eastAsia="Times New Roman" w:hAnsi="Times New Roman" w:cs="Times New Roman"/>
                <w:sz w:val="18"/>
                <w:szCs w:val="18"/>
                <w:lang w:val="pl-PL" w:eastAsia="pl-PL"/>
              </w:rPr>
              <w:t>podannych</w:t>
            </w:r>
            <w:proofErr w:type="spellEnd"/>
            <w:r w:rsidRPr="009B25FB">
              <w:rPr>
                <w:rFonts w:ascii="Times New Roman" w:eastAsia="Times New Roman" w:hAnsi="Times New Roman" w:cs="Times New Roman"/>
                <w:sz w:val="18"/>
                <w:szCs w:val="18"/>
                <w:lang w:val="pl-PL" w:eastAsia="pl-PL"/>
              </w:rPr>
              <w:t xml:space="preserve"> termomodernizacji obiektów gminnych (bibliotek i domów kultury).</w:t>
            </w:r>
            <w:r w:rsidRPr="009B25FB">
              <w:rPr>
                <w:rFonts w:ascii="Times New Roman" w:eastAsia="Times New Roman" w:hAnsi="Times New Roman" w:cs="Times New Roman"/>
                <w:sz w:val="18"/>
                <w:szCs w:val="18"/>
                <w:lang w:val="pl-PL" w:eastAsia="pl-PL"/>
              </w:rPr>
              <w:br/>
              <w:t>Zrealizowane inwestycje pozwolą na uzyskanie oszczędności energii na poziomie całego programu inwestycyjnego w wysokości co najmniej 30%.</w:t>
            </w:r>
            <w:r w:rsidRPr="009B25FB">
              <w:rPr>
                <w:rFonts w:ascii="Times New Roman" w:eastAsia="Times New Roman" w:hAnsi="Times New Roman" w:cs="Times New Roman"/>
                <w:sz w:val="18"/>
                <w:szCs w:val="18"/>
                <w:lang w:val="pl-PL" w:eastAsia="pl-PL"/>
              </w:rPr>
              <w:br/>
              <w:t>Wsparcie dla kotłów gazowych powinno być realizowane zgodnie z wytycznymi Komisji dot. DNSH (2021/C58/021). Ponadto należy zapewnić, aby kotły gazowe nie stanowiły więcej niż 20% całkowitej liczby wymienionych źródeł ciepła na poziomie inwestycji.</w:t>
            </w:r>
          </w:p>
        </w:tc>
      </w:tr>
      <w:tr w:rsidR="001052B5" w:rsidRPr="009D378C" w14:paraId="565DEA4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3CBA5776"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B16G</w:t>
            </w:r>
          </w:p>
        </w:tc>
        <w:tc>
          <w:tcPr>
            <w:tcW w:w="1841" w:type="dxa"/>
            <w:tcBorders>
              <w:top w:val="nil"/>
              <w:left w:val="nil"/>
              <w:bottom w:val="single" w:sz="4" w:space="0" w:color="auto"/>
              <w:right w:val="single" w:sz="4" w:space="0" w:color="auto"/>
            </w:tcBorders>
            <w:shd w:val="clear" w:color="000000" w:fill="C6EFCE"/>
            <w:vAlign w:val="center"/>
            <w:hideMark/>
          </w:tcPr>
          <w:p w14:paraId="53BA265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 Poprawa warunków dla rozwoju technologii wodorowych oraz innych gazów zdekarbonizowanych</w:t>
            </w:r>
          </w:p>
        </w:tc>
        <w:tc>
          <w:tcPr>
            <w:tcW w:w="1134" w:type="dxa"/>
            <w:tcBorders>
              <w:top w:val="nil"/>
              <w:left w:val="nil"/>
              <w:bottom w:val="single" w:sz="4" w:space="0" w:color="auto"/>
              <w:right w:val="single" w:sz="4" w:space="0" w:color="auto"/>
            </w:tcBorders>
            <w:shd w:val="clear" w:color="000000" w:fill="C6EFCE"/>
            <w:vAlign w:val="center"/>
            <w:hideMark/>
          </w:tcPr>
          <w:p w14:paraId="275D43E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4002B129" w14:textId="6BED8B06"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D100B5">
              <w:rPr>
                <w:rFonts w:ascii="Times New Roman" w:eastAsia="Times New Roman" w:hAnsi="Times New Roman" w:cs="Times New Roman"/>
                <w:sz w:val="18"/>
                <w:szCs w:val="18"/>
                <w:lang w:val="pl-PL" w:eastAsia="pl-PL"/>
              </w:rPr>
              <w:t xml:space="preserve">nowelizacji aktów legislacyjnych w zakresie </w:t>
            </w:r>
            <w:r w:rsidRPr="009B25FB">
              <w:rPr>
                <w:rFonts w:ascii="Times New Roman" w:eastAsia="Times New Roman" w:hAnsi="Times New Roman" w:cs="Times New Roman"/>
                <w:sz w:val="18"/>
                <w:szCs w:val="18"/>
                <w:lang w:val="pl-PL" w:eastAsia="pl-PL"/>
              </w:rPr>
              <w:t xml:space="preserve"> funkcjonowania wodoru jako paliwa alternatywnego w transporcie</w:t>
            </w:r>
          </w:p>
        </w:tc>
        <w:tc>
          <w:tcPr>
            <w:tcW w:w="1559" w:type="dxa"/>
            <w:tcBorders>
              <w:top w:val="nil"/>
              <w:left w:val="nil"/>
              <w:bottom w:val="single" w:sz="4" w:space="0" w:color="auto"/>
              <w:right w:val="single" w:sz="4" w:space="0" w:color="auto"/>
            </w:tcBorders>
            <w:shd w:val="clear" w:color="000000" w:fill="C6EFCE"/>
            <w:vAlign w:val="center"/>
            <w:hideMark/>
          </w:tcPr>
          <w:p w14:paraId="42534D3B" w14:textId="12FB44B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w:t>
            </w:r>
            <w:r w:rsidR="00D100B5">
              <w:rPr>
                <w:rFonts w:ascii="Times New Roman" w:eastAsia="Times New Roman" w:hAnsi="Times New Roman" w:cs="Times New Roman"/>
                <w:sz w:val="18"/>
                <w:szCs w:val="18"/>
                <w:lang w:val="pl-PL" w:eastAsia="pl-PL"/>
              </w:rPr>
              <w:t>y</w:t>
            </w:r>
            <w:r w:rsidRPr="009B25FB">
              <w:rPr>
                <w:rFonts w:ascii="Times New Roman" w:eastAsia="Times New Roman" w:hAnsi="Times New Roman" w:cs="Times New Roman"/>
                <w:sz w:val="18"/>
                <w:szCs w:val="18"/>
                <w:lang w:val="pl-PL" w:eastAsia="pl-PL"/>
              </w:rPr>
              <w:t xml:space="preserve"> </w:t>
            </w:r>
            <w:r w:rsidR="00D100B5">
              <w:rPr>
                <w:rFonts w:ascii="Times New Roman" w:eastAsia="Times New Roman" w:hAnsi="Times New Roman" w:cs="Times New Roman"/>
                <w:sz w:val="18"/>
                <w:szCs w:val="18"/>
                <w:lang w:val="pl-PL" w:eastAsia="pl-PL"/>
              </w:rPr>
              <w:t xml:space="preserve">w znowelizowanych aktach legislacyjnych </w:t>
            </w:r>
            <w:r w:rsidRPr="009B25FB">
              <w:rPr>
                <w:rFonts w:ascii="Times New Roman" w:eastAsia="Times New Roman" w:hAnsi="Times New Roman" w:cs="Times New Roman"/>
                <w:sz w:val="18"/>
                <w:szCs w:val="18"/>
                <w:lang w:val="pl-PL" w:eastAsia="pl-PL"/>
              </w:rPr>
              <w:t>wskazując</w:t>
            </w:r>
            <w:r w:rsidR="00D100B5">
              <w:rPr>
                <w:rFonts w:ascii="Times New Roman" w:eastAsia="Times New Roman" w:hAnsi="Times New Roman" w:cs="Times New Roman"/>
                <w:sz w:val="18"/>
                <w:szCs w:val="18"/>
                <w:lang w:val="pl-PL" w:eastAsia="pl-PL"/>
              </w:rPr>
              <w:t>e</w:t>
            </w:r>
            <w:r w:rsidRPr="009B25FB">
              <w:rPr>
                <w:rFonts w:ascii="Times New Roman" w:eastAsia="Times New Roman" w:hAnsi="Times New Roman" w:cs="Times New Roman"/>
                <w:sz w:val="18"/>
                <w:szCs w:val="18"/>
                <w:lang w:val="pl-PL" w:eastAsia="pl-PL"/>
              </w:rPr>
              <w:t xml:space="preserve"> na wejście w życie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0C6BA6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2E9154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32E2DA5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3DE9A9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DDC5C2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2021</w:t>
            </w:r>
          </w:p>
        </w:tc>
        <w:tc>
          <w:tcPr>
            <w:tcW w:w="3541" w:type="dxa"/>
            <w:tcBorders>
              <w:top w:val="nil"/>
              <w:left w:val="nil"/>
              <w:bottom w:val="single" w:sz="4" w:space="0" w:color="auto"/>
              <w:right w:val="single" w:sz="4" w:space="0" w:color="auto"/>
            </w:tcBorders>
            <w:shd w:val="clear" w:color="000000" w:fill="C6EFCE"/>
            <w:vAlign w:val="center"/>
            <w:hideMark/>
          </w:tcPr>
          <w:p w14:paraId="19C930B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1. Nowelizacja ustawy o </w:t>
            </w:r>
            <w:proofErr w:type="spellStart"/>
            <w:r w:rsidRPr="009B25FB">
              <w:rPr>
                <w:rFonts w:ascii="Times New Roman" w:eastAsia="Times New Roman" w:hAnsi="Times New Roman" w:cs="Times New Roman"/>
                <w:sz w:val="18"/>
                <w:szCs w:val="18"/>
                <w:lang w:val="pl-PL" w:eastAsia="pl-PL"/>
              </w:rPr>
              <w:t>elektromobilności</w:t>
            </w:r>
            <w:proofErr w:type="spellEnd"/>
            <w:r w:rsidRPr="009B25FB">
              <w:rPr>
                <w:rFonts w:ascii="Times New Roman" w:eastAsia="Times New Roman" w:hAnsi="Times New Roman" w:cs="Times New Roman"/>
                <w:sz w:val="18"/>
                <w:szCs w:val="18"/>
                <w:lang w:val="pl-PL" w:eastAsia="pl-PL"/>
              </w:rPr>
              <w:t xml:space="preserve"> (11 stycznia 2018 r.; Dz.U. z 2018 r. poz. 317) wprowadza definicje infrastruktury do tankowania wodoru; określa ogólne wymagania bezpieczeństwa i techniczne dla stacji paliw (zgodnie z dyrektywą w sprawie rozwoju infrastruktury paliw alternatywnych) oraz ustala procedury i właściwe organy kontroli tej infrastruktury.</w:t>
            </w:r>
            <w:r w:rsidRPr="009B25FB">
              <w:rPr>
                <w:rFonts w:ascii="Times New Roman" w:eastAsia="Times New Roman" w:hAnsi="Times New Roman" w:cs="Times New Roman"/>
                <w:sz w:val="18"/>
                <w:szCs w:val="18"/>
                <w:lang w:val="pl-PL" w:eastAsia="pl-PL"/>
              </w:rPr>
              <w:br/>
              <w:t>2. Nowelizacja ustawy o systemie monitorowania i kontrolowania jakości paliw (25 sierpnia 2006 r.; Dz.U. Nr 169, poz. 1200) wprowadza pojęcie wodoru zgodnie z kodem nomenklatury scalonej CN 2804 10 00; ustala procedury monitorowania i kontroli jakości wodoru; określa właściwe podmioty. Pojęcie wodoru jest zgodne z wytycznymi technicznymi DNSH (2021/C58/01). Reforma nie może utrudniać stosowania i wprowadzania do obrotu wodoru odnawialnego w większym stopniu niż innych źródeł wodoru. Reforma ma na celu przede wszystkim rozwój wodoru odnawialnego lub wodoru wytwarzanego za pośrednictwem elektrolizerów.</w:t>
            </w:r>
          </w:p>
        </w:tc>
      </w:tr>
      <w:tr w:rsidR="001052B5" w:rsidRPr="009B25FB" w14:paraId="17E89C7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6"/>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BF1F99D"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B17G</w:t>
            </w:r>
          </w:p>
        </w:tc>
        <w:tc>
          <w:tcPr>
            <w:tcW w:w="1841" w:type="dxa"/>
            <w:tcBorders>
              <w:top w:val="nil"/>
              <w:left w:val="nil"/>
              <w:bottom w:val="single" w:sz="4" w:space="0" w:color="auto"/>
              <w:right w:val="single" w:sz="4" w:space="0" w:color="auto"/>
            </w:tcBorders>
            <w:shd w:val="clear" w:color="000000" w:fill="C6EFCE"/>
            <w:vAlign w:val="center"/>
            <w:hideMark/>
          </w:tcPr>
          <w:p w14:paraId="3D01E8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 Poprawa warunków dla rozwoju technologii wodorowych oraz innych gazów zdekarbonizowanych</w:t>
            </w:r>
          </w:p>
        </w:tc>
        <w:tc>
          <w:tcPr>
            <w:tcW w:w="1134" w:type="dxa"/>
            <w:tcBorders>
              <w:top w:val="nil"/>
              <w:left w:val="nil"/>
              <w:bottom w:val="single" w:sz="4" w:space="0" w:color="auto"/>
              <w:right w:val="single" w:sz="4" w:space="0" w:color="auto"/>
            </w:tcBorders>
            <w:shd w:val="clear" w:color="000000" w:fill="C6EFCE"/>
            <w:vAlign w:val="center"/>
            <w:hideMark/>
          </w:tcPr>
          <w:p w14:paraId="0D53C33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6175139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Wejście w życie przepisów ustanawiających ramy prawne dla wodoru</w:t>
            </w:r>
          </w:p>
        </w:tc>
        <w:tc>
          <w:tcPr>
            <w:tcW w:w="1559" w:type="dxa"/>
            <w:tcBorders>
              <w:top w:val="nil"/>
              <w:left w:val="nil"/>
              <w:bottom w:val="single" w:sz="4" w:space="0" w:color="auto"/>
              <w:right w:val="single" w:sz="4" w:space="0" w:color="auto"/>
            </w:tcBorders>
            <w:shd w:val="clear" w:color="000000" w:fill="C6EFCE"/>
            <w:vAlign w:val="center"/>
            <w:hideMark/>
          </w:tcPr>
          <w:p w14:paraId="637E207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 wskazujący na wejście w życie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8B0321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A7DC94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669ED86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6E0785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C75F07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73978C2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ustawy regulującej działanie rynku wodoru i infrastrukturę wodorową, mającej na celu wsparcie  upowszechnienia wodoru odnawialnego i niskoemisyjnego na rynku, integrację produkcji wodoru z innymi rynkami energetycznymi oraz istniejącą i dedykowaną infrastrukturę mającą na celu stworzenie przewidywalności regulacyjnej dla inwestorów i wsparcie upowszechnienia wodoru odnawialnego i niskoemisyjnego do IV kw. 2023 r. Ustawa musi być zgodna z wytycznymi technicznymi DNSH (2021/C 58/01). Reforma nie może utrudniać stosowania i wprowadzania do obrotu wodoru odnawialnego w większym stopniu niż innych źródeł wodoru. Reforma ma na celu przede wszystkim rozwój wodoru odnawialnego lub wodoru wytwarzanego za pośrednictwem </w:t>
            </w:r>
            <w:r w:rsidRPr="009B25FB">
              <w:rPr>
                <w:rFonts w:ascii="Times New Roman" w:eastAsia="Times New Roman" w:hAnsi="Times New Roman" w:cs="Times New Roman"/>
                <w:sz w:val="18"/>
                <w:szCs w:val="18"/>
                <w:lang w:val="pl-PL" w:eastAsia="pl-PL"/>
              </w:rPr>
              <w:lastRenderedPageBreak/>
              <w:t>elektrolizerów. Reforma będzie zgodna ze Strategią wodorową UE.</w:t>
            </w:r>
          </w:p>
        </w:tc>
      </w:tr>
      <w:tr w:rsidR="001052B5" w:rsidRPr="009D378C" w14:paraId="135C3FF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1C77B70"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B18G</w:t>
            </w:r>
          </w:p>
        </w:tc>
        <w:tc>
          <w:tcPr>
            <w:tcW w:w="1841" w:type="dxa"/>
            <w:tcBorders>
              <w:top w:val="nil"/>
              <w:left w:val="nil"/>
              <w:bottom w:val="single" w:sz="4" w:space="0" w:color="auto"/>
              <w:right w:val="single" w:sz="4" w:space="0" w:color="auto"/>
            </w:tcBorders>
            <w:shd w:val="clear" w:color="000000" w:fill="C6EFCE"/>
            <w:vAlign w:val="center"/>
            <w:hideMark/>
          </w:tcPr>
          <w:p w14:paraId="6CD75B5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B2.1.1. Inwestycje w technologie wodorowe, wytwarzanie, magazynowanie i transport wodoru</w:t>
            </w:r>
          </w:p>
        </w:tc>
        <w:tc>
          <w:tcPr>
            <w:tcW w:w="1134" w:type="dxa"/>
            <w:tcBorders>
              <w:top w:val="nil"/>
              <w:left w:val="nil"/>
              <w:bottom w:val="single" w:sz="4" w:space="0" w:color="auto"/>
              <w:right w:val="single" w:sz="4" w:space="0" w:color="auto"/>
            </w:tcBorders>
            <w:shd w:val="clear" w:color="000000" w:fill="C6EFCE"/>
            <w:vAlign w:val="center"/>
            <w:hideMark/>
          </w:tcPr>
          <w:p w14:paraId="1CD808C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26D56AA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Wydane pozwolenia środowiskowe dla stacji tankowania wodoru</w:t>
            </w:r>
          </w:p>
        </w:tc>
        <w:tc>
          <w:tcPr>
            <w:tcW w:w="1559" w:type="dxa"/>
            <w:tcBorders>
              <w:top w:val="nil"/>
              <w:left w:val="nil"/>
              <w:bottom w:val="single" w:sz="4" w:space="0" w:color="auto"/>
              <w:right w:val="single" w:sz="4" w:space="0" w:color="auto"/>
            </w:tcBorders>
            <w:shd w:val="clear" w:color="000000" w:fill="C6EFCE"/>
            <w:vAlign w:val="center"/>
            <w:hideMark/>
          </w:tcPr>
          <w:p w14:paraId="646835A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CDFCE2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0F41FF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3079DA0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DAE465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31CC558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06F8D6F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wydanych pozwoleń środowiskowych dla stacji tankowania wodoru</w:t>
            </w:r>
          </w:p>
        </w:tc>
      </w:tr>
      <w:tr w:rsidR="001052B5" w:rsidRPr="009D378C" w14:paraId="3287270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50EA5F8"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B19G</w:t>
            </w:r>
          </w:p>
        </w:tc>
        <w:tc>
          <w:tcPr>
            <w:tcW w:w="1841" w:type="dxa"/>
            <w:tcBorders>
              <w:top w:val="nil"/>
              <w:left w:val="nil"/>
              <w:bottom w:val="single" w:sz="4" w:space="0" w:color="auto"/>
              <w:right w:val="single" w:sz="4" w:space="0" w:color="auto"/>
            </w:tcBorders>
            <w:shd w:val="clear" w:color="000000" w:fill="C6EFCE"/>
            <w:vAlign w:val="center"/>
            <w:hideMark/>
          </w:tcPr>
          <w:p w14:paraId="2E02009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B2.1.1. Inwestycje w technologie wodorowe, wytwarzanie, magazynowanie i transport wodoru</w:t>
            </w:r>
          </w:p>
        </w:tc>
        <w:tc>
          <w:tcPr>
            <w:tcW w:w="1134" w:type="dxa"/>
            <w:tcBorders>
              <w:top w:val="nil"/>
              <w:left w:val="nil"/>
              <w:bottom w:val="single" w:sz="4" w:space="0" w:color="auto"/>
              <w:right w:val="single" w:sz="4" w:space="0" w:color="auto"/>
            </w:tcBorders>
            <w:shd w:val="clear" w:color="000000" w:fill="C6EFCE"/>
            <w:vAlign w:val="center"/>
            <w:hideMark/>
          </w:tcPr>
          <w:p w14:paraId="1DDEB25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036BD67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Uruchomienie stacji tankowania wodoru</w:t>
            </w:r>
          </w:p>
        </w:tc>
        <w:tc>
          <w:tcPr>
            <w:tcW w:w="1559" w:type="dxa"/>
            <w:tcBorders>
              <w:top w:val="nil"/>
              <w:left w:val="nil"/>
              <w:bottom w:val="single" w:sz="4" w:space="0" w:color="auto"/>
              <w:right w:val="single" w:sz="4" w:space="0" w:color="auto"/>
            </w:tcBorders>
            <w:shd w:val="clear" w:color="000000" w:fill="C6EFCE"/>
            <w:vAlign w:val="center"/>
            <w:hideMark/>
          </w:tcPr>
          <w:p w14:paraId="5B0F9BE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0DCAC6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2CCDFFA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75D63BA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25</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6BC718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765BBB6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38305DB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ogólnodostępnych stacji tankowania wodoru, w tym bunkrowania wodoru, w ramach zintegrowanego podejścia, w którym priorytetowo traktuje się wodór ze źródeł odnawialnych i zgodnie z wytycznymi technicznymi dla zasady "nie czyń poważnej szkody" (2021/C 58/01). Bunkrowanie jest dostępne dla wszystkich źródeł wodoru, ale ilość wodoru szarego z czasem będzie się zmniejszać.</w:t>
            </w:r>
          </w:p>
        </w:tc>
      </w:tr>
      <w:tr w:rsidR="001052B5" w:rsidRPr="009D378C" w14:paraId="3CC92CB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7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5F19F60"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B20G</w:t>
            </w:r>
          </w:p>
        </w:tc>
        <w:tc>
          <w:tcPr>
            <w:tcW w:w="1841" w:type="dxa"/>
            <w:tcBorders>
              <w:top w:val="nil"/>
              <w:left w:val="nil"/>
              <w:bottom w:val="single" w:sz="4" w:space="0" w:color="auto"/>
              <w:right w:val="single" w:sz="4" w:space="0" w:color="auto"/>
            </w:tcBorders>
            <w:shd w:val="clear" w:color="000000" w:fill="C6EFCE"/>
            <w:vAlign w:val="center"/>
            <w:hideMark/>
          </w:tcPr>
          <w:p w14:paraId="217BD93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B2.1.1. Inwestycje w technologie wodorowe, wytwarzanie, magazynowanie i transport wodoru</w:t>
            </w:r>
          </w:p>
        </w:tc>
        <w:tc>
          <w:tcPr>
            <w:tcW w:w="1134" w:type="dxa"/>
            <w:tcBorders>
              <w:top w:val="nil"/>
              <w:left w:val="nil"/>
              <w:bottom w:val="single" w:sz="4" w:space="0" w:color="auto"/>
              <w:right w:val="single" w:sz="4" w:space="0" w:color="auto"/>
            </w:tcBorders>
            <w:shd w:val="clear" w:color="000000" w:fill="C6EFCE"/>
            <w:vAlign w:val="center"/>
            <w:hideMark/>
          </w:tcPr>
          <w:p w14:paraId="274863A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1F22D2C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Projekty badawcze i innowacyjne dotyczące innowacyjnych jednostek transportowych napędzanych wodorem </w:t>
            </w:r>
          </w:p>
        </w:tc>
        <w:tc>
          <w:tcPr>
            <w:tcW w:w="1559" w:type="dxa"/>
            <w:tcBorders>
              <w:top w:val="nil"/>
              <w:left w:val="nil"/>
              <w:bottom w:val="single" w:sz="4" w:space="0" w:color="auto"/>
              <w:right w:val="single" w:sz="4" w:space="0" w:color="auto"/>
            </w:tcBorders>
            <w:shd w:val="clear" w:color="000000" w:fill="C6EFCE"/>
            <w:vAlign w:val="center"/>
            <w:hideMark/>
          </w:tcPr>
          <w:p w14:paraId="15FC29F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5E2487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501BF8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3F1CE1B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20C6DF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1E29A6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2D4B4CA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opracowanych innowacyjnych projektów w zakresie jednostek transportowych napędzanych wodorem. Projekt będzie wspierał rozwój, budowę i wdrożenie oraz komercjalizację innowacyjnych jednostek transportowych napędzanych wodorem. Inwestycja będzie wspierać i rozwijać polski potencjał, aby stać się dostawcą statków/pociągów/autobusów napędzanych wodorem dla zrównoważonego transportu. Oprócz prac badawczo-rozwojowych, wspierane będzie także zwiększanie skali produkcji. Zakres inwestycji obejmuje szerokie działania na rzecz rozwoju, testowania, prezentacji i komercjalizacji różnych typów jednostek transportowych wykorzystujących wodorowe ogniwa paliwowe. Obejmuje on zarówno budowę nowych jednostek, jak i modernizację istniejących.</w:t>
            </w:r>
            <w:r w:rsidRPr="009B25FB">
              <w:rPr>
                <w:rFonts w:ascii="Times New Roman" w:eastAsia="Times New Roman" w:hAnsi="Times New Roman" w:cs="Times New Roman"/>
                <w:sz w:val="18"/>
                <w:szCs w:val="18"/>
                <w:lang w:val="pl-PL" w:eastAsia="pl-PL"/>
              </w:rPr>
              <w:br/>
              <w:t>Projekty powinny być zgodne z wytycznymi technicznymi dla zasady „nie czyń poważnej szkody” (2021/C58/01). Jednostki transportowe nie mogą być przeznaczone do transportu paliw kopalnych.</w:t>
            </w:r>
          </w:p>
        </w:tc>
      </w:tr>
      <w:tr w:rsidR="001052B5" w:rsidRPr="009D378C" w14:paraId="6A30E1C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0CC628B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B21G</w:t>
            </w:r>
          </w:p>
        </w:tc>
        <w:tc>
          <w:tcPr>
            <w:tcW w:w="1841" w:type="dxa"/>
            <w:tcBorders>
              <w:top w:val="nil"/>
              <w:left w:val="nil"/>
              <w:bottom w:val="single" w:sz="4" w:space="0" w:color="auto"/>
              <w:right w:val="single" w:sz="4" w:space="0" w:color="auto"/>
            </w:tcBorders>
            <w:shd w:val="clear" w:color="000000" w:fill="C6EFCE"/>
            <w:vAlign w:val="center"/>
            <w:hideMark/>
          </w:tcPr>
          <w:p w14:paraId="291527C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B2.1.1. Inwestycje w technologie wodorowe, wytwarzanie, magazynowanie i transport wodoru</w:t>
            </w:r>
          </w:p>
        </w:tc>
        <w:tc>
          <w:tcPr>
            <w:tcW w:w="1134" w:type="dxa"/>
            <w:tcBorders>
              <w:top w:val="nil"/>
              <w:left w:val="nil"/>
              <w:bottom w:val="single" w:sz="4" w:space="0" w:color="auto"/>
              <w:right w:val="single" w:sz="4" w:space="0" w:color="auto"/>
            </w:tcBorders>
            <w:shd w:val="clear" w:color="000000" w:fill="C6EFCE"/>
            <w:vAlign w:val="center"/>
            <w:hideMark/>
          </w:tcPr>
          <w:p w14:paraId="2BA4170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114F6B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Moc instalacji do produkcji niskoemisyjnego i odnawialnego wodoru, w tym elektrolizerów, wraz z infrastrukturą towarzyszącą</w:t>
            </w:r>
          </w:p>
        </w:tc>
        <w:tc>
          <w:tcPr>
            <w:tcW w:w="1559" w:type="dxa"/>
            <w:tcBorders>
              <w:top w:val="nil"/>
              <w:left w:val="nil"/>
              <w:bottom w:val="single" w:sz="4" w:space="0" w:color="auto"/>
              <w:right w:val="single" w:sz="4" w:space="0" w:color="auto"/>
            </w:tcBorders>
            <w:shd w:val="clear" w:color="000000" w:fill="C6EFCE"/>
            <w:vAlign w:val="center"/>
            <w:hideMark/>
          </w:tcPr>
          <w:p w14:paraId="2C49654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6C03C3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7D33D3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2DE006A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320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066CEE5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BFF809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33F5725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Zdolność produkcyjna instalacji do produkcji niskoemisyjnego i odnawialnego wodoru, w tym elektrolizerów, wraz z infrastrukturą towarzyszącą (320 MW).  Przewiduje się, że inwestycja ta nie spowoduje znaczącej szkody dla celów środowiskowych w rozumieniu art. 17 rozporządzenia (UE) 2020/852, biorąc pod uwagę opis działania i kroki łagodzące określone w planie odbudowy i odporności zgodnie z wytycznymi technicznymi dla zasady „nie czyń poważnej szkody” (2021/C58/01). W kontekście RRF projekty te są uznawane za zgodne z zasadą „nie czyń poważnej szkody” w odniesieniu do celu łagodzenia zmiany klimatu tylko pod warunkiem, że państwa członkowskie wykażą, że projekty spełniają wymóg ograniczenia emisji gazów cieplarnianych w cyklu życia wynoszący 73,4% dla wodoru, (co skutkuje emisją gazów cieplarnianych w cyklu życia niższą niż 3 tCO2eq/tH2) i 70% dla paliw syntetycznych opartych na wodorze, w stosunku do porównywalnego paliwa kopalnego wynoszącego 94 g CO2e/MJ, co skutkuje 2,256 tCO2eq/tH2, analogicznie do podejścia określonego w art. 25 ust. 2 i załączniku V do dyrektywy (UE) 2018/2001. Ograniczenia emisji gazów cieplarnianych w cyklu życia oblicza się przy zastosowaniu metodyki, o której mowa w art. 28 ust. 5 dyrektywy (UE) 2018/2001, lub alternatywnie przy zastosowaniu normy ISO 14067:2018 lub ISO 14064-1:2018. </w:t>
            </w:r>
          </w:p>
        </w:tc>
      </w:tr>
      <w:tr w:rsidR="001052B5" w:rsidRPr="009D378C" w14:paraId="43F09C2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1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70536005"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B22G</w:t>
            </w:r>
          </w:p>
        </w:tc>
        <w:tc>
          <w:tcPr>
            <w:tcW w:w="1841" w:type="dxa"/>
            <w:tcBorders>
              <w:top w:val="nil"/>
              <w:left w:val="nil"/>
              <w:bottom w:val="single" w:sz="4" w:space="0" w:color="auto"/>
              <w:right w:val="single" w:sz="4" w:space="0" w:color="auto"/>
            </w:tcBorders>
            <w:shd w:val="clear" w:color="000000" w:fill="C6EFCE"/>
            <w:vAlign w:val="center"/>
            <w:hideMark/>
          </w:tcPr>
          <w:p w14:paraId="499784E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54D2206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1C310541" w14:textId="145E9800"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D100B5">
              <w:rPr>
                <w:rFonts w:ascii="Times New Roman" w:eastAsia="Times New Roman" w:hAnsi="Times New Roman" w:cs="Times New Roman"/>
                <w:sz w:val="18"/>
                <w:szCs w:val="18"/>
                <w:lang w:val="pl-PL" w:eastAsia="pl-PL"/>
              </w:rPr>
              <w:t xml:space="preserve">nowelizacji </w:t>
            </w:r>
            <w:r w:rsidRPr="009B25FB">
              <w:rPr>
                <w:rFonts w:ascii="Times New Roman" w:eastAsia="Times New Roman" w:hAnsi="Times New Roman" w:cs="Times New Roman"/>
                <w:sz w:val="18"/>
                <w:szCs w:val="18"/>
                <w:lang w:val="pl-PL" w:eastAsia="pl-PL"/>
              </w:rPr>
              <w:t xml:space="preserve">ram prawnych dla wspólnot odnawialnych źródeł energii i </w:t>
            </w:r>
            <w:proofErr w:type="spellStart"/>
            <w:r w:rsidRPr="009B25FB">
              <w:rPr>
                <w:rFonts w:ascii="Times New Roman" w:eastAsia="Times New Roman" w:hAnsi="Times New Roman" w:cs="Times New Roman"/>
                <w:sz w:val="18"/>
                <w:szCs w:val="18"/>
                <w:lang w:val="pl-PL" w:eastAsia="pl-PL"/>
              </w:rPr>
              <w:t>biometanu</w:t>
            </w:r>
            <w:proofErr w:type="spellEnd"/>
            <w:r w:rsidRPr="009B25FB">
              <w:rPr>
                <w:rFonts w:ascii="Times New Roman" w:eastAsia="Times New Roman" w:hAnsi="Times New Roman" w:cs="Times New Roman"/>
                <w:sz w:val="18"/>
                <w:szCs w:val="18"/>
                <w:lang w:val="pl-PL" w:eastAsia="pl-PL"/>
              </w:rPr>
              <w:t xml:space="preserve">: nowelizacja ustawy o OZE, nowelizacja przepisów dotyczących rynku energii, </w:t>
            </w:r>
            <w:r w:rsidR="00A14381">
              <w:rPr>
                <w:rFonts w:ascii="Times New Roman" w:eastAsia="Times New Roman" w:hAnsi="Times New Roman" w:cs="Times New Roman"/>
                <w:sz w:val="18"/>
                <w:szCs w:val="18"/>
                <w:lang w:val="pl-PL" w:eastAsia="pl-PL"/>
              </w:rPr>
              <w:t xml:space="preserve">i </w:t>
            </w:r>
            <w:r w:rsidR="00D100B5">
              <w:rPr>
                <w:rFonts w:ascii="Times New Roman" w:eastAsia="Times New Roman" w:hAnsi="Times New Roman" w:cs="Times New Roman"/>
                <w:sz w:val="18"/>
                <w:szCs w:val="18"/>
                <w:lang w:val="pl-PL" w:eastAsia="pl-PL"/>
              </w:rPr>
              <w:t xml:space="preserve">wejście w życie </w:t>
            </w:r>
            <w:r w:rsidRPr="009B25FB">
              <w:rPr>
                <w:rFonts w:ascii="Times New Roman" w:eastAsia="Times New Roman" w:hAnsi="Times New Roman" w:cs="Times New Roman"/>
                <w:sz w:val="18"/>
                <w:szCs w:val="18"/>
                <w:lang w:val="pl-PL" w:eastAsia="pl-PL"/>
              </w:rPr>
              <w:t>rozporządzeni</w:t>
            </w:r>
            <w:r w:rsidR="00D100B5">
              <w:rPr>
                <w:rFonts w:ascii="Times New Roman" w:eastAsia="Times New Roman" w:hAnsi="Times New Roman" w:cs="Times New Roman"/>
                <w:sz w:val="18"/>
                <w:szCs w:val="18"/>
                <w:lang w:val="pl-PL" w:eastAsia="pl-PL"/>
              </w:rPr>
              <w:t>a</w:t>
            </w:r>
            <w:r w:rsidRPr="009B25FB">
              <w:rPr>
                <w:rFonts w:ascii="Times New Roman" w:eastAsia="Times New Roman" w:hAnsi="Times New Roman" w:cs="Times New Roman"/>
                <w:sz w:val="18"/>
                <w:szCs w:val="18"/>
                <w:lang w:val="pl-PL" w:eastAsia="pl-PL"/>
              </w:rPr>
              <w:t xml:space="preserve"> do ustawy o OZE</w:t>
            </w:r>
          </w:p>
        </w:tc>
        <w:tc>
          <w:tcPr>
            <w:tcW w:w="1559" w:type="dxa"/>
            <w:tcBorders>
              <w:top w:val="nil"/>
              <w:left w:val="nil"/>
              <w:bottom w:val="single" w:sz="4" w:space="0" w:color="auto"/>
              <w:right w:val="single" w:sz="4" w:space="0" w:color="auto"/>
            </w:tcBorders>
            <w:shd w:val="clear" w:color="000000" w:fill="C6EFCE"/>
            <w:vAlign w:val="center"/>
            <w:hideMark/>
          </w:tcPr>
          <w:p w14:paraId="1FA34430" w14:textId="35B88E61"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w:t>
            </w:r>
            <w:r w:rsidR="00D100B5">
              <w:rPr>
                <w:rFonts w:ascii="Times New Roman" w:eastAsia="Times New Roman" w:hAnsi="Times New Roman" w:cs="Times New Roman"/>
                <w:sz w:val="18"/>
                <w:szCs w:val="18"/>
                <w:lang w:val="pl-PL" w:eastAsia="pl-PL"/>
              </w:rPr>
              <w:t>y</w:t>
            </w:r>
            <w:r w:rsidRPr="009B25FB">
              <w:rPr>
                <w:rFonts w:ascii="Times New Roman" w:eastAsia="Times New Roman" w:hAnsi="Times New Roman" w:cs="Times New Roman"/>
                <w:sz w:val="18"/>
                <w:szCs w:val="18"/>
                <w:lang w:val="pl-PL" w:eastAsia="pl-PL"/>
              </w:rPr>
              <w:t xml:space="preserve"> w </w:t>
            </w:r>
            <w:r w:rsidR="00D100B5">
              <w:rPr>
                <w:rFonts w:ascii="Times New Roman" w:eastAsia="Times New Roman" w:hAnsi="Times New Roman" w:cs="Times New Roman"/>
                <w:sz w:val="18"/>
                <w:szCs w:val="18"/>
                <w:lang w:val="pl-PL" w:eastAsia="pl-PL"/>
              </w:rPr>
              <w:t xml:space="preserve">nowelizowanych </w:t>
            </w:r>
            <w:r w:rsidR="00F44DB5">
              <w:rPr>
                <w:rFonts w:ascii="Times New Roman" w:eastAsia="Times New Roman" w:hAnsi="Times New Roman" w:cs="Times New Roman"/>
                <w:sz w:val="18"/>
                <w:szCs w:val="18"/>
                <w:lang w:val="pl-PL" w:eastAsia="pl-PL"/>
              </w:rPr>
              <w:t>aktach prawnych i rozporządzeniu</w:t>
            </w:r>
            <w:r w:rsidRPr="009B25FB">
              <w:rPr>
                <w:rFonts w:ascii="Times New Roman" w:eastAsia="Times New Roman" w:hAnsi="Times New Roman" w:cs="Times New Roman"/>
                <w:sz w:val="18"/>
                <w:szCs w:val="18"/>
                <w:lang w:val="pl-PL" w:eastAsia="pl-PL"/>
              </w:rPr>
              <w:t xml:space="preserve"> wskazując</w:t>
            </w:r>
            <w:r w:rsidR="00F44DB5">
              <w:rPr>
                <w:rFonts w:ascii="Times New Roman" w:eastAsia="Times New Roman" w:hAnsi="Times New Roman" w:cs="Times New Roman"/>
                <w:sz w:val="18"/>
                <w:szCs w:val="18"/>
                <w:lang w:val="pl-PL" w:eastAsia="pl-PL"/>
              </w:rPr>
              <w:t>e</w:t>
            </w:r>
            <w:r w:rsidRPr="009B25FB">
              <w:rPr>
                <w:rFonts w:ascii="Times New Roman" w:eastAsia="Times New Roman" w:hAnsi="Times New Roman" w:cs="Times New Roman"/>
                <w:sz w:val="18"/>
                <w:szCs w:val="18"/>
                <w:lang w:val="pl-PL" w:eastAsia="pl-PL"/>
              </w:rPr>
              <w:t xml:space="preserve"> na </w:t>
            </w:r>
            <w:r w:rsidR="00F44DB5">
              <w:rPr>
                <w:rFonts w:ascii="Times New Roman" w:eastAsia="Times New Roman" w:hAnsi="Times New Roman" w:cs="Times New Roman"/>
                <w:sz w:val="18"/>
                <w:szCs w:val="18"/>
                <w:lang w:val="pl-PL" w:eastAsia="pl-PL"/>
              </w:rPr>
              <w:t xml:space="preserve">ich </w:t>
            </w:r>
            <w:r w:rsidRPr="009B25FB">
              <w:rPr>
                <w:rFonts w:ascii="Times New Roman" w:eastAsia="Times New Roman" w:hAnsi="Times New Roman" w:cs="Times New Roman"/>
                <w:sz w:val="18"/>
                <w:szCs w:val="18"/>
                <w:lang w:val="pl-PL" w:eastAsia="pl-PL"/>
              </w:rPr>
              <w:t>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57BBA6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6AB00E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694D43B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42C12C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Q1</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39DA59A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08AF30D2" w14:textId="67941BD4"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Przyjęcie i wejście w życie zmian </w:t>
            </w:r>
            <w:r w:rsidR="00F44DB5">
              <w:rPr>
                <w:rFonts w:ascii="Times New Roman" w:eastAsia="Times New Roman" w:hAnsi="Times New Roman" w:cs="Times New Roman"/>
                <w:sz w:val="18"/>
                <w:szCs w:val="18"/>
                <w:lang w:val="pl-PL" w:eastAsia="pl-PL"/>
              </w:rPr>
              <w:t>aktów prawnych i rozporządzenia</w:t>
            </w:r>
            <w:r w:rsidRPr="009B25FB">
              <w:rPr>
                <w:rFonts w:ascii="Times New Roman" w:eastAsia="Times New Roman" w:hAnsi="Times New Roman" w:cs="Times New Roman"/>
                <w:sz w:val="18"/>
                <w:szCs w:val="18"/>
                <w:lang w:val="pl-PL" w:eastAsia="pl-PL"/>
              </w:rPr>
              <w:t xml:space="preserve"> obejmujących:</w:t>
            </w:r>
            <w:r w:rsidRPr="009B25FB">
              <w:rPr>
                <w:rFonts w:ascii="Times New Roman" w:eastAsia="Times New Roman" w:hAnsi="Times New Roman" w:cs="Times New Roman"/>
                <w:sz w:val="18"/>
                <w:szCs w:val="18"/>
                <w:lang w:val="pl-PL" w:eastAsia="pl-PL"/>
              </w:rPr>
              <w:br/>
              <w:t xml:space="preserve">1. Zmiany w ustawie z 20 lutego 2015 r. o odnawialnych źródłach energii (OZE), które przeformułują zasady funkcjonowania klastrów energii (lepsze warunki do powoływania takich podmiotów) poprzez wprowadzenie: zasad, definicji lub pojęć dotyczących: zakresu, umów, przedmiotu działania klastra energii, rejestru klastra energii czy współpracy poszczególnych członków z operatorami systemów. </w:t>
            </w:r>
            <w:r w:rsidRPr="009B25FB">
              <w:rPr>
                <w:rFonts w:ascii="Times New Roman" w:eastAsia="Times New Roman" w:hAnsi="Times New Roman" w:cs="Times New Roman"/>
                <w:sz w:val="18"/>
                <w:szCs w:val="18"/>
                <w:lang w:val="pl-PL" w:eastAsia="pl-PL"/>
              </w:rPr>
              <w:br/>
              <w:t>2. Zmiany w ustawie o OZE mają na celu wdrożenie modeli zbiorowych prosumentów energii.</w:t>
            </w:r>
            <w:r w:rsidRPr="009B25FB">
              <w:rPr>
                <w:rFonts w:ascii="Times New Roman" w:eastAsia="Times New Roman" w:hAnsi="Times New Roman" w:cs="Times New Roman"/>
                <w:sz w:val="18"/>
                <w:szCs w:val="18"/>
                <w:lang w:val="pl-PL" w:eastAsia="pl-PL"/>
              </w:rPr>
              <w:br/>
              <w:t xml:space="preserve">3. Zmiany </w:t>
            </w:r>
            <w:r w:rsidR="00F44DB5">
              <w:rPr>
                <w:rFonts w:ascii="Times New Roman" w:eastAsia="Times New Roman" w:hAnsi="Times New Roman" w:cs="Times New Roman"/>
                <w:sz w:val="18"/>
                <w:szCs w:val="18"/>
                <w:lang w:val="pl-PL" w:eastAsia="pl-PL"/>
              </w:rPr>
              <w:t>aktów prawnych</w:t>
            </w:r>
            <w:r w:rsidR="00F44D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dotyczących rynku energii powinny wdrażać przepisy dotyczące nowych wspólnot energii odnawialnej, które zapewnią odbiorcom końcowym, w szczególności zaś gospodarstwom domowym, prawo do uczestnictwa w społecznościach energii odnawialnej, zgodnie z Dyrektywą UE 2018/2001 przy zachowaniu ich praw lub obowiązków jako odbiorców końcowych i bez narażania ich na nieuzasadnione lub dyskryminujące warunki lub procedury, które uniemożliwiałyby ich uczestnictwo w społecznościach energetyki odnawialnej.</w:t>
            </w:r>
            <w:r w:rsidRPr="009B25FB">
              <w:rPr>
                <w:rFonts w:ascii="Times New Roman" w:eastAsia="Times New Roman" w:hAnsi="Times New Roman" w:cs="Times New Roman"/>
                <w:sz w:val="18"/>
                <w:szCs w:val="18"/>
                <w:lang w:val="pl-PL" w:eastAsia="pl-PL"/>
              </w:rPr>
              <w:br/>
              <w:t>4. Rozporządzenie do ustawy o OZE w sprawie zasad rozliczania energii przez spółdzielnie energetyczne wprowadzi zapisy określające zasady działania dla jednego z modeli wspólnot energetycznych.</w:t>
            </w:r>
            <w:r w:rsidRPr="009B25FB">
              <w:rPr>
                <w:rFonts w:ascii="Times New Roman" w:eastAsia="Times New Roman" w:hAnsi="Times New Roman" w:cs="Times New Roman"/>
                <w:sz w:val="18"/>
                <w:szCs w:val="18"/>
                <w:lang w:val="pl-PL" w:eastAsia="pl-PL"/>
              </w:rPr>
              <w:br/>
              <w:t xml:space="preserve">5. Nowelizacja ustawy o OZE - </w:t>
            </w:r>
            <w:r w:rsidR="00F44DB5">
              <w:rPr>
                <w:rFonts w:ascii="Times New Roman" w:eastAsia="Times New Roman" w:hAnsi="Times New Roman" w:cs="Times New Roman"/>
                <w:sz w:val="18"/>
                <w:szCs w:val="18"/>
                <w:lang w:val="pl-PL" w:eastAsia="pl-PL"/>
              </w:rPr>
              <w:t>ustanawiająca</w:t>
            </w:r>
            <w:r w:rsidRPr="009B25FB">
              <w:rPr>
                <w:rFonts w:ascii="Times New Roman" w:eastAsia="Times New Roman" w:hAnsi="Times New Roman" w:cs="Times New Roman"/>
                <w:sz w:val="18"/>
                <w:szCs w:val="18"/>
                <w:lang w:val="pl-PL" w:eastAsia="pl-PL"/>
              </w:rPr>
              <w:t xml:space="preserve"> zasady prowadzenia działalności gospodarczej dla sektora </w:t>
            </w:r>
            <w:proofErr w:type="spellStart"/>
            <w:r w:rsidRPr="009B25FB">
              <w:rPr>
                <w:rFonts w:ascii="Times New Roman" w:eastAsia="Times New Roman" w:hAnsi="Times New Roman" w:cs="Times New Roman"/>
                <w:sz w:val="18"/>
                <w:szCs w:val="18"/>
                <w:lang w:val="pl-PL" w:eastAsia="pl-PL"/>
              </w:rPr>
              <w:t>biometanu</w:t>
            </w:r>
            <w:proofErr w:type="spellEnd"/>
            <w:r w:rsidRPr="009B25FB">
              <w:rPr>
                <w:rFonts w:ascii="Times New Roman" w:eastAsia="Times New Roman" w:hAnsi="Times New Roman" w:cs="Times New Roman"/>
                <w:sz w:val="18"/>
                <w:szCs w:val="18"/>
                <w:lang w:val="pl-PL" w:eastAsia="pl-PL"/>
              </w:rPr>
              <w:t>.</w:t>
            </w:r>
          </w:p>
        </w:tc>
      </w:tr>
      <w:tr w:rsidR="001052B5" w:rsidRPr="009D378C" w14:paraId="5BCBDC7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528"/>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0A2DF3C"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B23G</w:t>
            </w:r>
          </w:p>
        </w:tc>
        <w:tc>
          <w:tcPr>
            <w:tcW w:w="1841" w:type="dxa"/>
            <w:tcBorders>
              <w:top w:val="nil"/>
              <w:left w:val="nil"/>
              <w:bottom w:val="single" w:sz="4" w:space="0" w:color="auto"/>
              <w:right w:val="single" w:sz="4" w:space="0" w:color="auto"/>
            </w:tcBorders>
            <w:shd w:val="clear" w:color="000000" w:fill="C6EFCE"/>
            <w:vAlign w:val="center"/>
            <w:hideMark/>
          </w:tcPr>
          <w:p w14:paraId="035A9F3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469AF77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4213960E" w14:textId="37FC7B58"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F44DB5">
              <w:rPr>
                <w:rFonts w:ascii="Times New Roman" w:eastAsia="Times New Roman" w:hAnsi="Times New Roman" w:cs="Times New Roman"/>
                <w:sz w:val="18"/>
                <w:szCs w:val="18"/>
                <w:lang w:val="pl-PL" w:eastAsia="pl-PL"/>
              </w:rPr>
              <w:t xml:space="preserve">nowelizacji </w:t>
            </w:r>
            <w:r w:rsidRPr="009B25FB">
              <w:rPr>
                <w:rFonts w:ascii="Times New Roman" w:eastAsia="Times New Roman" w:hAnsi="Times New Roman" w:cs="Times New Roman"/>
                <w:sz w:val="18"/>
                <w:szCs w:val="18"/>
                <w:lang w:val="pl-PL" w:eastAsia="pl-PL"/>
              </w:rPr>
              <w:t>ustawy o inwestycjach w lądowe farmy wiatrowe</w:t>
            </w:r>
          </w:p>
        </w:tc>
        <w:tc>
          <w:tcPr>
            <w:tcW w:w="1559" w:type="dxa"/>
            <w:tcBorders>
              <w:top w:val="nil"/>
              <w:left w:val="nil"/>
              <w:bottom w:val="single" w:sz="4" w:space="0" w:color="auto"/>
              <w:right w:val="single" w:sz="4" w:space="0" w:color="auto"/>
            </w:tcBorders>
            <w:shd w:val="clear" w:color="000000" w:fill="C6EFCE"/>
            <w:vAlign w:val="center"/>
            <w:hideMark/>
          </w:tcPr>
          <w:p w14:paraId="0470762D" w14:textId="6F08F124"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Przepis </w:t>
            </w:r>
            <w:r w:rsidR="00F44DB5">
              <w:rPr>
                <w:rFonts w:ascii="Times New Roman" w:eastAsia="Times New Roman" w:hAnsi="Times New Roman" w:cs="Times New Roman"/>
                <w:sz w:val="18"/>
                <w:szCs w:val="18"/>
                <w:lang w:val="pl-PL" w:eastAsia="pl-PL"/>
              </w:rPr>
              <w:t xml:space="preserve">nowelizacji </w:t>
            </w:r>
            <w:r w:rsidR="00F44D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ustaw</w:t>
            </w:r>
            <w:r w:rsidR="00F44DB5">
              <w:rPr>
                <w:rFonts w:ascii="Times New Roman" w:eastAsia="Times New Roman" w:hAnsi="Times New Roman" w:cs="Times New Roman"/>
                <w:sz w:val="18"/>
                <w:szCs w:val="18"/>
                <w:lang w:val="pl-PL" w:eastAsia="pl-PL"/>
              </w:rPr>
              <w:t>y</w:t>
            </w:r>
            <w:r w:rsidRPr="009B25FB">
              <w:rPr>
                <w:rFonts w:ascii="Times New Roman" w:eastAsia="Times New Roman" w:hAnsi="Times New Roman" w:cs="Times New Roman"/>
                <w:sz w:val="18"/>
                <w:szCs w:val="18"/>
                <w:lang w:val="pl-PL" w:eastAsia="pl-PL"/>
              </w:rPr>
              <w:t xml:space="preserve"> </w:t>
            </w:r>
            <w:r w:rsidR="00F44DB5" w:rsidRPr="009B25FB">
              <w:rPr>
                <w:rFonts w:ascii="Times New Roman" w:eastAsia="Times New Roman" w:hAnsi="Times New Roman" w:cs="Times New Roman"/>
                <w:sz w:val="18"/>
                <w:szCs w:val="18"/>
                <w:lang w:val="pl-PL" w:eastAsia="pl-PL"/>
              </w:rPr>
              <w:t xml:space="preserve">o inwestycjach w lądowe farmy wiatrowe </w:t>
            </w:r>
            <w:r w:rsidRPr="009B25FB">
              <w:rPr>
                <w:rFonts w:ascii="Times New Roman" w:eastAsia="Times New Roman" w:hAnsi="Times New Roman" w:cs="Times New Roman"/>
                <w:sz w:val="18"/>
                <w:szCs w:val="18"/>
                <w:lang w:val="pl-PL" w:eastAsia="pl-PL"/>
              </w:rPr>
              <w:t>wskazujący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9723CB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E90244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5ACD866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19AABF0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66ED7D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255C2A3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nowelizacji, która usunie formalne bariery dla inwestycji </w:t>
            </w:r>
            <w:proofErr w:type="spellStart"/>
            <w:r w:rsidRPr="009B25FB">
              <w:rPr>
                <w:rFonts w:ascii="Times New Roman" w:eastAsia="Times New Roman" w:hAnsi="Times New Roman" w:cs="Times New Roman"/>
                <w:sz w:val="18"/>
                <w:szCs w:val="18"/>
                <w:lang w:val="pl-PL" w:eastAsia="pl-PL"/>
              </w:rPr>
              <w:t>onshore</w:t>
            </w:r>
            <w:proofErr w:type="spellEnd"/>
            <w:r w:rsidRPr="009B25FB">
              <w:rPr>
                <w:rFonts w:ascii="Times New Roman" w:eastAsia="Times New Roman" w:hAnsi="Times New Roman" w:cs="Times New Roman"/>
                <w:sz w:val="18"/>
                <w:szCs w:val="18"/>
                <w:lang w:val="pl-PL" w:eastAsia="pl-PL"/>
              </w:rPr>
              <w:t>. Nowelizacja uelastycznia zasadę odległości (minimalna odległość wiatraka od budynku mieszkalnego - 10-krotność wysokości wiatraka, 10H) poprzez przyznanie większych uprawnień do określania minimalnych odległości gminom w ramach procedury przestrzennej/zagospodarowania przestrzennego oraz regionalnym dyrekcjom ochrony środowiska w ramach procedury wydawania decyzji o środowiskowych uwarunkowaniach.</w:t>
            </w:r>
            <w:r w:rsidRPr="009B25FB">
              <w:rPr>
                <w:rFonts w:ascii="Times New Roman" w:eastAsia="Times New Roman" w:hAnsi="Times New Roman" w:cs="Times New Roman"/>
                <w:sz w:val="18"/>
                <w:szCs w:val="18"/>
                <w:lang w:val="pl-PL" w:eastAsia="pl-PL"/>
              </w:rPr>
              <w:br/>
              <w:t xml:space="preserve">Utrzymuje się ogólną zasadę odległości 10H, ale dopuszcza się możliwość odstępstw od niej oraz przyznaje się większe uprawnienia do określania lokalizacji farm wiatrowych poszczególnym gminom w ramach procedury planowania miejscowego (procedura strefowo-przestrzenna). Plan miejscowy będzie mógł określać mniejszą odległość farmy wiatrowej od budynku mieszkalnego, z uwzględnieniem zasięgu oddziaływania farm wiatrowych na podstawie prognozy oddziaływania na środowisko sporządzonej w ramach takiego planu. </w:t>
            </w:r>
          </w:p>
        </w:tc>
      </w:tr>
      <w:tr w:rsidR="001052B5" w:rsidRPr="009D378C" w14:paraId="4F07713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52"/>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36D59753"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B24G</w:t>
            </w:r>
          </w:p>
        </w:tc>
        <w:tc>
          <w:tcPr>
            <w:tcW w:w="1841" w:type="dxa"/>
            <w:tcBorders>
              <w:top w:val="nil"/>
              <w:left w:val="nil"/>
              <w:bottom w:val="single" w:sz="4" w:space="0" w:color="auto"/>
              <w:right w:val="single" w:sz="4" w:space="0" w:color="auto"/>
            </w:tcBorders>
            <w:shd w:val="clear" w:color="000000" w:fill="C6EFCE"/>
            <w:vAlign w:val="center"/>
            <w:hideMark/>
          </w:tcPr>
          <w:p w14:paraId="3B1B19A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19B4E97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kamień milowy </w:t>
            </w:r>
          </w:p>
        </w:tc>
        <w:tc>
          <w:tcPr>
            <w:tcW w:w="1985" w:type="dxa"/>
            <w:tcBorders>
              <w:top w:val="nil"/>
              <w:left w:val="nil"/>
              <w:bottom w:val="single" w:sz="4" w:space="0" w:color="auto"/>
              <w:right w:val="single" w:sz="4" w:space="0" w:color="auto"/>
            </w:tcBorders>
            <w:shd w:val="clear" w:color="000000" w:fill="C6EFCE"/>
            <w:vAlign w:val="center"/>
            <w:hideMark/>
          </w:tcPr>
          <w:p w14:paraId="4C6DA8D0" w14:textId="4517DD73" w:rsidR="001052B5" w:rsidRPr="009B25FB" w:rsidRDefault="00F44DB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 xml:space="preserve">Wejście w życie </w:t>
            </w:r>
            <w:r w:rsidR="001052B5" w:rsidRPr="009B25FB">
              <w:rPr>
                <w:rFonts w:ascii="Times New Roman" w:eastAsia="Times New Roman" w:hAnsi="Times New Roman" w:cs="Times New Roman"/>
                <w:sz w:val="18"/>
                <w:szCs w:val="18"/>
                <w:lang w:val="pl-PL" w:eastAsia="pl-PL"/>
              </w:rPr>
              <w:t>rozporządzenia zawierającego plan  aukcji OZE w latach 2022-2027</w:t>
            </w:r>
          </w:p>
        </w:tc>
        <w:tc>
          <w:tcPr>
            <w:tcW w:w="1559" w:type="dxa"/>
            <w:tcBorders>
              <w:top w:val="nil"/>
              <w:left w:val="nil"/>
              <w:bottom w:val="single" w:sz="4" w:space="0" w:color="auto"/>
              <w:right w:val="single" w:sz="4" w:space="0" w:color="auto"/>
            </w:tcBorders>
            <w:shd w:val="clear" w:color="000000" w:fill="C6EFCE"/>
            <w:vAlign w:val="center"/>
            <w:hideMark/>
          </w:tcPr>
          <w:p w14:paraId="25F215F2" w14:textId="4FAC8887" w:rsidR="001052B5" w:rsidRPr="009B25FB" w:rsidRDefault="00F44DB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 xml:space="preserve">Przepis w </w:t>
            </w:r>
            <w:r w:rsidR="001052B5" w:rsidRPr="009B25FB">
              <w:rPr>
                <w:rFonts w:ascii="Times New Roman" w:eastAsia="Times New Roman" w:hAnsi="Times New Roman" w:cs="Times New Roman"/>
                <w:sz w:val="18"/>
                <w:szCs w:val="18"/>
                <w:lang w:val="pl-PL" w:eastAsia="pl-PL"/>
              </w:rPr>
              <w:t>rozporządzeni</w:t>
            </w:r>
            <w:r>
              <w:rPr>
                <w:rFonts w:ascii="Times New Roman" w:eastAsia="Times New Roman" w:hAnsi="Times New Roman" w:cs="Times New Roman"/>
                <w:sz w:val="18"/>
                <w:szCs w:val="18"/>
                <w:lang w:val="pl-PL" w:eastAsia="pl-PL"/>
              </w:rPr>
              <w:t>u</w:t>
            </w:r>
            <w:r w:rsidR="001052B5" w:rsidRPr="009B25FB">
              <w:rPr>
                <w:rFonts w:ascii="Times New Roman" w:eastAsia="Times New Roman" w:hAnsi="Times New Roman" w:cs="Times New Roman"/>
                <w:sz w:val="18"/>
                <w:szCs w:val="18"/>
                <w:lang w:val="pl-PL" w:eastAsia="pl-PL"/>
              </w:rPr>
              <w:t xml:space="preserve"> </w:t>
            </w:r>
            <w:r>
              <w:rPr>
                <w:rFonts w:ascii="Times New Roman" w:eastAsia="Times New Roman" w:hAnsi="Times New Roman" w:cs="Times New Roman"/>
                <w:sz w:val="18"/>
                <w:szCs w:val="18"/>
                <w:lang w:val="pl-PL" w:eastAsia="pl-PL"/>
              </w:rPr>
              <w:t xml:space="preserve"> wskazujący na wejście w </w:t>
            </w:r>
            <w:r w:rsidR="00A14381">
              <w:rPr>
                <w:rFonts w:ascii="Times New Roman" w:eastAsia="Times New Roman" w:hAnsi="Times New Roman" w:cs="Times New Roman"/>
                <w:sz w:val="18"/>
                <w:szCs w:val="18"/>
                <w:lang w:val="pl-PL" w:eastAsia="pl-PL"/>
              </w:rPr>
              <w:t>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340AB5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72FA454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0640ADB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A55990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Q3</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0DB8C7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41A76CD8" w14:textId="28FE831A" w:rsidR="001052B5" w:rsidRPr="009B25FB" w:rsidRDefault="00106E4F" w:rsidP="00A20CA7">
            <w:pPr>
              <w:spacing w:after="0" w:line="240" w:lineRule="auto"/>
              <w:rPr>
                <w:rFonts w:ascii="Times New Roman" w:eastAsia="Times New Roman" w:hAnsi="Times New Roman" w:cs="Times New Roman"/>
                <w:sz w:val="18"/>
                <w:szCs w:val="18"/>
                <w:lang w:val="pl-PL" w:eastAsia="pl-PL"/>
              </w:rPr>
            </w:pPr>
            <w:r w:rsidRPr="00106E4F">
              <w:rPr>
                <w:rFonts w:ascii="Times New Roman" w:eastAsia="Times New Roman" w:hAnsi="Times New Roman" w:cs="Times New Roman"/>
                <w:sz w:val="18"/>
                <w:szCs w:val="18"/>
                <w:lang w:val="pl-PL" w:eastAsia="pl-PL"/>
              </w:rPr>
              <w:t>Wejście w życie  rozporządzenia ustanawiającego</w:t>
            </w:r>
            <w:r w:rsidRPr="00106E4F" w:rsidDel="00106E4F">
              <w:rPr>
                <w:rFonts w:ascii="Times New Roman" w:eastAsia="Times New Roman" w:hAnsi="Times New Roman" w:cs="Times New Roman"/>
                <w:sz w:val="18"/>
                <w:szCs w:val="18"/>
                <w:lang w:val="pl-PL" w:eastAsia="pl-PL"/>
              </w:rPr>
              <w:t xml:space="preserve"> </w:t>
            </w:r>
            <w:r w:rsidR="001052B5" w:rsidRPr="009B25FB">
              <w:rPr>
                <w:rFonts w:ascii="Times New Roman" w:eastAsia="Times New Roman" w:hAnsi="Times New Roman" w:cs="Times New Roman"/>
                <w:sz w:val="18"/>
                <w:szCs w:val="18"/>
                <w:lang w:val="pl-PL" w:eastAsia="pl-PL"/>
              </w:rPr>
              <w:t>plan aukcji energii odnawialnej w podziale na technologie (w tym dla nowych lądowych farm wiatrowych). Plan powinien określać budżet oraz ilość energii elektrycznej, która będzie dostępna w drodze aukcji konkurencyjnych w latach 2022-2027</w:t>
            </w:r>
          </w:p>
        </w:tc>
      </w:tr>
      <w:tr w:rsidR="001052B5" w:rsidRPr="009D378C" w14:paraId="4B7C2D8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B8FF1AC"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B25G</w:t>
            </w:r>
          </w:p>
        </w:tc>
        <w:tc>
          <w:tcPr>
            <w:tcW w:w="1841" w:type="dxa"/>
            <w:tcBorders>
              <w:top w:val="nil"/>
              <w:left w:val="nil"/>
              <w:bottom w:val="single" w:sz="4" w:space="0" w:color="auto"/>
              <w:right w:val="single" w:sz="4" w:space="0" w:color="auto"/>
            </w:tcBorders>
            <w:shd w:val="clear" w:color="000000" w:fill="C6EFCE"/>
            <w:vAlign w:val="center"/>
            <w:hideMark/>
          </w:tcPr>
          <w:p w14:paraId="0C373C6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3E1460D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2ED38E1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 Łączna moc zainstalowana w PV i lądowej energetyce wiatrowej (w GW)</w:t>
            </w:r>
          </w:p>
        </w:tc>
        <w:tc>
          <w:tcPr>
            <w:tcW w:w="1559" w:type="dxa"/>
            <w:tcBorders>
              <w:top w:val="nil"/>
              <w:left w:val="nil"/>
              <w:bottom w:val="single" w:sz="4" w:space="0" w:color="auto"/>
              <w:right w:val="single" w:sz="4" w:space="0" w:color="auto"/>
            </w:tcBorders>
            <w:shd w:val="clear" w:color="000000" w:fill="C6EFCE"/>
            <w:vAlign w:val="center"/>
            <w:hideMark/>
          </w:tcPr>
          <w:p w14:paraId="04FDEE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CC5CDA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B6E670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11,2</w:t>
            </w:r>
          </w:p>
        </w:tc>
        <w:tc>
          <w:tcPr>
            <w:tcW w:w="850" w:type="dxa"/>
            <w:tcBorders>
              <w:top w:val="nil"/>
              <w:left w:val="nil"/>
              <w:bottom w:val="single" w:sz="4" w:space="0" w:color="auto"/>
              <w:right w:val="single" w:sz="4" w:space="0" w:color="auto"/>
            </w:tcBorders>
            <w:shd w:val="clear" w:color="000000" w:fill="C6EFCE"/>
            <w:vAlign w:val="center"/>
            <w:hideMark/>
          </w:tcPr>
          <w:p w14:paraId="0573C46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18</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54247E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ACD7AB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2023</w:t>
            </w:r>
          </w:p>
        </w:tc>
        <w:tc>
          <w:tcPr>
            <w:tcW w:w="3541" w:type="dxa"/>
            <w:tcBorders>
              <w:top w:val="nil"/>
              <w:left w:val="nil"/>
              <w:bottom w:val="single" w:sz="4" w:space="0" w:color="auto"/>
              <w:right w:val="single" w:sz="4" w:space="0" w:color="auto"/>
            </w:tcBorders>
            <w:shd w:val="clear" w:color="000000" w:fill="C6EFCE"/>
            <w:vAlign w:val="center"/>
            <w:hideMark/>
          </w:tcPr>
          <w:p w14:paraId="57EA1D8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Łączna moc zainstalowana w PV i lądowej energetyce wiatrowej (w GW)</w:t>
            </w:r>
          </w:p>
        </w:tc>
      </w:tr>
      <w:tr w:rsidR="001052B5" w:rsidRPr="009D378C" w14:paraId="1C5239E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7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5EB20D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B26G</w:t>
            </w:r>
          </w:p>
        </w:tc>
        <w:tc>
          <w:tcPr>
            <w:tcW w:w="1841" w:type="dxa"/>
            <w:tcBorders>
              <w:top w:val="nil"/>
              <w:left w:val="nil"/>
              <w:bottom w:val="single" w:sz="4" w:space="0" w:color="auto"/>
              <w:right w:val="single" w:sz="4" w:space="0" w:color="auto"/>
            </w:tcBorders>
            <w:shd w:val="clear" w:color="000000" w:fill="C6EFCE"/>
            <w:vAlign w:val="center"/>
            <w:hideMark/>
          </w:tcPr>
          <w:p w14:paraId="58584DB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4EAA75D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7C78A04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Łączna moc zainstalowana w PV i lądowej energetyce wiatrowej (w GW)</w:t>
            </w:r>
          </w:p>
        </w:tc>
        <w:tc>
          <w:tcPr>
            <w:tcW w:w="1559" w:type="dxa"/>
            <w:tcBorders>
              <w:top w:val="nil"/>
              <w:left w:val="nil"/>
              <w:bottom w:val="single" w:sz="4" w:space="0" w:color="auto"/>
              <w:right w:val="single" w:sz="4" w:space="0" w:color="auto"/>
            </w:tcBorders>
            <w:shd w:val="clear" w:color="000000" w:fill="C6EFCE"/>
            <w:vAlign w:val="center"/>
            <w:hideMark/>
          </w:tcPr>
          <w:p w14:paraId="3AAAEEA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4A929BE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7573532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18</w:t>
            </w:r>
          </w:p>
        </w:tc>
        <w:tc>
          <w:tcPr>
            <w:tcW w:w="850" w:type="dxa"/>
            <w:tcBorders>
              <w:top w:val="nil"/>
              <w:left w:val="nil"/>
              <w:bottom w:val="single" w:sz="4" w:space="0" w:color="auto"/>
              <w:right w:val="single" w:sz="4" w:space="0" w:color="auto"/>
            </w:tcBorders>
            <w:shd w:val="clear" w:color="000000" w:fill="C6EFCE"/>
            <w:vAlign w:val="center"/>
            <w:hideMark/>
          </w:tcPr>
          <w:p w14:paraId="644979B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1CE97F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DA9246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2024</w:t>
            </w:r>
          </w:p>
        </w:tc>
        <w:tc>
          <w:tcPr>
            <w:tcW w:w="3541" w:type="dxa"/>
            <w:tcBorders>
              <w:top w:val="nil"/>
              <w:left w:val="nil"/>
              <w:bottom w:val="single" w:sz="4" w:space="0" w:color="auto"/>
              <w:right w:val="single" w:sz="4" w:space="0" w:color="auto"/>
            </w:tcBorders>
            <w:shd w:val="clear" w:color="000000" w:fill="C6EFCE"/>
            <w:vAlign w:val="center"/>
            <w:hideMark/>
          </w:tcPr>
          <w:p w14:paraId="7CE5F0C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Łączna moc zainstalowana w PV i lądowej energetyce wiatrowej (w GW)</w:t>
            </w:r>
          </w:p>
        </w:tc>
      </w:tr>
      <w:tr w:rsidR="001052B5" w:rsidRPr="009D378C" w14:paraId="538AA822"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6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9848E2B"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B27G</w:t>
            </w:r>
          </w:p>
        </w:tc>
        <w:tc>
          <w:tcPr>
            <w:tcW w:w="1841" w:type="dxa"/>
            <w:tcBorders>
              <w:top w:val="nil"/>
              <w:left w:val="nil"/>
              <w:bottom w:val="single" w:sz="4" w:space="0" w:color="auto"/>
              <w:right w:val="single" w:sz="4" w:space="0" w:color="auto"/>
            </w:tcBorders>
            <w:shd w:val="clear" w:color="000000" w:fill="C6EFCE"/>
            <w:vAlign w:val="center"/>
            <w:hideMark/>
          </w:tcPr>
          <w:p w14:paraId="0D4EB80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1FF6A50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426F2F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W3 - Łączna moc zainstalowana w PV i lądowej energetyce wiatrowej (w GW)</w:t>
            </w:r>
          </w:p>
        </w:tc>
        <w:tc>
          <w:tcPr>
            <w:tcW w:w="1559" w:type="dxa"/>
            <w:tcBorders>
              <w:top w:val="nil"/>
              <w:left w:val="nil"/>
              <w:bottom w:val="single" w:sz="4" w:space="0" w:color="auto"/>
              <w:right w:val="single" w:sz="4" w:space="0" w:color="auto"/>
            </w:tcBorders>
            <w:shd w:val="clear" w:color="000000" w:fill="C6EFCE"/>
            <w:vAlign w:val="center"/>
            <w:hideMark/>
          </w:tcPr>
          <w:p w14:paraId="754492C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62BF9EF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6C42D0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w:t>
            </w:r>
          </w:p>
        </w:tc>
        <w:tc>
          <w:tcPr>
            <w:tcW w:w="850" w:type="dxa"/>
            <w:tcBorders>
              <w:top w:val="nil"/>
              <w:left w:val="nil"/>
              <w:bottom w:val="single" w:sz="4" w:space="0" w:color="auto"/>
              <w:right w:val="single" w:sz="4" w:space="0" w:color="auto"/>
            </w:tcBorders>
            <w:shd w:val="clear" w:color="000000" w:fill="C6EFCE"/>
            <w:vAlign w:val="center"/>
            <w:hideMark/>
          </w:tcPr>
          <w:p w14:paraId="5A37971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23</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1AC5F8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6CDA199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06144AE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Łączna moc zainstalowana w PV i lądowej energetyce wiatrowej (w GW)</w:t>
            </w:r>
          </w:p>
        </w:tc>
      </w:tr>
      <w:tr w:rsidR="001052B5" w:rsidRPr="009D378C" w14:paraId="356D98B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960F1E1"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B28G</w:t>
            </w:r>
          </w:p>
        </w:tc>
        <w:tc>
          <w:tcPr>
            <w:tcW w:w="1841" w:type="dxa"/>
            <w:tcBorders>
              <w:top w:val="nil"/>
              <w:left w:val="nil"/>
              <w:bottom w:val="single" w:sz="4" w:space="0" w:color="auto"/>
              <w:right w:val="single" w:sz="4" w:space="0" w:color="auto"/>
            </w:tcBorders>
            <w:shd w:val="clear" w:color="000000" w:fill="C6EFCE"/>
            <w:vAlign w:val="center"/>
            <w:hideMark/>
          </w:tcPr>
          <w:p w14:paraId="672BE9D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1AB6407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CD4A00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W4 - Łączna moc zainstalowana w PV i lądowej energetyce wiatrowej (w GW)</w:t>
            </w:r>
          </w:p>
        </w:tc>
        <w:tc>
          <w:tcPr>
            <w:tcW w:w="1559" w:type="dxa"/>
            <w:tcBorders>
              <w:top w:val="nil"/>
              <w:left w:val="nil"/>
              <w:bottom w:val="single" w:sz="4" w:space="0" w:color="auto"/>
              <w:right w:val="single" w:sz="4" w:space="0" w:color="auto"/>
            </w:tcBorders>
            <w:shd w:val="clear" w:color="000000" w:fill="C6EFCE"/>
            <w:vAlign w:val="center"/>
            <w:hideMark/>
          </w:tcPr>
          <w:p w14:paraId="640CE5B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DD68DC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B08F5E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23</w:t>
            </w:r>
          </w:p>
        </w:tc>
        <w:tc>
          <w:tcPr>
            <w:tcW w:w="850" w:type="dxa"/>
            <w:tcBorders>
              <w:top w:val="nil"/>
              <w:left w:val="nil"/>
              <w:bottom w:val="single" w:sz="4" w:space="0" w:color="auto"/>
              <w:right w:val="single" w:sz="4" w:space="0" w:color="auto"/>
            </w:tcBorders>
            <w:shd w:val="clear" w:color="000000" w:fill="C6EFCE"/>
            <w:vAlign w:val="center"/>
            <w:hideMark/>
          </w:tcPr>
          <w:p w14:paraId="71CDD7F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23,5</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00E2D1B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892EDD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57BAD44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Łączna moc zainstalowana w PV i lądowej energetyce wiatrowej (w GW)</w:t>
            </w:r>
          </w:p>
        </w:tc>
      </w:tr>
      <w:tr w:rsidR="001052B5" w:rsidRPr="009D378C" w14:paraId="5560571F"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11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8889792"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B29G</w:t>
            </w:r>
          </w:p>
        </w:tc>
        <w:tc>
          <w:tcPr>
            <w:tcW w:w="1841" w:type="dxa"/>
            <w:tcBorders>
              <w:top w:val="nil"/>
              <w:left w:val="nil"/>
              <w:bottom w:val="single" w:sz="4" w:space="0" w:color="auto"/>
              <w:right w:val="single" w:sz="4" w:space="0" w:color="auto"/>
            </w:tcBorders>
            <w:shd w:val="clear" w:color="000000" w:fill="C6EFCE"/>
            <w:vAlign w:val="center"/>
            <w:hideMark/>
          </w:tcPr>
          <w:p w14:paraId="3B2B95E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1221AA6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30935789" w14:textId="386F3A90"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8C45D3">
              <w:rPr>
                <w:rFonts w:ascii="Times New Roman" w:eastAsia="Times New Roman" w:hAnsi="Times New Roman" w:cs="Times New Roman"/>
                <w:sz w:val="18"/>
                <w:szCs w:val="18"/>
                <w:lang w:val="pl-PL" w:eastAsia="pl-PL"/>
              </w:rPr>
              <w:t xml:space="preserve">rozporządzenia, </w:t>
            </w:r>
            <w:r w:rsidRPr="009B25FB">
              <w:rPr>
                <w:rFonts w:ascii="Times New Roman" w:eastAsia="Times New Roman" w:hAnsi="Times New Roman" w:cs="Times New Roman"/>
                <w:sz w:val="18"/>
                <w:szCs w:val="18"/>
                <w:lang w:val="pl-PL" w:eastAsia="pl-PL"/>
              </w:rPr>
              <w:t>wynikając</w:t>
            </w:r>
            <w:r w:rsidR="00F44DB5">
              <w:rPr>
                <w:rFonts w:ascii="Times New Roman" w:eastAsia="Times New Roman" w:hAnsi="Times New Roman" w:cs="Times New Roman"/>
                <w:sz w:val="18"/>
                <w:szCs w:val="18"/>
                <w:lang w:val="pl-PL" w:eastAsia="pl-PL"/>
              </w:rPr>
              <w:t>ego</w:t>
            </w:r>
            <w:r w:rsidRPr="009B25FB">
              <w:rPr>
                <w:rFonts w:ascii="Times New Roman" w:eastAsia="Times New Roman" w:hAnsi="Times New Roman" w:cs="Times New Roman"/>
                <w:sz w:val="18"/>
                <w:szCs w:val="18"/>
                <w:lang w:val="pl-PL" w:eastAsia="pl-PL"/>
              </w:rPr>
              <w:t xml:space="preserve"> z ustawy z dnia 17 grudnia 2020 r. o promowaniu wytwarzania energii elektrycznej w morskich farmach wiatrowych</w:t>
            </w:r>
          </w:p>
        </w:tc>
        <w:tc>
          <w:tcPr>
            <w:tcW w:w="1559" w:type="dxa"/>
            <w:tcBorders>
              <w:top w:val="nil"/>
              <w:left w:val="nil"/>
              <w:bottom w:val="single" w:sz="4" w:space="0" w:color="auto"/>
              <w:right w:val="single" w:sz="4" w:space="0" w:color="auto"/>
            </w:tcBorders>
            <w:shd w:val="clear" w:color="000000" w:fill="C6EFCE"/>
            <w:vAlign w:val="center"/>
            <w:hideMark/>
          </w:tcPr>
          <w:p w14:paraId="1F91F0FF" w14:textId="4600CA7D"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w:t>
            </w:r>
            <w:r w:rsidR="00F44DB5">
              <w:rPr>
                <w:rFonts w:ascii="Times New Roman" w:eastAsia="Times New Roman" w:hAnsi="Times New Roman" w:cs="Times New Roman"/>
                <w:sz w:val="18"/>
                <w:szCs w:val="18"/>
                <w:lang w:val="pl-PL" w:eastAsia="pl-PL"/>
              </w:rPr>
              <w:t xml:space="preserve"> </w:t>
            </w:r>
            <w:r w:rsidR="008C45D3">
              <w:rPr>
                <w:rFonts w:ascii="Times New Roman" w:eastAsia="Times New Roman" w:hAnsi="Times New Roman" w:cs="Times New Roman"/>
                <w:sz w:val="18"/>
                <w:szCs w:val="18"/>
                <w:lang w:val="pl-PL" w:eastAsia="pl-PL"/>
              </w:rPr>
              <w:t xml:space="preserve">rozporządzenia </w:t>
            </w:r>
            <w:r w:rsidRPr="009B25FB">
              <w:rPr>
                <w:rFonts w:ascii="Times New Roman" w:eastAsia="Times New Roman" w:hAnsi="Times New Roman" w:cs="Times New Roman"/>
                <w:sz w:val="18"/>
                <w:szCs w:val="18"/>
                <w:lang w:val="pl-PL" w:eastAsia="pl-PL"/>
              </w:rPr>
              <w:t>wskazując</w:t>
            </w:r>
            <w:r w:rsidR="00F44DB5">
              <w:rPr>
                <w:rFonts w:ascii="Times New Roman" w:eastAsia="Times New Roman" w:hAnsi="Times New Roman" w:cs="Times New Roman"/>
                <w:sz w:val="18"/>
                <w:szCs w:val="18"/>
                <w:lang w:val="pl-PL" w:eastAsia="pl-PL"/>
              </w:rPr>
              <w:t>y</w:t>
            </w:r>
            <w:r w:rsidRPr="009B25FB">
              <w:rPr>
                <w:rFonts w:ascii="Times New Roman" w:eastAsia="Times New Roman" w:hAnsi="Times New Roman" w:cs="Times New Roman"/>
                <w:sz w:val="18"/>
                <w:szCs w:val="18"/>
                <w:lang w:val="pl-PL" w:eastAsia="pl-PL"/>
              </w:rPr>
              <w:t xml:space="preserve">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3CD7326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26B4F24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06C07B3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143E7D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522DEE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65CF1B8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Powinno wejść w życie następujące rozporządzenie wykonawcze:   </w:t>
            </w:r>
            <w:r w:rsidRPr="009B25FB">
              <w:rPr>
                <w:rFonts w:ascii="Times New Roman" w:eastAsia="Times New Roman" w:hAnsi="Times New Roman" w:cs="Times New Roman"/>
                <w:sz w:val="18"/>
                <w:szCs w:val="18"/>
                <w:lang w:val="pl-PL" w:eastAsia="pl-PL"/>
              </w:rPr>
              <w:br/>
              <w:t>Rozporządzenie Rady Ministrów w sprawie opłaty koncesyjnej - Zgodnie z art. 34 ust. 2a Prawa energetycznego, obowiązkiem uiszczania opłaty koncesyjnej na rzecz Prezesa Urzędu Regulacji Energetyki objęto również przedsiębiorstwa energetyczne wykonujące działalność gospodarczą w zakresie wytwarzania energii elektrycznej w morskich farmach wiatrowych, o których mowa w ustawie z dnia 17 grudnia 2020 r. o promowaniu wytwarzania energii elektrycznej w morskich farmach wiatrowych. Ponadto, w związku z nowelizacją ustawy Prawo energetyczne z dnia 15 kwietnia 2021 r. działalnością, która również jest objęta opłatą koncesyjną, jest magazynowanie energii elektrycznej.</w:t>
            </w:r>
          </w:p>
        </w:tc>
      </w:tr>
      <w:tr w:rsidR="001052B5" w:rsidRPr="009D378C" w14:paraId="20A8690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8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BFB1FDE"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B30G</w:t>
            </w:r>
          </w:p>
        </w:tc>
        <w:tc>
          <w:tcPr>
            <w:tcW w:w="1841" w:type="dxa"/>
            <w:tcBorders>
              <w:top w:val="nil"/>
              <w:left w:val="nil"/>
              <w:bottom w:val="single" w:sz="4" w:space="0" w:color="auto"/>
              <w:right w:val="single" w:sz="4" w:space="0" w:color="auto"/>
            </w:tcBorders>
            <w:shd w:val="clear" w:color="000000" w:fill="C6EFCE"/>
            <w:vAlign w:val="center"/>
            <w:hideMark/>
          </w:tcPr>
          <w:p w14:paraId="1C027F2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 Poprawa warunków dla rozwoju odnawialnych źródeł energii</w:t>
            </w:r>
          </w:p>
        </w:tc>
        <w:tc>
          <w:tcPr>
            <w:tcW w:w="1134" w:type="dxa"/>
            <w:tcBorders>
              <w:top w:val="nil"/>
              <w:left w:val="nil"/>
              <w:bottom w:val="single" w:sz="4" w:space="0" w:color="auto"/>
              <w:right w:val="single" w:sz="4" w:space="0" w:color="auto"/>
            </w:tcBorders>
            <w:shd w:val="clear" w:color="000000" w:fill="C6EFCE"/>
            <w:vAlign w:val="center"/>
            <w:hideMark/>
          </w:tcPr>
          <w:p w14:paraId="26D516F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57DE0D9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Wejście w życie przepisu wykonawczego wynikającego z ustawy z dnia 17 grudnia 2020 r. o promowaniu wytwarzania energii elektrycznej w morskich farmach wiatrowych</w:t>
            </w:r>
          </w:p>
        </w:tc>
        <w:tc>
          <w:tcPr>
            <w:tcW w:w="1559" w:type="dxa"/>
            <w:tcBorders>
              <w:top w:val="nil"/>
              <w:left w:val="nil"/>
              <w:bottom w:val="single" w:sz="4" w:space="0" w:color="auto"/>
              <w:right w:val="single" w:sz="4" w:space="0" w:color="auto"/>
            </w:tcBorders>
            <w:shd w:val="clear" w:color="000000" w:fill="C6EFCE"/>
            <w:vAlign w:val="center"/>
            <w:hideMark/>
          </w:tcPr>
          <w:p w14:paraId="7CBC453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Przepis wskazujące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5DB8A71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FEE580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45B49D8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3D0BFD5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1003B0E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78A658C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Rozporządzenie Ministra Klimatu i Środowiska w sprawie rodzajów przepływów pieniężnych uwzględnianych przy obliczaniu ceny skorygowanej oraz szczegółowego sposobu kalkulacji ceny skorygowanej. Rozporządzenie określa rodzaje przepływów pieniężnych uwzględnianych przy obliczaniu ceny skorygowanej oraz szczegółowy sposób obliczania ceny skorygowanej. W procesie tym będą brane pod uwagę takie czynniki jak pomoc inwestycyjna, termin udzielenia pomocy inwestycyjnej oraz zasady udzielania pomocy publicznej w zakresie ochrony środowiska i energetyki. Oczekiwanym efektem ma być ułatwienie powyższej procedury dla inwestorów morskich farm wiatrowych.</w:t>
            </w:r>
          </w:p>
        </w:tc>
      </w:tr>
      <w:tr w:rsidR="001052B5" w:rsidRPr="009D378C" w14:paraId="7B5C1A2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53"/>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D18435"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B31G</w:t>
            </w:r>
          </w:p>
        </w:tc>
        <w:tc>
          <w:tcPr>
            <w:tcW w:w="1841" w:type="dxa"/>
            <w:tcBorders>
              <w:top w:val="nil"/>
              <w:left w:val="nil"/>
              <w:bottom w:val="single" w:sz="4" w:space="0" w:color="auto"/>
              <w:right w:val="single" w:sz="4" w:space="0" w:color="auto"/>
            </w:tcBorders>
            <w:shd w:val="clear" w:color="000000" w:fill="C6EFCE"/>
            <w:vAlign w:val="center"/>
            <w:hideMark/>
          </w:tcPr>
          <w:p w14:paraId="3BC9E99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B2.2.1 Rozwój sieci przesyłowych, inteligentna infrastruktura elektroenergetyczna</w:t>
            </w:r>
          </w:p>
        </w:tc>
        <w:tc>
          <w:tcPr>
            <w:tcW w:w="1134" w:type="dxa"/>
            <w:tcBorders>
              <w:top w:val="nil"/>
              <w:left w:val="nil"/>
              <w:bottom w:val="single" w:sz="4" w:space="0" w:color="auto"/>
              <w:right w:val="single" w:sz="4" w:space="0" w:color="auto"/>
            </w:tcBorders>
            <w:shd w:val="clear" w:color="000000" w:fill="C6EFCE"/>
            <w:vAlign w:val="center"/>
            <w:hideMark/>
          </w:tcPr>
          <w:p w14:paraId="4C12A43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0232967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W1 -Długość nowo wybudowanej lub zmodernizowanej sieci elektroenergetycznej (km)</w:t>
            </w:r>
          </w:p>
        </w:tc>
        <w:tc>
          <w:tcPr>
            <w:tcW w:w="1559" w:type="dxa"/>
            <w:tcBorders>
              <w:top w:val="nil"/>
              <w:left w:val="nil"/>
              <w:bottom w:val="single" w:sz="4" w:space="0" w:color="auto"/>
              <w:right w:val="single" w:sz="4" w:space="0" w:color="auto"/>
            </w:tcBorders>
            <w:shd w:val="clear" w:color="000000" w:fill="C6EFCE"/>
            <w:vAlign w:val="center"/>
            <w:hideMark/>
          </w:tcPr>
          <w:p w14:paraId="69C32DD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FC19BE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418773E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0476C76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70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BCD7E4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757185C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2024</w:t>
            </w:r>
          </w:p>
        </w:tc>
        <w:tc>
          <w:tcPr>
            <w:tcW w:w="3541" w:type="dxa"/>
            <w:tcBorders>
              <w:top w:val="nil"/>
              <w:left w:val="nil"/>
              <w:bottom w:val="single" w:sz="4" w:space="0" w:color="auto"/>
              <w:right w:val="single" w:sz="4" w:space="0" w:color="auto"/>
            </w:tcBorders>
            <w:shd w:val="clear" w:color="000000" w:fill="C6EFCE"/>
            <w:vAlign w:val="center"/>
            <w:hideMark/>
          </w:tcPr>
          <w:p w14:paraId="1F25773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kilometrów nowo wybudowanych lub zmodernizowanych w ramach projektów odcinków elektroenergetycznych sieci przesyłowych (400kV). Długość każdego odcinka oblicza się tylko raz (niezależnie od tego, czy jest to linia jedno- czy dwutorowa).</w:t>
            </w:r>
          </w:p>
        </w:tc>
      </w:tr>
      <w:tr w:rsidR="001052B5" w:rsidRPr="009D378C" w14:paraId="07C76D0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689"/>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7633BF5"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B32G</w:t>
            </w:r>
          </w:p>
        </w:tc>
        <w:tc>
          <w:tcPr>
            <w:tcW w:w="1841" w:type="dxa"/>
            <w:tcBorders>
              <w:top w:val="nil"/>
              <w:left w:val="nil"/>
              <w:bottom w:val="single" w:sz="4" w:space="0" w:color="auto"/>
              <w:right w:val="single" w:sz="4" w:space="0" w:color="auto"/>
            </w:tcBorders>
            <w:shd w:val="clear" w:color="000000" w:fill="C6EFCE"/>
            <w:vAlign w:val="center"/>
            <w:hideMark/>
          </w:tcPr>
          <w:p w14:paraId="54FFE31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B2.2.1 Rozwój sieci przesyłowych, inteligentna infrastruktura elektroenergetyczna</w:t>
            </w:r>
          </w:p>
        </w:tc>
        <w:tc>
          <w:tcPr>
            <w:tcW w:w="1134" w:type="dxa"/>
            <w:tcBorders>
              <w:top w:val="nil"/>
              <w:left w:val="nil"/>
              <w:bottom w:val="single" w:sz="4" w:space="0" w:color="auto"/>
              <w:right w:val="single" w:sz="4" w:space="0" w:color="auto"/>
            </w:tcBorders>
            <w:shd w:val="clear" w:color="000000" w:fill="C6EFCE"/>
            <w:vAlign w:val="center"/>
            <w:hideMark/>
          </w:tcPr>
          <w:p w14:paraId="77B704C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3400F7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W2 - Długość nowo wybudowanej lub zmodernizowanej sieci elektroenergetycznej (km)</w:t>
            </w:r>
          </w:p>
        </w:tc>
        <w:tc>
          <w:tcPr>
            <w:tcW w:w="1559" w:type="dxa"/>
            <w:tcBorders>
              <w:top w:val="nil"/>
              <w:left w:val="nil"/>
              <w:bottom w:val="single" w:sz="4" w:space="0" w:color="auto"/>
              <w:right w:val="single" w:sz="4" w:space="0" w:color="auto"/>
            </w:tcBorders>
            <w:shd w:val="clear" w:color="000000" w:fill="C6EFCE"/>
            <w:vAlign w:val="center"/>
            <w:hideMark/>
          </w:tcPr>
          <w:p w14:paraId="0B9DAD0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3B03E83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FF07DC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70</w:t>
            </w:r>
          </w:p>
        </w:tc>
        <w:tc>
          <w:tcPr>
            <w:tcW w:w="850" w:type="dxa"/>
            <w:tcBorders>
              <w:top w:val="nil"/>
              <w:left w:val="nil"/>
              <w:bottom w:val="single" w:sz="4" w:space="0" w:color="auto"/>
              <w:right w:val="single" w:sz="4" w:space="0" w:color="auto"/>
            </w:tcBorders>
            <w:shd w:val="clear" w:color="000000" w:fill="C6EFCE"/>
            <w:vAlign w:val="center"/>
            <w:hideMark/>
          </w:tcPr>
          <w:p w14:paraId="6816993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4601470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3A0E7BC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58B08AB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kilometrów nowo wybudowanych lub zmodernizowanych w ramach projektów odcinków elektroenergetycznych sieci przesyłowych (400kV). Długość każdego odcinka oblicza się tylko raz (niezależnie od tego, czy jest to linia jedno- czy dwutorowa).</w:t>
            </w:r>
          </w:p>
        </w:tc>
      </w:tr>
      <w:tr w:rsidR="001052B5" w:rsidRPr="009D378C" w14:paraId="3340547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59"/>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8AD418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B33G</w:t>
            </w:r>
          </w:p>
        </w:tc>
        <w:tc>
          <w:tcPr>
            <w:tcW w:w="1841" w:type="dxa"/>
            <w:tcBorders>
              <w:top w:val="nil"/>
              <w:left w:val="nil"/>
              <w:bottom w:val="single" w:sz="4" w:space="0" w:color="auto"/>
              <w:right w:val="single" w:sz="4" w:space="0" w:color="auto"/>
            </w:tcBorders>
            <w:shd w:val="clear" w:color="000000" w:fill="C6EFCE"/>
            <w:vAlign w:val="center"/>
            <w:hideMark/>
          </w:tcPr>
          <w:p w14:paraId="79B808D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B2.2.1 Rozwój sieci przesyłowych, inteligentna infrastruktura elektroenergetyczna</w:t>
            </w:r>
          </w:p>
        </w:tc>
        <w:tc>
          <w:tcPr>
            <w:tcW w:w="1134" w:type="dxa"/>
            <w:tcBorders>
              <w:top w:val="nil"/>
              <w:left w:val="nil"/>
              <w:bottom w:val="single" w:sz="4" w:space="0" w:color="auto"/>
              <w:right w:val="single" w:sz="4" w:space="0" w:color="auto"/>
            </w:tcBorders>
            <w:shd w:val="clear" w:color="000000" w:fill="C6EFCE"/>
            <w:vAlign w:val="center"/>
            <w:hideMark/>
          </w:tcPr>
          <w:p w14:paraId="243946A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4574C7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W3 - Długość nowo wybudowanej lub zmodernizowanej sieci elektroenergetycznej (km)</w:t>
            </w:r>
          </w:p>
        </w:tc>
        <w:tc>
          <w:tcPr>
            <w:tcW w:w="1559" w:type="dxa"/>
            <w:tcBorders>
              <w:top w:val="nil"/>
              <w:left w:val="nil"/>
              <w:bottom w:val="single" w:sz="4" w:space="0" w:color="auto"/>
              <w:right w:val="single" w:sz="4" w:space="0" w:color="auto"/>
            </w:tcBorders>
            <w:shd w:val="clear" w:color="000000" w:fill="C6EFCE"/>
            <w:vAlign w:val="center"/>
            <w:hideMark/>
          </w:tcPr>
          <w:p w14:paraId="641CE04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42D59B8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7BB59D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190</w:t>
            </w:r>
          </w:p>
        </w:tc>
        <w:tc>
          <w:tcPr>
            <w:tcW w:w="850" w:type="dxa"/>
            <w:tcBorders>
              <w:top w:val="nil"/>
              <w:left w:val="nil"/>
              <w:bottom w:val="single" w:sz="4" w:space="0" w:color="auto"/>
              <w:right w:val="single" w:sz="4" w:space="0" w:color="auto"/>
            </w:tcBorders>
            <w:shd w:val="clear" w:color="000000" w:fill="C6EFCE"/>
            <w:vAlign w:val="center"/>
            <w:hideMark/>
          </w:tcPr>
          <w:p w14:paraId="0971520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320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B64019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69D3EF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798660E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kilometrów nowo wybudowanych lub zmodernizowanych w ramach projektów odcinków elektroenergetycznych sieci przesyłowych (400kV). Długość każdego odcinka oblicza się tylko raz (niezależnie od tego, czy jest to linia jedno- czy dwutorowa).</w:t>
            </w:r>
          </w:p>
        </w:tc>
      </w:tr>
      <w:tr w:rsidR="001052B5" w:rsidRPr="009D378C" w14:paraId="34E2BF8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41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5F504EA"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B34G</w:t>
            </w:r>
          </w:p>
        </w:tc>
        <w:tc>
          <w:tcPr>
            <w:tcW w:w="1841" w:type="dxa"/>
            <w:tcBorders>
              <w:top w:val="nil"/>
              <w:left w:val="nil"/>
              <w:bottom w:val="single" w:sz="4" w:space="0" w:color="auto"/>
              <w:right w:val="single" w:sz="4" w:space="0" w:color="auto"/>
            </w:tcBorders>
            <w:shd w:val="clear" w:color="000000" w:fill="C6EFCE"/>
            <w:vAlign w:val="center"/>
            <w:hideMark/>
          </w:tcPr>
          <w:p w14:paraId="63CA5AE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B2.2.1 Rozwój sieci przesyłowych, inteligentna infrastruktura elektroenergetyczna</w:t>
            </w:r>
          </w:p>
        </w:tc>
        <w:tc>
          <w:tcPr>
            <w:tcW w:w="1134" w:type="dxa"/>
            <w:tcBorders>
              <w:top w:val="nil"/>
              <w:left w:val="nil"/>
              <w:bottom w:val="single" w:sz="4" w:space="0" w:color="auto"/>
              <w:right w:val="single" w:sz="4" w:space="0" w:color="auto"/>
            </w:tcBorders>
            <w:shd w:val="clear" w:color="000000" w:fill="C6EFCE"/>
            <w:vAlign w:val="center"/>
            <w:hideMark/>
          </w:tcPr>
          <w:p w14:paraId="650D235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44124E0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Wdrożenie Centralnego Systemu Informacji Rynku Energii (OIRE/CSIRE)</w:t>
            </w:r>
          </w:p>
        </w:tc>
        <w:tc>
          <w:tcPr>
            <w:tcW w:w="1559" w:type="dxa"/>
            <w:tcBorders>
              <w:top w:val="nil"/>
              <w:left w:val="nil"/>
              <w:bottom w:val="single" w:sz="4" w:space="0" w:color="auto"/>
              <w:right w:val="single" w:sz="4" w:space="0" w:color="auto"/>
            </w:tcBorders>
            <w:shd w:val="clear" w:color="000000" w:fill="C6EFCE"/>
            <w:vAlign w:val="center"/>
            <w:hideMark/>
          </w:tcPr>
          <w:p w14:paraId="0D49031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4508764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70AF45D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0F17D34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20101F4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58CEF9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2024</w:t>
            </w:r>
          </w:p>
        </w:tc>
        <w:tc>
          <w:tcPr>
            <w:tcW w:w="3541" w:type="dxa"/>
            <w:tcBorders>
              <w:top w:val="nil"/>
              <w:left w:val="nil"/>
              <w:bottom w:val="single" w:sz="4" w:space="0" w:color="auto"/>
              <w:right w:val="single" w:sz="4" w:space="0" w:color="auto"/>
            </w:tcBorders>
            <w:shd w:val="clear" w:color="000000" w:fill="C6EFCE"/>
            <w:vAlign w:val="center"/>
            <w:hideMark/>
          </w:tcPr>
          <w:p w14:paraId="2AD1277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Wdrożenie Centralnego Systemu Informacji Rynku Energii (OIRE/CSIRE).</w:t>
            </w:r>
          </w:p>
        </w:tc>
      </w:tr>
      <w:tr w:rsidR="001052B5" w:rsidRPr="009D378C" w14:paraId="4949457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9D9FDE5"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B35G</w:t>
            </w:r>
          </w:p>
        </w:tc>
        <w:tc>
          <w:tcPr>
            <w:tcW w:w="1841" w:type="dxa"/>
            <w:tcBorders>
              <w:top w:val="nil"/>
              <w:left w:val="nil"/>
              <w:bottom w:val="single" w:sz="4" w:space="0" w:color="auto"/>
              <w:right w:val="single" w:sz="4" w:space="0" w:color="auto"/>
            </w:tcBorders>
            <w:shd w:val="clear" w:color="000000" w:fill="C6EFCE"/>
            <w:vAlign w:val="center"/>
            <w:hideMark/>
          </w:tcPr>
          <w:p w14:paraId="3AEE3D5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B2.2.2 Instalacje OZE realizowane przez społeczności energetyczne</w:t>
            </w:r>
          </w:p>
        </w:tc>
        <w:tc>
          <w:tcPr>
            <w:tcW w:w="1134" w:type="dxa"/>
            <w:tcBorders>
              <w:top w:val="nil"/>
              <w:left w:val="nil"/>
              <w:bottom w:val="single" w:sz="4" w:space="0" w:color="auto"/>
              <w:right w:val="single" w:sz="4" w:space="0" w:color="auto"/>
            </w:tcBorders>
            <w:shd w:val="clear" w:color="000000" w:fill="C6EFCE"/>
            <w:vAlign w:val="center"/>
            <w:hideMark/>
          </w:tcPr>
          <w:p w14:paraId="60B3217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317D8A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Podmioty wspierane w ramach części </w:t>
            </w:r>
            <w:proofErr w:type="spellStart"/>
            <w:r w:rsidRPr="009B25FB">
              <w:rPr>
                <w:rFonts w:ascii="Times New Roman" w:eastAsia="Times New Roman" w:hAnsi="Times New Roman" w:cs="Times New Roman"/>
                <w:sz w:val="18"/>
                <w:szCs w:val="18"/>
                <w:lang w:val="pl-PL" w:eastAsia="pl-PL"/>
              </w:rPr>
              <w:t>przedinwestycyjnej</w:t>
            </w:r>
            <w:proofErr w:type="spellEnd"/>
          </w:p>
        </w:tc>
        <w:tc>
          <w:tcPr>
            <w:tcW w:w="1559" w:type="dxa"/>
            <w:tcBorders>
              <w:top w:val="nil"/>
              <w:left w:val="nil"/>
              <w:bottom w:val="single" w:sz="4" w:space="0" w:color="auto"/>
              <w:right w:val="single" w:sz="4" w:space="0" w:color="auto"/>
            </w:tcBorders>
            <w:shd w:val="clear" w:color="000000" w:fill="C6EFCE"/>
            <w:vAlign w:val="center"/>
            <w:hideMark/>
          </w:tcPr>
          <w:p w14:paraId="54DF534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68A0DF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4946109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1FF797F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139</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788CFAF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Q1</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538611E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5969C22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Liczba umów o dofinansowanie podpisanych z beneficjentami, którzy zostaną wybrani w drodze otwartego, konkurencyjnego i przejrzystego naboru. Alokacja projektów do podmiotów-beneficjentów zapewni zrównoważoną dystrybucję  pomiędzy podmiotami w całym kraju, biorąc pod uwagę populację i zasięg geograficzny. Na dzień podpisania umów o dofinansowanie beneficjenci powinni należeć do podmiotów, które są w stanie utworzyć wspólnotę energii odnawialnej w rozumieniu Dyrektywy (UE) 2018/2001 (wersja zmieniona) w sprawie promowania stosowania energii ze źródeł odnawialnych i innymi wspólnotami energetycznymi zdefiniowanymi w prawie polskim (m.in. klastry energii  oraz spółdzielnie energetyczne ).             </w:t>
            </w:r>
          </w:p>
        </w:tc>
      </w:tr>
      <w:tr w:rsidR="001052B5" w:rsidRPr="009D378C" w14:paraId="758B0CCD"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AFA4856"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B36G</w:t>
            </w:r>
          </w:p>
        </w:tc>
        <w:tc>
          <w:tcPr>
            <w:tcW w:w="1841" w:type="dxa"/>
            <w:tcBorders>
              <w:top w:val="nil"/>
              <w:left w:val="nil"/>
              <w:bottom w:val="single" w:sz="4" w:space="0" w:color="auto"/>
              <w:right w:val="single" w:sz="4" w:space="0" w:color="auto"/>
            </w:tcBorders>
            <w:shd w:val="clear" w:color="000000" w:fill="C6EFCE"/>
            <w:vAlign w:val="center"/>
            <w:hideMark/>
          </w:tcPr>
          <w:p w14:paraId="0EB5D2E1"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B2.2.2 Instalacje OZE realizowane przez społeczności energetyczne</w:t>
            </w:r>
          </w:p>
        </w:tc>
        <w:tc>
          <w:tcPr>
            <w:tcW w:w="1134" w:type="dxa"/>
            <w:tcBorders>
              <w:top w:val="nil"/>
              <w:left w:val="nil"/>
              <w:bottom w:val="single" w:sz="4" w:space="0" w:color="auto"/>
              <w:right w:val="single" w:sz="4" w:space="0" w:color="auto"/>
            </w:tcBorders>
            <w:shd w:val="clear" w:color="000000" w:fill="C6EFCE"/>
            <w:vAlign w:val="center"/>
            <w:hideMark/>
          </w:tcPr>
          <w:p w14:paraId="7067A7B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39A67EE" w14:textId="2764E50B" w:rsidR="001052B5" w:rsidRPr="009B25FB" w:rsidRDefault="00F44DB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 xml:space="preserve">Społeczności </w:t>
            </w:r>
            <w:r w:rsidR="001052B5" w:rsidRPr="009B25FB">
              <w:rPr>
                <w:rFonts w:ascii="Times New Roman" w:eastAsia="Times New Roman" w:hAnsi="Times New Roman" w:cs="Times New Roman"/>
                <w:sz w:val="18"/>
                <w:szCs w:val="18"/>
                <w:lang w:val="pl-PL" w:eastAsia="pl-PL"/>
              </w:rPr>
              <w:t>energetyczne wspierane w ramach części inwestycyjnej</w:t>
            </w:r>
          </w:p>
        </w:tc>
        <w:tc>
          <w:tcPr>
            <w:tcW w:w="1559" w:type="dxa"/>
            <w:tcBorders>
              <w:top w:val="nil"/>
              <w:left w:val="nil"/>
              <w:bottom w:val="single" w:sz="4" w:space="0" w:color="auto"/>
              <w:right w:val="single" w:sz="4" w:space="0" w:color="auto"/>
            </w:tcBorders>
            <w:shd w:val="clear" w:color="000000" w:fill="C6EFCE"/>
            <w:vAlign w:val="center"/>
            <w:hideMark/>
          </w:tcPr>
          <w:p w14:paraId="6591FBE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2C7918E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CBDC6F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5786B22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10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56DFD8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47A4F39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1E2110B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umów o dofinansowanie podpisanych ze wspólnotami energetycznymi w rozumieniu dyrektywy (UE) 2018/2001 (wersja zmieniona) w sprawie promowania stosowania energii ze źródeł odnawialnych i innymi wspólnotami energetycznymi zdefiniowanymi w prawie polskim (m.in. klastry energii  oraz spółdzielnie energetyczne ).  Podmioty będące beneficjentami wybiera się w drodze otwartych, przejrzystych i konkurencyjnych naborów. Alokacja projektów do podmiotów-beneficjentów zapewni zrównoważoną dystrybucję pomiędzy podmiotami w całym kraju, biorąc pod uwagę liczbę ludności i zasięg geograficzny.</w:t>
            </w:r>
          </w:p>
        </w:tc>
      </w:tr>
      <w:tr w:rsidR="001052B5" w:rsidRPr="009D378C" w14:paraId="4CA63F2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3"/>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727709E2"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B37G</w:t>
            </w:r>
          </w:p>
        </w:tc>
        <w:tc>
          <w:tcPr>
            <w:tcW w:w="1841" w:type="dxa"/>
            <w:tcBorders>
              <w:top w:val="nil"/>
              <w:left w:val="nil"/>
              <w:bottom w:val="single" w:sz="4" w:space="0" w:color="auto"/>
              <w:right w:val="single" w:sz="4" w:space="0" w:color="auto"/>
            </w:tcBorders>
            <w:shd w:val="clear" w:color="000000" w:fill="C6EFCE"/>
            <w:vAlign w:val="center"/>
            <w:hideMark/>
          </w:tcPr>
          <w:p w14:paraId="5BC3153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B2.2.3 Budowa infrastruktury terminalowej </w:t>
            </w:r>
            <w:proofErr w:type="spellStart"/>
            <w:r w:rsidRPr="009B25FB">
              <w:rPr>
                <w:rFonts w:ascii="Times New Roman" w:eastAsia="Times New Roman" w:hAnsi="Times New Roman" w:cs="Times New Roman"/>
                <w:sz w:val="18"/>
                <w:szCs w:val="18"/>
                <w:lang w:val="pl-PL" w:eastAsia="pl-PL"/>
              </w:rPr>
              <w:t>offshore</w:t>
            </w:r>
            <w:proofErr w:type="spellEnd"/>
          </w:p>
        </w:tc>
        <w:tc>
          <w:tcPr>
            <w:tcW w:w="1134" w:type="dxa"/>
            <w:tcBorders>
              <w:top w:val="nil"/>
              <w:left w:val="nil"/>
              <w:bottom w:val="single" w:sz="4" w:space="0" w:color="auto"/>
              <w:right w:val="single" w:sz="4" w:space="0" w:color="auto"/>
            </w:tcBorders>
            <w:shd w:val="clear" w:color="000000" w:fill="C6EFCE"/>
            <w:vAlign w:val="center"/>
            <w:hideMark/>
          </w:tcPr>
          <w:p w14:paraId="6611D16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549AF78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Budowa morskiego terminalu instalacyjnego </w:t>
            </w:r>
          </w:p>
        </w:tc>
        <w:tc>
          <w:tcPr>
            <w:tcW w:w="1559" w:type="dxa"/>
            <w:tcBorders>
              <w:top w:val="nil"/>
              <w:left w:val="nil"/>
              <w:bottom w:val="single" w:sz="4" w:space="0" w:color="auto"/>
              <w:right w:val="single" w:sz="4" w:space="0" w:color="auto"/>
            </w:tcBorders>
            <w:shd w:val="clear" w:color="000000" w:fill="C6EFCE"/>
            <w:vAlign w:val="center"/>
            <w:hideMark/>
          </w:tcPr>
          <w:p w14:paraId="58175FE5" w14:textId="64B3A359"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oddanie do </w:t>
            </w:r>
            <w:r w:rsidR="006B1A57" w:rsidRPr="009B25FB">
              <w:rPr>
                <w:rFonts w:ascii="Times New Roman" w:eastAsia="Times New Roman" w:hAnsi="Times New Roman" w:cs="Times New Roman"/>
                <w:sz w:val="18"/>
                <w:szCs w:val="18"/>
                <w:lang w:val="pl-PL" w:eastAsia="pl-PL"/>
              </w:rPr>
              <w:t>użytku</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13C6AA3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477CA12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134000BC"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1968E76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6882B36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79299E2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Oddanie do użytku nowego pirsu portowego. Łączna powierzchnia nawierzchni składowych i eksploatacyjno-magazynowych wyniesie 33,6 ha. W obrębie obszaru wstępnego montażu powierzchnia powinna mieć nośność równą 50T/m2, a powierzchnia składowania 20T/m2. Należy również wybudować rampę ro-ro. Obszar magazynowy terminalu będzie świadczył usługi dla dwóch niezależnych deweloperów morskich farm wiatrowych. Podział pirsu zewnętrznego powinien umożliwiać stworzenie dwóch miejsc postojowych dla statków typu </w:t>
            </w:r>
            <w:proofErr w:type="spellStart"/>
            <w:r w:rsidRPr="009B25FB">
              <w:rPr>
                <w:rFonts w:ascii="Times New Roman" w:eastAsia="Times New Roman" w:hAnsi="Times New Roman" w:cs="Times New Roman"/>
                <w:sz w:val="18"/>
                <w:szCs w:val="18"/>
                <w:lang w:val="pl-PL" w:eastAsia="pl-PL"/>
              </w:rPr>
              <w:t>jack</w:t>
            </w:r>
            <w:proofErr w:type="spellEnd"/>
            <w:r w:rsidRPr="009B25FB">
              <w:rPr>
                <w:rFonts w:ascii="Times New Roman" w:eastAsia="Times New Roman" w:hAnsi="Times New Roman" w:cs="Times New Roman"/>
                <w:sz w:val="18"/>
                <w:szCs w:val="18"/>
                <w:lang w:val="pl-PL" w:eastAsia="pl-PL"/>
              </w:rPr>
              <w:t xml:space="preserve">-up. Łączna długość nabrzeży w terminalu </w:t>
            </w:r>
            <w:proofErr w:type="spellStart"/>
            <w:r w:rsidRPr="009B25FB">
              <w:rPr>
                <w:rFonts w:ascii="Times New Roman" w:eastAsia="Times New Roman" w:hAnsi="Times New Roman" w:cs="Times New Roman"/>
                <w:sz w:val="18"/>
                <w:szCs w:val="18"/>
                <w:lang w:val="pl-PL" w:eastAsia="pl-PL"/>
              </w:rPr>
              <w:t>offshore</w:t>
            </w:r>
            <w:proofErr w:type="spellEnd"/>
            <w:r w:rsidRPr="009B25FB">
              <w:rPr>
                <w:rFonts w:ascii="Times New Roman" w:eastAsia="Times New Roman" w:hAnsi="Times New Roman" w:cs="Times New Roman"/>
                <w:sz w:val="18"/>
                <w:szCs w:val="18"/>
                <w:lang w:val="pl-PL" w:eastAsia="pl-PL"/>
              </w:rPr>
              <w:t xml:space="preserve"> wyniesie ponad 1000 metrów.</w:t>
            </w:r>
            <w:r w:rsidRPr="009B25FB">
              <w:rPr>
                <w:rFonts w:ascii="Times New Roman" w:eastAsia="Times New Roman" w:hAnsi="Times New Roman" w:cs="Times New Roman"/>
                <w:sz w:val="18"/>
                <w:szCs w:val="18"/>
                <w:lang w:val="pl-PL" w:eastAsia="pl-PL"/>
              </w:rPr>
              <w:br/>
              <w:t xml:space="preserve">Morski terminal wiatrowy zlokalizowany na pirsie Portu Zewnętrznego powinien posiadać optymalne warunki hydrotechniczne i nawigacyjne dla statków morskich. Prześwit kanału portowego zapewni sprawność i bezpieczeństwo żeglugi statków. Szerokość kanału głównego w najwęższym miejscu wyniesie 280 metrów. </w:t>
            </w:r>
          </w:p>
        </w:tc>
      </w:tr>
      <w:tr w:rsidR="001052B5" w:rsidRPr="009D378C" w14:paraId="27042852"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961"/>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0D17923"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B38G</w:t>
            </w:r>
          </w:p>
        </w:tc>
        <w:tc>
          <w:tcPr>
            <w:tcW w:w="1841" w:type="dxa"/>
            <w:tcBorders>
              <w:top w:val="nil"/>
              <w:left w:val="nil"/>
              <w:bottom w:val="single" w:sz="4" w:space="0" w:color="auto"/>
              <w:right w:val="single" w:sz="4" w:space="0" w:color="auto"/>
            </w:tcBorders>
            <w:shd w:val="clear" w:color="000000" w:fill="C6EFCE"/>
            <w:vAlign w:val="center"/>
            <w:hideMark/>
          </w:tcPr>
          <w:p w14:paraId="1F20EF8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B2.2.3 Budowa infrastruktury terminalowej </w:t>
            </w:r>
            <w:proofErr w:type="spellStart"/>
            <w:r w:rsidRPr="009B25FB">
              <w:rPr>
                <w:rFonts w:ascii="Times New Roman" w:eastAsia="Times New Roman" w:hAnsi="Times New Roman" w:cs="Times New Roman"/>
                <w:sz w:val="18"/>
                <w:szCs w:val="18"/>
                <w:lang w:val="pl-PL" w:eastAsia="pl-PL"/>
              </w:rPr>
              <w:t>offshore</w:t>
            </w:r>
            <w:proofErr w:type="spellEnd"/>
          </w:p>
        </w:tc>
        <w:tc>
          <w:tcPr>
            <w:tcW w:w="1134" w:type="dxa"/>
            <w:tcBorders>
              <w:top w:val="nil"/>
              <w:left w:val="nil"/>
              <w:bottom w:val="single" w:sz="4" w:space="0" w:color="auto"/>
              <w:right w:val="single" w:sz="4" w:space="0" w:color="auto"/>
            </w:tcBorders>
            <w:shd w:val="clear" w:color="000000" w:fill="C6EFCE"/>
            <w:vAlign w:val="center"/>
            <w:hideMark/>
          </w:tcPr>
          <w:p w14:paraId="4D91261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5470293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Budowa morskiego terminalu serwisowego w Łebie i Ustce</w:t>
            </w:r>
          </w:p>
        </w:tc>
        <w:tc>
          <w:tcPr>
            <w:tcW w:w="1559" w:type="dxa"/>
            <w:tcBorders>
              <w:top w:val="nil"/>
              <w:left w:val="nil"/>
              <w:bottom w:val="single" w:sz="4" w:space="0" w:color="auto"/>
              <w:right w:val="single" w:sz="4" w:space="0" w:color="auto"/>
            </w:tcBorders>
            <w:shd w:val="clear" w:color="000000" w:fill="C6EFCE"/>
            <w:vAlign w:val="center"/>
            <w:hideMark/>
          </w:tcPr>
          <w:p w14:paraId="6DE9CE1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3D9326A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513EFC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785B7CE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8D411A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AB6C64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2026</w:t>
            </w:r>
          </w:p>
        </w:tc>
        <w:tc>
          <w:tcPr>
            <w:tcW w:w="3541" w:type="dxa"/>
            <w:tcBorders>
              <w:top w:val="nil"/>
              <w:left w:val="nil"/>
              <w:bottom w:val="single" w:sz="4" w:space="0" w:color="auto"/>
              <w:right w:val="single" w:sz="4" w:space="0" w:color="auto"/>
            </w:tcBorders>
            <w:shd w:val="clear" w:color="000000" w:fill="C6EFCE"/>
            <w:vAlign w:val="center"/>
            <w:hideMark/>
          </w:tcPr>
          <w:p w14:paraId="40E186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Zakończenie budowy dwóch morskich terminali serwisowych (Ustka i Łeba).</w:t>
            </w:r>
            <w:r w:rsidRPr="009B25FB">
              <w:rPr>
                <w:rFonts w:ascii="Times New Roman" w:eastAsia="Times New Roman" w:hAnsi="Times New Roman" w:cs="Times New Roman"/>
                <w:sz w:val="18"/>
                <w:szCs w:val="18"/>
                <w:lang w:val="pl-PL" w:eastAsia="pl-PL"/>
              </w:rPr>
              <w:br/>
              <w:t xml:space="preserve">Inwestycja w Ustce polegać będzie na budowie toru </w:t>
            </w:r>
            <w:proofErr w:type="spellStart"/>
            <w:r w:rsidRPr="009B25FB">
              <w:rPr>
                <w:rFonts w:ascii="Times New Roman" w:eastAsia="Times New Roman" w:hAnsi="Times New Roman" w:cs="Times New Roman"/>
                <w:sz w:val="18"/>
                <w:szCs w:val="18"/>
                <w:lang w:val="pl-PL" w:eastAsia="pl-PL"/>
              </w:rPr>
              <w:t>podejściowego</w:t>
            </w:r>
            <w:proofErr w:type="spellEnd"/>
            <w:r w:rsidRPr="009B25FB">
              <w:rPr>
                <w:rFonts w:ascii="Times New Roman" w:eastAsia="Times New Roman" w:hAnsi="Times New Roman" w:cs="Times New Roman"/>
                <w:sz w:val="18"/>
                <w:szCs w:val="18"/>
                <w:lang w:val="pl-PL" w:eastAsia="pl-PL"/>
              </w:rPr>
              <w:t xml:space="preserve"> do toru wodnego o głębokości 8 m z możliwością pogłębienia do 9-9,5 m. Basen portu inwestycyjnego będzie miał powierzchnię 12,7 ha. Ponadto planowana jest przebudowa falochronu wschodniego oraz budowa nowego falochronu zachodniego o długości ok. 1400 m. Planowana powierzchnia terminalu wyniesie ok. 14 ha wraz z budową nabrzeża przy terminalu o długości ok. 400 m.</w:t>
            </w:r>
            <w:r w:rsidRPr="009B25FB">
              <w:rPr>
                <w:rFonts w:ascii="Times New Roman" w:eastAsia="Times New Roman" w:hAnsi="Times New Roman" w:cs="Times New Roman"/>
                <w:sz w:val="18"/>
                <w:szCs w:val="18"/>
                <w:lang w:val="pl-PL" w:eastAsia="pl-PL"/>
              </w:rPr>
              <w:br/>
              <w:t xml:space="preserve">W ramach inwestycji w Łebie powstanie tor wodny </w:t>
            </w:r>
            <w:proofErr w:type="spellStart"/>
            <w:r w:rsidRPr="009B25FB">
              <w:rPr>
                <w:rFonts w:ascii="Times New Roman" w:eastAsia="Times New Roman" w:hAnsi="Times New Roman" w:cs="Times New Roman"/>
                <w:sz w:val="18"/>
                <w:szCs w:val="18"/>
                <w:lang w:val="pl-PL" w:eastAsia="pl-PL"/>
              </w:rPr>
              <w:t>podejściowy</w:t>
            </w:r>
            <w:proofErr w:type="spellEnd"/>
            <w:r w:rsidRPr="009B25FB">
              <w:rPr>
                <w:rFonts w:ascii="Times New Roman" w:eastAsia="Times New Roman" w:hAnsi="Times New Roman" w:cs="Times New Roman"/>
                <w:sz w:val="18"/>
                <w:szCs w:val="18"/>
                <w:lang w:val="pl-PL" w:eastAsia="pl-PL"/>
              </w:rPr>
              <w:t xml:space="preserve"> o głębokości 3,5-4 m. Konieczne jest przeprowadzenie fachowej oceny stanu konstrukcji wzdłuż torów wodnych. Ponadto, aby zapewnić bezpieczne wejście do portu, ma zostać wybudowany nowy falochron wschodni o długości co najmniej 220 m. Powstanie nowy basen portowy na lądzie oraz nabrzeże wewnątrz basenu o długości ok. 260 m.</w:t>
            </w:r>
          </w:p>
        </w:tc>
      </w:tr>
      <w:tr w:rsidR="001052B5" w:rsidRPr="009B25FB" w14:paraId="43FBE01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26"/>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58BA329"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B39G</w:t>
            </w:r>
          </w:p>
        </w:tc>
        <w:tc>
          <w:tcPr>
            <w:tcW w:w="1841" w:type="dxa"/>
            <w:tcBorders>
              <w:top w:val="nil"/>
              <w:left w:val="nil"/>
              <w:bottom w:val="single" w:sz="4" w:space="0" w:color="auto"/>
              <w:right w:val="single" w:sz="4" w:space="0" w:color="auto"/>
            </w:tcBorders>
            <w:shd w:val="clear" w:color="000000" w:fill="C6EFCE"/>
            <w:vAlign w:val="center"/>
            <w:hideMark/>
          </w:tcPr>
          <w:p w14:paraId="38FF3FC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B3.1 Wsparcie zrównoważonej gospodarki wodno-ściekowej na terenach wiejskich </w:t>
            </w:r>
          </w:p>
        </w:tc>
        <w:tc>
          <w:tcPr>
            <w:tcW w:w="1134" w:type="dxa"/>
            <w:tcBorders>
              <w:top w:val="nil"/>
              <w:left w:val="nil"/>
              <w:bottom w:val="single" w:sz="4" w:space="0" w:color="auto"/>
              <w:right w:val="single" w:sz="4" w:space="0" w:color="auto"/>
            </w:tcBorders>
            <w:shd w:val="clear" w:color="000000" w:fill="C6EFCE"/>
            <w:vAlign w:val="center"/>
            <w:hideMark/>
          </w:tcPr>
          <w:p w14:paraId="333E6DA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7D00F6D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Opracowanie zasad </w:t>
            </w:r>
            <w:proofErr w:type="spellStart"/>
            <w:r w:rsidRPr="009B25FB">
              <w:rPr>
                <w:rFonts w:ascii="Times New Roman" w:eastAsia="Times New Roman" w:hAnsi="Times New Roman" w:cs="Times New Roman"/>
                <w:sz w:val="18"/>
                <w:szCs w:val="18"/>
                <w:lang w:val="pl-PL" w:eastAsia="pl-PL"/>
              </w:rPr>
              <w:t>terytorializacji</w:t>
            </w:r>
            <w:proofErr w:type="spellEnd"/>
            <w:r w:rsidRPr="009B25FB">
              <w:rPr>
                <w:rFonts w:ascii="Times New Roman" w:eastAsia="Times New Roman" w:hAnsi="Times New Roman" w:cs="Times New Roman"/>
                <w:sz w:val="18"/>
                <w:szCs w:val="18"/>
                <w:lang w:val="pl-PL" w:eastAsia="pl-PL"/>
              </w:rPr>
              <w:t xml:space="preserve"> wsparcia inwestycji wodno-kanalizacyjnych w ramach KPO na obszarach wiejskich</w:t>
            </w:r>
          </w:p>
        </w:tc>
        <w:tc>
          <w:tcPr>
            <w:tcW w:w="1559" w:type="dxa"/>
            <w:tcBorders>
              <w:top w:val="nil"/>
              <w:left w:val="nil"/>
              <w:bottom w:val="single" w:sz="4" w:space="0" w:color="auto"/>
              <w:right w:val="single" w:sz="4" w:space="0" w:color="auto"/>
            </w:tcBorders>
            <w:shd w:val="clear" w:color="000000" w:fill="C6EFCE"/>
            <w:vAlign w:val="center"/>
            <w:hideMark/>
          </w:tcPr>
          <w:p w14:paraId="290A237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Przyjęcie wytycznych przez Ministra Rolnictwa i Rozwoju Wsi.</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04FE8CC8"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346B894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1C7D701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1341BDEF"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5C20274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2021</w:t>
            </w:r>
          </w:p>
        </w:tc>
        <w:tc>
          <w:tcPr>
            <w:tcW w:w="3541" w:type="dxa"/>
            <w:tcBorders>
              <w:top w:val="nil"/>
              <w:left w:val="nil"/>
              <w:bottom w:val="single" w:sz="4" w:space="0" w:color="auto"/>
              <w:right w:val="single" w:sz="4" w:space="0" w:color="auto"/>
            </w:tcBorders>
            <w:shd w:val="clear" w:color="000000" w:fill="C6EFCE"/>
            <w:vAlign w:val="center"/>
            <w:hideMark/>
          </w:tcPr>
          <w:p w14:paraId="5890BEF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Przyjęcie terytorialnych kryteriów wyboru beneficjentów.</w:t>
            </w:r>
            <w:r w:rsidRPr="009B25FB">
              <w:rPr>
                <w:rFonts w:ascii="Times New Roman" w:eastAsia="Times New Roman" w:hAnsi="Times New Roman" w:cs="Times New Roman"/>
                <w:sz w:val="18"/>
                <w:szCs w:val="18"/>
                <w:lang w:val="pl-PL" w:eastAsia="pl-PL"/>
              </w:rPr>
              <w:br/>
              <w:t>Kryteria wyboru powinny dać pierwszeństwo gminom o najmniejszej zdolności do finansowania inwestycji ze środków własnych. W proces wyboru beneficjentów będą zaangażowane samorządy województw.</w:t>
            </w:r>
          </w:p>
        </w:tc>
      </w:tr>
      <w:tr w:rsidR="001052B5" w:rsidRPr="009D378C" w14:paraId="2D7D80E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30D035E2"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lastRenderedPageBreak/>
              <w:t>B40G</w:t>
            </w:r>
          </w:p>
        </w:tc>
        <w:tc>
          <w:tcPr>
            <w:tcW w:w="1841" w:type="dxa"/>
            <w:tcBorders>
              <w:top w:val="nil"/>
              <w:left w:val="nil"/>
              <w:bottom w:val="single" w:sz="4" w:space="0" w:color="auto"/>
              <w:right w:val="single" w:sz="4" w:space="0" w:color="auto"/>
            </w:tcBorders>
            <w:shd w:val="clear" w:color="000000" w:fill="C6EFCE"/>
            <w:vAlign w:val="center"/>
            <w:hideMark/>
          </w:tcPr>
          <w:p w14:paraId="3EAFF80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B3.1 Wsparcie zrównoważonej gospodarki wodno-ściekowej na terenach wiejskich </w:t>
            </w:r>
          </w:p>
        </w:tc>
        <w:tc>
          <w:tcPr>
            <w:tcW w:w="1134" w:type="dxa"/>
            <w:tcBorders>
              <w:top w:val="nil"/>
              <w:left w:val="nil"/>
              <w:bottom w:val="single" w:sz="4" w:space="0" w:color="auto"/>
              <w:right w:val="single" w:sz="4" w:space="0" w:color="auto"/>
            </w:tcBorders>
            <w:shd w:val="clear" w:color="000000" w:fill="C6EFCE"/>
            <w:vAlign w:val="center"/>
            <w:hideMark/>
          </w:tcPr>
          <w:p w14:paraId="7FCB88C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3E4AF869" w14:textId="249FEE94"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Wejście w życie </w:t>
            </w:r>
            <w:r w:rsidR="00F44DB5">
              <w:rPr>
                <w:rFonts w:ascii="Times New Roman" w:eastAsia="Times New Roman" w:hAnsi="Times New Roman" w:cs="Times New Roman"/>
                <w:sz w:val="18"/>
                <w:szCs w:val="18"/>
                <w:lang w:val="pl-PL" w:eastAsia="pl-PL"/>
              </w:rPr>
              <w:t xml:space="preserve">aktu prawnego ustanawiającego obowiązek </w:t>
            </w:r>
            <w:r w:rsidRPr="009B25FB">
              <w:rPr>
                <w:rFonts w:ascii="Times New Roman" w:eastAsia="Times New Roman" w:hAnsi="Times New Roman" w:cs="Times New Roman"/>
                <w:sz w:val="18"/>
                <w:szCs w:val="18"/>
                <w:lang w:val="pl-PL" w:eastAsia="pl-PL"/>
              </w:rPr>
              <w:t xml:space="preserve"> zapewnienia regularnego monitoringu i kontroli indywidualnych systemów oczyszczania ścieków </w:t>
            </w:r>
          </w:p>
        </w:tc>
        <w:tc>
          <w:tcPr>
            <w:tcW w:w="1559" w:type="dxa"/>
            <w:tcBorders>
              <w:top w:val="nil"/>
              <w:left w:val="nil"/>
              <w:bottom w:val="single" w:sz="4" w:space="0" w:color="auto"/>
              <w:right w:val="single" w:sz="4" w:space="0" w:color="auto"/>
            </w:tcBorders>
            <w:shd w:val="clear" w:color="000000" w:fill="C6EFCE"/>
            <w:vAlign w:val="center"/>
            <w:hideMark/>
          </w:tcPr>
          <w:p w14:paraId="5D289DF3" w14:textId="0FD658FE"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Przepis w </w:t>
            </w:r>
            <w:r w:rsidR="00F44DB5">
              <w:rPr>
                <w:rFonts w:ascii="Times New Roman" w:eastAsia="Times New Roman" w:hAnsi="Times New Roman" w:cs="Times New Roman"/>
                <w:sz w:val="18"/>
                <w:szCs w:val="18"/>
                <w:lang w:val="pl-PL" w:eastAsia="pl-PL"/>
              </w:rPr>
              <w:t>akcie prawnym</w:t>
            </w:r>
            <w:r w:rsidR="00F44DB5" w:rsidRPr="009B25FB">
              <w:rPr>
                <w:rFonts w:ascii="Times New Roman" w:eastAsia="Times New Roman" w:hAnsi="Times New Roman" w:cs="Times New Roman"/>
                <w:sz w:val="18"/>
                <w:szCs w:val="18"/>
                <w:lang w:val="pl-PL" w:eastAsia="pl-PL"/>
              </w:rPr>
              <w:t xml:space="preserve"> </w:t>
            </w:r>
            <w:r w:rsidRPr="009B25FB">
              <w:rPr>
                <w:rFonts w:ascii="Times New Roman" w:eastAsia="Times New Roman" w:hAnsi="Times New Roman" w:cs="Times New Roman"/>
                <w:sz w:val="18"/>
                <w:szCs w:val="18"/>
                <w:lang w:val="pl-PL" w:eastAsia="pl-PL"/>
              </w:rPr>
              <w:t>wskazujący na wejście w życie</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7A4049E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0F5FAF22"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850" w:type="dxa"/>
            <w:tcBorders>
              <w:top w:val="nil"/>
              <w:left w:val="nil"/>
              <w:bottom w:val="single" w:sz="4" w:space="0" w:color="auto"/>
              <w:right w:val="single" w:sz="4" w:space="0" w:color="auto"/>
            </w:tcBorders>
            <w:shd w:val="clear" w:color="000000" w:fill="C6EFCE"/>
            <w:vAlign w:val="center"/>
            <w:hideMark/>
          </w:tcPr>
          <w:p w14:paraId="64CE7634"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5F99945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Q2</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21DC9337"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2022</w:t>
            </w:r>
          </w:p>
        </w:tc>
        <w:tc>
          <w:tcPr>
            <w:tcW w:w="3541" w:type="dxa"/>
            <w:tcBorders>
              <w:top w:val="nil"/>
              <w:left w:val="nil"/>
              <w:bottom w:val="single" w:sz="4" w:space="0" w:color="auto"/>
              <w:right w:val="single" w:sz="4" w:space="0" w:color="auto"/>
            </w:tcBorders>
            <w:shd w:val="clear" w:color="000000" w:fill="C6EFCE"/>
            <w:vAlign w:val="center"/>
            <w:hideMark/>
          </w:tcPr>
          <w:p w14:paraId="26087501" w14:textId="7A3A22CC" w:rsidR="001052B5" w:rsidRPr="009B25FB" w:rsidRDefault="00106E4F" w:rsidP="00A20CA7">
            <w:pPr>
              <w:spacing w:after="0" w:line="240" w:lineRule="auto"/>
              <w:rPr>
                <w:rFonts w:ascii="Times New Roman" w:eastAsia="Times New Roman" w:hAnsi="Times New Roman" w:cs="Times New Roman"/>
                <w:sz w:val="18"/>
                <w:szCs w:val="18"/>
                <w:lang w:val="pl-PL" w:eastAsia="pl-PL"/>
              </w:rPr>
            </w:pPr>
            <w:r w:rsidRPr="00106E4F">
              <w:rPr>
                <w:rFonts w:ascii="Times New Roman" w:eastAsia="Times New Roman" w:hAnsi="Times New Roman" w:cs="Times New Roman"/>
                <w:sz w:val="18"/>
                <w:szCs w:val="18"/>
                <w:lang w:val="pl-PL" w:eastAsia="pl-PL"/>
              </w:rPr>
              <w:t xml:space="preserve">Wejście w życie aktu prawnego, która wprowadzi obowiązek dla gmin w zakresie </w:t>
            </w:r>
            <w:r w:rsidR="001052B5" w:rsidRPr="009B25FB">
              <w:rPr>
                <w:rFonts w:ascii="Times New Roman" w:eastAsia="Times New Roman" w:hAnsi="Times New Roman" w:cs="Times New Roman"/>
                <w:sz w:val="18"/>
                <w:szCs w:val="18"/>
                <w:lang w:val="pl-PL" w:eastAsia="pl-PL"/>
              </w:rPr>
              <w:t xml:space="preserve">nadzorowania i kontrolowania odprowadzania ścieków oraz wykorzystywanie narzędzi zapobiegających niewłaściwemu odprowadzaniu ścieków, w tym mechanizmu tzw. wykonania </w:t>
            </w:r>
            <w:r w:rsidR="00693604" w:rsidRPr="009B25FB">
              <w:rPr>
                <w:rFonts w:ascii="Times New Roman" w:eastAsia="Times New Roman" w:hAnsi="Times New Roman" w:cs="Times New Roman"/>
                <w:sz w:val="18"/>
                <w:szCs w:val="18"/>
                <w:lang w:val="pl-PL" w:eastAsia="pl-PL"/>
              </w:rPr>
              <w:t>zastępczego</w:t>
            </w:r>
            <w:r w:rsidR="001052B5" w:rsidRPr="009B25FB">
              <w:rPr>
                <w:rFonts w:ascii="Times New Roman" w:eastAsia="Times New Roman" w:hAnsi="Times New Roman" w:cs="Times New Roman"/>
                <w:sz w:val="18"/>
                <w:szCs w:val="18"/>
                <w:lang w:val="pl-PL" w:eastAsia="pl-PL"/>
              </w:rPr>
              <w:t>, czyli organizację opróżniania szamb przez gminę stosowaną wobec właścicieli nieruchomości, którzy nie zawarli umów na opróżnianie szamb.</w:t>
            </w:r>
            <w:r w:rsidR="001052B5" w:rsidRPr="009B25FB">
              <w:rPr>
                <w:rFonts w:ascii="Times New Roman" w:eastAsia="Times New Roman" w:hAnsi="Times New Roman" w:cs="Times New Roman"/>
                <w:sz w:val="18"/>
                <w:szCs w:val="18"/>
                <w:lang w:val="pl-PL" w:eastAsia="pl-PL"/>
              </w:rPr>
              <w:br/>
              <w:t xml:space="preserve"> </w:t>
            </w:r>
          </w:p>
        </w:tc>
      </w:tr>
      <w:tr w:rsidR="001052B5" w:rsidRPr="009D378C" w14:paraId="4ADC813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42C6FA14" w14:textId="77777777" w:rsidR="001052B5" w:rsidRPr="009B25FB" w:rsidRDefault="001052B5" w:rsidP="00A20CA7">
            <w:pPr>
              <w:spacing w:after="0" w:line="240" w:lineRule="auto"/>
              <w:rPr>
                <w:rFonts w:ascii="Times New Roman" w:eastAsia="Times New Roman" w:hAnsi="Times New Roman" w:cs="Times New Roman"/>
                <w:b/>
                <w:bCs/>
                <w:sz w:val="18"/>
                <w:szCs w:val="18"/>
                <w:lang w:val="pl-PL" w:eastAsia="pl-PL"/>
              </w:rPr>
            </w:pPr>
            <w:r w:rsidRPr="009B25FB">
              <w:rPr>
                <w:rFonts w:ascii="Times New Roman" w:eastAsia="Times New Roman" w:hAnsi="Times New Roman" w:cs="Times New Roman"/>
                <w:b/>
                <w:bCs/>
                <w:sz w:val="18"/>
                <w:szCs w:val="18"/>
                <w:lang w:val="pl-PL" w:eastAsia="pl-PL"/>
              </w:rPr>
              <w:t>B41G</w:t>
            </w:r>
          </w:p>
        </w:tc>
        <w:tc>
          <w:tcPr>
            <w:tcW w:w="1841" w:type="dxa"/>
            <w:tcBorders>
              <w:top w:val="nil"/>
              <w:left w:val="nil"/>
              <w:bottom w:val="single" w:sz="4" w:space="0" w:color="auto"/>
              <w:right w:val="single" w:sz="4" w:space="0" w:color="auto"/>
            </w:tcBorders>
            <w:shd w:val="clear" w:color="000000" w:fill="C6EFCE"/>
            <w:vAlign w:val="center"/>
            <w:hideMark/>
          </w:tcPr>
          <w:p w14:paraId="6674BB2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B3.1.1. Inwestycje w zrównoważoną gospodarkę wodno-ściekową na terenach wiejskich</w:t>
            </w:r>
          </w:p>
        </w:tc>
        <w:tc>
          <w:tcPr>
            <w:tcW w:w="1134" w:type="dxa"/>
            <w:tcBorders>
              <w:top w:val="nil"/>
              <w:left w:val="nil"/>
              <w:bottom w:val="single" w:sz="4" w:space="0" w:color="auto"/>
              <w:right w:val="single" w:sz="4" w:space="0" w:color="auto"/>
            </w:tcBorders>
            <w:shd w:val="clear" w:color="000000" w:fill="C6EFCE"/>
            <w:vAlign w:val="center"/>
            <w:hideMark/>
          </w:tcPr>
          <w:p w14:paraId="273C20CE"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wskaźnik</w:t>
            </w:r>
          </w:p>
        </w:tc>
        <w:tc>
          <w:tcPr>
            <w:tcW w:w="1985" w:type="dxa"/>
            <w:tcBorders>
              <w:top w:val="nil"/>
              <w:left w:val="nil"/>
              <w:bottom w:val="single" w:sz="4" w:space="0" w:color="auto"/>
              <w:right w:val="single" w:sz="4" w:space="0" w:color="auto"/>
            </w:tcBorders>
            <w:shd w:val="clear" w:color="000000" w:fill="C6EFCE"/>
            <w:vAlign w:val="center"/>
            <w:hideMark/>
          </w:tcPr>
          <w:p w14:paraId="48C358AD"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 nowych przyłączy w zakresie infrastruktury wodociągowej</w:t>
            </w:r>
          </w:p>
        </w:tc>
        <w:tc>
          <w:tcPr>
            <w:tcW w:w="1559" w:type="dxa"/>
            <w:tcBorders>
              <w:top w:val="nil"/>
              <w:left w:val="nil"/>
              <w:bottom w:val="single" w:sz="4" w:space="0" w:color="auto"/>
              <w:right w:val="single" w:sz="4" w:space="0" w:color="auto"/>
            </w:tcBorders>
            <w:shd w:val="clear" w:color="000000" w:fill="C6EFCE"/>
            <w:vAlign w:val="center"/>
            <w:hideMark/>
          </w:tcPr>
          <w:p w14:paraId="092DB686"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w:t>
            </w:r>
          </w:p>
        </w:tc>
        <w:tc>
          <w:tcPr>
            <w:tcW w:w="992" w:type="dxa"/>
            <w:gridSpan w:val="2"/>
            <w:tcBorders>
              <w:top w:val="nil"/>
              <w:left w:val="nil"/>
              <w:bottom w:val="single" w:sz="4" w:space="0" w:color="auto"/>
              <w:right w:val="single" w:sz="4" w:space="0" w:color="auto"/>
            </w:tcBorders>
            <w:shd w:val="clear" w:color="000000" w:fill="C6EFCE"/>
            <w:vAlign w:val="center"/>
            <w:hideMark/>
          </w:tcPr>
          <w:p w14:paraId="39BFE5B5"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liczba</w:t>
            </w:r>
          </w:p>
        </w:tc>
        <w:tc>
          <w:tcPr>
            <w:tcW w:w="993" w:type="dxa"/>
            <w:gridSpan w:val="2"/>
            <w:tcBorders>
              <w:top w:val="nil"/>
              <w:left w:val="nil"/>
              <w:bottom w:val="single" w:sz="4" w:space="0" w:color="auto"/>
              <w:right w:val="single" w:sz="4" w:space="0" w:color="auto"/>
            </w:tcBorders>
            <w:shd w:val="clear" w:color="000000" w:fill="C6EFCE"/>
            <w:vAlign w:val="center"/>
            <w:hideMark/>
          </w:tcPr>
          <w:p w14:paraId="11DC1EFB"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0</w:t>
            </w:r>
          </w:p>
        </w:tc>
        <w:tc>
          <w:tcPr>
            <w:tcW w:w="850" w:type="dxa"/>
            <w:tcBorders>
              <w:top w:val="nil"/>
              <w:left w:val="nil"/>
              <w:bottom w:val="single" w:sz="4" w:space="0" w:color="auto"/>
              <w:right w:val="single" w:sz="4" w:space="0" w:color="auto"/>
            </w:tcBorders>
            <w:shd w:val="clear" w:color="000000" w:fill="C6EFCE"/>
            <w:vAlign w:val="center"/>
            <w:hideMark/>
          </w:tcPr>
          <w:p w14:paraId="449D4EF0"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33990</w:t>
            </w:r>
          </w:p>
        </w:tc>
        <w:tc>
          <w:tcPr>
            <w:tcW w:w="709" w:type="dxa"/>
            <w:gridSpan w:val="2"/>
            <w:tcBorders>
              <w:top w:val="nil"/>
              <w:left w:val="nil"/>
              <w:bottom w:val="single" w:sz="4" w:space="0" w:color="auto"/>
              <w:right w:val="single" w:sz="4" w:space="0" w:color="auto"/>
            </w:tcBorders>
            <w:shd w:val="clear" w:color="000000" w:fill="C6EFCE"/>
            <w:vAlign w:val="center"/>
            <w:hideMark/>
          </w:tcPr>
          <w:p w14:paraId="61EA192A"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Q4</w:t>
            </w:r>
          </w:p>
        </w:tc>
        <w:tc>
          <w:tcPr>
            <w:tcW w:w="713" w:type="dxa"/>
            <w:gridSpan w:val="2"/>
            <w:tcBorders>
              <w:top w:val="nil"/>
              <w:left w:val="nil"/>
              <w:bottom w:val="single" w:sz="4" w:space="0" w:color="auto"/>
              <w:right w:val="single" w:sz="4" w:space="0" w:color="auto"/>
            </w:tcBorders>
            <w:shd w:val="clear" w:color="000000" w:fill="C6EFCE"/>
            <w:vAlign w:val="center"/>
            <w:hideMark/>
          </w:tcPr>
          <w:p w14:paraId="6CD44123"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2025</w:t>
            </w:r>
          </w:p>
        </w:tc>
        <w:tc>
          <w:tcPr>
            <w:tcW w:w="3541" w:type="dxa"/>
            <w:tcBorders>
              <w:top w:val="nil"/>
              <w:left w:val="nil"/>
              <w:bottom w:val="single" w:sz="4" w:space="0" w:color="auto"/>
              <w:right w:val="single" w:sz="4" w:space="0" w:color="auto"/>
            </w:tcBorders>
            <w:shd w:val="clear" w:color="000000" w:fill="C6EFCE"/>
            <w:vAlign w:val="center"/>
            <w:hideMark/>
          </w:tcPr>
          <w:p w14:paraId="25D3D699" w14:textId="77777777" w:rsidR="001052B5" w:rsidRPr="009B25FB" w:rsidRDefault="001052B5" w:rsidP="00A20CA7">
            <w:pPr>
              <w:spacing w:after="0" w:line="240" w:lineRule="auto"/>
              <w:rPr>
                <w:rFonts w:ascii="Times New Roman" w:eastAsia="Times New Roman" w:hAnsi="Times New Roman" w:cs="Times New Roman"/>
                <w:sz w:val="18"/>
                <w:szCs w:val="18"/>
                <w:lang w:val="pl-PL" w:eastAsia="pl-PL"/>
              </w:rPr>
            </w:pPr>
            <w:r w:rsidRPr="009B25FB">
              <w:rPr>
                <w:rFonts w:ascii="Times New Roman" w:eastAsia="Times New Roman" w:hAnsi="Times New Roman" w:cs="Times New Roman"/>
                <w:sz w:val="18"/>
                <w:szCs w:val="18"/>
                <w:lang w:val="pl-PL" w:eastAsia="pl-PL"/>
              </w:rPr>
              <w:t xml:space="preserve">Dodatkowe przyłącza ludności wiejskiej korzystającej z infrastruktury wodociągowej i oczyszczalni ścieków w gminach w pełni zgodnych ze znowelizowanymi zasadami odprowadzania ścieków. Wsparcie skierowane do obszarów  poza aglomeracjami w rozumieniu art. 86 ustawy Prawo wodne, których możliwości inwestycyjne zostały ograniczone w wyniku pandemii COVID-19 oraz do projektów infrastrukturalnych z zakresu  oczyszczania ścieków o  </w:t>
            </w:r>
            <w:proofErr w:type="spellStart"/>
            <w:r w:rsidRPr="009B25FB">
              <w:rPr>
                <w:rFonts w:ascii="Times New Roman" w:eastAsia="Times New Roman" w:hAnsi="Times New Roman" w:cs="Times New Roman"/>
                <w:sz w:val="18"/>
                <w:szCs w:val="18"/>
                <w:lang w:val="pl-PL" w:eastAsia="pl-PL"/>
              </w:rPr>
              <w:t>o</w:t>
            </w:r>
            <w:proofErr w:type="spellEnd"/>
            <w:r w:rsidRPr="009B25FB">
              <w:rPr>
                <w:rFonts w:ascii="Times New Roman" w:eastAsia="Times New Roman" w:hAnsi="Times New Roman" w:cs="Times New Roman"/>
                <w:sz w:val="18"/>
                <w:szCs w:val="18"/>
                <w:lang w:val="pl-PL" w:eastAsia="pl-PL"/>
              </w:rPr>
              <w:t xml:space="preserve"> największym potencjale redukcji istniejących negatywnych oddziaływań na środowisko. Beneficjenci inwestycji zostaną wyłonieni w drodze otwartego i przejrzystego konkursu. Rozważane będą alternatywne rozwiązania w zakresie infrastruktury zaopatrzenia w wodę i oczyszczania ścieków na obszarach wiejskich (np. łączenie systemów zbiorczych z szambami lub oczyszczalnie indywidualne). Powinno się unikać poboru wody w przypadku, gdy stan lub potencjał zbiorników wodnych (powierzchniowych lub gruntowych) jest oceniany jako, lub gdy przewiduje się (w kontekście nasilających się zmian klimatu) że będzie gorszy niż dobry.</w:t>
            </w:r>
          </w:p>
        </w:tc>
      </w:tr>
    </w:tbl>
    <w:p w14:paraId="7A7831FE" w14:textId="77777777" w:rsidR="001052B5"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4F69B9A" w14:textId="333E5CBB" w:rsidR="001052B5" w:rsidRPr="00AF7348"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1052B5" w:rsidRPr="00AF7348">
          <w:headerReference w:type="even" r:id="rId39"/>
          <w:headerReference w:type="default" r:id="rId40"/>
          <w:footerReference w:type="even" r:id="rId41"/>
          <w:footerReference w:type="default" r:id="rId42"/>
          <w:headerReference w:type="first" r:id="rId43"/>
          <w:footerReference w:type="first" r:id="rId44"/>
          <w:pgSz w:w="16839" w:h="11907" w:orient="landscape"/>
          <w:pgMar w:top="1417" w:right="1134" w:bottom="1417" w:left="1134" w:header="709" w:footer="709" w:gutter="0"/>
          <w:cols w:space="720"/>
        </w:sectPr>
      </w:pPr>
    </w:p>
    <w:p w14:paraId="6D55D467" w14:textId="3400F7AC" w:rsidR="0002330F"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r w:rsidRPr="00AF7348">
        <w:rPr>
          <w:rFonts w:ascii="Times New Roman" w:hAnsi="Times New Roman" w:cs="Times New Roman"/>
          <w:b/>
          <w:bCs/>
          <w:color w:val="000000" w:themeColor="text1"/>
          <w:sz w:val="24"/>
          <w:szCs w:val="24"/>
          <w:lang w:val="pl-PL"/>
        </w:rPr>
        <w:lastRenderedPageBreak/>
        <w:t xml:space="preserve">B.3. </w:t>
      </w:r>
      <w:r w:rsidRPr="00AF7348">
        <w:rPr>
          <w:lang w:val="pl-PL"/>
        </w:rPr>
        <w:tab/>
      </w:r>
      <w:r w:rsidRPr="00AF7348">
        <w:rPr>
          <w:rFonts w:ascii="Times New Roman" w:hAnsi="Times New Roman" w:cs="Times New Roman"/>
          <w:b/>
          <w:bCs/>
          <w:color w:val="000000" w:themeColor="text1"/>
          <w:sz w:val="24"/>
          <w:szCs w:val="24"/>
          <w:lang w:val="pl-PL"/>
        </w:rPr>
        <w:t xml:space="preserve">Opis reform i inwestycji </w:t>
      </w:r>
      <w:r w:rsidR="000F7FDB">
        <w:rPr>
          <w:rFonts w:ascii="Times New Roman" w:hAnsi="Times New Roman" w:cs="Times New Roman"/>
          <w:b/>
          <w:bCs/>
          <w:color w:val="000000" w:themeColor="text1"/>
          <w:sz w:val="24"/>
          <w:szCs w:val="24"/>
          <w:lang w:val="pl-PL"/>
        </w:rPr>
        <w:t>finansowanych z części pożyczkowej</w:t>
      </w:r>
    </w:p>
    <w:p w14:paraId="5F07D11E" w14:textId="77777777" w:rsidR="00423376" w:rsidRPr="00AF7348" w:rsidRDefault="0042337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p>
    <w:p w14:paraId="5138E2E2" w14:textId="242A3F6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B1.2 Ułatwienie </w:t>
      </w:r>
      <w:r w:rsidR="000F7FDB" w:rsidRPr="00AF7348">
        <w:rPr>
          <w:rFonts w:ascii="Times New Roman" w:eastAsia="Times New Roman" w:hAnsi="Times New Roman" w:cs="Times New Roman"/>
          <w:b/>
          <w:bCs/>
          <w:color w:val="000000"/>
          <w:sz w:val="24"/>
          <w:szCs w:val="24"/>
          <w:u w:val="single"/>
          <w:lang w:val="pl-PL"/>
        </w:rPr>
        <w:t>przedsiębiorstw</w:t>
      </w:r>
      <w:r w:rsidR="000F7FDB">
        <w:rPr>
          <w:rFonts w:ascii="Times New Roman" w:eastAsia="Times New Roman" w:hAnsi="Times New Roman" w:cs="Times New Roman"/>
          <w:b/>
          <w:bCs/>
          <w:color w:val="000000"/>
          <w:sz w:val="24"/>
          <w:szCs w:val="24"/>
          <w:u w:val="single"/>
          <w:lang w:val="pl-PL"/>
        </w:rPr>
        <w:t>om</w:t>
      </w:r>
      <w:r w:rsidR="000F7FDB" w:rsidRPr="00AF7348">
        <w:rPr>
          <w:rFonts w:ascii="Times New Roman" w:eastAsia="Times New Roman" w:hAnsi="Times New Roman" w:cs="Times New Roman"/>
          <w:b/>
          <w:bCs/>
          <w:color w:val="000000"/>
          <w:sz w:val="24"/>
          <w:szCs w:val="24"/>
          <w:u w:val="single"/>
          <w:lang w:val="pl-PL"/>
        </w:rPr>
        <w:t xml:space="preserve"> energetyczny</w:t>
      </w:r>
      <w:r w:rsidR="000F7FDB">
        <w:rPr>
          <w:rFonts w:ascii="Times New Roman" w:eastAsia="Times New Roman" w:hAnsi="Times New Roman" w:cs="Times New Roman"/>
          <w:b/>
          <w:bCs/>
          <w:color w:val="000000"/>
          <w:sz w:val="24"/>
          <w:szCs w:val="24"/>
          <w:u w:val="single"/>
          <w:lang w:val="pl-PL"/>
        </w:rPr>
        <w:t>m</w:t>
      </w:r>
      <w:r w:rsidR="000F7FDB" w:rsidRPr="00AF7348">
        <w:rPr>
          <w:rFonts w:ascii="Times New Roman" w:eastAsia="Times New Roman" w:hAnsi="Times New Roman" w:cs="Times New Roman"/>
          <w:b/>
          <w:bCs/>
          <w:color w:val="000000"/>
          <w:sz w:val="24"/>
          <w:szCs w:val="24"/>
          <w:u w:val="single"/>
          <w:lang w:val="pl-PL"/>
        </w:rPr>
        <w:t xml:space="preserve"> </w:t>
      </w:r>
      <w:r w:rsidRPr="00AF7348">
        <w:rPr>
          <w:rFonts w:ascii="Times New Roman" w:eastAsia="Times New Roman" w:hAnsi="Times New Roman" w:cs="Times New Roman"/>
          <w:b/>
          <w:bCs/>
          <w:color w:val="000000"/>
          <w:sz w:val="24"/>
          <w:szCs w:val="24"/>
          <w:u w:val="single"/>
          <w:lang w:val="pl-PL"/>
        </w:rPr>
        <w:t xml:space="preserve">realizacji obowiązku oszczędzania energii </w:t>
      </w:r>
    </w:p>
    <w:p w14:paraId="7EBC1EC8" w14:textId="77777777" w:rsidR="007C4506" w:rsidRPr="00AF7348" w:rsidRDefault="00B31839">
      <w:pPr>
        <w:pStyle w:val="Normal0"/>
        <w:pBdr>
          <w:top w:val="nil"/>
          <w:left w:val="nil"/>
          <w:bottom w:val="nil"/>
          <w:right w:val="nil"/>
          <w:between w:val="nil"/>
        </w:pBdr>
        <w:spacing w:before="60"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uproszczenie i rozwinięcie Systemu Zobowiązującego do Efektywności Energetycznej. </w:t>
      </w:r>
    </w:p>
    <w:p w14:paraId="2481440E" w14:textId="03CE2111" w:rsidR="007C4506" w:rsidRPr="00AF7348" w:rsidRDefault="00B31839">
      <w:pPr>
        <w:pStyle w:val="Normal0"/>
        <w:pBdr>
          <w:top w:val="nil"/>
          <w:left w:val="nil"/>
          <w:bottom w:val="nil"/>
          <w:right w:val="nil"/>
          <w:between w:val="nil"/>
        </w:pBdr>
        <w:spacing w:before="60"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Reforma zostanie wdrożona drogą stworzenia standardowego zestawu wartości referencyjnych dla różnych rodzajów środków oszczędzania energii. Środki takie nie będą już musiały być poddawane audytowi, co ułatwi udział w systemie mniejszym podmiotom. Kolejnym elementem reformy jest włączenie do Systemu Zobowiązującego do Efektywności Energetycznej przedsiębiorstw paliwowych wprowadzających na rynek paliwa płynne stosowane w transporcie. Przedsiębiorstwa te powinny realizować przedsięwzięcia służące poprawie efektywności energetycznej, </w:t>
      </w:r>
      <w:r w:rsidR="000F7FDB">
        <w:rPr>
          <w:rFonts w:ascii="Times New Roman" w:eastAsia="Times New Roman" w:hAnsi="Times New Roman" w:cs="Times New Roman"/>
          <w:color w:val="000000"/>
          <w:sz w:val="24"/>
          <w:szCs w:val="24"/>
          <w:lang w:val="pl-PL"/>
        </w:rPr>
        <w:t>unieważnić</w:t>
      </w:r>
      <w:r w:rsidR="000F7FDB" w:rsidRPr="00AF7348">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 xml:space="preserve">odpowiednią liczbę świadectw efektywności energetycznej (tzw. białych certyfikatów) lub uiścić opłatę zastępczą po spełnieniu określonych warunków. W efekcie oczekuje się wzrostu popytu na świadectwa efektywności energetycznej, co zwiększy poziom obrotów na rynku i pozwoli zrealizować wyższe, w zakresie efektywności energetycznej, cele. </w:t>
      </w:r>
    </w:p>
    <w:p w14:paraId="16974F20" w14:textId="77777777" w:rsidR="007C4506" w:rsidRPr="00AF7348" w:rsidRDefault="00B31839">
      <w:pPr>
        <w:pStyle w:val="Normal0"/>
        <w:pBdr>
          <w:top w:val="nil"/>
          <w:left w:val="nil"/>
          <w:bottom w:val="nil"/>
          <w:right w:val="nil"/>
          <w:between w:val="nil"/>
        </w:pBdr>
        <w:spacing w:before="60"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2022 roku.</w:t>
      </w:r>
    </w:p>
    <w:p w14:paraId="41508A3C" w14:textId="77777777" w:rsidR="007C4506" w:rsidRPr="00AF7348" w:rsidRDefault="007C4506">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color w:val="000000"/>
          <w:sz w:val="24"/>
          <w:szCs w:val="24"/>
          <w:u w:val="single"/>
          <w:lang w:val="pl-PL"/>
        </w:rPr>
      </w:pPr>
    </w:p>
    <w:p w14:paraId="376E61A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B1.2.1 Efektywność energetyczna i OZE w przedsiębiorstwach - inwestycje o największym potencjale redukcji emisji gazów cieplarnianych</w:t>
      </w:r>
    </w:p>
    <w:p w14:paraId="2FB7BE45" w14:textId="77777777" w:rsidR="007C4506" w:rsidRPr="00AF7348" w:rsidRDefault="00B31839">
      <w:pPr>
        <w:pStyle w:val="Norm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zmniejszenie zużycia energii oraz emisji gazów cieplarnianych przez przedsiębiorstwa. </w:t>
      </w:r>
    </w:p>
    <w:p w14:paraId="72F49B4D" w14:textId="5F12297A" w:rsidR="00712D5D" w:rsidRPr="00AF7348" w:rsidRDefault="54AAAC58" w:rsidP="00712D5D">
      <w:pPr>
        <w:pStyle w:val="Normal0"/>
        <w:pBdr>
          <w:top w:val="nil"/>
          <w:left w:val="nil"/>
          <w:bottom w:val="nil"/>
          <w:right w:val="nil"/>
          <w:between w:val="nil"/>
        </w:pBdr>
        <w:spacing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color w:val="000000" w:themeColor="text1"/>
          <w:sz w:val="24"/>
          <w:szCs w:val="24"/>
          <w:lang w:val="pl-PL"/>
        </w:rPr>
        <w:t>Wdrażanie zielonych rozwiązań w przedsiębiorstwach będzie koncentrować się na usprawnieniu procesów przemysłowych i energetycznych tak, aby poprawić efektywność energetyczną i zmniejszyć energochłonność, prowadząc do zmniejszenia (przy zwiększeniu efektywności) zużycia energii, oraz na inwestycjach w odnawialne i niskoemisyjne źródła energii. W ramach inwestycji wspierane będą w szczególności: (i) budowa, rozbudowa lub modernizacja istniejących instalacji przemysłowych i produkcyjnych, urządzeń przemysłowych i elektrycznych, mająca na celu poprawę ich efektywności energetycznej; (ii) budowa i instalacja w przedsiębiorstwach własnych (do zastosowań wewnętrznych) OZE, w tym turbin wiatrowych, kolektorów słonecznych, paneli fotowoltaicznych, systemów geotermalnych, pomp ciepła; (iii) budowa w przedsiębiorstwach magazynów energii związanych z produkcją energii ze źródeł odnawialnych; (iv) budowa/modernizacja własnych niskoemisyjnych źródeł energii, w tym kogeneracja; (v) zwiększanie udziału paliw niskoemisyjnych lub zeroemisyjnych w procesach produkcyjnych, z zachowaniem najwyższych standardów emisyjnych; (vi) zastępowanie niskoenergetycznych źródeł ciepła wykorzystujących paliwa (stałe, ciekłe, gazowe) lub energię elektryczną źródłami bardziej efektywnymi energetycznie; (vii) termomodernizacja budynków i obiektów wykorzystywanych w procesach przemysłowych. Projekty będą wybierane w d</w:t>
      </w:r>
      <w:r w:rsidRPr="00AF7348">
        <w:rPr>
          <w:rFonts w:ascii="Times New Roman" w:eastAsia="Times New Roman" w:hAnsi="Times New Roman" w:cs="Times New Roman"/>
          <w:sz w:val="24"/>
          <w:szCs w:val="24"/>
          <w:lang w:val="pl-PL"/>
        </w:rPr>
        <w:t>rodze konkursów otwartych, z uwzględnieniem następujących kryteriów: (i) gotowość i dojrzałość projektu do realizacji; (ii) spójność z istniejącymi planami na rzecz neutralności klimatycznej; (iii) stopień obniżenia emisji CO</w:t>
      </w:r>
      <w:r w:rsidRPr="00C7502C">
        <w:rPr>
          <w:rFonts w:ascii="Times New Roman" w:eastAsia="Times New Roman" w:hAnsi="Times New Roman" w:cs="Times New Roman"/>
          <w:sz w:val="24"/>
          <w:szCs w:val="24"/>
          <w:vertAlign w:val="subscript"/>
          <w:lang w:val="pl-PL"/>
        </w:rPr>
        <w:t>2</w:t>
      </w:r>
      <w:r w:rsidRPr="00AF7348">
        <w:rPr>
          <w:rFonts w:ascii="Times New Roman" w:eastAsia="Times New Roman" w:hAnsi="Times New Roman" w:cs="Times New Roman"/>
          <w:sz w:val="24"/>
          <w:szCs w:val="24"/>
          <w:lang w:val="pl-PL"/>
        </w:rPr>
        <w:t xml:space="preserve"> oraz PM</w:t>
      </w:r>
      <w:r w:rsidRPr="00C7502C">
        <w:rPr>
          <w:rFonts w:ascii="Times New Roman" w:eastAsia="Times New Roman" w:hAnsi="Times New Roman" w:cs="Times New Roman"/>
          <w:sz w:val="24"/>
          <w:szCs w:val="24"/>
          <w:vertAlign w:val="subscript"/>
          <w:lang w:val="pl-PL"/>
        </w:rPr>
        <w:t>2</w:t>
      </w:r>
      <w:r w:rsidR="00C7502C" w:rsidRPr="00C7502C">
        <w:rPr>
          <w:rFonts w:ascii="Times New Roman" w:eastAsia="Times New Roman" w:hAnsi="Times New Roman" w:cs="Times New Roman"/>
          <w:sz w:val="24"/>
          <w:szCs w:val="24"/>
          <w:vertAlign w:val="subscript"/>
          <w:lang w:val="pl-PL"/>
        </w:rPr>
        <w:t>.</w:t>
      </w:r>
      <w:r w:rsidRPr="00C7502C">
        <w:rPr>
          <w:rFonts w:ascii="Times New Roman" w:eastAsia="Times New Roman" w:hAnsi="Times New Roman" w:cs="Times New Roman"/>
          <w:sz w:val="24"/>
          <w:szCs w:val="24"/>
          <w:vertAlign w:val="subscript"/>
          <w:lang w:val="pl-PL"/>
        </w:rPr>
        <w:t xml:space="preserve">5 </w:t>
      </w:r>
      <w:r w:rsidRPr="00AF7348">
        <w:rPr>
          <w:rFonts w:ascii="Times New Roman" w:eastAsia="Times New Roman" w:hAnsi="Times New Roman" w:cs="Times New Roman"/>
          <w:sz w:val="24"/>
          <w:szCs w:val="24"/>
          <w:lang w:val="pl-PL"/>
        </w:rPr>
        <w:t>i PM</w:t>
      </w:r>
      <w:r w:rsidRPr="00C7502C">
        <w:rPr>
          <w:rFonts w:ascii="Times New Roman" w:eastAsia="Times New Roman" w:hAnsi="Times New Roman" w:cs="Times New Roman"/>
          <w:sz w:val="24"/>
          <w:szCs w:val="24"/>
          <w:vertAlign w:val="subscript"/>
          <w:lang w:val="pl-PL"/>
        </w:rPr>
        <w:t>10</w:t>
      </w:r>
      <w:r w:rsidRPr="00AF7348">
        <w:rPr>
          <w:rFonts w:ascii="Times New Roman" w:eastAsia="Times New Roman" w:hAnsi="Times New Roman" w:cs="Times New Roman"/>
          <w:sz w:val="24"/>
          <w:szCs w:val="24"/>
          <w:lang w:val="pl-PL"/>
        </w:rPr>
        <w:t xml:space="preserve">; (iv) stopień obniżenia zużycia energii pierwotnej. Dla zapewnienia zgodności działania z Wytycznymi Technicznymi Dotyczącymi Zasady DNSH - Nie Czyń </w:t>
      </w:r>
      <w:r w:rsidR="00F6328D">
        <w:rPr>
          <w:rFonts w:ascii="Times New Roman" w:eastAsia="Times New Roman" w:hAnsi="Times New Roman" w:cs="Times New Roman"/>
          <w:sz w:val="24"/>
          <w:szCs w:val="24"/>
          <w:lang w:val="pl-PL"/>
        </w:rPr>
        <w:t>Znaczącej</w:t>
      </w:r>
      <w:r w:rsidR="00F6328D" w:rsidRPr="00AF7348">
        <w:rPr>
          <w:rFonts w:ascii="Times New Roman" w:eastAsia="Times New Roman" w:hAnsi="Times New Roman" w:cs="Times New Roman"/>
          <w:sz w:val="24"/>
          <w:szCs w:val="24"/>
          <w:lang w:val="pl-PL"/>
        </w:rPr>
        <w:t xml:space="preserve"> </w:t>
      </w:r>
      <w:r w:rsidRPr="00AF7348">
        <w:rPr>
          <w:rFonts w:ascii="Times New Roman" w:eastAsia="Times New Roman" w:hAnsi="Times New Roman" w:cs="Times New Roman"/>
          <w:sz w:val="24"/>
          <w:szCs w:val="24"/>
          <w:lang w:val="pl-PL"/>
        </w:rPr>
        <w:t>Szk</w:t>
      </w:r>
      <w:r w:rsidR="00F6328D">
        <w:rPr>
          <w:rFonts w:ascii="Times New Roman" w:eastAsia="Times New Roman" w:hAnsi="Times New Roman" w:cs="Times New Roman"/>
          <w:sz w:val="24"/>
          <w:szCs w:val="24"/>
          <w:lang w:val="pl-PL"/>
        </w:rPr>
        <w:t>ody</w:t>
      </w:r>
      <w:r w:rsidRPr="00AF7348">
        <w:rPr>
          <w:rFonts w:ascii="Times New Roman" w:eastAsia="Times New Roman" w:hAnsi="Times New Roman" w:cs="Times New Roman"/>
          <w:sz w:val="24"/>
          <w:szCs w:val="24"/>
          <w:lang w:val="pl-PL"/>
        </w:rPr>
        <w:t xml:space="preserve"> (</w:t>
      </w:r>
      <w:r w:rsidRPr="00C7502C">
        <w:rPr>
          <w:rFonts w:ascii="Times New Roman" w:eastAsia="Times New Roman" w:hAnsi="Times New Roman" w:cs="Times New Roman"/>
          <w:i/>
          <w:iCs/>
          <w:sz w:val="24"/>
          <w:szCs w:val="24"/>
          <w:lang w:val="pl-PL"/>
        </w:rPr>
        <w:t xml:space="preserve">DNSH Technical </w:t>
      </w:r>
      <w:proofErr w:type="spellStart"/>
      <w:r w:rsidRPr="00C7502C">
        <w:rPr>
          <w:rFonts w:ascii="Times New Roman" w:eastAsia="Times New Roman" w:hAnsi="Times New Roman" w:cs="Times New Roman"/>
          <w:i/>
          <w:iCs/>
          <w:sz w:val="24"/>
          <w:szCs w:val="24"/>
          <w:lang w:val="pl-PL"/>
        </w:rPr>
        <w:t>Guidance</w:t>
      </w:r>
      <w:proofErr w:type="spellEnd"/>
      <w:r w:rsidRPr="00C7502C">
        <w:rPr>
          <w:rFonts w:ascii="Times New Roman" w:eastAsia="Times New Roman" w:hAnsi="Times New Roman" w:cs="Times New Roman"/>
          <w:i/>
          <w:iCs/>
          <w:sz w:val="24"/>
          <w:szCs w:val="24"/>
          <w:lang w:val="pl-PL"/>
        </w:rPr>
        <w:t>, 2021/C 58/01</w:t>
      </w:r>
      <w:r w:rsidRPr="00AF7348">
        <w:rPr>
          <w:rFonts w:ascii="Times New Roman" w:eastAsia="Times New Roman" w:hAnsi="Times New Roman" w:cs="Times New Roman"/>
          <w:sz w:val="24"/>
          <w:szCs w:val="24"/>
          <w:lang w:val="pl-PL"/>
        </w:rPr>
        <w:t>), kryteria kwalifikowalności zawarte w zakresie wymagań i obowiązków dotyczących przyszłych zaproszeń do składania projektów wykluczają następującą listę działań</w:t>
      </w:r>
      <w:r w:rsidR="00C7502C">
        <w:rPr>
          <w:rFonts w:ascii="Times New Roman" w:eastAsia="Times New Roman" w:hAnsi="Times New Roman" w:cs="Times New Roman"/>
          <w:sz w:val="24"/>
          <w:szCs w:val="24"/>
          <w:lang w:val="pl-PL"/>
        </w:rPr>
        <w:t>:</w:t>
      </w:r>
      <w:r w:rsidRPr="00AF7348">
        <w:rPr>
          <w:rFonts w:ascii="Times New Roman" w:eastAsia="Times New Roman" w:hAnsi="Times New Roman" w:cs="Times New Roman"/>
          <w:sz w:val="24"/>
          <w:szCs w:val="24"/>
          <w:lang w:val="pl-PL"/>
        </w:rPr>
        <w:t xml:space="preserve"> (i) </w:t>
      </w:r>
      <w:r w:rsidRPr="00AF7348">
        <w:rPr>
          <w:rFonts w:ascii="Times New Roman" w:eastAsia="Times New Roman" w:hAnsi="Times New Roman" w:cs="Times New Roman"/>
          <w:sz w:val="24"/>
          <w:szCs w:val="24"/>
          <w:lang w:val="pl-PL"/>
        </w:rPr>
        <w:lastRenderedPageBreak/>
        <w:t>działalność związana z paliwami kopalnymi, w tym ich dalsze wykorzystanie</w:t>
      </w:r>
      <w:r w:rsidRPr="00AF7348">
        <w:rPr>
          <w:rStyle w:val="Odwoanieprzypisudolnego"/>
          <w:rFonts w:ascii="Times New Roman" w:eastAsia="Times New Roman" w:hAnsi="Times New Roman" w:cs="Times New Roman"/>
          <w:sz w:val="24"/>
          <w:szCs w:val="24"/>
          <w:lang w:val="pl-PL"/>
        </w:rPr>
        <w:footnoteReference w:id="17"/>
      </w:r>
      <w:r w:rsidR="00C7502C">
        <w:rPr>
          <w:rFonts w:ascii="Times New Roman" w:eastAsia="Times New Roman" w:hAnsi="Times New Roman" w:cs="Times New Roman"/>
          <w:sz w:val="24"/>
          <w:szCs w:val="24"/>
          <w:lang w:val="pl-PL"/>
        </w:rPr>
        <w:t>;</w:t>
      </w:r>
      <w:r w:rsidRPr="00AF7348">
        <w:rPr>
          <w:rFonts w:ascii="Times New Roman" w:eastAsia="Times New Roman" w:hAnsi="Times New Roman" w:cs="Times New Roman"/>
          <w:sz w:val="24"/>
          <w:szCs w:val="24"/>
          <w:lang w:val="pl-PL"/>
        </w:rPr>
        <w:t xml:space="preserve"> (ii) działalność w ramach unijnego 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sz w:val="24"/>
          <w:szCs w:val="24"/>
          <w:lang w:val="pl-PL"/>
        </w:rPr>
        <w:footnoteReference w:id="18"/>
      </w:r>
      <w:r w:rsidRPr="00AF7348">
        <w:rPr>
          <w:rFonts w:ascii="Times New Roman" w:eastAsia="Times New Roman" w:hAnsi="Times New Roman" w:cs="Times New Roman"/>
          <w:sz w:val="24"/>
          <w:szCs w:val="24"/>
          <w:lang w:val="pl-PL"/>
        </w:rPr>
        <w:t>; (iii) działalność związana ze składowiskami odpadów, spalarniami</w:t>
      </w:r>
      <w:r w:rsidRPr="00AF7348">
        <w:rPr>
          <w:rStyle w:val="Odwoanieprzypisudolnego"/>
          <w:rFonts w:ascii="Times New Roman" w:eastAsia="Times New Roman" w:hAnsi="Times New Roman" w:cs="Times New Roman"/>
          <w:sz w:val="24"/>
          <w:szCs w:val="24"/>
          <w:lang w:val="pl-PL"/>
        </w:rPr>
        <w:footnoteReference w:id="19"/>
      </w:r>
      <w:r w:rsidRPr="00AF7348">
        <w:rPr>
          <w:rFonts w:ascii="Times New Roman" w:eastAsia="Times New Roman" w:hAnsi="Times New Roman" w:cs="Times New Roman"/>
          <w:sz w:val="24"/>
          <w:szCs w:val="24"/>
          <w:lang w:val="pl-PL"/>
        </w:rPr>
        <w:t xml:space="preserve"> i zakładami mechaniczno-biologicznego przetwarzania odpadów</w:t>
      </w:r>
      <w:r w:rsidRPr="00AF7348">
        <w:rPr>
          <w:rStyle w:val="Odwoanieprzypisudolnego"/>
          <w:rFonts w:ascii="Times New Roman" w:eastAsia="Times New Roman" w:hAnsi="Times New Roman" w:cs="Times New Roman"/>
          <w:sz w:val="24"/>
          <w:szCs w:val="24"/>
          <w:lang w:val="pl-PL"/>
        </w:rPr>
        <w:footnoteReference w:id="20"/>
      </w:r>
      <w:r w:rsidRPr="00AF7348">
        <w:rPr>
          <w:rFonts w:ascii="Times New Roman" w:eastAsia="Times New Roman" w:hAnsi="Times New Roman" w:cs="Times New Roman"/>
          <w:sz w:val="24"/>
          <w:szCs w:val="24"/>
          <w:lang w:val="pl-PL"/>
        </w:rPr>
        <w:t>; oraz (iv) działalność, w której długotrwał</w:t>
      </w:r>
      <w:r w:rsidR="00F6328D">
        <w:rPr>
          <w:rFonts w:ascii="Times New Roman" w:eastAsia="Times New Roman" w:hAnsi="Times New Roman" w:cs="Times New Roman"/>
          <w:sz w:val="24"/>
          <w:szCs w:val="24"/>
          <w:lang w:val="pl-PL"/>
        </w:rPr>
        <w:t>e</w:t>
      </w:r>
      <w:r w:rsidRPr="00AF7348">
        <w:rPr>
          <w:rFonts w:ascii="Times New Roman" w:eastAsia="Times New Roman" w:hAnsi="Times New Roman" w:cs="Times New Roman"/>
          <w:sz w:val="24"/>
          <w:szCs w:val="24"/>
          <w:lang w:val="pl-PL"/>
        </w:rPr>
        <w:t xml:space="preserve"> unieszkodliwiani</w:t>
      </w:r>
      <w:r w:rsidR="00F6328D">
        <w:rPr>
          <w:rFonts w:ascii="Times New Roman" w:eastAsia="Times New Roman" w:hAnsi="Times New Roman" w:cs="Times New Roman"/>
          <w:sz w:val="24"/>
          <w:szCs w:val="24"/>
          <w:lang w:val="pl-PL"/>
        </w:rPr>
        <w:t>e</w:t>
      </w:r>
      <w:r w:rsidRPr="00AF7348">
        <w:rPr>
          <w:rFonts w:ascii="Times New Roman" w:eastAsia="Times New Roman" w:hAnsi="Times New Roman" w:cs="Times New Roman"/>
          <w:sz w:val="24"/>
          <w:szCs w:val="24"/>
          <w:lang w:val="pl-PL"/>
        </w:rPr>
        <w:t xml:space="preserve"> odpadów może powodować szkody dla środowiska. Zakres zadań wymaga ponadto, aby wybierane były tylko te rodzaje działalności, które są zgodne z odpowiednimi przepisami unijnymi i krajowymi dotyczącymi ochrony środowiska.</w:t>
      </w:r>
    </w:p>
    <w:p w14:paraId="2EE30DC5" w14:textId="3901014B" w:rsidR="007C4506" w:rsidRPr="00AF7348" w:rsidRDefault="41FACF9E" w:rsidP="00B5107C">
      <w:pPr>
        <w:pBdr>
          <w:top w:val="nil"/>
          <w:left w:val="nil"/>
          <w:bottom w:val="nil"/>
          <w:right w:val="nil"/>
          <w:between w:val="nil"/>
        </w:pBdr>
        <w:spacing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31 grudnia 2023 roku. </w:t>
      </w:r>
    </w:p>
    <w:p w14:paraId="43D6B1D6"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p>
    <w:p w14:paraId="1E600DCF"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B2.3 Wsparcie inwestycji morskich farm wiatrowych</w:t>
      </w:r>
    </w:p>
    <w:p w14:paraId="438D33C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Celem reformy jest umożliwienie skutecznego wdrażania oraz dalszego rozwoju morskiej energii wiatrowej.</w:t>
      </w:r>
    </w:p>
    <w:p w14:paraId="618D947F" w14:textId="30D7F59D" w:rsidR="110E162E" w:rsidRPr="00AF7348" w:rsidRDefault="67360AFE" w:rsidP="7EFEC9F5">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Reforma wprowadzi szczegółowe wymagania eksploatacyjne i konstrukcyjne dla poszczególnych elementów elektrowni w tym elektrowni morskich, uwzględniając przy tym bezpieczeństwo i niezawodność pracy elektrowni </w:t>
      </w:r>
      <w:r w:rsidR="006810F7">
        <w:rPr>
          <w:rFonts w:ascii="Times New Roman" w:eastAsia="Times New Roman" w:hAnsi="Times New Roman" w:cs="Times New Roman"/>
          <w:color w:val="000000" w:themeColor="text1"/>
          <w:sz w:val="24"/>
          <w:szCs w:val="24"/>
          <w:lang w:val="pl-PL"/>
        </w:rPr>
        <w:t xml:space="preserve">jako całości, </w:t>
      </w:r>
      <w:r w:rsidRPr="00AF7348">
        <w:rPr>
          <w:rFonts w:ascii="Times New Roman" w:eastAsia="Times New Roman" w:hAnsi="Times New Roman" w:cs="Times New Roman"/>
          <w:color w:val="000000" w:themeColor="text1"/>
          <w:sz w:val="24"/>
          <w:szCs w:val="24"/>
          <w:lang w:val="pl-PL"/>
        </w:rPr>
        <w:t>w tym elektrowni morskich. Wejdzie w życie rozporządzenie określające maksymalną cenę za 1 MWh (wyrażoną w złotych), która może być podawana w ofertach składanych przez jej producentów podczas aukcji. Wdrażanie reformy zostanie zakończone do 3</w:t>
      </w:r>
      <w:r w:rsidR="00106E4F">
        <w:rPr>
          <w:rFonts w:ascii="Times New Roman" w:eastAsia="Times New Roman" w:hAnsi="Times New Roman" w:cs="Times New Roman"/>
          <w:color w:val="000000" w:themeColor="text1"/>
          <w:sz w:val="24"/>
          <w:szCs w:val="24"/>
          <w:lang w:val="pl-PL"/>
        </w:rPr>
        <w:t>1</w:t>
      </w:r>
      <w:r w:rsidRPr="00AF7348">
        <w:rPr>
          <w:rFonts w:ascii="Times New Roman" w:eastAsia="Times New Roman" w:hAnsi="Times New Roman" w:cs="Times New Roman"/>
          <w:color w:val="000000" w:themeColor="text1"/>
          <w:sz w:val="24"/>
          <w:szCs w:val="24"/>
          <w:lang w:val="pl-PL"/>
        </w:rPr>
        <w:t xml:space="preserve"> </w:t>
      </w:r>
      <w:r w:rsidR="00106E4F">
        <w:rPr>
          <w:rFonts w:ascii="Times New Roman" w:eastAsia="Times New Roman" w:hAnsi="Times New Roman" w:cs="Times New Roman"/>
          <w:color w:val="000000" w:themeColor="text1"/>
          <w:sz w:val="24"/>
          <w:szCs w:val="24"/>
          <w:lang w:val="pl-PL"/>
        </w:rPr>
        <w:t>grudnia</w:t>
      </w:r>
      <w:r w:rsidR="00106E4F"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202</w:t>
      </w:r>
      <w:r w:rsidR="00106E4F">
        <w:rPr>
          <w:rFonts w:ascii="Times New Roman" w:eastAsia="Times New Roman" w:hAnsi="Times New Roman" w:cs="Times New Roman"/>
          <w:color w:val="000000" w:themeColor="text1"/>
          <w:sz w:val="24"/>
          <w:szCs w:val="24"/>
          <w:lang w:val="pl-PL"/>
        </w:rPr>
        <w:t>3</w:t>
      </w:r>
      <w:r w:rsidRPr="00AF7348">
        <w:rPr>
          <w:rFonts w:ascii="Times New Roman" w:eastAsia="Times New Roman" w:hAnsi="Times New Roman" w:cs="Times New Roman"/>
          <w:color w:val="000000" w:themeColor="text1"/>
          <w:sz w:val="24"/>
          <w:szCs w:val="24"/>
          <w:lang w:val="pl-PL"/>
        </w:rPr>
        <w:t xml:space="preserve"> roku.</w:t>
      </w:r>
    </w:p>
    <w:p w14:paraId="0DC1472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Celem reformy jest również zmniejszenie wpływu ograniczeń alokacji na wyniki rynku energii elektrycznej. Reforma obejmie wdrożenie przez Operatora Systemu Przesyłowego procedury jawnego zamawiania mocy bilansujących (rezerw) przed jednolitym łączeniem rynków dnia następnego (</w:t>
      </w:r>
      <w:r w:rsidRPr="006810F7">
        <w:rPr>
          <w:rFonts w:ascii="Times New Roman" w:eastAsia="Times New Roman" w:hAnsi="Times New Roman" w:cs="Times New Roman"/>
          <w:i/>
          <w:iCs/>
          <w:color w:val="000000" w:themeColor="text1"/>
          <w:sz w:val="24"/>
          <w:szCs w:val="24"/>
          <w:lang w:val="pl-PL"/>
        </w:rPr>
        <w:t xml:space="preserve">single </w:t>
      </w:r>
      <w:proofErr w:type="spellStart"/>
      <w:r w:rsidRPr="006810F7">
        <w:rPr>
          <w:rFonts w:ascii="Times New Roman" w:eastAsia="Times New Roman" w:hAnsi="Times New Roman" w:cs="Times New Roman"/>
          <w:i/>
          <w:iCs/>
          <w:color w:val="000000" w:themeColor="text1"/>
          <w:sz w:val="24"/>
          <w:szCs w:val="24"/>
          <w:lang w:val="pl-PL"/>
        </w:rPr>
        <w:t>day</w:t>
      </w:r>
      <w:proofErr w:type="spellEnd"/>
      <w:r w:rsidRPr="006810F7">
        <w:rPr>
          <w:rFonts w:ascii="Times New Roman" w:eastAsia="Times New Roman" w:hAnsi="Times New Roman" w:cs="Times New Roman"/>
          <w:i/>
          <w:iCs/>
          <w:color w:val="000000" w:themeColor="text1"/>
          <w:sz w:val="24"/>
          <w:szCs w:val="24"/>
          <w:lang w:val="pl-PL"/>
        </w:rPr>
        <w:t xml:space="preserve"> </w:t>
      </w:r>
      <w:proofErr w:type="spellStart"/>
      <w:r w:rsidRPr="006810F7">
        <w:rPr>
          <w:rFonts w:ascii="Times New Roman" w:eastAsia="Times New Roman" w:hAnsi="Times New Roman" w:cs="Times New Roman"/>
          <w:i/>
          <w:iCs/>
          <w:color w:val="000000" w:themeColor="text1"/>
          <w:sz w:val="24"/>
          <w:szCs w:val="24"/>
          <w:lang w:val="pl-PL"/>
        </w:rPr>
        <w:t>ahead</w:t>
      </w:r>
      <w:proofErr w:type="spellEnd"/>
      <w:r w:rsidRPr="006810F7">
        <w:rPr>
          <w:rFonts w:ascii="Times New Roman" w:eastAsia="Times New Roman" w:hAnsi="Times New Roman" w:cs="Times New Roman"/>
          <w:i/>
          <w:iCs/>
          <w:color w:val="000000" w:themeColor="text1"/>
          <w:sz w:val="24"/>
          <w:szCs w:val="24"/>
          <w:lang w:val="pl-PL"/>
        </w:rPr>
        <w:t xml:space="preserve"> </w:t>
      </w:r>
      <w:proofErr w:type="spellStart"/>
      <w:r w:rsidRPr="006810F7">
        <w:rPr>
          <w:rFonts w:ascii="Times New Roman" w:eastAsia="Times New Roman" w:hAnsi="Times New Roman" w:cs="Times New Roman"/>
          <w:i/>
          <w:iCs/>
          <w:color w:val="000000" w:themeColor="text1"/>
          <w:sz w:val="24"/>
          <w:szCs w:val="24"/>
          <w:lang w:val="pl-PL"/>
        </w:rPr>
        <w:t>coupling</w:t>
      </w:r>
      <w:proofErr w:type="spellEnd"/>
      <w:r w:rsidRPr="006810F7">
        <w:rPr>
          <w:rFonts w:ascii="Times New Roman" w:eastAsia="Times New Roman" w:hAnsi="Times New Roman" w:cs="Times New Roman"/>
          <w:i/>
          <w:iCs/>
          <w:color w:val="000000" w:themeColor="text1"/>
          <w:sz w:val="24"/>
          <w:szCs w:val="24"/>
          <w:lang w:val="pl-PL"/>
        </w:rPr>
        <w:t>, dalej SDAC</w:t>
      </w:r>
      <w:r w:rsidRPr="00AF7348">
        <w:rPr>
          <w:rFonts w:ascii="Times New Roman" w:eastAsia="Times New Roman" w:hAnsi="Times New Roman" w:cs="Times New Roman"/>
          <w:color w:val="000000" w:themeColor="text1"/>
          <w:sz w:val="24"/>
          <w:szCs w:val="24"/>
          <w:lang w:val="pl-PL"/>
        </w:rPr>
        <w:t xml:space="preserve">), zgodnie z zaleceniem Agencji ds. Współpracy Organów Regulacji Energetyki (ACER), w którym proponuje się zmniejszenie poziomu stosowanych ograniczeń alokacji. Wdrażanie reformy zostanie zakończone do 30 czerwca 2024 roku. </w:t>
      </w:r>
    </w:p>
    <w:p w14:paraId="2D7DF40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Reformie towarzyszyć będą aukcje na wytwarzanie energii elektrycznej z morskich farm wiatrowych. Będą one organizowane do 31 grudnia 2025 roku.</w:t>
      </w:r>
    </w:p>
    <w:p w14:paraId="17DBC15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E4F5D09"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themeColor="text1"/>
          <w:sz w:val="24"/>
          <w:szCs w:val="24"/>
          <w:u w:val="single"/>
          <w:lang w:val="pl-PL"/>
        </w:rPr>
        <w:t>B2.3.1 Budowa morskich farm wiatrowych</w:t>
      </w:r>
    </w:p>
    <w:p w14:paraId="7AE70B46" w14:textId="0CB4D9FD"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Realizacja projektów morskich farm wiatrowych na Bałtyku przyczyni się do stopniowego zwiększania udziału odnawialnych i </w:t>
      </w:r>
      <w:proofErr w:type="spellStart"/>
      <w:r w:rsidRPr="00AF7348">
        <w:rPr>
          <w:rFonts w:ascii="Times New Roman" w:eastAsia="Times New Roman" w:hAnsi="Times New Roman" w:cs="Times New Roman"/>
          <w:color w:val="000000" w:themeColor="text1"/>
          <w:sz w:val="24"/>
          <w:szCs w:val="24"/>
          <w:lang w:val="pl-PL"/>
        </w:rPr>
        <w:t>bezemisyjnych</w:t>
      </w:r>
      <w:proofErr w:type="spellEnd"/>
      <w:r w:rsidRPr="00AF7348">
        <w:rPr>
          <w:rFonts w:ascii="Times New Roman" w:eastAsia="Times New Roman" w:hAnsi="Times New Roman" w:cs="Times New Roman"/>
          <w:color w:val="000000" w:themeColor="text1"/>
          <w:sz w:val="24"/>
          <w:szCs w:val="24"/>
          <w:lang w:val="pl-PL"/>
        </w:rPr>
        <w:t xml:space="preserve"> źródeł energii w polskim sektorze energetycznym.</w:t>
      </w:r>
      <w:r w:rsidR="0099737E">
        <w:rPr>
          <w:rFonts w:ascii="Times New Roman" w:eastAsia="Times New Roman" w:hAnsi="Times New Roman" w:cs="Times New Roman"/>
          <w:color w:val="000000" w:themeColor="text1"/>
          <w:sz w:val="24"/>
          <w:szCs w:val="24"/>
          <w:lang w:val="pl-PL"/>
        </w:rPr>
        <w:t xml:space="preserve"> </w:t>
      </w:r>
    </w:p>
    <w:p w14:paraId="25F771ED" w14:textId="6FD2F6D0"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 ramach inwestycji wspierane będą projekty związane z budową morskich farm wiatrowych. Morskie farmy wiatrowe przyczynią się do stabilizacji pracy sieci elektroenergetycznej poprzez zapewnienie wyższej stabilności wytwarzania energii w porównaniu z innymi rodzajami instalacji OZE, takimi jak </w:t>
      </w:r>
      <w:proofErr w:type="spellStart"/>
      <w:r w:rsidRPr="00AF7348">
        <w:rPr>
          <w:rFonts w:ascii="Times New Roman" w:eastAsia="Times New Roman" w:hAnsi="Times New Roman" w:cs="Times New Roman"/>
          <w:color w:val="000000" w:themeColor="text1"/>
          <w:sz w:val="24"/>
          <w:szCs w:val="24"/>
          <w:lang w:val="pl-PL"/>
        </w:rPr>
        <w:t>fotowoltaika</w:t>
      </w:r>
      <w:proofErr w:type="spellEnd"/>
      <w:r w:rsidRPr="00AF7348">
        <w:rPr>
          <w:rFonts w:ascii="Times New Roman" w:eastAsia="Times New Roman" w:hAnsi="Times New Roman" w:cs="Times New Roman"/>
          <w:color w:val="000000" w:themeColor="text1"/>
          <w:sz w:val="24"/>
          <w:szCs w:val="24"/>
          <w:lang w:val="pl-PL"/>
        </w:rPr>
        <w:t xml:space="preserve"> czy lądowe farmy wiatrowe. Całkowita moc znamionowa morskich instalacji wiatrowych zainstalowanych w wyniku realizacji inwestycji wyniesie 1500 MW. </w:t>
      </w:r>
    </w:p>
    <w:p w14:paraId="58678C02" w14:textId="67F65F66"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Beneficjenci zostaną wybrani </w:t>
      </w:r>
      <w:r w:rsidR="00F6328D">
        <w:rPr>
          <w:rFonts w:ascii="Times New Roman" w:eastAsia="Times New Roman" w:hAnsi="Times New Roman" w:cs="Times New Roman"/>
          <w:color w:val="000000" w:themeColor="text1"/>
          <w:sz w:val="24"/>
          <w:szCs w:val="24"/>
          <w:lang w:val="pl-PL"/>
        </w:rPr>
        <w:t xml:space="preserve">na </w:t>
      </w:r>
      <w:r w:rsidRPr="00AF7348">
        <w:rPr>
          <w:rFonts w:ascii="Times New Roman" w:eastAsia="Times New Roman" w:hAnsi="Times New Roman" w:cs="Times New Roman"/>
          <w:color w:val="000000" w:themeColor="text1"/>
          <w:sz w:val="24"/>
          <w:szCs w:val="24"/>
          <w:lang w:val="pl-PL"/>
        </w:rPr>
        <w:t>dro</w:t>
      </w:r>
      <w:r w:rsidR="00F6328D">
        <w:rPr>
          <w:rFonts w:ascii="Times New Roman" w:eastAsia="Times New Roman" w:hAnsi="Times New Roman" w:cs="Times New Roman"/>
          <w:color w:val="000000" w:themeColor="text1"/>
          <w:sz w:val="24"/>
          <w:szCs w:val="24"/>
          <w:lang w:val="pl-PL"/>
        </w:rPr>
        <w:t>dze</w:t>
      </w:r>
      <w:r w:rsidRPr="00AF7348">
        <w:rPr>
          <w:rFonts w:ascii="Times New Roman" w:eastAsia="Times New Roman" w:hAnsi="Times New Roman" w:cs="Times New Roman"/>
          <w:color w:val="000000" w:themeColor="text1"/>
          <w:sz w:val="24"/>
          <w:szCs w:val="24"/>
          <w:lang w:val="pl-PL"/>
        </w:rPr>
        <w:t xml:space="preserve"> otwartego, przejrzystego i niedyskryminującego zaproszenia do składania wniosków, dostępnego dla wszystkich projektów uczestniczących w Fazie I (wsparcie udzielane poza systemem aukcyjnym), i będą podlegać ocenie. Wsparcie zostanie przyznane więcej niż jednemu beneficjentowi, aby umożliwić skuteczną konkurencję na rynku morskiej energii wiatrowej. Kryteria wyboru projektów obejmą zaawansowanie i gotowość do zakończenia realizacji projektów do 30 czerwca 2026 r., harmonogram realizacji i terminy osiągnięcia zakładanych wskaźników lub moc zainstalowaną w wyniku realizacji projektu (MW).</w:t>
      </w:r>
    </w:p>
    <w:p w14:paraId="3B8A491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6F8BD81B" w14:textId="77777777" w:rsidR="007C4506" w:rsidRPr="00AF7348" w:rsidRDefault="007C4506">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color w:val="000000"/>
          <w:sz w:val="24"/>
          <w:szCs w:val="24"/>
          <w:lang w:val="pl-PL"/>
        </w:rPr>
      </w:pPr>
    </w:p>
    <w:p w14:paraId="54877A71"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B2.4 Ramy prawne dla rozwoju magazynów energii</w:t>
      </w:r>
    </w:p>
    <w:p w14:paraId="7CEC3160"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usunięcie istniejących barier prawnych dla rozwoju technologii magazynowania energii oraz stworzenie stabilnego otoczenia prawnego dla prowadzenia działalności w zakresie takiego magazynowania. </w:t>
      </w:r>
    </w:p>
    <w:p w14:paraId="7252320F"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m.in. zwolni magazynowanie energii elektrycznej z obowiązku taryfowego oraz zlikwiduje podwójne naliczanie opłat sieciowych. Uzależni także obowiązek uzyskania koncesji/wpisu do rejestru od łącznej mocy zainstalowanej magazynów energii elektrycznej, bez względu na ich pojemność. Proponowane ramy taryfowe dla magazynowania będą niedyskryminujące i odzwierciedlające ponoszone koszty.</w:t>
      </w:r>
    </w:p>
    <w:p w14:paraId="0F9F6FCC" w14:textId="71B6C450" w:rsidR="00212550" w:rsidRPr="00AF7348" w:rsidRDefault="00B31839" w:rsidP="00B5107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reformy </w:t>
      </w:r>
      <w:r w:rsidR="009A15B7">
        <w:rPr>
          <w:rFonts w:ascii="Times New Roman" w:eastAsia="Times New Roman" w:hAnsi="Times New Roman" w:cs="Times New Roman"/>
          <w:color w:val="000000" w:themeColor="text1"/>
          <w:sz w:val="24"/>
          <w:szCs w:val="24"/>
          <w:lang w:val="pl-PL"/>
        </w:rPr>
        <w:t>powinno być</w:t>
      </w:r>
      <w:r w:rsidR="009A15B7"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zakończone do 30 czerwca 2021 roku.</w:t>
      </w:r>
    </w:p>
    <w:p w14:paraId="2613E9C1" w14:textId="77777777" w:rsidR="00B5107C" w:rsidRPr="00AF7348" w:rsidRDefault="00B5107C" w:rsidP="00B5107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5DC1536" w14:textId="193DCE4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B2.4.1 </w:t>
      </w:r>
      <w:r w:rsidR="00364828">
        <w:rPr>
          <w:rFonts w:ascii="Times New Roman" w:eastAsia="Times New Roman" w:hAnsi="Times New Roman" w:cs="Times New Roman"/>
          <w:b/>
          <w:bCs/>
          <w:color w:val="000000"/>
          <w:sz w:val="24"/>
          <w:szCs w:val="24"/>
          <w:u w:val="single"/>
          <w:lang w:val="pl-PL"/>
        </w:rPr>
        <w:t>Systemy m</w:t>
      </w:r>
      <w:r w:rsidRPr="00AF7348">
        <w:rPr>
          <w:rFonts w:ascii="Times New Roman" w:eastAsia="Times New Roman" w:hAnsi="Times New Roman" w:cs="Times New Roman"/>
          <w:b/>
          <w:bCs/>
          <w:color w:val="000000"/>
          <w:sz w:val="24"/>
          <w:szCs w:val="24"/>
          <w:u w:val="single"/>
          <w:lang w:val="pl-PL"/>
        </w:rPr>
        <w:t>agazyn</w:t>
      </w:r>
      <w:r w:rsidR="00364828">
        <w:rPr>
          <w:rFonts w:ascii="Times New Roman" w:eastAsia="Times New Roman" w:hAnsi="Times New Roman" w:cs="Times New Roman"/>
          <w:b/>
          <w:bCs/>
          <w:color w:val="000000"/>
          <w:sz w:val="24"/>
          <w:szCs w:val="24"/>
          <w:u w:val="single"/>
          <w:lang w:val="pl-PL"/>
        </w:rPr>
        <w:t>owania</w:t>
      </w:r>
      <w:r w:rsidRPr="00AF7348">
        <w:rPr>
          <w:rFonts w:ascii="Times New Roman" w:eastAsia="Times New Roman" w:hAnsi="Times New Roman" w:cs="Times New Roman"/>
          <w:b/>
          <w:bCs/>
          <w:color w:val="000000"/>
          <w:sz w:val="24"/>
          <w:szCs w:val="24"/>
          <w:u w:val="single"/>
          <w:lang w:val="pl-PL"/>
        </w:rPr>
        <w:t xml:space="preserve"> energii</w:t>
      </w:r>
    </w:p>
    <w:p w14:paraId="75BAB65E" w14:textId="731F9365" w:rsidR="007C4506" w:rsidRPr="00AF7348" w:rsidRDefault="0036482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inwestycji jest zabezpieczenie ciągłości dostaw do odbiorców oraz zwiększenie efektywności wykorzystania źródeł OZE poprzez inwestycje w technologie ułatwiające bilansowanie energii elektrycznej w systemie elektroenergetycznym.</w:t>
      </w:r>
    </w:p>
    <w:p w14:paraId="7D6B0619" w14:textId="0B40DE65"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Inwestycja polega na modernizacji istniejącej elektrowni szczytowo-pompowej. Obejmie dostosowanie instalacji do obecnych i przyszłych potrzeb regulacyjnych i rynkowych celem zapewnienia rentownej pracy elektrowni. Obejmie również modernizację zbiornika górnego (remont nawierzchni bitumicznej), tuneli górnego ujęcia wody i dalszych ich części oraz co najmniej trzech z czterech hydrogeneratorów. Oczekuje się, że efektem inwestycji będzie zwiększenie dyspozycyjności i sprawności elektrowni.</w:t>
      </w:r>
    </w:p>
    <w:p w14:paraId="6BF71E3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 ramach inwestycji sfinansowany zostanie także zakup oraz instalacja rezerwowych magazynów energii elektrycznej o pojemności 4-5 kWh każdy. </w:t>
      </w:r>
    </w:p>
    <w:p w14:paraId="3D18D682" w14:textId="6A58422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inwestycji zostanie zakończone do 30 czerwca 2026 roku. </w:t>
      </w:r>
    </w:p>
    <w:p w14:paraId="1037B8A3"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00D94BE" w14:textId="159B6DE1"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B3.2 Wsparcie </w:t>
      </w:r>
      <w:r w:rsidR="006B1A57">
        <w:rPr>
          <w:rFonts w:ascii="Times New Roman" w:eastAsia="Times New Roman" w:hAnsi="Times New Roman" w:cs="Times New Roman"/>
          <w:b/>
          <w:bCs/>
          <w:color w:val="000000"/>
          <w:sz w:val="24"/>
          <w:szCs w:val="24"/>
          <w:u w:val="single"/>
          <w:lang w:val="pl-PL"/>
        </w:rPr>
        <w:t xml:space="preserve">rekultywacji </w:t>
      </w:r>
      <w:r w:rsidRPr="00AF7348">
        <w:rPr>
          <w:rFonts w:ascii="Times New Roman" w:eastAsia="Times New Roman" w:hAnsi="Times New Roman" w:cs="Times New Roman"/>
          <w:b/>
          <w:bCs/>
          <w:color w:val="000000"/>
          <w:sz w:val="24"/>
          <w:szCs w:val="24"/>
          <w:u w:val="single"/>
          <w:lang w:val="pl-PL"/>
        </w:rPr>
        <w:t xml:space="preserve">środowiska i </w:t>
      </w:r>
      <w:r w:rsidR="00364828">
        <w:rPr>
          <w:rFonts w:ascii="Times New Roman" w:eastAsia="Times New Roman" w:hAnsi="Times New Roman" w:cs="Times New Roman"/>
          <w:b/>
          <w:bCs/>
          <w:color w:val="000000"/>
          <w:sz w:val="24"/>
          <w:szCs w:val="24"/>
          <w:u w:val="single"/>
          <w:lang w:val="pl-PL"/>
        </w:rPr>
        <w:t>ochrony</w:t>
      </w:r>
      <w:r w:rsidR="00364828" w:rsidRPr="00AF7348">
        <w:rPr>
          <w:rFonts w:ascii="Times New Roman" w:eastAsia="Times New Roman" w:hAnsi="Times New Roman" w:cs="Times New Roman"/>
          <w:b/>
          <w:bCs/>
          <w:color w:val="000000"/>
          <w:sz w:val="24"/>
          <w:szCs w:val="24"/>
          <w:u w:val="single"/>
          <w:lang w:val="pl-PL"/>
        </w:rPr>
        <w:t xml:space="preserve"> </w:t>
      </w:r>
      <w:r w:rsidRPr="00AF7348">
        <w:rPr>
          <w:rFonts w:ascii="Times New Roman" w:eastAsia="Times New Roman" w:hAnsi="Times New Roman" w:cs="Times New Roman"/>
          <w:b/>
          <w:bCs/>
          <w:color w:val="000000"/>
          <w:sz w:val="24"/>
          <w:szCs w:val="24"/>
          <w:u w:val="single"/>
          <w:lang w:val="pl-PL"/>
        </w:rPr>
        <w:t>przed substancjami niebezpiecznymi</w:t>
      </w:r>
    </w:p>
    <w:p w14:paraId="02249594"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Celem reformy jest ograniczenie negatywnego oddziaływania na środowisko wielkoobszarowych terenów zdegradowanych oraz umożliwienie skoordynowanego prowadzenia neutralizacji zagrożeń na polskich obszarach morskich.</w:t>
      </w:r>
    </w:p>
    <w:p w14:paraId="27FD176F" w14:textId="6719997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Reforma zakłada usunięcie barier organizacyjnych i prawnych dla kompleksowej likwidacji negatywnego oddziaływania na środowisko wielkoprzemysłowych terenów poprzemysłowych. Skupi się na czterech niezależnych obszarach (inne lokalizacje i zakresy prac): 1) terenie byłych Zakładów Chemicznych "Tarnowskie Góry" w Tarnowskich Górach; 2) terenie byłych Zakładów Chemicznych "Zachem" w Bydgoszczy; 3) terenie Zakładów "Organika-Azot" w Jaworznie; 4) terenie byłych Zakładów Przemysłu Barwników "Boruta" w Zgierzu.</w:t>
      </w:r>
      <w:r w:rsidR="0099737E">
        <w:rPr>
          <w:rFonts w:ascii="Times New Roman" w:eastAsia="Times New Roman" w:hAnsi="Times New Roman" w:cs="Times New Roman"/>
          <w:color w:val="000000" w:themeColor="text1"/>
          <w:sz w:val="24"/>
          <w:szCs w:val="24"/>
          <w:lang w:val="pl-PL"/>
        </w:rPr>
        <w:t xml:space="preserve"> </w:t>
      </w:r>
    </w:p>
    <w:p w14:paraId="05E29859" w14:textId="0DC32930" w:rsidR="007C4506" w:rsidRPr="00AF7348" w:rsidRDefault="00B31839" w:rsidP="3C614D2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Przepisy wprowadzające te zmiany wejdą w życie do 31 grudnia 2022 roku. </w:t>
      </w:r>
    </w:p>
    <w:p w14:paraId="01C879E5" w14:textId="0DA4C02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Druga część reformy będzie polegała na określeniu zasad postępowania z materiałami niebezpiecznymi zatopionymi w Morzu Bałtyckim, i ma na celu zwiększenie bezpieczeństwa dla zdrowia ludzi i stanu środowiska. W ramach reformy: określone zostaną kompetencje organów administracji publicznej w zakresie przepisów prawa; wskazane zostaną podmioty wiodące i współdziałające w sprawach związanych z zatopionymi na obszarach morskich materiałami niebezpiecznymi; opracowany zostanie szczegółowy plan działania administracji publicznej, oraz jednostek nadzorowanych i podległych tej administracji, w zakresie problematyki związanej z materiałami niebezpiecznymi zatopionymi na obszarach morskich, wraz ze wskazaniem podmiotów odpowiedzialnych za realizację poszczególnych zadań; wprowadzone zostaną zmiany prawne umożliwiające monitorowanie, identyfikację oraz ewentualne wydobycie i unieszkodliwienie materiałów niebezpiecznych.</w:t>
      </w:r>
    </w:p>
    <w:p w14:paraId="400116A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Przepisy wprowadzające te zmiany wejdą w życie do 30 września 2022 roku.</w:t>
      </w:r>
    </w:p>
    <w:p w14:paraId="687C6DE0"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01440A02" w14:textId="6C85B36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B3.2.1 Inwestycje w neutralizację </w:t>
      </w:r>
      <w:r w:rsidR="006B1A57">
        <w:rPr>
          <w:rFonts w:ascii="Times New Roman" w:eastAsia="Times New Roman" w:hAnsi="Times New Roman" w:cs="Times New Roman"/>
          <w:b/>
          <w:bCs/>
          <w:color w:val="000000"/>
          <w:sz w:val="24"/>
          <w:szCs w:val="24"/>
          <w:u w:val="single"/>
          <w:lang w:val="pl-PL"/>
        </w:rPr>
        <w:t xml:space="preserve">ryzyka i rekultywację </w:t>
      </w:r>
      <w:r w:rsidRPr="00AF7348">
        <w:rPr>
          <w:rFonts w:ascii="Times New Roman" w:eastAsia="Times New Roman" w:hAnsi="Times New Roman" w:cs="Times New Roman"/>
          <w:b/>
          <w:bCs/>
          <w:color w:val="000000"/>
          <w:sz w:val="24"/>
          <w:szCs w:val="24"/>
          <w:u w:val="single"/>
          <w:lang w:val="pl-PL"/>
        </w:rPr>
        <w:t xml:space="preserve">wielkoobszarowych terenów </w:t>
      </w:r>
      <w:r w:rsidR="006B1A57">
        <w:rPr>
          <w:rFonts w:ascii="Times New Roman" w:eastAsia="Times New Roman" w:hAnsi="Times New Roman" w:cs="Times New Roman"/>
          <w:b/>
          <w:bCs/>
          <w:color w:val="000000"/>
          <w:sz w:val="24"/>
          <w:szCs w:val="24"/>
          <w:u w:val="single"/>
          <w:lang w:val="pl-PL"/>
        </w:rPr>
        <w:t>poprzemysłowych</w:t>
      </w:r>
      <w:r w:rsidR="006B1A57" w:rsidRPr="00AF7348">
        <w:rPr>
          <w:rFonts w:ascii="Times New Roman" w:eastAsia="Times New Roman" w:hAnsi="Times New Roman" w:cs="Times New Roman"/>
          <w:b/>
          <w:bCs/>
          <w:color w:val="000000"/>
          <w:sz w:val="24"/>
          <w:szCs w:val="24"/>
          <w:u w:val="single"/>
          <w:lang w:val="pl-PL"/>
        </w:rPr>
        <w:t xml:space="preserve"> </w:t>
      </w:r>
      <w:r w:rsidRPr="00AF7348">
        <w:rPr>
          <w:rFonts w:ascii="Times New Roman" w:eastAsia="Times New Roman" w:hAnsi="Times New Roman" w:cs="Times New Roman"/>
          <w:b/>
          <w:bCs/>
          <w:color w:val="000000"/>
          <w:sz w:val="24"/>
          <w:szCs w:val="24"/>
          <w:u w:val="single"/>
          <w:lang w:val="pl-PL"/>
        </w:rPr>
        <w:t>i Morza Bałtyckiego</w:t>
      </w:r>
    </w:p>
    <w:p w14:paraId="66646483" w14:textId="6040C046" w:rsidR="007C4506" w:rsidRPr="00AF7348" w:rsidRDefault="0036482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Celem</w:t>
      </w:r>
      <w:r w:rsidRPr="00AF7348">
        <w:rPr>
          <w:rFonts w:ascii="Times New Roman" w:eastAsia="Times New Roman" w:hAnsi="Times New Roman" w:cs="Times New Roman"/>
          <w:color w:val="000000"/>
          <w:sz w:val="24"/>
          <w:szCs w:val="24"/>
          <w:lang w:val="pl-PL"/>
        </w:rPr>
        <w:t xml:space="preserve"> </w:t>
      </w:r>
      <w:r w:rsidR="00B31839" w:rsidRPr="00AF7348">
        <w:rPr>
          <w:rFonts w:ascii="Times New Roman" w:eastAsia="Times New Roman" w:hAnsi="Times New Roman" w:cs="Times New Roman"/>
          <w:color w:val="000000"/>
          <w:sz w:val="24"/>
          <w:szCs w:val="24"/>
          <w:lang w:val="pl-PL"/>
        </w:rPr>
        <w:t>inwestycji jest usunięcie zagrożenia dla zdrowia i życia ludzi, jakie stwarzają wielkoobszarowe tereny zdegradowane (poprzemysłowe), zminimalizowanie ich negatywnego wpływu na środowisko naturalne</w:t>
      </w:r>
      <w:r>
        <w:rPr>
          <w:rFonts w:ascii="Times New Roman" w:eastAsia="Times New Roman" w:hAnsi="Times New Roman" w:cs="Times New Roman"/>
          <w:color w:val="000000"/>
          <w:sz w:val="24"/>
          <w:szCs w:val="24"/>
          <w:lang w:val="pl-PL"/>
        </w:rPr>
        <w:t>,</w:t>
      </w:r>
      <w:r w:rsidR="00B31839" w:rsidRPr="00AF7348">
        <w:rPr>
          <w:rFonts w:ascii="Times New Roman" w:eastAsia="Times New Roman" w:hAnsi="Times New Roman" w:cs="Times New Roman"/>
          <w:color w:val="000000"/>
          <w:sz w:val="24"/>
          <w:szCs w:val="24"/>
          <w:lang w:val="pl-PL"/>
        </w:rPr>
        <w:t xml:space="preserve"> a także ich odnowa (rekultywacja) celem ponownego wykorzystania z poszanowaniem zasady "zanieczyszczający płaci" oraz Dyrektywy 2004/35/WE w sprawie odpowiedzialności za środowisko. Oczekuje się również, że inwestycja przyczyni się do zmniejszenia ryzyka związanego z zanieczyszczeniami i materiałami niebezpiecznymi znajdującymi się na polskich obszarach morskich.</w:t>
      </w:r>
    </w:p>
    <w:p w14:paraId="636A514B" w14:textId="50840413"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polega na </w:t>
      </w:r>
      <w:r w:rsidR="00B70B3C">
        <w:rPr>
          <w:rFonts w:ascii="Times New Roman" w:eastAsia="Times New Roman" w:hAnsi="Times New Roman" w:cs="Times New Roman"/>
          <w:color w:val="000000" w:themeColor="text1"/>
          <w:sz w:val="24"/>
          <w:szCs w:val="24"/>
          <w:lang w:val="pl-PL"/>
        </w:rPr>
        <w:t>przeprowadzeniu</w:t>
      </w:r>
      <w:r w:rsidRPr="00AF7348">
        <w:rPr>
          <w:rFonts w:ascii="Times New Roman" w:eastAsia="Times New Roman" w:hAnsi="Times New Roman" w:cs="Times New Roman"/>
          <w:color w:val="000000" w:themeColor="text1"/>
          <w:sz w:val="24"/>
          <w:szCs w:val="24"/>
          <w:lang w:val="pl-PL"/>
        </w:rPr>
        <w:t xml:space="preserve"> badań i studiów prowadzących do przygotowania pełnej dokumentacji inwestycyjnej dla wcześniej określonych lokalizacji, w których występują istotne problemy związane z obecnością zanieczyszczeń lub substancji niebezpiecznych na dużym obszarze. Obejmie przeprowadzenie badań terenowych, studiów i inwentaryzacji terenu jako wstępnego, ale podstawowego kroku prowadzącego do przygotowania pełnej dokumentacji inwestycyjnej na kolejnych etapach programu.</w:t>
      </w:r>
    </w:p>
    <w:p w14:paraId="779A13B6" w14:textId="77777777" w:rsidR="43861675" w:rsidRPr="00AF7348" w:rsidRDefault="43861675" w:rsidP="3954470C">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183D016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Inwestycja wesprze rekultywację terenu oraz neutralizację substancji niebezpiecznych, oraz przygotuje tereny pod inwestycje dzięki modernizacji tzw. infrastruktury twardej, a także rewitalizację budynków w Hucie Sendzimira.</w:t>
      </w:r>
    </w:p>
    <w:p w14:paraId="257DAA1F" w14:textId="2F1D2475" w:rsidR="00B31839" w:rsidRPr="00AF7348" w:rsidRDefault="00B31839" w:rsidP="3954470C">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hAnsi="Times New Roman" w:cs="Times New Roman"/>
          <w:color w:val="000000" w:themeColor="text1"/>
          <w:sz w:val="24"/>
          <w:szCs w:val="24"/>
          <w:lang w:val="pl-PL"/>
        </w:rPr>
        <w:lastRenderedPageBreak/>
        <w:t>W</w:t>
      </w:r>
      <w:r w:rsidRPr="00AF7348">
        <w:rPr>
          <w:rFonts w:ascii="Times New Roman" w:hAnsi="Times New Roman" w:cs="Times New Roman"/>
          <w:color w:val="000000" w:themeColor="text1"/>
          <w:lang w:val="pl-PL"/>
        </w:rPr>
        <w:t xml:space="preserve"> </w:t>
      </w:r>
      <w:r w:rsidRPr="00AF7348">
        <w:rPr>
          <w:rFonts w:ascii="Times New Roman" w:hAnsi="Times New Roman" w:cs="Times New Roman"/>
          <w:color w:val="000000" w:themeColor="text1"/>
          <w:sz w:val="24"/>
          <w:szCs w:val="24"/>
          <w:lang w:val="pl-PL"/>
        </w:rPr>
        <w:t xml:space="preserve">ramach inwestycji wspierane będą również operacje rozpoznawcze i pomiarowe prowadzone na </w:t>
      </w:r>
      <w:r w:rsidR="009A15B7">
        <w:rPr>
          <w:rFonts w:ascii="Times New Roman" w:hAnsi="Times New Roman" w:cs="Times New Roman"/>
          <w:color w:val="000000" w:themeColor="text1"/>
          <w:sz w:val="24"/>
          <w:szCs w:val="24"/>
          <w:lang w:val="pl-PL"/>
        </w:rPr>
        <w:t>M</w:t>
      </w:r>
      <w:r w:rsidRPr="00AF7348">
        <w:rPr>
          <w:rFonts w:ascii="Times New Roman" w:hAnsi="Times New Roman" w:cs="Times New Roman"/>
          <w:color w:val="000000" w:themeColor="text1"/>
          <w:sz w:val="24"/>
          <w:szCs w:val="24"/>
          <w:lang w:val="pl-PL"/>
        </w:rPr>
        <w:t>orzu</w:t>
      </w:r>
      <w:r w:rsidR="009A15B7">
        <w:rPr>
          <w:rFonts w:ascii="Times New Roman" w:hAnsi="Times New Roman" w:cs="Times New Roman"/>
          <w:color w:val="000000" w:themeColor="text1"/>
          <w:sz w:val="24"/>
          <w:szCs w:val="24"/>
          <w:lang w:val="pl-PL"/>
        </w:rPr>
        <w:t xml:space="preserve"> Bałtyckim</w:t>
      </w:r>
      <w:r w:rsidRPr="00AF7348">
        <w:rPr>
          <w:rFonts w:ascii="Times New Roman" w:hAnsi="Times New Roman" w:cs="Times New Roman"/>
          <w:color w:val="000000" w:themeColor="text1"/>
          <w:sz w:val="24"/>
          <w:szCs w:val="24"/>
          <w:lang w:val="pl-PL"/>
        </w:rPr>
        <w:t>, a także analiza uzyskanych danych jako niezbędny krok prowadzący do przygotowania pełnej dokumentacji planów neutralizacji zanieczyszczeń.</w:t>
      </w:r>
    </w:p>
    <w:p w14:paraId="048D79BB" w14:textId="4C45CAAA" w:rsidR="7C29887C" w:rsidRPr="00AF7348" w:rsidRDefault="4E409985" w:rsidP="3954470C">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5B2F9378"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61D11A9B" w14:textId="77777777" w:rsidR="007C4506" w:rsidRPr="00AF7348" w:rsidRDefault="542D1CF6" w:rsidP="032098B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B3.3 Wsparcie dla zrównoważonego gospodarowania zasobami wodnymi w rolnictwie i na obszarach wiejskich</w:t>
      </w:r>
    </w:p>
    <w:p w14:paraId="1A32BC1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Celem reformy jest poprawa warunków do inwestowania na obszarach wiejskich w gospodarkę wodną, oraz efektywne gospodarowanie zasobami. Reforma przyczyni się do: zwiększenia odporności rolnictwa na suszę i zapobiegania powodziom na obszarach rolniczych; poprawy efektywności wykorzystania wody poprzez właściwe regulowanie stosunków wodnych na obszarach rolniczych i ograniczenie spływu wód, oraz; zwiększenia retencji wody.</w:t>
      </w:r>
    </w:p>
    <w:p w14:paraId="67D341F6" w14:textId="77777777" w:rsidR="007C4506" w:rsidRPr="00AF7348" w:rsidRDefault="508D318E"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Reforma polega na wprowadzeniu zmian w ustawodawstwie krajowym, które są niezbędne do poprawy warunków oszczędnego gospodarowania wodą w roln</w:t>
      </w:r>
      <w:r w:rsidRPr="00AF7348">
        <w:rPr>
          <w:rFonts w:ascii="Times New Roman" w:eastAsia="Times New Roman" w:hAnsi="Times New Roman" w:cs="Times New Roman"/>
          <w:sz w:val="24"/>
          <w:szCs w:val="24"/>
          <w:lang w:val="pl-PL"/>
        </w:rPr>
        <w:t xml:space="preserve">ictwie i na obszarach wiejskich. Zmiany te ułatwią przygotowanie i realizację inwestycji związanych z retencjonowaniem wody i powstrzymywaniem jej odpływu z gruntów rolnych, w tym w szczególności inwestycji związanych z przebudową i odbudową urządzeń melioracyjnych, tak aby spełniały one funkcję retencyjną, a tym samym chroniły grunty rolne przed suszą i ograniczały ryzyko powodzi. </w:t>
      </w:r>
    </w:p>
    <w:p w14:paraId="56C567A9" w14:textId="53BD8FCE" w:rsidR="007C4506" w:rsidRPr="00AF7348" w:rsidRDefault="3BD23AD0"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sz w:val="24"/>
          <w:szCs w:val="24"/>
          <w:lang w:val="pl-PL"/>
        </w:rPr>
        <w:t xml:space="preserve">Reforma będzie zgodna z wymaganiami określonymi w Wytycznych Technicznych Dotyczących Zasady DNSH - Nie Czyń </w:t>
      </w:r>
      <w:r w:rsidR="00364828">
        <w:rPr>
          <w:rFonts w:ascii="Times New Roman" w:eastAsia="Times New Roman" w:hAnsi="Times New Roman" w:cs="Times New Roman"/>
          <w:sz w:val="24"/>
          <w:szCs w:val="24"/>
          <w:lang w:val="pl-PL"/>
        </w:rPr>
        <w:t>Znaczącej</w:t>
      </w:r>
      <w:r w:rsidR="00364828" w:rsidRPr="00AF7348">
        <w:rPr>
          <w:rFonts w:ascii="Times New Roman" w:eastAsia="Times New Roman" w:hAnsi="Times New Roman" w:cs="Times New Roman"/>
          <w:sz w:val="24"/>
          <w:szCs w:val="24"/>
          <w:lang w:val="pl-PL"/>
        </w:rPr>
        <w:t xml:space="preserve"> </w:t>
      </w:r>
      <w:r w:rsidRPr="00AF7348">
        <w:rPr>
          <w:rFonts w:ascii="Times New Roman" w:eastAsia="Times New Roman" w:hAnsi="Times New Roman" w:cs="Times New Roman"/>
          <w:sz w:val="24"/>
          <w:szCs w:val="24"/>
          <w:lang w:val="pl-PL"/>
        </w:rPr>
        <w:t>Szk</w:t>
      </w:r>
      <w:r w:rsidR="00364828">
        <w:rPr>
          <w:rFonts w:ascii="Times New Roman" w:eastAsia="Times New Roman" w:hAnsi="Times New Roman" w:cs="Times New Roman"/>
          <w:sz w:val="24"/>
          <w:szCs w:val="24"/>
          <w:lang w:val="pl-PL"/>
        </w:rPr>
        <w:t>ody</w:t>
      </w:r>
      <w:r w:rsidRPr="00AF7348">
        <w:rPr>
          <w:rFonts w:ascii="Times New Roman" w:eastAsia="Times New Roman" w:hAnsi="Times New Roman" w:cs="Times New Roman"/>
          <w:sz w:val="24"/>
          <w:szCs w:val="24"/>
          <w:lang w:val="pl-PL"/>
        </w:rPr>
        <w:t xml:space="preserve"> (2021/C 58/01), w szczególności zagwarantuje zgodność z prawodawstwem UE w zakresie ochrony środowiska, w tym z Dyrektywą OOŚ (2011/92/UE) i Ramową Dyrektywą Wodną (2000/60/WE).</w:t>
      </w:r>
    </w:p>
    <w:p w14:paraId="470C9946" w14:textId="716B6573" w:rsidR="007C4506" w:rsidRPr="00AF7348" w:rsidRDefault="494C4BB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sz w:val="24"/>
          <w:szCs w:val="24"/>
          <w:lang w:val="pl-PL"/>
        </w:rPr>
        <w:t>Zmiany nie doprowadzą do pogorszenia</w:t>
      </w:r>
      <w:r w:rsidRPr="00AF7348">
        <w:rPr>
          <w:rFonts w:ascii="Times New Roman" w:eastAsia="Times New Roman" w:hAnsi="Times New Roman" w:cs="Times New Roman"/>
          <w:color w:val="000000" w:themeColor="text1"/>
          <w:sz w:val="24"/>
          <w:szCs w:val="24"/>
          <w:lang w:val="pl-PL"/>
        </w:rPr>
        <w:t xml:space="preserve"> poziomu zgodności z unijnym prawodawstwem w zakresie ochrony środowiska, w szczególności w odniesieniu do inwestycji uznawanych za znaczące lub potencjalnie znaczące, zgodnie z rozporządzeniem Rady Ministrów w sprawie przedsięwzięć mogących znacząco oddziaływać na środowisko oraz inwestycji na obszarach Natura 2000 lub mających na nie wpływ. Ponadto zmiany te nie zmienią obecnie obowiązujących przepisów dotyczących poboru wody.</w:t>
      </w:r>
      <w:r w:rsidR="0099737E">
        <w:rPr>
          <w:rFonts w:ascii="Times New Roman" w:eastAsia="Times New Roman" w:hAnsi="Times New Roman" w:cs="Times New Roman"/>
          <w:color w:val="000000" w:themeColor="text1"/>
          <w:sz w:val="24"/>
          <w:szCs w:val="24"/>
          <w:lang w:val="pl-PL"/>
        </w:rPr>
        <w:t xml:space="preserve"> </w:t>
      </w:r>
    </w:p>
    <w:p w14:paraId="542D6C7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2022 roku.</w:t>
      </w:r>
    </w:p>
    <w:p w14:paraId="58E6DD4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512C12F" w14:textId="77777777" w:rsidR="007C4506" w:rsidRPr="00AF7348" w:rsidRDefault="542D1CF6" w:rsidP="032098B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B3.3.1 Inwestycje w zwiększanie potencjału zrównoważonej gospodarki wodnej na obszarach wiejskich</w:t>
      </w:r>
    </w:p>
    <w:p w14:paraId="0B79D10B" w14:textId="2A42BBA3" w:rsidR="007C4506" w:rsidRPr="00AF7348" w:rsidRDefault="0036482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Celem</w:t>
      </w:r>
      <w:r w:rsidRPr="00AF7348">
        <w:rPr>
          <w:rFonts w:ascii="Times New Roman" w:eastAsia="Times New Roman" w:hAnsi="Times New Roman" w:cs="Times New Roman"/>
          <w:sz w:val="24"/>
          <w:szCs w:val="24"/>
          <w:lang w:val="pl-PL"/>
        </w:rPr>
        <w:t xml:space="preserve"> </w:t>
      </w:r>
      <w:r w:rsidR="542D1CF6" w:rsidRPr="00AF7348">
        <w:rPr>
          <w:rFonts w:ascii="Times New Roman" w:eastAsia="Times New Roman" w:hAnsi="Times New Roman" w:cs="Times New Roman"/>
          <w:sz w:val="24"/>
          <w:szCs w:val="24"/>
          <w:lang w:val="pl-PL"/>
        </w:rPr>
        <w:t>tej inwestycji jest wspieranie inwestycji na obszarach wiejskich w zakresie poprawy gospodarki wodnej oraz efektywnego gospodarowania zasobami.</w:t>
      </w:r>
      <w:r w:rsidR="0099737E">
        <w:rPr>
          <w:rFonts w:ascii="Times New Roman" w:eastAsia="Times New Roman" w:hAnsi="Times New Roman" w:cs="Times New Roman"/>
          <w:sz w:val="24"/>
          <w:szCs w:val="24"/>
          <w:lang w:val="pl-PL"/>
        </w:rPr>
        <w:t xml:space="preserve"> </w:t>
      </w:r>
    </w:p>
    <w:p w14:paraId="4426D676" w14:textId="4CD67B1B" w:rsidR="007C4506" w:rsidRPr="00AF7348" w:rsidRDefault="69427580" w:rsidP="7B41714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przyczyni się do: zwiększenia odporności rolnictwa na suszę i zapobiegania powodziom na obszarach rolniczych; poprawy efektywności wykorzystania wody poprzez właściwe regulowanie stosunków wodnych na obszarach rolniczych i ograniczenie spływu wód, oraz; zwiększenia retencji wody, pod warunkiem że taka potrzeba i jej charakter zostaną odpowiednio uzasadnione. Priorytetem będą rozwiązania odporne na zmiany klimatu i oparte na naturze. Projekty realizowane w ramach tego działania podlegają ocenie oddziaływania na środowisko (OOŚ) i </w:t>
      </w:r>
      <w:r w:rsidR="00B8083C">
        <w:rPr>
          <w:rFonts w:ascii="Times New Roman" w:eastAsia="Times New Roman" w:hAnsi="Times New Roman" w:cs="Times New Roman"/>
          <w:color w:val="000000" w:themeColor="text1"/>
          <w:sz w:val="24"/>
          <w:szCs w:val="24"/>
          <w:lang w:val="pl-PL"/>
        </w:rPr>
        <w:t>będą</w:t>
      </w:r>
      <w:r w:rsidRPr="00AF7348">
        <w:rPr>
          <w:rFonts w:ascii="Times New Roman" w:eastAsia="Times New Roman" w:hAnsi="Times New Roman" w:cs="Times New Roman"/>
          <w:color w:val="000000" w:themeColor="text1"/>
          <w:sz w:val="24"/>
          <w:szCs w:val="24"/>
          <w:lang w:val="pl-PL"/>
        </w:rPr>
        <w:t xml:space="preserve"> zgodne z wymaganiami określonymi w Wytycznych Technicznych Dotyczących Zasady DNSH - Nie Czyń </w:t>
      </w:r>
      <w:r w:rsidR="00364828">
        <w:rPr>
          <w:rFonts w:ascii="Times New Roman" w:eastAsia="Times New Roman" w:hAnsi="Times New Roman" w:cs="Times New Roman"/>
          <w:color w:val="000000" w:themeColor="text1"/>
          <w:sz w:val="24"/>
          <w:szCs w:val="24"/>
          <w:lang w:val="pl-PL"/>
        </w:rPr>
        <w:t>Znaczącej</w:t>
      </w:r>
      <w:r w:rsidR="00364828"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364828">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(2021/C 58/01). </w:t>
      </w:r>
      <w:r w:rsidR="009A15B7">
        <w:rPr>
          <w:rFonts w:ascii="Times New Roman" w:eastAsia="Times New Roman" w:hAnsi="Times New Roman" w:cs="Times New Roman"/>
          <w:color w:val="000000" w:themeColor="text1"/>
          <w:sz w:val="24"/>
          <w:szCs w:val="24"/>
          <w:lang w:val="pl-PL"/>
        </w:rPr>
        <w:t xml:space="preserve">Zostanie </w:t>
      </w:r>
      <w:r w:rsidRPr="00AF7348">
        <w:rPr>
          <w:rFonts w:ascii="Times New Roman" w:eastAsia="Times New Roman" w:hAnsi="Times New Roman" w:cs="Times New Roman"/>
          <w:color w:val="000000" w:themeColor="text1"/>
          <w:sz w:val="24"/>
          <w:szCs w:val="24"/>
          <w:lang w:val="pl-PL"/>
        </w:rPr>
        <w:t>zagwarant</w:t>
      </w:r>
      <w:r w:rsidR="009A15B7">
        <w:rPr>
          <w:rFonts w:ascii="Times New Roman" w:eastAsia="Times New Roman" w:hAnsi="Times New Roman" w:cs="Times New Roman"/>
          <w:color w:val="000000" w:themeColor="text1"/>
          <w:sz w:val="24"/>
          <w:szCs w:val="24"/>
          <w:lang w:val="pl-PL"/>
        </w:rPr>
        <w:t>owana</w:t>
      </w:r>
      <w:r w:rsidRPr="00AF7348">
        <w:rPr>
          <w:rFonts w:ascii="Times New Roman" w:eastAsia="Times New Roman" w:hAnsi="Times New Roman" w:cs="Times New Roman"/>
          <w:color w:val="000000" w:themeColor="text1"/>
          <w:sz w:val="24"/>
          <w:szCs w:val="24"/>
          <w:lang w:val="pl-PL"/>
        </w:rPr>
        <w:t xml:space="preserve"> zgodność z prawodawstwem UE w zakresie ochrony środowiska, w tym z Dyrektywą OOŚ (2011/92/UE) i Ramową Dyrektywą Wodną (</w:t>
      </w:r>
      <w:r w:rsidRPr="00AF7348">
        <w:rPr>
          <w:rFonts w:ascii="Times New Roman" w:eastAsia="Times New Roman" w:hAnsi="Times New Roman" w:cs="Times New Roman"/>
          <w:sz w:val="24"/>
          <w:szCs w:val="24"/>
          <w:lang w:val="pl-PL"/>
        </w:rPr>
        <w:t>2000/60/WE</w:t>
      </w:r>
      <w:r w:rsidRPr="00AF7348">
        <w:rPr>
          <w:rFonts w:ascii="Times New Roman" w:eastAsia="Times New Roman" w:hAnsi="Times New Roman" w:cs="Times New Roman"/>
          <w:color w:val="000000" w:themeColor="text1"/>
          <w:sz w:val="24"/>
          <w:szCs w:val="24"/>
          <w:lang w:val="pl-PL"/>
        </w:rPr>
        <w:t xml:space="preserve">). Wszystkie projekty inwestycyjne finansowane w ramach tego komponentu, które wymagają decyzji OOŚ, muszą być zgodne z Dyrektywą 2011/92/UE zmienioną Dyrektywą 2014/52/UE. W </w:t>
      </w:r>
      <w:r w:rsidRPr="00AF7348">
        <w:rPr>
          <w:rFonts w:ascii="Times New Roman" w:eastAsia="Times New Roman" w:hAnsi="Times New Roman" w:cs="Times New Roman"/>
          <w:color w:val="000000" w:themeColor="text1"/>
          <w:sz w:val="24"/>
          <w:szCs w:val="24"/>
          <w:lang w:val="pl-PL"/>
        </w:rPr>
        <w:lastRenderedPageBreak/>
        <w:t xml:space="preserve">szczególności, wszystkie nowe projekty wymagające OOŚ muszą zostać zatwierdzone zgodnie z ustawą o udostępnianiu informacji o środowisku i jego ochronie, udziale społeczeństwa w ochronie środowiska oraz o ocenach oddziaływania na środowisko, zmienioną ustawą z dnia 30 marca 2021 r. o zmianie tej ustawy oraz niektórych innych ustaw. Postanowienia "Wytycznych w sprawie działań naprawczych w odniesieniu do projektów współfinansowanych z funduszy UE, w których wystąpiło naruszenie </w:t>
      </w:r>
      <w:r w:rsidR="00B8083C">
        <w:rPr>
          <w:rFonts w:ascii="Times New Roman" w:eastAsia="Times New Roman" w:hAnsi="Times New Roman" w:cs="Times New Roman"/>
          <w:color w:val="000000" w:themeColor="text1"/>
          <w:sz w:val="24"/>
          <w:szCs w:val="24"/>
          <w:lang w:val="pl-PL"/>
        </w:rPr>
        <w:t xml:space="preserve">Rozporządzenia Wykonawczego </w:t>
      </w:r>
      <w:r w:rsidRPr="00AF7348">
        <w:rPr>
          <w:rFonts w:ascii="Times New Roman" w:eastAsia="Times New Roman" w:hAnsi="Times New Roman" w:cs="Times New Roman"/>
          <w:color w:val="000000" w:themeColor="text1"/>
          <w:sz w:val="24"/>
          <w:szCs w:val="24"/>
          <w:lang w:val="pl-PL"/>
        </w:rPr>
        <w:t xml:space="preserve">2016/2046", przekazanych Polsce w dniu 23 lutego 2021 r. (sygn. Ares(2021)1423319), uwzględnia się przy realizacji wszystkich przedsięwzięć inwestycyjnych, dla których wystąpiono o wydanie decyzji o środowiskowych uwarunkowaniach lub pozwolenia na budowę lub zagospodarowania terenu przed wejściem w życie ustawy z dnia 30 marca 2021 r. Wspierane </w:t>
      </w:r>
      <w:r w:rsidR="00364828">
        <w:rPr>
          <w:rFonts w:ascii="Times New Roman" w:eastAsia="Times New Roman" w:hAnsi="Times New Roman" w:cs="Times New Roman"/>
          <w:color w:val="000000" w:themeColor="text1"/>
          <w:sz w:val="24"/>
          <w:szCs w:val="24"/>
          <w:lang w:val="pl-PL"/>
        </w:rPr>
        <w:t>będą</w:t>
      </w:r>
      <w:r w:rsidR="00364828"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wyłącznie przedsięwzięcia, które nie prowadzą do pogorszenia stanu wód powierzchniowych i podziemnych oraz nie przeciwdziałają poprawie stanu lub potencjału ekologicznego jednolitych części wód, na które oddziałują. </w:t>
      </w:r>
    </w:p>
    <w:p w14:paraId="032F414F" w14:textId="30E3BE88" w:rsidR="007C4506" w:rsidRPr="00AF7348" w:rsidRDefault="5FFBC238" w:rsidP="00DF0D3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Wszelkie inwestycje mające negatywne skutki dla przyrody zostaną wyłączone ze wsparcia. W przypadku poboru wody, właściwy organ musi wydać odpowiednie pozwolenie, </w:t>
      </w:r>
      <w:r w:rsidR="00DF0D3E">
        <w:rPr>
          <w:rFonts w:ascii="Times New Roman" w:eastAsia="Times New Roman" w:hAnsi="Times New Roman" w:cs="Times New Roman"/>
          <w:color w:val="000000" w:themeColor="text1"/>
          <w:sz w:val="24"/>
          <w:szCs w:val="24"/>
          <w:lang w:val="pl-PL"/>
        </w:rPr>
        <w:t xml:space="preserve">zapewniając aby </w:t>
      </w:r>
      <w:r w:rsidR="00DF0D3E" w:rsidRPr="00DF0D3E">
        <w:rPr>
          <w:rFonts w:ascii="Times New Roman" w:eastAsia="Times New Roman" w:hAnsi="Times New Roman" w:cs="Times New Roman"/>
          <w:color w:val="000000" w:themeColor="text1"/>
          <w:sz w:val="24"/>
          <w:szCs w:val="24"/>
          <w:lang w:val="pl-PL"/>
        </w:rPr>
        <w:t xml:space="preserve">zbiorniki wodne </w:t>
      </w:r>
      <w:r w:rsidR="00DF0D3E">
        <w:rPr>
          <w:rFonts w:ascii="Times New Roman" w:eastAsia="Times New Roman" w:hAnsi="Times New Roman" w:cs="Times New Roman"/>
          <w:color w:val="000000" w:themeColor="text1"/>
          <w:sz w:val="24"/>
          <w:szCs w:val="24"/>
          <w:lang w:val="pl-PL"/>
        </w:rPr>
        <w:t>były</w:t>
      </w:r>
      <w:r w:rsidR="00DF0D3E" w:rsidRPr="00DF0D3E">
        <w:rPr>
          <w:rFonts w:ascii="Times New Roman" w:eastAsia="Times New Roman" w:hAnsi="Times New Roman" w:cs="Times New Roman"/>
          <w:color w:val="000000" w:themeColor="text1"/>
          <w:sz w:val="24"/>
          <w:szCs w:val="24"/>
          <w:lang w:val="pl-PL"/>
        </w:rPr>
        <w:t xml:space="preserve"> w dobrym stanie ekologicznym i określają</w:t>
      </w:r>
      <w:r w:rsidR="00DF0D3E">
        <w:rPr>
          <w:rFonts w:ascii="Times New Roman" w:eastAsia="Times New Roman" w:hAnsi="Times New Roman" w:cs="Times New Roman"/>
          <w:color w:val="000000" w:themeColor="text1"/>
          <w:sz w:val="24"/>
          <w:szCs w:val="24"/>
          <w:lang w:val="pl-PL"/>
        </w:rPr>
        <w:t>c</w:t>
      </w:r>
      <w:r w:rsidR="00DF0D3E" w:rsidRPr="00DF0D3E">
        <w:rPr>
          <w:rFonts w:ascii="Times New Roman" w:eastAsia="Times New Roman" w:hAnsi="Times New Roman" w:cs="Times New Roman"/>
          <w:color w:val="000000" w:themeColor="text1"/>
          <w:sz w:val="24"/>
          <w:szCs w:val="24"/>
          <w:lang w:val="pl-PL"/>
        </w:rPr>
        <w:t xml:space="preserve"> warunki zapobiegające ich pogorszeniu</w:t>
      </w:r>
      <w:r w:rsidR="00DF0D3E">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zgodnie z wymaganiami Dyrektywy 2000/60/WE</w:t>
      </w:r>
      <w:r w:rsidR="00DF0D3E">
        <w:rPr>
          <w:rFonts w:ascii="Times New Roman" w:eastAsia="Times New Roman" w:hAnsi="Times New Roman" w:cs="Times New Roman"/>
          <w:color w:val="000000" w:themeColor="text1"/>
          <w:sz w:val="24"/>
          <w:szCs w:val="24"/>
          <w:lang w:val="pl-PL"/>
        </w:rPr>
        <w:t xml:space="preserve"> oraz technicznymi Wytycznymi w zakresie DNSH</w:t>
      </w:r>
      <w:r w:rsidRPr="00AF7348">
        <w:rPr>
          <w:rFonts w:ascii="Times New Roman" w:eastAsia="Times New Roman" w:hAnsi="Times New Roman" w:cs="Times New Roman"/>
          <w:color w:val="000000" w:themeColor="text1"/>
          <w:sz w:val="24"/>
          <w:szCs w:val="24"/>
          <w:lang w:val="pl-PL"/>
        </w:rPr>
        <w:t xml:space="preserve">, </w:t>
      </w:r>
      <w:r w:rsidR="00DF0D3E">
        <w:rPr>
          <w:rFonts w:ascii="Times New Roman" w:eastAsia="Times New Roman" w:hAnsi="Times New Roman" w:cs="Times New Roman"/>
          <w:color w:val="000000" w:themeColor="text1"/>
          <w:sz w:val="24"/>
          <w:szCs w:val="24"/>
          <w:lang w:val="pl-PL"/>
        </w:rPr>
        <w:t xml:space="preserve">a także </w:t>
      </w:r>
      <w:r w:rsidRPr="00AF7348">
        <w:rPr>
          <w:rFonts w:ascii="Times New Roman" w:eastAsia="Times New Roman" w:hAnsi="Times New Roman" w:cs="Times New Roman"/>
          <w:color w:val="000000" w:themeColor="text1"/>
          <w:sz w:val="24"/>
          <w:szCs w:val="24"/>
          <w:lang w:val="pl-PL"/>
        </w:rPr>
        <w:t xml:space="preserve">potwierdzonymi najnowszymi odnośnymi danymi uzupełniającymi. Należy unikać poboru wody w przypadku, gdy stan lub potencjał danych części wód (powierzchniowych lub gruntowych) jest gorszy niż dobry lub gdy przewiduje się (w kontekście nasilających się zmian klimatu), że będzie on gorszy niż dobry. Podejmowane działania muszą być również zgodne z przepisami Dyrektywy 2009/147/WE w sprawie ochrony dzikiego ptactwa (Dyrektywa Ptasia) oraz Dyrektywy </w:t>
      </w:r>
      <w:r w:rsidR="00381AF5" w:rsidRPr="00381AF5">
        <w:rPr>
          <w:rFonts w:ascii="Times New Roman" w:eastAsia="Times New Roman" w:hAnsi="Times New Roman" w:cs="Times New Roman"/>
          <w:color w:val="000000" w:themeColor="text1"/>
          <w:sz w:val="24"/>
          <w:szCs w:val="24"/>
          <w:lang w:val="pl-PL"/>
        </w:rPr>
        <w:t xml:space="preserve">92/43/EWG </w:t>
      </w:r>
      <w:r w:rsidRPr="00AF7348">
        <w:rPr>
          <w:rFonts w:ascii="Times New Roman" w:eastAsia="Times New Roman" w:hAnsi="Times New Roman" w:cs="Times New Roman"/>
          <w:color w:val="000000" w:themeColor="text1"/>
          <w:sz w:val="24"/>
          <w:szCs w:val="24"/>
          <w:lang w:val="pl-PL"/>
        </w:rPr>
        <w:t>w sprawie ochrony siedlisk przyrodniczych oraz dzikiej fauny i flory (Dyrektywa Siedliskowa).</w:t>
      </w:r>
    </w:p>
    <w:p w14:paraId="4168DB18" w14:textId="1B49D0E7" w:rsidR="007C4506" w:rsidRPr="00AF7348" w:rsidRDefault="4063D489" w:rsidP="7B41714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7D3BEE8F" w14:textId="77777777" w:rsidR="007C4506" w:rsidRPr="00AF7348" w:rsidRDefault="007C4506">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lang w:val="pl-PL"/>
        </w:rPr>
      </w:pPr>
    </w:p>
    <w:p w14:paraId="41437320" w14:textId="77777777" w:rsidR="007C4506" w:rsidRPr="00AF7348" w:rsidRDefault="00B31839">
      <w:pPr>
        <w:pStyle w:val="Normal0"/>
        <w:pBdr>
          <w:top w:val="nil"/>
          <w:left w:val="nil"/>
          <w:bottom w:val="nil"/>
          <w:right w:val="nil"/>
          <w:between w:val="nil"/>
        </w:pBdr>
        <w:spacing w:after="0" w:line="240" w:lineRule="auto"/>
        <w:rPr>
          <w:rFonts w:ascii="Times New Roman" w:eastAsia="Times New Roman" w:hAnsi="Times New Roman" w:cs="Times New Roman"/>
          <w:b/>
          <w:color w:val="006100"/>
          <w:lang w:val="pl-PL"/>
        </w:rPr>
      </w:pPr>
      <w:r w:rsidRPr="00AF7348">
        <w:rPr>
          <w:rFonts w:ascii="Times New Roman" w:eastAsia="Times New Roman" w:hAnsi="Times New Roman" w:cs="Times New Roman"/>
          <w:b/>
          <w:bCs/>
          <w:color w:val="000000"/>
          <w:sz w:val="24"/>
          <w:szCs w:val="24"/>
          <w:u w:val="single"/>
          <w:lang w:val="pl-PL"/>
        </w:rPr>
        <w:t>B3.4 Ramowe warunki dla inwestycji w zieloną transformację na obszarach miejskich</w:t>
      </w:r>
    </w:p>
    <w:p w14:paraId="4A8271D5" w14:textId="2C11445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wspieranie zdolności miast do ustalania priorytetów, planowania, realizacji i finansowania projektów inwestycyjnych mających na celu łagodzenie skutków zmian klimatu i dostosowanie się do nich, zgodnie z Europejskim Zielonym Ładem. Reforma i związane z nią inwestycje mają </w:t>
      </w:r>
      <w:r w:rsidR="00FC74FB">
        <w:rPr>
          <w:rFonts w:ascii="Times New Roman" w:eastAsia="Times New Roman" w:hAnsi="Times New Roman" w:cs="Times New Roman"/>
          <w:color w:val="000000"/>
          <w:sz w:val="24"/>
          <w:szCs w:val="24"/>
          <w:lang w:val="pl-PL"/>
        </w:rPr>
        <w:t>na celu</w:t>
      </w:r>
      <w:r w:rsidRPr="00AF7348">
        <w:rPr>
          <w:rFonts w:ascii="Times New Roman" w:eastAsia="Times New Roman" w:hAnsi="Times New Roman" w:cs="Times New Roman"/>
          <w:color w:val="000000"/>
          <w:sz w:val="24"/>
          <w:szCs w:val="24"/>
          <w:lang w:val="pl-PL"/>
        </w:rPr>
        <w:t xml:space="preserve"> przede wszystkim zwiększenie udziału terenów zielonych w miastach. </w:t>
      </w:r>
    </w:p>
    <w:p w14:paraId="51AD9850" w14:textId="71082DFB"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sz w:val="24"/>
          <w:szCs w:val="24"/>
          <w:lang w:val="pl-PL"/>
        </w:rPr>
        <w:t>Szereg</w:t>
      </w:r>
      <w:r w:rsidRPr="00AF7348">
        <w:rPr>
          <w:rFonts w:ascii="Times New Roman" w:eastAsia="Times New Roman" w:hAnsi="Times New Roman" w:cs="Times New Roman"/>
          <w:color w:val="000000" w:themeColor="text1"/>
          <w:sz w:val="24"/>
          <w:szCs w:val="24"/>
          <w:lang w:val="pl-PL"/>
        </w:rPr>
        <w:t xml:space="preserve"> zmian legislacyjnych zapewni lepsze uwzględnianie aspektów zrównoważonego rozwoju w procedurach planowania miejskiego oraz odpowiednie konsultacje z zainteresowanymi stronami w ramach tych procedur. Ponadto zagwarantuje, że władze lokalne otrzymają odpowiednie wsparcie w zakresie ustalania priorytetów, planowania i realizacji projektów dotyczących łagodzenia skutków zmian klimatu i dostosowywania się do nich. Wymienione elementy regulacyjne oraz dotyczące budowania potencjału należy uzupełnić ustanowieniem specjalnego instrumentu zapewniającego finansowanie inwestycji w zieloną transformację na obszarach miejskich.</w:t>
      </w:r>
    </w:p>
    <w:p w14:paraId="089EA5EC" w14:textId="4572577E" w:rsidR="0E9B6D53" w:rsidRPr="00AF7348" w:rsidRDefault="7C461E41" w:rsidP="28D0ECD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Dla zapewnienia zgodności działania z Wytycznymi Technicznymi Dotyczącymi Zasady DNSH - Nie Czyń </w:t>
      </w:r>
      <w:r w:rsidR="00FC74FB">
        <w:rPr>
          <w:rFonts w:ascii="Times New Roman" w:eastAsia="Times New Roman" w:hAnsi="Times New Roman" w:cs="Times New Roman"/>
          <w:color w:val="000000" w:themeColor="text1"/>
          <w:sz w:val="24"/>
          <w:szCs w:val="24"/>
          <w:lang w:val="pl-PL"/>
        </w:rPr>
        <w:t>Znaczącej</w:t>
      </w:r>
      <w:r w:rsidR="00FC74FB"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FC74FB">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381AF5">
        <w:rPr>
          <w:rFonts w:ascii="Times New Roman" w:eastAsia="Times New Roman" w:hAnsi="Times New Roman" w:cs="Times New Roman"/>
          <w:i/>
          <w:iCs/>
          <w:color w:val="000000" w:themeColor="text1"/>
          <w:sz w:val="24"/>
          <w:szCs w:val="24"/>
          <w:lang w:val="pl-PL"/>
        </w:rPr>
        <w:t xml:space="preserve">DNSH Technical </w:t>
      </w:r>
      <w:proofErr w:type="spellStart"/>
      <w:r w:rsidRPr="00381AF5">
        <w:rPr>
          <w:rFonts w:ascii="Times New Roman" w:eastAsia="Times New Roman" w:hAnsi="Times New Roman" w:cs="Times New Roman"/>
          <w:i/>
          <w:iCs/>
          <w:color w:val="000000" w:themeColor="text1"/>
          <w:sz w:val="24"/>
          <w:szCs w:val="24"/>
          <w:lang w:val="pl-PL"/>
        </w:rPr>
        <w:t>Guidance</w:t>
      </w:r>
      <w:proofErr w:type="spellEnd"/>
      <w:r w:rsidRPr="00381AF5">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kryteria kwalifikowalności zawarte w zakresie wymagań i obowiązków dotyczących przyszłych zaproszeń do składania projektów wykluczają następującą listę działań (i) działalność związana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21"/>
      </w:r>
      <w:r w:rsidRPr="00AF7348">
        <w:rPr>
          <w:rFonts w:ascii="Times New Roman" w:eastAsia="Times New Roman" w:hAnsi="Times New Roman" w:cs="Times New Roman"/>
          <w:color w:val="000000" w:themeColor="text1"/>
          <w:sz w:val="24"/>
          <w:szCs w:val="24"/>
          <w:lang w:val="pl-PL"/>
        </w:rPr>
        <w:t xml:space="preserve">, (ii) działalność w ramach unijnego </w:t>
      </w:r>
      <w:r w:rsidRPr="00AF7348">
        <w:rPr>
          <w:rFonts w:ascii="Times New Roman" w:eastAsia="Times New Roman" w:hAnsi="Times New Roman" w:cs="Times New Roman"/>
          <w:color w:val="000000" w:themeColor="text1"/>
          <w:sz w:val="24"/>
          <w:szCs w:val="24"/>
          <w:lang w:val="pl-PL"/>
        </w:rPr>
        <w:lastRenderedPageBreak/>
        <w:t>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22"/>
      </w:r>
      <w:r w:rsidRPr="00AF7348">
        <w:rPr>
          <w:rFonts w:ascii="Times New Roman" w:eastAsia="Times New Roman" w:hAnsi="Times New Roman" w:cs="Times New Roman"/>
          <w:color w:val="000000" w:themeColor="text1"/>
          <w:sz w:val="24"/>
          <w:szCs w:val="24"/>
          <w:lang w:val="pl-PL"/>
        </w:rPr>
        <w:t>; (iii) działalność związana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23"/>
      </w:r>
      <w:r w:rsidRPr="00AF7348">
        <w:rPr>
          <w:rFonts w:ascii="Times New Roman" w:eastAsia="Times New Roman" w:hAnsi="Times New Roman" w:cs="Times New Roman"/>
          <w:color w:val="000000" w:themeColor="text1"/>
          <w:sz w:val="24"/>
          <w:szCs w:val="24"/>
          <w:lang w:val="pl-PL"/>
        </w:rPr>
        <w:t xml:space="preserve"> i zakładami mechaniczno-biologicznego przetwarzania odpadów</w:t>
      </w:r>
      <w:r w:rsidRPr="00AF7348">
        <w:rPr>
          <w:rStyle w:val="Odwoanieprzypisudolnego"/>
          <w:rFonts w:ascii="Times New Roman" w:eastAsia="Times New Roman" w:hAnsi="Times New Roman" w:cs="Times New Roman"/>
          <w:color w:val="000000" w:themeColor="text1"/>
          <w:sz w:val="24"/>
          <w:szCs w:val="24"/>
          <w:lang w:val="pl-PL"/>
        </w:rPr>
        <w:footnoteReference w:id="24"/>
      </w:r>
      <w:r w:rsidRPr="00AF7348">
        <w:rPr>
          <w:rFonts w:ascii="Times New Roman" w:eastAsia="Times New Roman" w:hAnsi="Times New Roman" w:cs="Times New Roman"/>
          <w:color w:val="000000" w:themeColor="text1"/>
          <w:sz w:val="24"/>
          <w:szCs w:val="24"/>
          <w:lang w:val="pl-PL"/>
        </w:rPr>
        <w:t>; oraz (iv) działalność, w której długotrwał</w:t>
      </w:r>
      <w:r w:rsidR="00FC74F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unieszkodliwiani</w:t>
      </w:r>
      <w:r w:rsidR="00FC74F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odpadów może powodować szkody dla środowiska. Zakres zadań wymaga ponadto, aby wybierane były tylko te rodzaje działalności, które są zgodne z odpowiednimi przepisami unijnymi i krajowymi dotyczącymi ochrony środowiska.</w:t>
      </w:r>
    </w:p>
    <w:p w14:paraId="0224B4F0" w14:textId="77777777" w:rsidR="007C4506" w:rsidRPr="00AF7348" w:rsidRDefault="00B31839">
      <w:pPr>
        <w:pStyle w:val="Normal0"/>
        <w:pBdr>
          <w:top w:val="nil"/>
          <w:left w:val="nil"/>
          <w:bottom w:val="nil"/>
          <w:right w:val="nil"/>
          <w:between w:val="nil"/>
        </w:pBdr>
        <w:spacing w:after="0" w:line="240" w:lineRule="auto"/>
        <w:rPr>
          <w:rFonts w:ascii="Times New Roman" w:eastAsia="Times New Roman" w:hAnsi="Times New Roman" w:cs="Times New Roman"/>
          <w:color w:val="000000"/>
          <w:lang w:val="pl-PL"/>
        </w:rPr>
      </w:pPr>
      <w:r w:rsidRPr="00AF7348">
        <w:rPr>
          <w:rFonts w:ascii="Times New Roman" w:eastAsia="Times New Roman" w:hAnsi="Times New Roman" w:cs="Times New Roman"/>
          <w:color w:val="000000" w:themeColor="text1"/>
          <w:sz w:val="24"/>
          <w:szCs w:val="24"/>
          <w:lang w:val="pl-PL"/>
        </w:rPr>
        <w:t>Zmiany legislacyjne ułatwiające realizację zielonych inwestycji miejskich wejdą w życie do 31 grudnia 2023 roku. Fundusz na rzecz zielonej transformacji miast (</w:t>
      </w:r>
      <w:r w:rsidRPr="00381AF5">
        <w:rPr>
          <w:rFonts w:ascii="Times New Roman" w:eastAsia="Times New Roman" w:hAnsi="Times New Roman" w:cs="Times New Roman"/>
          <w:i/>
          <w:iCs/>
          <w:color w:val="000000" w:themeColor="text1"/>
          <w:sz w:val="24"/>
          <w:szCs w:val="24"/>
          <w:lang w:val="pl-PL"/>
        </w:rPr>
        <w:t xml:space="preserve">Green Urban </w:t>
      </w:r>
      <w:proofErr w:type="spellStart"/>
      <w:r w:rsidRPr="00381AF5">
        <w:rPr>
          <w:rFonts w:ascii="Times New Roman" w:eastAsia="Times New Roman" w:hAnsi="Times New Roman" w:cs="Times New Roman"/>
          <w:i/>
          <w:iCs/>
          <w:color w:val="000000" w:themeColor="text1"/>
          <w:sz w:val="24"/>
          <w:szCs w:val="24"/>
          <w:lang w:val="pl-PL"/>
        </w:rPr>
        <w:t>Transition</w:t>
      </w:r>
      <w:proofErr w:type="spellEnd"/>
      <w:r w:rsidRPr="00381AF5">
        <w:rPr>
          <w:rFonts w:ascii="Times New Roman" w:eastAsia="Times New Roman" w:hAnsi="Times New Roman" w:cs="Times New Roman"/>
          <w:i/>
          <w:iCs/>
          <w:color w:val="000000" w:themeColor="text1"/>
          <w:sz w:val="24"/>
          <w:szCs w:val="24"/>
          <w:lang w:val="pl-PL"/>
        </w:rPr>
        <w:t xml:space="preserve"> Fund</w:t>
      </w:r>
      <w:r w:rsidRPr="00AF7348">
        <w:rPr>
          <w:rFonts w:ascii="Times New Roman" w:eastAsia="Times New Roman" w:hAnsi="Times New Roman" w:cs="Times New Roman"/>
          <w:color w:val="000000" w:themeColor="text1"/>
          <w:sz w:val="24"/>
          <w:szCs w:val="24"/>
          <w:lang w:val="pl-PL"/>
        </w:rPr>
        <w:t xml:space="preserve">) zostanie utworzony do 30 czerwca 2022 roku. </w:t>
      </w:r>
    </w:p>
    <w:p w14:paraId="4E8EDCC8" w14:textId="77777777" w:rsidR="00636FE5" w:rsidRPr="00AF7348" w:rsidRDefault="00636FE5" w:rsidP="009D34ED">
      <w:pPr>
        <w:pStyle w:val="Normal0"/>
        <w:pBdr>
          <w:top w:val="nil"/>
          <w:left w:val="nil"/>
          <w:bottom w:val="nil"/>
          <w:right w:val="nil"/>
          <w:between w:val="nil"/>
        </w:pBdr>
        <w:spacing w:line="240" w:lineRule="auto"/>
        <w:rPr>
          <w:rFonts w:ascii="Times New Roman" w:eastAsia="Times New Roman" w:hAnsi="Times New Roman" w:cs="Times New Roman"/>
          <w:b/>
          <w:color w:val="000000"/>
          <w:sz w:val="24"/>
          <w:szCs w:val="24"/>
          <w:u w:val="single"/>
          <w:lang w:val="pl-PL"/>
        </w:rPr>
      </w:pPr>
    </w:p>
    <w:p w14:paraId="17D90299" w14:textId="4E935DBB" w:rsidR="007C4506" w:rsidRPr="00AF7348" w:rsidRDefault="00B31839" w:rsidP="009D34ED">
      <w:pPr>
        <w:pStyle w:val="Normal0"/>
        <w:pBdr>
          <w:top w:val="nil"/>
          <w:left w:val="nil"/>
          <w:bottom w:val="nil"/>
          <w:right w:val="nil"/>
          <w:between w:val="nil"/>
        </w:pBdr>
        <w:spacing w:line="240" w:lineRule="auto"/>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B3.4.1 Inwestycje na rzecz zielonej transformacji miast</w:t>
      </w:r>
    </w:p>
    <w:p w14:paraId="4C99C74E" w14:textId="067FAA6D" w:rsidR="007C4506" w:rsidRPr="00AF7348" w:rsidRDefault="00FC74FB">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16DAD562" w:rsidRPr="00AF7348">
        <w:rPr>
          <w:rFonts w:ascii="Times New Roman" w:eastAsia="Times New Roman" w:hAnsi="Times New Roman" w:cs="Times New Roman"/>
          <w:color w:val="000000" w:themeColor="text1"/>
          <w:sz w:val="24"/>
          <w:szCs w:val="24"/>
          <w:lang w:val="pl-PL"/>
        </w:rPr>
        <w:t xml:space="preserve">tej inwestycji jest złagodzenie wpływu miast na zmiany klimatu i zdrowie ich mieszkańców dzięki zmniejszeniu emisji gazów cieplarnianych i innych zanieczyszczeń. Drugim celem jest dostosowanie miast do coraz częstszych ekstremalnych warunków pogodowych związanych ze zmianą klimatu, takich jak susze, okresy upałów czy powodzie. </w:t>
      </w:r>
    </w:p>
    <w:p w14:paraId="69E2BB2B"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4AE1EB5F" w14:textId="626A9E31"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Pierwszy cel zostanie osiągnięty poprzez projekty inwestycyjne zwiększające wykorzystanie w miastach OZE oraz podnoszące efektywność energetyczną, rozwijające zeroemisyjną infrastrukturę transportową (pieszą, rowerową) zintegrowaną z transportem zbiorowym, a także edukujące i podnoszące świadomość mieszkańców co do konieczności przekształcania miast w kierunku neutralności klimatycznej, w ramach adaptacji do zmian klimatu. Drugi z tych celów będzie realizowany poprzez projekty inwestycyjne mające na celu zwiększanie powierzchni biologicznie czynnych na obszarach miejskich i funkcjonalnych oraz zmniejszanie zasklepiania gleby, a także poprzez inwestycje miejskie w przyrodę wraz z towarzyszącymi im rozwiązaniami z zakresu ochrony roślin. </w:t>
      </w:r>
    </w:p>
    <w:p w14:paraId="1A72EF58" w14:textId="6E9EBAC2" w:rsidR="28A270B3" w:rsidRPr="00AF7348" w:rsidRDefault="104CB82A" w:rsidP="28D0ECD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Dla zapewnienia zgodności działania z Wytycznymi Technicznymi Dotyczącymi Zasady DNSH - Nie Czyń </w:t>
      </w:r>
      <w:r w:rsidR="00FC74FB">
        <w:rPr>
          <w:rFonts w:ascii="Times New Roman" w:eastAsia="Times New Roman" w:hAnsi="Times New Roman" w:cs="Times New Roman"/>
          <w:color w:val="000000" w:themeColor="text1"/>
          <w:sz w:val="24"/>
          <w:szCs w:val="24"/>
          <w:lang w:val="pl-PL"/>
        </w:rPr>
        <w:t>Znaczącej</w:t>
      </w:r>
      <w:r w:rsidR="00FC74FB"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Szk</w:t>
      </w:r>
      <w:r w:rsidR="00FC74FB">
        <w:rPr>
          <w:rFonts w:ascii="Times New Roman" w:eastAsia="Times New Roman" w:hAnsi="Times New Roman" w:cs="Times New Roman"/>
          <w:color w:val="000000" w:themeColor="text1"/>
          <w:sz w:val="24"/>
          <w:szCs w:val="24"/>
          <w:lang w:val="pl-PL"/>
        </w:rPr>
        <w:t>ody</w:t>
      </w:r>
      <w:r w:rsidRPr="00AF7348">
        <w:rPr>
          <w:rFonts w:ascii="Times New Roman" w:eastAsia="Times New Roman" w:hAnsi="Times New Roman" w:cs="Times New Roman"/>
          <w:color w:val="000000" w:themeColor="text1"/>
          <w:sz w:val="24"/>
          <w:szCs w:val="24"/>
          <w:lang w:val="pl-PL"/>
        </w:rPr>
        <w:t xml:space="preserve"> (</w:t>
      </w:r>
      <w:r w:rsidRPr="00381AF5">
        <w:rPr>
          <w:rFonts w:ascii="Times New Roman" w:eastAsia="Times New Roman" w:hAnsi="Times New Roman" w:cs="Times New Roman"/>
          <w:i/>
          <w:iCs/>
          <w:color w:val="000000" w:themeColor="text1"/>
          <w:sz w:val="24"/>
          <w:szCs w:val="24"/>
          <w:lang w:val="pl-PL"/>
        </w:rPr>
        <w:t xml:space="preserve">DNSH Technical </w:t>
      </w:r>
      <w:proofErr w:type="spellStart"/>
      <w:r w:rsidRPr="00381AF5">
        <w:rPr>
          <w:rFonts w:ascii="Times New Roman" w:eastAsia="Times New Roman" w:hAnsi="Times New Roman" w:cs="Times New Roman"/>
          <w:i/>
          <w:iCs/>
          <w:color w:val="000000" w:themeColor="text1"/>
          <w:sz w:val="24"/>
          <w:szCs w:val="24"/>
          <w:lang w:val="pl-PL"/>
        </w:rPr>
        <w:t>Guidance</w:t>
      </w:r>
      <w:proofErr w:type="spellEnd"/>
      <w:r w:rsidRPr="00381AF5">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kryteria kwalifikowalności zawarte w zakresie wymagań i obowiązków dotyczących przyszłych zaproszeń do składania projektów wykluczają następującą listę działań (i) działalność związana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25"/>
      </w:r>
      <w:r w:rsidRPr="00AF7348">
        <w:rPr>
          <w:rFonts w:ascii="Times New Roman" w:eastAsia="Times New Roman" w:hAnsi="Times New Roman" w:cs="Times New Roman"/>
          <w:color w:val="000000" w:themeColor="text1"/>
          <w:sz w:val="24"/>
          <w:szCs w:val="24"/>
          <w:lang w:val="pl-PL"/>
        </w:rPr>
        <w:t xml:space="preserve">, (ii) działalność w ramach unijnego </w:t>
      </w:r>
      <w:r w:rsidRPr="00AF7348">
        <w:rPr>
          <w:rFonts w:ascii="Times New Roman" w:eastAsia="Times New Roman" w:hAnsi="Times New Roman" w:cs="Times New Roman"/>
          <w:color w:val="000000" w:themeColor="text1"/>
          <w:sz w:val="24"/>
          <w:szCs w:val="24"/>
          <w:lang w:val="pl-PL"/>
        </w:rPr>
        <w:lastRenderedPageBreak/>
        <w:t>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26"/>
      </w:r>
      <w:r w:rsidRPr="00AF7348">
        <w:rPr>
          <w:rFonts w:ascii="Times New Roman" w:eastAsia="Times New Roman" w:hAnsi="Times New Roman" w:cs="Times New Roman"/>
          <w:color w:val="000000" w:themeColor="text1"/>
          <w:sz w:val="24"/>
          <w:szCs w:val="24"/>
          <w:lang w:val="pl-PL"/>
        </w:rPr>
        <w:t>; (iii) działalność związana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27"/>
      </w:r>
      <w:r w:rsidRPr="00AF7348">
        <w:rPr>
          <w:rFonts w:ascii="Times New Roman" w:eastAsia="Times New Roman" w:hAnsi="Times New Roman" w:cs="Times New Roman"/>
          <w:color w:val="000000" w:themeColor="text1"/>
          <w:sz w:val="24"/>
          <w:szCs w:val="24"/>
          <w:lang w:val="pl-PL"/>
        </w:rPr>
        <w:t xml:space="preserve"> i zakładami mechaniczno-biologicznego przetwarzania odpadów</w:t>
      </w:r>
      <w:r w:rsidRPr="00AF7348">
        <w:rPr>
          <w:rStyle w:val="Odwoanieprzypisudolnego"/>
          <w:rFonts w:ascii="Times New Roman" w:eastAsia="Times New Roman" w:hAnsi="Times New Roman" w:cs="Times New Roman"/>
          <w:color w:val="000000" w:themeColor="text1"/>
          <w:sz w:val="24"/>
          <w:szCs w:val="24"/>
          <w:lang w:val="pl-PL"/>
        </w:rPr>
        <w:footnoteReference w:id="28"/>
      </w:r>
      <w:r w:rsidRPr="00AF7348">
        <w:rPr>
          <w:rFonts w:ascii="Times New Roman" w:eastAsia="Times New Roman" w:hAnsi="Times New Roman" w:cs="Times New Roman"/>
          <w:color w:val="000000" w:themeColor="text1"/>
          <w:sz w:val="24"/>
          <w:szCs w:val="24"/>
          <w:lang w:val="pl-PL"/>
        </w:rPr>
        <w:t>; oraz (iv) działalność, w której długotrwał</w:t>
      </w:r>
      <w:r w:rsidR="00FC74F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w:t>
      </w:r>
      <w:r w:rsidR="00FC74FB">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unieszkodliwiani</w:t>
      </w:r>
      <w:r w:rsidR="00FC74F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odpadów może powodować szkody dla środowiska. Zakres zadań wymaga ponadto, aby wybierane były tylko te rodzaje działalności, które są zgodne z odpowiednimi przepisami unijnymi i krajowymi dotyczącymi ochrony środowiska.</w:t>
      </w:r>
    </w:p>
    <w:p w14:paraId="576C7DE6" w14:textId="5084248F" w:rsidR="00636FE5" w:rsidRPr="00BF27A8" w:rsidRDefault="66E7BAD6" w:rsidP="00BF27A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Wszystkie kontrakty na realizację wymienionych inwestycji zostaną przyznane do dnia 31 grudnia 2025 r. Do monitorowania realizacji tych inwestycji w odniesieniu do celów określonych powyżej zostaną ustanowione odpowiednie wskaźniki produktu i/lub rezultatu.</w:t>
      </w:r>
      <w:r w:rsidR="0099737E">
        <w:rPr>
          <w:rFonts w:ascii="Times New Roman" w:eastAsia="Times New Roman" w:hAnsi="Times New Roman" w:cs="Times New Roman"/>
          <w:color w:val="000000" w:themeColor="text1"/>
          <w:sz w:val="24"/>
          <w:szCs w:val="24"/>
          <w:lang w:val="pl-PL"/>
        </w:rPr>
        <w:t xml:space="preserve"> </w:t>
      </w:r>
    </w:p>
    <w:p w14:paraId="43CF214C" w14:textId="77777777" w:rsidR="00636FE5" w:rsidRPr="00AF7348" w:rsidRDefault="00636FE5" w:rsidP="28D0ECD1">
      <w:pPr>
        <w:pStyle w:val="Normal0"/>
        <w:pBdr>
          <w:top w:val="nil"/>
          <w:left w:val="nil"/>
          <w:bottom w:val="nil"/>
          <w:right w:val="nil"/>
          <w:between w:val="nil"/>
        </w:pBdr>
        <w:spacing w:line="240" w:lineRule="auto"/>
        <w:jc w:val="both"/>
        <w:rPr>
          <w:rFonts w:ascii="Times New Roman" w:eastAsia="Times New Roman" w:hAnsi="Times New Roman" w:cs="Times New Roman"/>
          <w:b/>
          <w:bCs/>
          <w:color w:val="000000" w:themeColor="text1"/>
          <w:sz w:val="24"/>
          <w:szCs w:val="24"/>
          <w:u w:val="single"/>
          <w:lang w:val="pl-PL"/>
        </w:rPr>
      </w:pPr>
    </w:p>
    <w:p w14:paraId="6FAC569F" w14:textId="77777777" w:rsidR="007C4506" w:rsidRPr="00AF7348" w:rsidRDefault="330F7127" w:rsidP="28D0ECD1">
      <w:pPr>
        <w:pStyle w:val="Normal0"/>
        <w:pBdr>
          <w:top w:val="nil"/>
          <w:left w:val="nil"/>
          <w:bottom w:val="nil"/>
          <w:right w:val="nil"/>
          <w:between w:val="nil"/>
        </w:pBdr>
        <w:spacing w:line="240" w:lineRule="auto"/>
        <w:jc w:val="both"/>
        <w:rPr>
          <w:rFonts w:ascii="Times New Roman" w:eastAsia="Times New Roman" w:hAnsi="Times New Roman" w:cs="Times New Roman"/>
          <w:b/>
          <w:bCs/>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B3.5 Reforma budownictwa mieszkaniowego dla gospodarstw domowych o niskich i średnich dochodach, uwzględniająca wyższą efektywność energetyczną budynków</w:t>
      </w:r>
    </w:p>
    <w:p w14:paraId="48BCAD5B" w14:textId="77777777" w:rsidR="007C4506" w:rsidRPr="00AF7348" w:rsidRDefault="330F7127" w:rsidP="28D0ECD1">
      <w:pPr>
        <w:pStyle w:val="Norm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zwiększenie podaży energooszczędnych obiektów mieszkalnych dla gospodarstw domowych o niskich i średnich dochodach. </w:t>
      </w:r>
    </w:p>
    <w:p w14:paraId="52394D37" w14:textId="55B7A0CC" w:rsidR="007C4506" w:rsidRPr="00AF7348" w:rsidRDefault="330F7127" w:rsidP="28D0ECD1">
      <w:pPr>
        <w:pStyle w:val="Norm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Cel ten zostanie osiągnięty poprzez zwiększenie poziomu współfinansowania ze środków publicznych budynków spełniających standardy efektywności energetycznej, o 20% bardziej ambitne niż minimalny standard efektywności energetycznej obowiązujący w Polsce (standard dla budynków o niemal </w:t>
      </w:r>
      <w:r w:rsidR="00AF7348" w:rsidRPr="00AF7348">
        <w:rPr>
          <w:rFonts w:ascii="Times New Roman" w:eastAsia="Times New Roman" w:hAnsi="Times New Roman" w:cs="Times New Roman"/>
          <w:color w:val="000000" w:themeColor="text1"/>
          <w:sz w:val="24"/>
          <w:szCs w:val="24"/>
          <w:lang w:val="pl-PL"/>
        </w:rPr>
        <w:t>zerowym</w:t>
      </w:r>
      <w:r w:rsidRPr="00AF7348">
        <w:rPr>
          <w:rFonts w:ascii="Times New Roman" w:eastAsia="Times New Roman" w:hAnsi="Times New Roman" w:cs="Times New Roman"/>
          <w:color w:val="000000" w:themeColor="text1"/>
          <w:sz w:val="24"/>
          <w:szCs w:val="24"/>
          <w:lang w:val="pl-PL"/>
        </w:rPr>
        <w:t xml:space="preserve"> zużyciu energii, </w:t>
      </w:r>
      <w:r w:rsidRPr="00AF7348">
        <w:rPr>
          <w:rFonts w:ascii="Times New Roman" w:eastAsia="Times New Roman" w:hAnsi="Times New Roman" w:cs="Times New Roman"/>
          <w:i/>
          <w:iCs/>
          <w:color w:val="000000" w:themeColor="text1"/>
          <w:sz w:val="24"/>
          <w:szCs w:val="24"/>
          <w:lang w:val="pl-PL"/>
        </w:rPr>
        <w:t xml:space="preserve">NZEB - </w:t>
      </w:r>
      <w:proofErr w:type="spellStart"/>
      <w:r w:rsidRPr="00AF7348">
        <w:rPr>
          <w:rFonts w:ascii="Times New Roman" w:eastAsia="Times New Roman" w:hAnsi="Times New Roman" w:cs="Times New Roman"/>
          <w:i/>
          <w:iCs/>
          <w:color w:val="000000" w:themeColor="text1"/>
          <w:sz w:val="24"/>
          <w:szCs w:val="24"/>
          <w:lang w:val="pl-PL"/>
        </w:rPr>
        <w:t>Nearly</w:t>
      </w:r>
      <w:proofErr w:type="spellEnd"/>
      <w:r w:rsidRPr="00AF7348">
        <w:rPr>
          <w:rFonts w:ascii="Times New Roman" w:eastAsia="Times New Roman" w:hAnsi="Times New Roman" w:cs="Times New Roman"/>
          <w:i/>
          <w:iCs/>
          <w:color w:val="000000" w:themeColor="text1"/>
          <w:sz w:val="24"/>
          <w:szCs w:val="24"/>
          <w:lang w:val="pl-PL"/>
        </w:rPr>
        <w:t xml:space="preserve">-Zero Energy </w:t>
      </w:r>
      <w:proofErr w:type="spellStart"/>
      <w:r w:rsidRPr="00AF7348">
        <w:rPr>
          <w:rFonts w:ascii="Times New Roman" w:eastAsia="Times New Roman" w:hAnsi="Times New Roman" w:cs="Times New Roman"/>
          <w:i/>
          <w:iCs/>
          <w:color w:val="000000" w:themeColor="text1"/>
          <w:sz w:val="24"/>
          <w:szCs w:val="24"/>
          <w:lang w:val="pl-PL"/>
        </w:rPr>
        <w:t>Buildings</w:t>
      </w:r>
      <w:proofErr w:type="spellEnd"/>
      <w:r w:rsidRPr="00AF7348">
        <w:rPr>
          <w:rFonts w:ascii="Times New Roman" w:eastAsia="Times New Roman" w:hAnsi="Times New Roman" w:cs="Times New Roman"/>
          <w:color w:val="000000" w:themeColor="text1"/>
          <w:sz w:val="24"/>
          <w:szCs w:val="24"/>
          <w:lang w:val="pl-PL"/>
        </w:rPr>
        <w:t>).</w:t>
      </w:r>
    </w:p>
    <w:p w14:paraId="3E9A3B99" w14:textId="70C983CA" w:rsidR="007C4506" w:rsidRPr="00AF7348" w:rsidRDefault="4F6BE6A3" w:rsidP="28D0ECD1">
      <w:pPr>
        <w:pStyle w:val="Norm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Wdrażanie reformy zostanie zakończone do 30 czerwca 2022 roku. </w:t>
      </w:r>
    </w:p>
    <w:p w14:paraId="0D142F6F" w14:textId="77777777" w:rsidR="007C4506" w:rsidRPr="00AF7348" w:rsidRDefault="007C4506" w:rsidP="28D0ECD1">
      <w:pPr>
        <w:pStyle w:val="Norm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lang w:val="pl-PL"/>
        </w:rPr>
      </w:pPr>
    </w:p>
    <w:p w14:paraId="544D80EE" w14:textId="77777777" w:rsidR="007C4506" w:rsidRPr="00AF7348" w:rsidRDefault="110E162E"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B3.5.1 Inwestycje w energooszczędne budownictwo mieszkaniowe dla gospodarstw domowych o niskich i średnich dochodach </w:t>
      </w:r>
    </w:p>
    <w:p w14:paraId="0F46A54D" w14:textId="5A6F9C5C" w:rsidR="007C4506" w:rsidRPr="00AF7348" w:rsidRDefault="00FC74FB">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w:t>
      </w:r>
      <w:r w:rsidR="110E162E" w:rsidRPr="00AF7348">
        <w:rPr>
          <w:rFonts w:ascii="Times New Roman" w:eastAsia="Times New Roman" w:hAnsi="Times New Roman" w:cs="Times New Roman"/>
          <w:color w:val="000000" w:themeColor="text1"/>
          <w:sz w:val="24"/>
          <w:szCs w:val="24"/>
          <w:lang w:val="pl-PL"/>
        </w:rPr>
        <w:t>tej inwestycji jest zwiększenie podaży energooszczędnych obiektów mieszkalnych dla gospodarstw domowych o niskich i średnich dochodach.</w:t>
      </w:r>
    </w:p>
    <w:p w14:paraId="671E5740" w14:textId="2F86E8E6" w:rsidR="007C4506" w:rsidRPr="00AF7348" w:rsidRDefault="5CC36EF3">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Inwestycje będą wspierać tworzenie lokali mieszkalnych wchodzących w skład komunalnych zasobów mieszkaniowych, mieszkań tymczasowych, noclegowni, schronisk dla bezdomnych, pomieszczeń tymczasowych. Będą także wspierać udział gminy lub związku międzygminnego </w:t>
      </w:r>
      <w:r w:rsidRPr="00AF7348">
        <w:rPr>
          <w:rFonts w:ascii="Times New Roman" w:eastAsia="Times New Roman" w:hAnsi="Times New Roman" w:cs="Times New Roman"/>
          <w:color w:val="000000" w:themeColor="text1"/>
          <w:sz w:val="24"/>
          <w:szCs w:val="24"/>
          <w:lang w:val="pl-PL"/>
        </w:rPr>
        <w:lastRenderedPageBreak/>
        <w:t xml:space="preserve">w projekcie innego inwestora, polegającym na tworzeniu lokali mieszkalnych na wynajem dla osób o niskich dochodach, których nie stać na mieszkanie na rynku prywatnym. </w:t>
      </w:r>
    </w:p>
    <w:p w14:paraId="60923F17" w14:textId="77777777" w:rsidR="004C6EEE" w:rsidRPr="00AF7348" w:rsidRDefault="3B2F9BC6">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Realizowane będą inwestycje polegające na budowie niskoemisyjnych wielorodzinnych budynków mieszkalnych z wykorzystaniem instalacji OZE (w tym w szczególności paneli fotowoltaicznych, kolektorów słonecznych) oraz innych "zielonych" rozwiązań zwiększających efektywność energetyczną budynków. Zużycie energii w budynkach objętych wsparciem będzie o 20% niższe niż minimalny standard efektywności energetycznej (budynek o niemal zerowym zużyciu energii) dla nowych budynków. </w:t>
      </w:r>
    </w:p>
    <w:p w14:paraId="6DD44305" w14:textId="77777777" w:rsidR="007C4506" w:rsidRPr="00AF7348" w:rsidRDefault="00B31839">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4475AD14" w14:textId="77777777" w:rsidR="00212550" w:rsidRPr="00AF7348" w:rsidRDefault="00212550" w:rsidP="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212550" w:rsidRPr="00AF7348">
          <w:headerReference w:type="even" r:id="rId45"/>
          <w:headerReference w:type="default" r:id="rId46"/>
          <w:footerReference w:type="even" r:id="rId47"/>
          <w:footerReference w:type="default" r:id="rId48"/>
          <w:headerReference w:type="first" r:id="rId49"/>
          <w:footerReference w:type="first" r:id="rId50"/>
          <w:pgSz w:w="11907" w:h="16839"/>
          <w:pgMar w:top="1134" w:right="1417" w:bottom="1134" w:left="1417" w:header="709" w:footer="709" w:gutter="0"/>
          <w:cols w:space="720"/>
        </w:sectPr>
      </w:pPr>
    </w:p>
    <w:p w14:paraId="21C59F93" w14:textId="06CE673E" w:rsidR="007C4506" w:rsidRDefault="0033239E"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B.4.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 xml:space="preserve">Kamienie milowe, </w:t>
      </w:r>
      <w:r w:rsidR="00FC74FB">
        <w:rPr>
          <w:rFonts w:ascii="Times New Roman" w:eastAsia="Times New Roman" w:hAnsi="Times New Roman" w:cs="Times New Roman"/>
          <w:b/>
          <w:bCs/>
          <w:color w:val="000000"/>
          <w:sz w:val="24"/>
          <w:szCs w:val="24"/>
          <w:lang w:val="pl-PL"/>
        </w:rPr>
        <w:t>cele</w:t>
      </w:r>
      <w:r w:rsidRPr="00AF7348">
        <w:rPr>
          <w:rFonts w:ascii="Times New Roman" w:eastAsia="Times New Roman" w:hAnsi="Times New Roman" w:cs="Times New Roman"/>
          <w:b/>
          <w:bCs/>
          <w:color w:val="000000"/>
          <w:sz w:val="24"/>
          <w:szCs w:val="24"/>
          <w:lang w:val="pl-PL"/>
        </w:rPr>
        <w:t>, wskaźniki i harmonogram monitorowania i realizacji na potrzeby wsparcia finansowego w formie pożyczki</w:t>
      </w:r>
    </w:p>
    <w:tbl>
      <w:tblPr>
        <w:tblW w:w="15593" w:type="dxa"/>
        <w:tblInd w:w="-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0"/>
        <w:gridCol w:w="1844"/>
        <w:gridCol w:w="992"/>
        <w:gridCol w:w="1984"/>
        <w:gridCol w:w="2268"/>
        <w:gridCol w:w="851"/>
        <w:gridCol w:w="992"/>
        <w:gridCol w:w="992"/>
        <w:gridCol w:w="568"/>
        <w:gridCol w:w="709"/>
        <w:gridCol w:w="3543"/>
      </w:tblGrid>
      <w:tr w:rsidR="001052B5" w:rsidRPr="001F52AF" w14:paraId="4BDFCE28" w14:textId="77777777" w:rsidTr="00A20CA7">
        <w:trPr>
          <w:trHeight w:val="939"/>
        </w:trPr>
        <w:tc>
          <w:tcPr>
            <w:tcW w:w="849" w:type="dxa"/>
            <w:vMerge w:val="restart"/>
            <w:shd w:val="clear" w:color="auto" w:fill="BDD7EE"/>
            <w:vAlign w:val="center"/>
          </w:tcPr>
          <w:p w14:paraId="37C1CE04"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Sequential Number</w:t>
            </w:r>
          </w:p>
        </w:tc>
        <w:tc>
          <w:tcPr>
            <w:tcW w:w="1845" w:type="dxa"/>
            <w:vMerge w:val="restart"/>
            <w:shd w:val="clear" w:color="auto" w:fill="BDD7EE"/>
            <w:vAlign w:val="center"/>
          </w:tcPr>
          <w:p w14:paraId="21094626"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Related Measure (Reform or Investment)</w:t>
            </w:r>
          </w:p>
        </w:tc>
        <w:tc>
          <w:tcPr>
            <w:tcW w:w="992" w:type="dxa"/>
            <w:vMerge w:val="restart"/>
            <w:shd w:val="clear" w:color="auto" w:fill="BDD7EE"/>
            <w:vAlign w:val="center"/>
          </w:tcPr>
          <w:p w14:paraId="7BD4D959"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Milestone / Target</w:t>
            </w:r>
          </w:p>
        </w:tc>
        <w:tc>
          <w:tcPr>
            <w:tcW w:w="1984" w:type="dxa"/>
            <w:vMerge w:val="restart"/>
            <w:shd w:val="clear" w:color="auto" w:fill="BDD7EE"/>
            <w:vAlign w:val="center"/>
          </w:tcPr>
          <w:p w14:paraId="2FA3185B"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Name</w:t>
            </w:r>
          </w:p>
        </w:tc>
        <w:tc>
          <w:tcPr>
            <w:tcW w:w="2268" w:type="dxa"/>
            <w:vMerge w:val="restart"/>
            <w:shd w:val="clear" w:color="auto" w:fill="BDD7EE"/>
            <w:vAlign w:val="center"/>
          </w:tcPr>
          <w:p w14:paraId="1EEA19A0"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Qualitative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milestones)</w:t>
            </w:r>
          </w:p>
        </w:tc>
        <w:tc>
          <w:tcPr>
            <w:tcW w:w="2834" w:type="dxa"/>
            <w:gridSpan w:val="3"/>
            <w:shd w:val="clear" w:color="auto" w:fill="BDD7EE"/>
            <w:vAlign w:val="center"/>
          </w:tcPr>
          <w:p w14:paraId="15E5DC4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Quantitative indicators </w:t>
            </w:r>
            <w:r w:rsidRPr="001F52AF">
              <w:rPr>
                <w:rFonts w:ascii="Times New Roman" w:eastAsia="Times New Roman" w:hAnsi="Times New Roman" w:cs="Times New Roman"/>
                <w:sz w:val="18"/>
                <w:szCs w:val="18"/>
              </w:rPr>
              <w:br/>
            </w:r>
            <w:r w:rsidRPr="001F52AF">
              <w:rPr>
                <w:rFonts w:ascii="Times New Roman" w:eastAsia="Times New Roman" w:hAnsi="Times New Roman" w:cs="Times New Roman"/>
                <w:b/>
                <w:sz w:val="18"/>
                <w:szCs w:val="18"/>
              </w:rPr>
              <w:t>(for targets)</w:t>
            </w:r>
          </w:p>
        </w:tc>
        <w:tc>
          <w:tcPr>
            <w:tcW w:w="1277" w:type="dxa"/>
            <w:gridSpan w:val="2"/>
            <w:shd w:val="clear" w:color="auto" w:fill="BDD7EE"/>
            <w:vAlign w:val="center"/>
          </w:tcPr>
          <w:p w14:paraId="2E415343"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Indicative timeline for completion </w:t>
            </w:r>
          </w:p>
        </w:tc>
        <w:tc>
          <w:tcPr>
            <w:tcW w:w="3544" w:type="dxa"/>
            <w:vMerge w:val="restart"/>
            <w:shd w:val="clear" w:color="auto" w:fill="BDD7EE"/>
            <w:vAlign w:val="center"/>
          </w:tcPr>
          <w:p w14:paraId="1B23EA4A"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Description of each milestone and target</w:t>
            </w:r>
          </w:p>
        </w:tc>
      </w:tr>
      <w:tr w:rsidR="001052B5" w:rsidRPr="001F52AF" w14:paraId="72EAA84E" w14:textId="77777777" w:rsidTr="00A20CA7">
        <w:trPr>
          <w:trHeight w:val="1027"/>
        </w:trPr>
        <w:tc>
          <w:tcPr>
            <w:tcW w:w="849" w:type="dxa"/>
            <w:vMerge/>
            <w:vAlign w:val="center"/>
          </w:tcPr>
          <w:p w14:paraId="63F4B3FD"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845" w:type="dxa"/>
            <w:vMerge/>
            <w:vAlign w:val="center"/>
          </w:tcPr>
          <w:p w14:paraId="3DA9DA7C"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992" w:type="dxa"/>
            <w:vMerge/>
            <w:vAlign w:val="center"/>
          </w:tcPr>
          <w:p w14:paraId="382F9E44"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984" w:type="dxa"/>
            <w:vMerge/>
            <w:vAlign w:val="center"/>
          </w:tcPr>
          <w:p w14:paraId="15D75AAA"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268" w:type="dxa"/>
            <w:vMerge/>
            <w:vAlign w:val="center"/>
          </w:tcPr>
          <w:p w14:paraId="01BDFBEF"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851" w:type="dxa"/>
            <w:shd w:val="clear" w:color="auto" w:fill="BDD7EE"/>
            <w:vAlign w:val="center"/>
          </w:tcPr>
          <w:p w14:paraId="7076C0EF"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Unit of measure</w:t>
            </w:r>
          </w:p>
        </w:tc>
        <w:tc>
          <w:tcPr>
            <w:tcW w:w="992" w:type="dxa"/>
            <w:shd w:val="clear" w:color="auto" w:fill="BDD7EE"/>
            <w:vAlign w:val="center"/>
          </w:tcPr>
          <w:p w14:paraId="16D48B1D"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 xml:space="preserve">Baseline </w:t>
            </w:r>
          </w:p>
        </w:tc>
        <w:tc>
          <w:tcPr>
            <w:tcW w:w="991" w:type="dxa"/>
            <w:shd w:val="clear" w:color="auto" w:fill="BDD7EE"/>
            <w:vAlign w:val="center"/>
          </w:tcPr>
          <w:p w14:paraId="72E98C82"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Goal</w:t>
            </w:r>
          </w:p>
        </w:tc>
        <w:tc>
          <w:tcPr>
            <w:tcW w:w="568" w:type="dxa"/>
            <w:shd w:val="clear" w:color="auto" w:fill="BDD7EE"/>
            <w:vAlign w:val="center"/>
          </w:tcPr>
          <w:p w14:paraId="04C0412E"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Quarter</w:t>
            </w:r>
          </w:p>
        </w:tc>
        <w:tc>
          <w:tcPr>
            <w:tcW w:w="709" w:type="dxa"/>
            <w:shd w:val="clear" w:color="auto" w:fill="BDD7EE"/>
            <w:vAlign w:val="center"/>
          </w:tcPr>
          <w:p w14:paraId="5E912F31" w14:textId="77777777" w:rsidR="001052B5" w:rsidRPr="001F52AF"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1F52AF">
              <w:rPr>
                <w:rFonts w:ascii="Times New Roman" w:eastAsia="Times New Roman" w:hAnsi="Times New Roman" w:cs="Times New Roman"/>
                <w:b/>
                <w:sz w:val="18"/>
                <w:szCs w:val="18"/>
              </w:rPr>
              <w:t>Year</w:t>
            </w:r>
          </w:p>
        </w:tc>
        <w:tc>
          <w:tcPr>
            <w:tcW w:w="3544" w:type="dxa"/>
            <w:vMerge/>
            <w:vAlign w:val="center"/>
          </w:tcPr>
          <w:p w14:paraId="02CC4E76" w14:textId="77777777" w:rsidR="001052B5" w:rsidRPr="001F52AF"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1052B5" w:rsidRPr="009D378C" w14:paraId="3CAAC53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20"/>
        </w:trPr>
        <w:tc>
          <w:tcPr>
            <w:tcW w:w="851"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F47B552"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B1L</w:t>
            </w:r>
          </w:p>
        </w:tc>
        <w:tc>
          <w:tcPr>
            <w:tcW w:w="1843" w:type="dxa"/>
            <w:tcBorders>
              <w:top w:val="single" w:sz="4" w:space="0" w:color="auto"/>
              <w:left w:val="nil"/>
              <w:bottom w:val="single" w:sz="4" w:space="0" w:color="auto"/>
              <w:right w:val="single" w:sz="4" w:space="0" w:color="auto"/>
            </w:tcBorders>
            <w:shd w:val="clear" w:color="000000" w:fill="C6EFCE"/>
            <w:vAlign w:val="center"/>
            <w:hideMark/>
          </w:tcPr>
          <w:p w14:paraId="6D03D471" w14:textId="375B65A1"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B1.2 Ułatwienie </w:t>
            </w:r>
            <w:r w:rsidR="00482CC0">
              <w:rPr>
                <w:rFonts w:ascii="Times New Roman" w:eastAsia="Times New Roman" w:hAnsi="Times New Roman" w:cs="Times New Roman"/>
                <w:sz w:val="18"/>
                <w:szCs w:val="18"/>
                <w:lang w:val="pl-PL" w:eastAsia="pl-PL"/>
              </w:rPr>
              <w:t xml:space="preserve">przedsiębiorcom </w:t>
            </w:r>
            <w:r w:rsidRPr="007A3B4B">
              <w:rPr>
                <w:rFonts w:ascii="Times New Roman" w:eastAsia="Times New Roman" w:hAnsi="Times New Roman" w:cs="Times New Roman"/>
                <w:sz w:val="18"/>
                <w:szCs w:val="18"/>
                <w:lang w:val="pl-PL" w:eastAsia="pl-PL"/>
              </w:rPr>
              <w:t xml:space="preserve">realizacji obowiązku oszczędności energii </w:t>
            </w:r>
          </w:p>
        </w:tc>
        <w:tc>
          <w:tcPr>
            <w:tcW w:w="992" w:type="dxa"/>
            <w:tcBorders>
              <w:top w:val="single" w:sz="4" w:space="0" w:color="auto"/>
              <w:left w:val="nil"/>
              <w:bottom w:val="single" w:sz="4" w:space="0" w:color="auto"/>
              <w:right w:val="single" w:sz="4" w:space="0" w:color="auto"/>
            </w:tcBorders>
            <w:shd w:val="clear" w:color="000000" w:fill="C6EFCE"/>
            <w:vAlign w:val="center"/>
            <w:hideMark/>
          </w:tcPr>
          <w:p w14:paraId="46F9E21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single" w:sz="4" w:space="0" w:color="auto"/>
              <w:left w:val="nil"/>
              <w:bottom w:val="single" w:sz="4" w:space="0" w:color="auto"/>
              <w:right w:val="single" w:sz="4" w:space="0" w:color="auto"/>
            </w:tcBorders>
            <w:shd w:val="clear" w:color="000000" w:fill="C6EFCE"/>
            <w:vAlign w:val="center"/>
            <w:hideMark/>
          </w:tcPr>
          <w:p w14:paraId="7B63940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rozporządzenia wykonawczego do ustawy o efektywności energetycznej </w:t>
            </w:r>
          </w:p>
        </w:tc>
        <w:tc>
          <w:tcPr>
            <w:tcW w:w="2268" w:type="dxa"/>
            <w:tcBorders>
              <w:top w:val="single" w:sz="4" w:space="0" w:color="auto"/>
              <w:left w:val="nil"/>
              <w:bottom w:val="single" w:sz="4" w:space="0" w:color="auto"/>
              <w:right w:val="single" w:sz="4" w:space="0" w:color="auto"/>
            </w:tcBorders>
            <w:shd w:val="clear" w:color="000000" w:fill="C6EFCE"/>
            <w:vAlign w:val="center"/>
            <w:hideMark/>
          </w:tcPr>
          <w:p w14:paraId="36338EB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Przepis w rozporządzeniu wykonawczym do ustawy o efektywności energetycznej wskazujący na jego wejście w życie</w:t>
            </w:r>
          </w:p>
        </w:tc>
        <w:tc>
          <w:tcPr>
            <w:tcW w:w="851" w:type="dxa"/>
            <w:tcBorders>
              <w:top w:val="single" w:sz="4" w:space="0" w:color="auto"/>
              <w:left w:val="nil"/>
              <w:bottom w:val="single" w:sz="4" w:space="0" w:color="auto"/>
              <w:right w:val="single" w:sz="4" w:space="0" w:color="auto"/>
            </w:tcBorders>
            <w:shd w:val="clear" w:color="000000" w:fill="C6EFCE"/>
            <w:noWrap/>
            <w:vAlign w:val="center"/>
            <w:hideMark/>
          </w:tcPr>
          <w:p w14:paraId="72F5D95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noWrap/>
            <w:vAlign w:val="center"/>
            <w:hideMark/>
          </w:tcPr>
          <w:p w14:paraId="5CA0C66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single" w:sz="4" w:space="0" w:color="auto"/>
              <w:left w:val="nil"/>
              <w:bottom w:val="single" w:sz="4" w:space="0" w:color="auto"/>
              <w:right w:val="single" w:sz="4" w:space="0" w:color="auto"/>
            </w:tcBorders>
            <w:shd w:val="clear" w:color="000000" w:fill="C6EFCE"/>
            <w:noWrap/>
            <w:vAlign w:val="center"/>
            <w:hideMark/>
          </w:tcPr>
          <w:p w14:paraId="1EE88D4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single" w:sz="4" w:space="0" w:color="auto"/>
              <w:left w:val="nil"/>
              <w:bottom w:val="single" w:sz="4" w:space="0" w:color="auto"/>
              <w:right w:val="single" w:sz="4" w:space="0" w:color="auto"/>
            </w:tcBorders>
            <w:shd w:val="clear" w:color="000000" w:fill="C6EFCE"/>
            <w:noWrap/>
            <w:vAlign w:val="center"/>
            <w:hideMark/>
          </w:tcPr>
          <w:p w14:paraId="5A809C2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single" w:sz="4" w:space="0" w:color="auto"/>
              <w:left w:val="nil"/>
              <w:bottom w:val="single" w:sz="4" w:space="0" w:color="auto"/>
              <w:right w:val="single" w:sz="4" w:space="0" w:color="auto"/>
            </w:tcBorders>
            <w:shd w:val="clear" w:color="000000" w:fill="C6EFCE"/>
            <w:noWrap/>
            <w:vAlign w:val="center"/>
            <w:hideMark/>
          </w:tcPr>
          <w:p w14:paraId="12F4842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single" w:sz="4" w:space="0" w:color="auto"/>
              <w:left w:val="nil"/>
              <w:bottom w:val="single" w:sz="4" w:space="0" w:color="auto"/>
              <w:right w:val="single" w:sz="4" w:space="0" w:color="auto"/>
            </w:tcBorders>
            <w:shd w:val="clear" w:color="000000" w:fill="C6EFCE"/>
            <w:vAlign w:val="center"/>
            <w:hideMark/>
          </w:tcPr>
          <w:p w14:paraId="497F88A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rozporządzenia wykonawczego do ustawy o efektywności energetycznej, które ustanawia wartość referencyjną oszczędności energii dla przedsięwzięć służących poprawie efektywności energetycznej oraz określa metodologię obliczania oszczędności energii dla przedsięwzięć w sektorze transportu. </w:t>
            </w:r>
          </w:p>
        </w:tc>
      </w:tr>
      <w:tr w:rsidR="001052B5" w:rsidRPr="009D378C" w14:paraId="5138D43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2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E5B9DB2"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B2L</w:t>
            </w:r>
          </w:p>
        </w:tc>
        <w:tc>
          <w:tcPr>
            <w:tcW w:w="1843" w:type="dxa"/>
            <w:tcBorders>
              <w:top w:val="nil"/>
              <w:left w:val="nil"/>
              <w:bottom w:val="single" w:sz="4" w:space="0" w:color="auto"/>
              <w:right w:val="single" w:sz="4" w:space="0" w:color="auto"/>
            </w:tcBorders>
            <w:shd w:val="clear" w:color="000000" w:fill="C6EFCE"/>
            <w:vAlign w:val="center"/>
            <w:hideMark/>
          </w:tcPr>
          <w:p w14:paraId="1BBDBF0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B1.2.1 Efektywność energetyczna i OZE w przedsiębiorstwach – inwestycje o największym potencjale redukcji gazów cieplarnianych</w:t>
            </w:r>
          </w:p>
        </w:tc>
        <w:tc>
          <w:tcPr>
            <w:tcW w:w="992" w:type="dxa"/>
            <w:tcBorders>
              <w:top w:val="nil"/>
              <w:left w:val="nil"/>
              <w:bottom w:val="single" w:sz="4" w:space="0" w:color="auto"/>
              <w:right w:val="single" w:sz="4" w:space="0" w:color="auto"/>
            </w:tcBorders>
            <w:shd w:val="clear" w:color="000000" w:fill="C6EFCE"/>
            <w:vAlign w:val="center"/>
            <w:hideMark/>
          </w:tcPr>
          <w:p w14:paraId="5955879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414094B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Instrukcje finansowania (w tym kryteria kwalifikowalności i wyboru) dla systemu wsparcia ukierunkowanego na efektywność energetyczną i OZE w przedsiębiorstwach, w tym objętych unijnym systemem handlu uprawnieniami do emisji</w:t>
            </w:r>
          </w:p>
        </w:tc>
        <w:tc>
          <w:tcPr>
            <w:tcW w:w="2268" w:type="dxa"/>
            <w:tcBorders>
              <w:top w:val="nil"/>
              <w:left w:val="nil"/>
              <w:bottom w:val="single" w:sz="4" w:space="0" w:color="auto"/>
              <w:right w:val="single" w:sz="4" w:space="0" w:color="auto"/>
            </w:tcBorders>
            <w:shd w:val="clear" w:color="000000" w:fill="C6EFCE"/>
            <w:vAlign w:val="center"/>
            <w:hideMark/>
          </w:tcPr>
          <w:p w14:paraId="6595DB9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Publikacja programu wsparcia</w:t>
            </w:r>
          </w:p>
        </w:tc>
        <w:tc>
          <w:tcPr>
            <w:tcW w:w="851" w:type="dxa"/>
            <w:tcBorders>
              <w:top w:val="nil"/>
              <w:left w:val="nil"/>
              <w:bottom w:val="single" w:sz="4" w:space="0" w:color="auto"/>
              <w:right w:val="single" w:sz="4" w:space="0" w:color="auto"/>
            </w:tcBorders>
            <w:shd w:val="clear" w:color="000000" w:fill="C6EFCE"/>
            <w:vAlign w:val="center"/>
            <w:hideMark/>
          </w:tcPr>
          <w:p w14:paraId="41150E2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5FCD157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59BE00A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692CC36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7550A54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31E249E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Polityka inwestycyjna programu obejmuje co najmniej następujące kryteria kwalifikowalności i wyboru projektów: (i) cel najniższej ceny za tonę zaoszczędzonego gazu cieplarnianego; (ii) zapewnienie zgodności z unijnymi i krajowymi przepisami dotyczącymi ochrony środowiska, jak również z wytycznymi technicznymi DNSH (2021/C 58/01) wspieranych działań i przedsiębiorstw oraz określenie celów w zakresie dekarbonizacji, zgodnie z dalszymi szczegółami zawartymi w umowie operacyjnej; (iii) wspierane instalacje ETS zmniejszą swoje emisje poniżej poziomu odniesienia odpowiedniego dla oferty projektowej.</w:t>
            </w:r>
          </w:p>
        </w:tc>
      </w:tr>
      <w:tr w:rsidR="001052B5" w:rsidRPr="009D378C" w14:paraId="4559CD2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0C313006"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B3L</w:t>
            </w:r>
          </w:p>
        </w:tc>
        <w:tc>
          <w:tcPr>
            <w:tcW w:w="1843" w:type="dxa"/>
            <w:tcBorders>
              <w:top w:val="nil"/>
              <w:left w:val="nil"/>
              <w:bottom w:val="single" w:sz="4" w:space="0" w:color="auto"/>
              <w:right w:val="single" w:sz="4" w:space="0" w:color="auto"/>
            </w:tcBorders>
            <w:shd w:val="clear" w:color="000000" w:fill="C6EFCE"/>
            <w:vAlign w:val="center"/>
            <w:hideMark/>
          </w:tcPr>
          <w:p w14:paraId="560C0FF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B1.2.1 Efektywność energetyczna i OZE w przedsiębiorstwach – inwestycje o największym </w:t>
            </w:r>
            <w:r w:rsidRPr="007A3B4B">
              <w:rPr>
                <w:rFonts w:ascii="Times New Roman" w:eastAsia="Times New Roman" w:hAnsi="Times New Roman" w:cs="Times New Roman"/>
                <w:sz w:val="18"/>
                <w:szCs w:val="18"/>
                <w:lang w:val="pl-PL" w:eastAsia="pl-PL"/>
              </w:rPr>
              <w:lastRenderedPageBreak/>
              <w:t>potencjale redukcji gazów cieplarnianych</w:t>
            </w:r>
          </w:p>
        </w:tc>
        <w:tc>
          <w:tcPr>
            <w:tcW w:w="992" w:type="dxa"/>
            <w:tcBorders>
              <w:top w:val="nil"/>
              <w:left w:val="nil"/>
              <w:bottom w:val="single" w:sz="4" w:space="0" w:color="auto"/>
              <w:right w:val="single" w:sz="4" w:space="0" w:color="auto"/>
            </w:tcBorders>
            <w:shd w:val="clear" w:color="000000" w:fill="C6EFCE"/>
            <w:vAlign w:val="center"/>
            <w:hideMark/>
          </w:tcPr>
          <w:p w14:paraId="27CCB8D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lastRenderedPageBreak/>
              <w:t>wskaźnik</w:t>
            </w:r>
          </w:p>
        </w:tc>
        <w:tc>
          <w:tcPr>
            <w:tcW w:w="1984" w:type="dxa"/>
            <w:tcBorders>
              <w:top w:val="nil"/>
              <w:left w:val="nil"/>
              <w:bottom w:val="single" w:sz="4" w:space="0" w:color="auto"/>
              <w:right w:val="single" w:sz="4" w:space="0" w:color="auto"/>
            </w:tcBorders>
            <w:shd w:val="clear" w:color="000000" w:fill="C6EFCE"/>
            <w:vAlign w:val="center"/>
            <w:hideMark/>
          </w:tcPr>
          <w:p w14:paraId="73DBE89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 umów o objęcie wsparciem w zakresie efektywności energetycznej i OZE w przedsiębiorstwach</w:t>
            </w:r>
          </w:p>
        </w:tc>
        <w:tc>
          <w:tcPr>
            <w:tcW w:w="2268" w:type="dxa"/>
            <w:tcBorders>
              <w:top w:val="nil"/>
              <w:left w:val="nil"/>
              <w:bottom w:val="single" w:sz="4" w:space="0" w:color="auto"/>
              <w:right w:val="single" w:sz="4" w:space="0" w:color="auto"/>
            </w:tcBorders>
            <w:shd w:val="clear" w:color="000000" w:fill="C6EFCE"/>
            <w:vAlign w:val="center"/>
            <w:hideMark/>
          </w:tcPr>
          <w:p w14:paraId="5676FCE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2DD173D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575639A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noWrap/>
            <w:vAlign w:val="center"/>
            <w:hideMark/>
          </w:tcPr>
          <w:p w14:paraId="21EF86A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43</w:t>
            </w:r>
          </w:p>
        </w:tc>
        <w:tc>
          <w:tcPr>
            <w:tcW w:w="567" w:type="dxa"/>
            <w:tcBorders>
              <w:top w:val="nil"/>
              <w:left w:val="nil"/>
              <w:bottom w:val="single" w:sz="4" w:space="0" w:color="auto"/>
              <w:right w:val="single" w:sz="4" w:space="0" w:color="auto"/>
            </w:tcBorders>
            <w:shd w:val="clear" w:color="000000" w:fill="C6EFCE"/>
            <w:noWrap/>
            <w:vAlign w:val="center"/>
            <w:hideMark/>
          </w:tcPr>
          <w:p w14:paraId="7D0C8DB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65A5FE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2C11E3B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Liczba umów o objęcie wsparciem udzielonych na projekty inwestycyjne związane z poprawą procesów przemysłowych i energetycznych w celu zwiększenia efektywności energetycznej i zmniejszenia energochłonności, prowadzące do </w:t>
            </w:r>
            <w:r w:rsidRPr="007A3B4B">
              <w:rPr>
                <w:rFonts w:ascii="Times New Roman" w:eastAsia="Times New Roman" w:hAnsi="Times New Roman" w:cs="Times New Roman"/>
                <w:sz w:val="18"/>
                <w:szCs w:val="18"/>
                <w:lang w:val="pl-PL" w:eastAsia="pl-PL"/>
              </w:rPr>
              <w:lastRenderedPageBreak/>
              <w:t>zmniejszenia i racjonalizacji zużycia energii poprzez inwestycje w odnawialne i niskoemisyjne źródła energii w przedsiębiorstwach. Program jest wdrażany zgodnie z instrukcjami finansowania opisanymi w pkt. powyżej. Program jest wdrażany w drodze niedyskryminacyjnego, przejrzystego i otwartego procesu, otwartego dla wszystkich sektorów przemysłu.</w:t>
            </w:r>
          </w:p>
        </w:tc>
      </w:tr>
      <w:tr w:rsidR="001052B5" w:rsidRPr="009D378C" w14:paraId="7D051D6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68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11F492D"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B4L</w:t>
            </w:r>
          </w:p>
        </w:tc>
        <w:tc>
          <w:tcPr>
            <w:tcW w:w="1843" w:type="dxa"/>
            <w:tcBorders>
              <w:top w:val="nil"/>
              <w:left w:val="nil"/>
              <w:bottom w:val="single" w:sz="4" w:space="0" w:color="auto"/>
              <w:right w:val="single" w:sz="4" w:space="0" w:color="auto"/>
            </w:tcBorders>
            <w:shd w:val="clear" w:color="000000" w:fill="C6EFCE"/>
            <w:vAlign w:val="center"/>
            <w:hideMark/>
          </w:tcPr>
          <w:p w14:paraId="4847033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 Wsparcie inwestycji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675218F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53955F8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przepisów wykonawczych wynikających z ustawy o promocji wytwarzania energii elektrycznej w morskich farmach wiatrowych</w:t>
            </w:r>
          </w:p>
        </w:tc>
        <w:tc>
          <w:tcPr>
            <w:tcW w:w="2268" w:type="dxa"/>
            <w:tcBorders>
              <w:top w:val="nil"/>
              <w:left w:val="nil"/>
              <w:bottom w:val="single" w:sz="4" w:space="0" w:color="auto"/>
              <w:right w:val="single" w:sz="4" w:space="0" w:color="auto"/>
            </w:tcBorders>
            <w:shd w:val="clear" w:color="000000" w:fill="C6EFCE"/>
            <w:vAlign w:val="center"/>
            <w:hideMark/>
          </w:tcPr>
          <w:p w14:paraId="247D972E" w14:textId="3DBE60CB"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Przepis</w:t>
            </w:r>
            <w:r w:rsidR="00106E4F">
              <w:rPr>
                <w:rFonts w:ascii="Times New Roman" w:eastAsia="Times New Roman" w:hAnsi="Times New Roman" w:cs="Times New Roman"/>
                <w:sz w:val="18"/>
                <w:szCs w:val="18"/>
                <w:lang w:val="pl-PL" w:eastAsia="pl-PL"/>
              </w:rPr>
              <w:t>y</w:t>
            </w:r>
            <w:r w:rsidRPr="007A3B4B">
              <w:rPr>
                <w:rFonts w:ascii="Times New Roman" w:eastAsia="Times New Roman" w:hAnsi="Times New Roman" w:cs="Times New Roman"/>
                <w:sz w:val="18"/>
                <w:szCs w:val="18"/>
                <w:lang w:val="pl-PL" w:eastAsia="pl-PL"/>
              </w:rPr>
              <w:t xml:space="preserve"> rozporządze</w:t>
            </w:r>
            <w:r w:rsidR="00106E4F">
              <w:rPr>
                <w:rFonts w:ascii="Times New Roman" w:eastAsia="Times New Roman" w:hAnsi="Times New Roman" w:cs="Times New Roman"/>
                <w:sz w:val="18"/>
                <w:szCs w:val="18"/>
                <w:lang w:val="pl-PL" w:eastAsia="pl-PL"/>
              </w:rPr>
              <w:t>ń</w:t>
            </w:r>
            <w:r w:rsidRPr="007A3B4B">
              <w:rPr>
                <w:rFonts w:ascii="Times New Roman" w:eastAsia="Times New Roman" w:hAnsi="Times New Roman" w:cs="Times New Roman"/>
                <w:sz w:val="18"/>
                <w:szCs w:val="18"/>
                <w:lang w:val="pl-PL" w:eastAsia="pl-PL"/>
              </w:rPr>
              <w:t xml:space="preserve"> wskazując</w:t>
            </w:r>
            <w:r w:rsidR="00106E4F">
              <w:rPr>
                <w:rFonts w:ascii="Times New Roman" w:eastAsia="Times New Roman" w:hAnsi="Times New Roman" w:cs="Times New Roman"/>
                <w:sz w:val="18"/>
                <w:szCs w:val="18"/>
                <w:lang w:val="pl-PL" w:eastAsia="pl-PL"/>
              </w:rPr>
              <w:t>e</w:t>
            </w:r>
            <w:r w:rsidRPr="007A3B4B">
              <w:rPr>
                <w:rFonts w:ascii="Times New Roman" w:eastAsia="Times New Roman" w:hAnsi="Times New Roman" w:cs="Times New Roman"/>
                <w:sz w:val="18"/>
                <w:szCs w:val="18"/>
                <w:lang w:val="pl-PL" w:eastAsia="pl-PL"/>
              </w:rPr>
              <w:t xml:space="preserve">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011D85D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4A489E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174B6C5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4388097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54E0EFF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5463356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Powinny wejść w życie dwa rozporządzenia wykonawcze: </w:t>
            </w:r>
            <w:r w:rsidRPr="007A3B4B">
              <w:rPr>
                <w:rFonts w:ascii="Times New Roman" w:eastAsia="Times New Roman" w:hAnsi="Times New Roman" w:cs="Times New Roman"/>
                <w:sz w:val="18"/>
                <w:szCs w:val="18"/>
                <w:lang w:val="pl-PL" w:eastAsia="pl-PL"/>
              </w:rPr>
              <w:br/>
              <w:t xml:space="preserve">1. rozporządzenie Ministra Klimatu i Środowiska w sprawie szczegółowych wymagań dla elementów zestawu urządzeń służących do wyprowadzania mocy oraz dla elementów morskich stacji elektroenergetycznych - ponadto rozporządzenie zagwarantuje odpowiednią jakość infrastruktury w kontekście jej ewentualnej integracji z siecią elektroenergetyczną w przypadku wyprowadzania mocy z morskich farm wiatrowych, o czym mowa w art. 58-60 ustawy o promowaniu wytwarzania energii elektrycznej w morskich farmach wiatrowych. </w:t>
            </w:r>
            <w:r w:rsidRPr="007A3B4B">
              <w:rPr>
                <w:rFonts w:ascii="Times New Roman" w:eastAsia="Times New Roman" w:hAnsi="Times New Roman" w:cs="Times New Roman"/>
                <w:sz w:val="18"/>
                <w:szCs w:val="18"/>
                <w:lang w:val="pl-PL" w:eastAsia="pl-PL"/>
              </w:rPr>
              <w:br/>
              <w:t xml:space="preserve">2. Rozporządzenie Ministra Klimatu i Środowiska w sprawie maksymalnej ceny w złotych za 1 MWh, która może być podana w ofertach składanych w aukcji przez wytwórców energii elektrycznej. </w:t>
            </w:r>
          </w:p>
        </w:tc>
      </w:tr>
      <w:tr w:rsidR="001052B5" w:rsidRPr="009D378C" w14:paraId="0F4B4B1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26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84659A7"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B5L</w:t>
            </w:r>
          </w:p>
        </w:tc>
        <w:tc>
          <w:tcPr>
            <w:tcW w:w="1843" w:type="dxa"/>
            <w:tcBorders>
              <w:top w:val="nil"/>
              <w:left w:val="nil"/>
              <w:bottom w:val="single" w:sz="4" w:space="0" w:color="auto"/>
              <w:right w:val="single" w:sz="4" w:space="0" w:color="auto"/>
            </w:tcBorders>
            <w:shd w:val="clear" w:color="000000" w:fill="C6EFCE"/>
            <w:vAlign w:val="center"/>
            <w:hideMark/>
          </w:tcPr>
          <w:p w14:paraId="4DEA361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 Wsparcie inwestycji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2D2A8CD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546AD91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Organizacja aukcji na energię elektryczną z morskich farm wiatrowych </w:t>
            </w:r>
          </w:p>
        </w:tc>
        <w:tc>
          <w:tcPr>
            <w:tcW w:w="2268" w:type="dxa"/>
            <w:tcBorders>
              <w:top w:val="nil"/>
              <w:left w:val="nil"/>
              <w:bottom w:val="single" w:sz="4" w:space="0" w:color="auto"/>
              <w:right w:val="single" w:sz="4" w:space="0" w:color="auto"/>
            </w:tcBorders>
            <w:shd w:val="clear" w:color="000000" w:fill="C6EFCE"/>
            <w:vAlign w:val="center"/>
            <w:hideMark/>
          </w:tcPr>
          <w:p w14:paraId="221658C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Publikacja wyników aukcji </w:t>
            </w:r>
          </w:p>
        </w:tc>
        <w:tc>
          <w:tcPr>
            <w:tcW w:w="851" w:type="dxa"/>
            <w:tcBorders>
              <w:top w:val="nil"/>
              <w:left w:val="nil"/>
              <w:bottom w:val="single" w:sz="4" w:space="0" w:color="auto"/>
              <w:right w:val="single" w:sz="4" w:space="0" w:color="auto"/>
            </w:tcBorders>
            <w:shd w:val="clear" w:color="000000" w:fill="C6EFCE"/>
            <w:vAlign w:val="center"/>
            <w:hideMark/>
          </w:tcPr>
          <w:p w14:paraId="4E5806C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2090D9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05BE32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027167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2695499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4834090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Ustawa z dnia 17 grudnia 2020 r. o promowaniu wytwarzania energii elektrycznej w morskich farmach wiatrowych (Dz.U. z 2021 r., poz. 234) poprzez art. 29 wprowadziła obowiązek przeprowadzenia przez Prezesa Urzędu Regulacji Energetyki aukcji w 2025 r. Maksymalna łączna moc zainstalowana elektryczna morskich farm wiatrowych, dla których może zostać przyznane prawo do pokrycia ujemnego salda w drodze aukcji w 2025 r. wynosi 2,5 GW. </w:t>
            </w:r>
          </w:p>
        </w:tc>
      </w:tr>
      <w:tr w:rsidR="001052B5" w:rsidRPr="009D378C" w14:paraId="4AE080B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68C0991"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B6L</w:t>
            </w:r>
          </w:p>
        </w:tc>
        <w:tc>
          <w:tcPr>
            <w:tcW w:w="1843" w:type="dxa"/>
            <w:tcBorders>
              <w:top w:val="nil"/>
              <w:left w:val="nil"/>
              <w:bottom w:val="single" w:sz="4" w:space="0" w:color="auto"/>
              <w:right w:val="single" w:sz="4" w:space="0" w:color="auto"/>
            </w:tcBorders>
            <w:shd w:val="clear" w:color="000000" w:fill="C6EFCE"/>
            <w:vAlign w:val="center"/>
            <w:hideMark/>
          </w:tcPr>
          <w:p w14:paraId="5557EE9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 Wsparcie inwestycji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29682A4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1C2B04C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nowelizacji rozporządzenia w sprawie szczegółowych warunków funkcjonowania systemu elektroenergetycznego zmieniającej krajowe zasady bilansowania w celu maksymalnego ograniczenia wpływu ograniczeń alokacyjnych</w:t>
            </w:r>
          </w:p>
        </w:tc>
        <w:tc>
          <w:tcPr>
            <w:tcW w:w="2268" w:type="dxa"/>
            <w:tcBorders>
              <w:top w:val="nil"/>
              <w:left w:val="nil"/>
              <w:bottom w:val="single" w:sz="4" w:space="0" w:color="auto"/>
              <w:right w:val="single" w:sz="4" w:space="0" w:color="auto"/>
            </w:tcBorders>
            <w:shd w:val="clear" w:color="000000" w:fill="C6EFCE"/>
            <w:vAlign w:val="center"/>
            <w:hideMark/>
          </w:tcPr>
          <w:p w14:paraId="3963A428" w14:textId="4B942F7A"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Przepis </w:t>
            </w:r>
            <w:r w:rsidR="00106E4F">
              <w:rPr>
                <w:rFonts w:ascii="Times New Roman" w:eastAsia="Times New Roman" w:hAnsi="Times New Roman" w:cs="Times New Roman"/>
                <w:sz w:val="18"/>
                <w:szCs w:val="18"/>
                <w:lang w:val="pl-PL" w:eastAsia="pl-PL"/>
              </w:rPr>
              <w:t xml:space="preserve">znowelizowanego </w:t>
            </w:r>
            <w:r w:rsidRPr="007A3B4B">
              <w:rPr>
                <w:rFonts w:ascii="Times New Roman" w:eastAsia="Times New Roman" w:hAnsi="Times New Roman" w:cs="Times New Roman"/>
                <w:sz w:val="18"/>
                <w:szCs w:val="18"/>
                <w:lang w:val="pl-PL" w:eastAsia="pl-PL"/>
              </w:rPr>
              <w:t>rozporządzeni</w:t>
            </w:r>
            <w:r w:rsidR="00106E4F">
              <w:rPr>
                <w:rFonts w:ascii="Times New Roman" w:eastAsia="Times New Roman" w:hAnsi="Times New Roman" w:cs="Times New Roman"/>
                <w:sz w:val="18"/>
                <w:szCs w:val="18"/>
                <w:lang w:val="pl-PL" w:eastAsia="pl-PL"/>
              </w:rPr>
              <w:t xml:space="preserve">a </w:t>
            </w:r>
            <w:r w:rsidRPr="007A3B4B">
              <w:rPr>
                <w:rFonts w:ascii="Times New Roman" w:eastAsia="Times New Roman" w:hAnsi="Times New Roman" w:cs="Times New Roman"/>
                <w:sz w:val="18"/>
                <w:szCs w:val="18"/>
                <w:lang w:val="pl-PL" w:eastAsia="pl-PL"/>
              </w:rPr>
              <w:t>wskazujący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3E9D662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764B4E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D7D718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407990A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12AE2DA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3F195BB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 ramach reformy rynku energii zasady funkcjonowania rynku bilansującego zostaną zmienione w taki sposób, aby uwzględniały wyraźne zamawianie rezerw przed łączeniem rynków dnia następnego (SDAC). Rozwiązanie to zostało zaproponowane przez ACER w metodologii CORE CCM (decyzja ACER 02/2019) jako jedno z możliwych rozwiązań mających na celu maksymalne złagodzenie wpływu ograniczeń alokacyjnych. W celu realizacji tej reformy minister właściwy do spraw energii dokona nowelizacji rozporządzenia Ministra Gospodarki z dnia 4 maja 2007 r. w sprawie szczegółowych warunków funkcjonowania systemu elektroenergetycznego. Regulator przeprowadzi studium optymalizacji proponowanych działań ograniczających ograniczenia alokacyjne w polskim systemie elektroenergetycznym, a jego rekomendacje zostaną należycie uwzględnione w dalszych pracach. </w:t>
            </w:r>
          </w:p>
        </w:tc>
      </w:tr>
      <w:tr w:rsidR="001052B5" w:rsidRPr="009D378C" w14:paraId="561358B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2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1B65195"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B7L</w:t>
            </w:r>
          </w:p>
        </w:tc>
        <w:tc>
          <w:tcPr>
            <w:tcW w:w="1843" w:type="dxa"/>
            <w:tcBorders>
              <w:top w:val="nil"/>
              <w:left w:val="nil"/>
              <w:bottom w:val="single" w:sz="4" w:space="0" w:color="auto"/>
              <w:right w:val="single" w:sz="4" w:space="0" w:color="auto"/>
            </w:tcBorders>
            <w:shd w:val="clear" w:color="000000" w:fill="C6EFCE"/>
            <w:vAlign w:val="center"/>
            <w:hideMark/>
          </w:tcPr>
          <w:p w14:paraId="6A6492F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B2.3.1 Budowa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2F665B9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04D50F4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Konkurs na wybrane projekty morskich farm wiatrowych </w:t>
            </w:r>
          </w:p>
        </w:tc>
        <w:tc>
          <w:tcPr>
            <w:tcW w:w="2268" w:type="dxa"/>
            <w:tcBorders>
              <w:top w:val="nil"/>
              <w:left w:val="nil"/>
              <w:bottom w:val="single" w:sz="4" w:space="0" w:color="auto"/>
              <w:right w:val="single" w:sz="4" w:space="0" w:color="auto"/>
            </w:tcBorders>
            <w:shd w:val="clear" w:color="000000" w:fill="C6EFCE"/>
            <w:vAlign w:val="center"/>
            <w:hideMark/>
          </w:tcPr>
          <w:p w14:paraId="7CB87CB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Publikacja wyników procesu selekcji</w:t>
            </w:r>
          </w:p>
        </w:tc>
        <w:tc>
          <w:tcPr>
            <w:tcW w:w="851" w:type="dxa"/>
            <w:tcBorders>
              <w:top w:val="nil"/>
              <w:left w:val="nil"/>
              <w:bottom w:val="single" w:sz="4" w:space="0" w:color="auto"/>
              <w:right w:val="single" w:sz="4" w:space="0" w:color="auto"/>
            </w:tcBorders>
            <w:shd w:val="clear" w:color="000000" w:fill="C6EFCE"/>
            <w:vAlign w:val="center"/>
            <w:hideMark/>
          </w:tcPr>
          <w:p w14:paraId="4C9696A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81F959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EBB59E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47624F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73756E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7B0DA8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Polska przeprowadzi otwarte, przejrzyste i niedyskryminujące wezwanie do składania wniosków dostępne dla wszystkich projektów uczestniczących w fazie I (wsparcie udzielane poza systemem aukcyjnym), które podlegają ocenie. Wsparcie przyznaje się więcej niż jednemu beneficjentowi w celu umożliwienia skutecznej konkurencji na rynku morskiej energii wiatrowej.</w:t>
            </w:r>
            <w:r w:rsidRPr="007A3B4B">
              <w:rPr>
                <w:rFonts w:ascii="Times New Roman" w:eastAsia="Times New Roman" w:hAnsi="Times New Roman" w:cs="Times New Roman"/>
                <w:sz w:val="18"/>
                <w:szCs w:val="18"/>
                <w:lang w:val="pl-PL" w:eastAsia="pl-PL"/>
              </w:rPr>
              <w:br/>
              <w:t>Podstawowe kryteria wyboru projektów obejmują:</w:t>
            </w:r>
            <w:r w:rsidRPr="007A3B4B">
              <w:rPr>
                <w:rFonts w:ascii="Times New Roman" w:eastAsia="Times New Roman" w:hAnsi="Times New Roman" w:cs="Times New Roman"/>
                <w:sz w:val="18"/>
                <w:szCs w:val="18"/>
                <w:lang w:val="pl-PL" w:eastAsia="pl-PL"/>
              </w:rPr>
              <w:br/>
              <w:t>- stopień zaawansowania i gotowość do zakończenia realizacji projektów do II kwartału 2026 r,</w:t>
            </w:r>
            <w:r w:rsidRPr="007A3B4B">
              <w:rPr>
                <w:rFonts w:ascii="Times New Roman" w:eastAsia="Times New Roman" w:hAnsi="Times New Roman" w:cs="Times New Roman"/>
                <w:sz w:val="18"/>
                <w:szCs w:val="18"/>
                <w:lang w:val="pl-PL" w:eastAsia="pl-PL"/>
              </w:rPr>
              <w:br/>
              <w:t>- harmonogram realizacji i terminy osiągnięcia zakładanych wskaźników,</w:t>
            </w:r>
            <w:r w:rsidRPr="007A3B4B">
              <w:rPr>
                <w:rFonts w:ascii="Times New Roman" w:eastAsia="Times New Roman" w:hAnsi="Times New Roman" w:cs="Times New Roman"/>
                <w:sz w:val="18"/>
                <w:szCs w:val="18"/>
                <w:lang w:val="pl-PL" w:eastAsia="pl-PL"/>
              </w:rPr>
              <w:br/>
              <w:t xml:space="preserve">- moc zainstalowaną w wyniku realizacji projektu (MW) </w:t>
            </w:r>
          </w:p>
        </w:tc>
      </w:tr>
      <w:tr w:rsidR="001052B5" w:rsidRPr="009D378C" w14:paraId="43C61A0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3F3FFE49"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B8L</w:t>
            </w:r>
          </w:p>
        </w:tc>
        <w:tc>
          <w:tcPr>
            <w:tcW w:w="1843" w:type="dxa"/>
            <w:tcBorders>
              <w:top w:val="nil"/>
              <w:left w:val="nil"/>
              <w:bottom w:val="single" w:sz="4" w:space="0" w:color="auto"/>
              <w:right w:val="single" w:sz="4" w:space="0" w:color="auto"/>
            </w:tcBorders>
            <w:shd w:val="clear" w:color="000000" w:fill="C6EFCE"/>
            <w:vAlign w:val="center"/>
            <w:hideMark/>
          </w:tcPr>
          <w:p w14:paraId="150B162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B2.3.1 Budowa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655CC12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326A2AB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Rozpoczęcie prac budowlanych</w:t>
            </w:r>
          </w:p>
        </w:tc>
        <w:tc>
          <w:tcPr>
            <w:tcW w:w="2268" w:type="dxa"/>
            <w:tcBorders>
              <w:top w:val="nil"/>
              <w:left w:val="nil"/>
              <w:bottom w:val="single" w:sz="4" w:space="0" w:color="auto"/>
              <w:right w:val="single" w:sz="4" w:space="0" w:color="auto"/>
            </w:tcBorders>
            <w:shd w:val="clear" w:color="000000" w:fill="C6EFCE"/>
            <w:vAlign w:val="center"/>
            <w:hideMark/>
          </w:tcPr>
          <w:p w14:paraId="2DF48D0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Zakończenie</w:t>
            </w:r>
          </w:p>
        </w:tc>
        <w:tc>
          <w:tcPr>
            <w:tcW w:w="851" w:type="dxa"/>
            <w:tcBorders>
              <w:top w:val="nil"/>
              <w:left w:val="nil"/>
              <w:bottom w:val="single" w:sz="4" w:space="0" w:color="auto"/>
              <w:right w:val="single" w:sz="4" w:space="0" w:color="auto"/>
            </w:tcBorders>
            <w:shd w:val="clear" w:color="000000" w:fill="C6EFCE"/>
            <w:vAlign w:val="center"/>
            <w:hideMark/>
          </w:tcPr>
          <w:p w14:paraId="19D2753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9E7C9F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C3C2D2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B9BEC0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27BACCB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444C723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Rozpoczęcie robót budowlanych, które nastąpi po podjęciu ostatecznej decyzji inwestycyjnej (ODI), uzyskaniu niezbędnych zgód, wyłonieniu generalnego wykonawcy, podpisaniu umów z podwykonawcami i wydaniu wykonawcom polecenia rozpoczęcia prac (NTP).</w:t>
            </w:r>
          </w:p>
        </w:tc>
      </w:tr>
      <w:tr w:rsidR="001052B5" w:rsidRPr="009D378C" w14:paraId="75559FF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1E1FA14"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B9L</w:t>
            </w:r>
          </w:p>
        </w:tc>
        <w:tc>
          <w:tcPr>
            <w:tcW w:w="1843" w:type="dxa"/>
            <w:tcBorders>
              <w:top w:val="nil"/>
              <w:left w:val="nil"/>
              <w:bottom w:val="single" w:sz="4" w:space="0" w:color="auto"/>
              <w:right w:val="single" w:sz="4" w:space="0" w:color="auto"/>
            </w:tcBorders>
            <w:shd w:val="clear" w:color="000000" w:fill="C6EFCE"/>
            <w:vAlign w:val="center"/>
            <w:hideMark/>
          </w:tcPr>
          <w:p w14:paraId="7543A22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B2.3.1 Budowa morskich farm wiatrowych</w:t>
            </w:r>
          </w:p>
        </w:tc>
        <w:tc>
          <w:tcPr>
            <w:tcW w:w="992" w:type="dxa"/>
            <w:tcBorders>
              <w:top w:val="nil"/>
              <w:left w:val="nil"/>
              <w:bottom w:val="single" w:sz="4" w:space="0" w:color="auto"/>
              <w:right w:val="single" w:sz="4" w:space="0" w:color="auto"/>
            </w:tcBorders>
            <w:shd w:val="clear" w:color="000000" w:fill="C6EFCE"/>
            <w:vAlign w:val="center"/>
            <w:hideMark/>
          </w:tcPr>
          <w:p w14:paraId="3EB1EBD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4AB29B2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Moc zainstalowana morskich farm wiatrowych (w MW)</w:t>
            </w:r>
          </w:p>
        </w:tc>
        <w:tc>
          <w:tcPr>
            <w:tcW w:w="2268" w:type="dxa"/>
            <w:tcBorders>
              <w:top w:val="nil"/>
              <w:left w:val="nil"/>
              <w:bottom w:val="single" w:sz="4" w:space="0" w:color="auto"/>
              <w:right w:val="single" w:sz="4" w:space="0" w:color="auto"/>
            </w:tcBorders>
            <w:shd w:val="clear" w:color="000000" w:fill="C6EFCE"/>
            <w:vAlign w:val="center"/>
            <w:hideMark/>
          </w:tcPr>
          <w:p w14:paraId="40F742D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68CD29B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21C6675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537732D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1500</w:t>
            </w:r>
          </w:p>
        </w:tc>
        <w:tc>
          <w:tcPr>
            <w:tcW w:w="567" w:type="dxa"/>
            <w:tcBorders>
              <w:top w:val="nil"/>
              <w:left w:val="nil"/>
              <w:bottom w:val="single" w:sz="4" w:space="0" w:color="auto"/>
              <w:right w:val="single" w:sz="4" w:space="0" w:color="auto"/>
            </w:tcBorders>
            <w:shd w:val="clear" w:color="000000" w:fill="C6EFCE"/>
            <w:vAlign w:val="center"/>
            <w:hideMark/>
          </w:tcPr>
          <w:p w14:paraId="1EE76CA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2F41169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6F0D893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Całkowita moc znamionowa morskich instalacji wiatrowych zainstalowanych w wyniku realizacji inwestycji. Wskaźnik odnosi się do potencjału mocy znamionowej zainstalowanych turbin w morskich farmach wiatrowych.</w:t>
            </w:r>
          </w:p>
        </w:tc>
      </w:tr>
      <w:tr w:rsidR="001052B5" w:rsidRPr="009D378C" w14:paraId="0E97F94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0E71F0C"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B10L</w:t>
            </w:r>
          </w:p>
        </w:tc>
        <w:tc>
          <w:tcPr>
            <w:tcW w:w="1843" w:type="dxa"/>
            <w:tcBorders>
              <w:top w:val="nil"/>
              <w:left w:val="nil"/>
              <w:bottom w:val="single" w:sz="4" w:space="0" w:color="auto"/>
              <w:right w:val="single" w:sz="4" w:space="0" w:color="auto"/>
            </w:tcBorders>
            <w:shd w:val="clear" w:color="000000" w:fill="C6EFCE"/>
            <w:vAlign w:val="center"/>
            <w:hideMark/>
          </w:tcPr>
          <w:p w14:paraId="6D9EF87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B2.4 Ramy prawne dla rozwoju magazynów energii</w:t>
            </w:r>
          </w:p>
        </w:tc>
        <w:tc>
          <w:tcPr>
            <w:tcW w:w="992" w:type="dxa"/>
            <w:tcBorders>
              <w:top w:val="nil"/>
              <w:left w:val="nil"/>
              <w:bottom w:val="single" w:sz="4" w:space="0" w:color="auto"/>
              <w:right w:val="single" w:sz="4" w:space="0" w:color="auto"/>
            </w:tcBorders>
            <w:shd w:val="clear" w:color="000000" w:fill="C6EFCE"/>
            <w:vAlign w:val="center"/>
            <w:hideMark/>
          </w:tcPr>
          <w:p w14:paraId="06AF80E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15F08E90" w14:textId="0EEE2C19"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zmian ustawy Prawo energetyczne w zakresie magazynowania energii</w:t>
            </w:r>
          </w:p>
        </w:tc>
        <w:tc>
          <w:tcPr>
            <w:tcW w:w="2268" w:type="dxa"/>
            <w:tcBorders>
              <w:top w:val="nil"/>
              <w:left w:val="nil"/>
              <w:bottom w:val="single" w:sz="4" w:space="0" w:color="auto"/>
              <w:right w:val="single" w:sz="4" w:space="0" w:color="auto"/>
            </w:tcBorders>
            <w:shd w:val="clear" w:color="000000" w:fill="C6EFCE"/>
            <w:vAlign w:val="center"/>
            <w:hideMark/>
          </w:tcPr>
          <w:p w14:paraId="4899D4B9" w14:textId="7C0D1F0F"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Przepis w </w:t>
            </w:r>
            <w:r w:rsidR="00106E4F">
              <w:rPr>
                <w:rFonts w:ascii="Times New Roman" w:eastAsia="Times New Roman" w:hAnsi="Times New Roman" w:cs="Times New Roman"/>
                <w:sz w:val="18"/>
                <w:szCs w:val="18"/>
                <w:lang w:val="pl-PL" w:eastAsia="pl-PL"/>
              </w:rPr>
              <w:t xml:space="preserve">znowelizowanej </w:t>
            </w:r>
            <w:r w:rsidRPr="007A3B4B">
              <w:rPr>
                <w:rFonts w:ascii="Times New Roman" w:eastAsia="Times New Roman" w:hAnsi="Times New Roman" w:cs="Times New Roman"/>
                <w:sz w:val="18"/>
                <w:szCs w:val="18"/>
                <w:lang w:val="pl-PL" w:eastAsia="pl-PL"/>
              </w:rPr>
              <w:t>ustawie wskazujący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50828FB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3BCFC5B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CE0780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3A68DAF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63A5015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2021</w:t>
            </w:r>
          </w:p>
        </w:tc>
        <w:tc>
          <w:tcPr>
            <w:tcW w:w="3544" w:type="dxa"/>
            <w:tcBorders>
              <w:top w:val="nil"/>
              <w:left w:val="nil"/>
              <w:bottom w:val="single" w:sz="4" w:space="0" w:color="auto"/>
              <w:right w:val="single" w:sz="4" w:space="0" w:color="auto"/>
            </w:tcBorders>
            <w:shd w:val="clear" w:color="000000" w:fill="C6EFCE"/>
            <w:vAlign w:val="center"/>
            <w:hideMark/>
          </w:tcPr>
          <w:p w14:paraId="4C30FE4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Zmiany mają ułatwić rozwój magazynowania energii elektrycznej, w tym w szczególności zwolnienie z obowiązku taryfowego, brak podwójnych opłat sieciowych, częściowe zwolnienie z opłat za przyłączenie magazynu do sieci, zwolnienie z obowiązku przedstawiania świadectw pochodzenia oraz z niektórych opłat w odniesieniu do magazynowanej energii elektrycznej. Proponowane ramy taryfowe dla magazynowania powinny być niedyskryminacyjne i odzwierciedlać koszty.</w:t>
            </w:r>
          </w:p>
        </w:tc>
      </w:tr>
      <w:tr w:rsidR="001052B5" w:rsidRPr="009D378C" w14:paraId="42873EF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4312EC"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B11L</w:t>
            </w:r>
          </w:p>
        </w:tc>
        <w:tc>
          <w:tcPr>
            <w:tcW w:w="1843" w:type="dxa"/>
            <w:tcBorders>
              <w:top w:val="nil"/>
              <w:left w:val="nil"/>
              <w:bottom w:val="single" w:sz="4" w:space="0" w:color="auto"/>
              <w:right w:val="single" w:sz="4" w:space="0" w:color="auto"/>
            </w:tcBorders>
            <w:shd w:val="clear" w:color="000000" w:fill="C6EFCE"/>
            <w:vAlign w:val="center"/>
            <w:hideMark/>
          </w:tcPr>
          <w:p w14:paraId="6339EAC8" w14:textId="436A824C"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B2.4.1. </w:t>
            </w:r>
            <w:r w:rsidR="00DF0D3E">
              <w:rPr>
                <w:rFonts w:ascii="Times New Roman" w:eastAsia="Times New Roman" w:hAnsi="Times New Roman" w:cs="Times New Roman"/>
                <w:sz w:val="18"/>
                <w:szCs w:val="18"/>
                <w:lang w:val="pl-PL" w:eastAsia="pl-PL"/>
              </w:rPr>
              <w:t>Systemy m</w:t>
            </w:r>
            <w:r w:rsidRPr="007A3B4B">
              <w:rPr>
                <w:rFonts w:ascii="Times New Roman" w:eastAsia="Times New Roman" w:hAnsi="Times New Roman" w:cs="Times New Roman"/>
                <w:sz w:val="18"/>
                <w:szCs w:val="18"/>
                <w:lang w:val="pl-PL" w:eastAsia="pl-PL"/>
              </w:rPr>
              <w:t>agazy</w:t>
            </w:r>
            <w:r w:rsidR="00DF0D3E">
              <w:rPr>
                <w:rFonts w:ascii="Times New Roman" w:eastAsia="Times New Roman" w:hAnsi="Times New Roman" w:cs="Times New Roman"/>
                <w:sz w:val="18"/>
                <w:szCs w:val="18"/>
                <w:lang w:val="pl-PL" w:eastAsia="pl-PL"/>
              </w:rPr>
              <w:t>nowania</w:t>
            </w:r>
            <w:r w:rsidRPr="007A3B4B">
              <w:rPr>
                <w:rFonts w:ascii="Times New Roman" w:eastAsia="Times New Roman" w:hAnsi="Times New Roman" w:cs="Times New Roman"/>
                <w:sz w:val="18"/>
                <w:szCs w:val="18"/>
                <w:lang w:val="pl-PL" w:eastAsia="pl-PL"/>
              </w:rPr>
              <w:t xml:space="preserve"> energii</w:t>
            </w:r>
          </w:p>
        </w:tc>
        <w:tc>
          <w:tcPr>
            <w:tcW w:w="992" w:type="dxa"/>
            <w:tcBorders>
              <w:top w:val="nil"/>
              <w:left w:val="nil"/>
              <w:bottom w:val="single" w:sz="4" w:space="0" w:color="auto"/>
              <w:right w:val="single" w:sz="4" w:space="0" w:color="auto"/>
            </w:tcBorders>
            <w:shd w:val="clear" w:color="000000" w:fill="C6EFCE"/>
            <w:vAlign w:val="center"/>
            <w:hideMark/>
          </w:tcPr>
          <w:p w14:paraId="3FF0EF0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190E700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W1-Przydomowe magazyny energii dla prosumentów energii</w:t>
            </w:r>
          </w:p>
        </w:tc>
        <w:tc>
          <w:tcPr>
            <w:tcW w:w="2268" w:type="dxa"/>
            <w:tcBorders>
              <w:top w:val="nil"/>
              <w:left w:val="nil"/>
              <w:bottom w:val="single" w:sz="4" w:space="0" w:color="auto"/>
              <w:right w:val="single" w:sz="4" w:space="0" w:color="auto"/>
            </w:tcBorders>
            <w:shd w:val="clear" w:color="000000" w:fill="C6EFCE"/>
            <w:vAlign w:val="center"/>
            <w:hideMark/>
          </w:tcPr>
          <w:p w14:paraId="59EC94E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641881D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B3AB40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3618777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10000</w:t>
            </w:r>
          </w:p>
        </w:tc>
        <w:tc>
          <w:tcPr>
            <w:tcW w:w="567" w:type="dxa"/>
            <w:tcBorders>
              <w:top w:val="nil"/>
              <w:left w:val="nil"/>
              <w:bottom w:val="single" w:sz="4" w:space="0" w:color="auto"/>
              <w:right w:val="single" w:sz="4" w:space="0" w:color="auto"/>
            </w:tcBorders>
            <w:shd w:val="clear" w:color="000000" w:fill="C6EFCE"/>
            <w:vAlign w:val="center"/>
            <w:hideMark/>
          </w:tcPr>
          <w:p w14:paraId="63ABAF5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4C71EB9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496854B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Wskaźnik dotyczy liczby zainstalowanych przydomowych magazynów energii o minimalnej pojemności 4 kWh </w:t>
            </w:r>
          </w:p>
        </w:tc>
      </w:tr>
      <w:tr w:rsidR="001052B5" w:rsidRPr="009D378C" w14:paraId="032196B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9881419"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B12L</w:t>
            </w:r>
          </w:p>
        </w:tc>
        <w:tc>
          <w:tcPr>
            <w:tcW w:w="1843" w:type="dxa"/>
            <w:tcBorders>
              <w:top w:val="nil"/>
              <w:left w:val="nil"/>
              <w:bottom w:val="single" w:sz="4" w:space="0" w:color="auto"/>
              <w:right w:val="single" w:sz="4" w:space="0" w:color="auto"/>
            </w:tcBorders>
            <w:shd w:val="clear" w:color="000000" w:fill="C6EFCE"/>
            <w:vAlign w:val="center"/>
            <w:hideMark/>
          </w:tcPr>
          <w:p w14:paraId="5477F905" w14:textId="17CB6886"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B2.4.1. </w:t>
            </w:r>
            <w:r w:rsidR="00DF0D3E">
              <w:rPr>
                <w:rFonts w:ascii="Times New Roman" w:eastAsia="Times New Roman" w:hAnsi="Times New Roman" w:cs="Times New Roman"/>
                <w:sz w:val="18"/>
                <w:szCs w:val="18"/>
                <w:lang w:val="pl-PL" w:eastAsia="pl-PL"/>
              </w:rPr>
              <w:t>Systemy m</w:t>
            </w:r>
            <w:r w:rsidRPr="007A3B4B">
              <w:rPr>
                <w:rFonts w:ascii="Times New Roman" w:eastAsia="Times New Roman" w:hAnsi="Times New Roman" w:cs="Times New Roman"/>
                <w:sz w:val="18"/>
                <w:szCs w:val="18"/>
                <w:lang w:val="pl-PL" w:eastAsia="pl-PL"/>
              </w:rPr>
              <w:t>agazyn</w:t>
            </w:r>
            <w:r w:rsidR="00DF0D3E">
              <w:rPr>
                <w:rFonts w:ascii="Times New Roman" w:eastAsia="Times New Roman" w:hAnsi="Times New Roman" w:cs="Times New Roman"/>
                <w:sz w:val="18"/>
                <w:szCs w:val="18"/>
                <w:lang w:val="pl-PL" w:eastAsia="pl-PL"/>
              </w:rPr>
              <w:t>owania</w:t>
            </w:r>
            <w:r w:rsidRPr="007A3B4B">
              <w:rPr>
                <w:rFonts w:ascii="Times New Roman" w:eastAsia="Times New Roman" w:hAnsi="Times New Roman" w:cs="Times New Roman"/>
                <w:sz w:val="18"/>
                <w:szCs w:val="18"/>
                <w:lang w:val="pl-PL" w:eastAsia="pl-PL"/>
              </w:rPr>
              <w:t xml:space="preserve"> energii</w:t>
            </w:r>
          </w:p>
        </w:tc>
        <w:tc>
          <w:tcPr>
            <w:tcW w:w="992" w:type="dxa"/>
            <w:tcBorders>
              <w:top w:val="nil"/>
              <w:left w:val="nil"/>
              <w:bottom w:val="single" w:sz="4" w:space="0" w:color="auto"/>
              <w:right w:val="single" w:sz="4" w:space="0" w:color="auto"/>
            </w:tcBorders>
            <w:shd w:val="clear" w:color="000000" w:fill="C6EFCE"/>
            <w:vAlign w:val="center"/>
            <w:hideMark/>
          </w:tcPr>
          <w:p w14:paraId="19990AE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1F445B2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W2- Przydomowe magazyny energii dla prosumentów energii</w:t>
            </w:r>
          </w:p>
        </w:tc>
        <w:tc>
          <w:tcPr>
            <w:tcW w:w="2268" w:type="dxa"/>
            <w:tcBorders>
              <w:top w:val="nil"/>
              <w:left w:val="nil"/>
              <w:bottom w:val="single" w:sz="4" w:space="0" w:color="auto"/>
              <w:right w:val="single" w:sz="4" w:space="0" w:color="auto"/>
            </w:tcBorders>
            <w:shd w:val="clear" w:color="000000" w:fill="C6EFCE"/>
            <w:vAlign w:val="center"/>
            <w:hideMark/>
          </w:tcPr>
          <w:p w14:paraId="1C6A684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392E1AB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38C4CD6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10000</w:t>
            </w:r>
          </w:p>
        </w:tc>
        <w:tc>
          <w:tcPr>
            <w:tcW w:w="992" w:type="dxa"/>
            <w:tcBorders>
              <w:top w:val="nil"/>
              <w:left w:val="nil"/>
              <w:bottom w:val="single" w:sz="4" w:space="0" w:color="auto"/>
              <w:right w:val="single" w:sz="4" w:space="0" w:color="auto"/>
            </w:tcBorders>
            <w:shd w:val="clear" w:color="000000" w:fill="C6EFCE"/>
            <w:vAlign w:val="center"/>
            <w:hideMark/>
          </w:tcPr>
          <w:p w14:paraId="7108D53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28000</w:t>
            </w:r>
          </w:p>
        </w:tc>
        <w:tc>
          <w:tcPr>
            <w:tcW w:w="567" w:type="dxa"/>
            <w:tcBorders>
              <w:top w:val="nil"/>
              <w:left w:val="nil"/>
              <w:bottom w:val="single" w:sz="4" w:space="0" w:color="auto"/>
              <w:right w:val="single" w:sz="4" w:space="0" w:color="auto"/>
            </w:tcBorders>
            <w:shd w:val="clear" w:color="000000" w:fill="C6EFCE"/>
            <w:vAlign w:val="center"/>
            <w:hideMark/>
          </w:tcPr>
          <w:p w14:paraId="7AE86EE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41F4731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59F0BA2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Wskaźnik dotyczy liczby zainstalowanych przydomowych magazynów energii  o minimalnej pojemności 4 kWh </w:t>
            </w:r>
          </w:p>
        </w:tc>
      </w:tr>
      <w:tr w:rsidR="001052B5" w:rsidRPr="009D378C" w14:paraId="06DFCAE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07"/>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3A9F1D88"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B13L</w:t>
            </w:r>
          </w:p>
        </w:tc>
        <w:tc>
          <w:tcPr>
            <w:tcW w:w="1843" w:type="dxa"/>
            <w:tcBorders>
              <w:top w:val="nil"/>
              <w:left w:val="nil"/>
              <w:bottom w:val="single" w:sz="4" w:space="0" w:color="auto"/>
              <w:right w:val="single" w:sz="4" w:space="0" w:color="auto"/>
            </w:tcBorders>
            <w:shd w:val="clear" w:color="000000" w:fill="C6EFCE"/>
            <w:vAlign w:val="center"/>
            <w:hideMark/>
          </w:tcPr>
          <w:p w14:paraId="053CAF59" w14:textId="49C5B68F"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B2.4.1. </w:t>
            </w:r>
            <w:r w:rsidR="00DF0D3E">
              <w:rPr>
                <w:rFonts w:ascii="Times New Roman" w:eastAsia="Times New Roman" w:hAnsi="Times New Roman" w:cs="Times New Roman"/>
                <w:sz w:val="18"/>
                <w:szCs w:val="18"/>
                <w:lang w:val="pl-PL" w:eastAsia="pl-PL"/>
              </w:rPr>
              <w:t>Systemy m</w:t>
            </w:r>
            <w:r w:rsidRPr="007A3B4B">
              <w:rPr>
                <w:rFonts w:ascii="Times New Roman" w:eastAsia="Times New Roman" w:hAnsi="Times New Roman" w:cs="Times New Roman"/>
                <w:sz w:val="18"/>
                <w:szCs w:val="18"/>
                <w:lang w:val="pl-PL" w:eastAsia="pl-PL"/>
              </w:rPr>
              <w:t>agazy</w:t>
            </w:r>
            <w:r w:rsidR="00DF0D3E">
              <w:rPr>
                <w:rFonts w:ascii="Times New Roman" w:eastAsia="Times New Roman" w:hAnsi="Times New Roman" w:cs="Times New Roman"/>
                <w:sz w:val="18"/>
                <w:szCs w:val="18"/>
                <w:lang w:val="pl-PL" w:eastAsia="pl-PL"/>
              </w:rPr>
              <w:t>nowania</w:t>
            </w:r>
            <w:r w:rsidRPr="007A3B4B">
              <w:rPr>
                <w:rFonts w:ascii="Times New Roman" w:eastAsia="Times New Roman" w:hAnsi="Times New Roman" w:cs="Times New Roman"/>
                <w:sz w:val="18"/>
                <w:szCs w:val="18"/>
                <w:lang w:val="pl-PL" w:eastAsia="pl-PL"/>
              </w:rPr>
              <w:t xml:space="preserve"> energii</w:t>
            </w:r>
          </w:p>
        </w:tc>
        <w:tc>
          <w:tcPr>
            <w:tcW w:w="992" w:type="dxa"/>
            <w:tcBorders>
              <w:top w:val="nil"/>
              <w:left w:val="nil"/>
              <w:bottom w:val="single" w:sz="4" w:space="0" w:color="auto"/>
              <w:right w:val="single" w:sz="4" w:space="0" w:color="auto"/>
            </w:tcBorders>
            <w:shd w:val="clear" w:color="000000" w:fill="C6EFCE"/>
            <w:vAlign w:val="center"/>
            <w:hideMark/>
          </w:tcPr>
          <w:p w14:paraId="041F91A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4A23362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Modernizacja magazynu energii elektrycznej (elektrowni szczytowo-pompowej)</w:t>
            </w:r>
          </w:p>
        </w:tc>
        <w:tc>
          <w:tcPr>
            <w:tcW w:w="2268" w:type="dxa"/>
            <w:tcBorders>
              <w:top w:val="nil"/>
              <w:left w:val="nil"/>
              <w:bottom w:val="single" w:sz="4" w:space="0" w:color="auto"/>
              <w:right w:val="single" w:sz="4" w:space="0" w:color="auto"/>
            </w:tcBorders>
            <w:shd w:val="clear" w:color="000000" w:fill="C6EFCE"/>
            <w:vAlign w:val="center"/>
            <w:hideMark/>
          </w:tcPr>
          <w:p w14:paraId="43E0DCB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Zakończenie modernizacji</w:t>
            </w:r>
          </w:p>
        </w:tc>
        <w:tc>
          <w:tcPr>
            <w:tcW w:w="851" w:type="dxa"/>
            <w:tcBorders>
              <w:top w:val="nil"/>
              <w:left w:val="nil"/>
              <w:bottom w:val="single" w:sz="4" w:space="0" w:color="auto"/>
              <w:right w:val="single" w:sz="4" w:space="0" w:color="auto"/>
            </w:tcBorders>
            <w:shd w:val="clear" w:color="000000" w:fill="C6EFCE"/>
            <w:vAlign w:val="center"/>
            <w:hideMark/>
          </w:tcPr>
          <w:p w14:paraId="247F556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43FD42B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65F5339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0AC8B17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504C45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19204AB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Zakończenie modernizacji istniejącego obiektu magazynowania energii elektrycznej (</w:t>
            </w:r>
            <w:proofErr w:type="spellStart"/>
            <w:r w:rsidRPr="007A3B4B">
              <w:rPr>
                <w:rFonts w:ascii="Times New Roman" w:eastAsia="Times New Roman" w:hAnsi="Times New Roman" w:cs="Times New Roman"/>
                <w:sz w:val="18"/>
                <w:szCs w:val="18"/>
                <w:lang w:val="pl-PL" w:eastAsia="pl-PL"/>
              </w:rPr>
              <w:t>elektrownii</w:t>
            </w:r>
            <w:proofErr w:type="spellEnd"/>
            <w:r w:rsidRPr="007A3B4B">
              <w:rPr>
                <w:rFonts w:ascii="Times New Roman" w:eastAsia="Times New Roman" w:hAnsi="Times New Roman" w:cs="Times New Roman"/>
                <w:sz w:val="18"/>
                <w:szCs w:val="18"/>
                <w:lang w:val="pl-PL" w:eastAsia="pl-PL"/>
              </w:rPr>
              <w:t xml:space="preserve"> szczytowo-pompowej) obejmujące modernizację zbiornika górnego, górnego ujęcia wody i tuneli pochodnych oraz co najmniej 3 z 4 hydrogeneratorów. Realizacja projektu doprowadzi do zwiększenia dyspozycyjności i sprawności elektrowni w trybie wytwórczym i </w:t>
            </w:r>
            <w:r w:rsidRPr="007A3B4B">
              <w:rPr>
                <w:rFonts w:ascii="Times New Roman" w:eastAsia="Times New Roman" w:hAnsi="Times New Roman" w:cs="Times New Roman"/>
                <w:sz w:val="18"/>
                <w:szCs w:val="18"/>
                <w:lang w:val="pl-PL" w:eastAsia="pl-PL"/>
              </w:rPr>
              <w:lastRenderedPageBreak/>
              <w:t xml:space="preserve">pompowym. Przewiduje się, że moc zainstalowana (w trybie wytwórczym) wyniesie 540 MW. </w:t>
            </w:r>
          </w:p>
        </w:tc>
      </w:tr>
      <w:tr w:rsidR="001052B5" w:rsidRPr="009D378C" w14:paraId="1E01F1BF"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2784AD3"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B14L</w:t>
            </w:r>
          </w:p>
        </w:tc>
        <w:tc>
          <w:tcPr>
            <w:tcW w:w="1843" w:type="dxa"/>
            <w:tcBorders>
              <w:top w:val="nil"/>
              <w:left w:val="nil"/>
              <w:bottom w:val="single" w:sz="4" w:space="0" w:color="auto"/>
              <w:right w:val="single" w:sz="4" w:space="0" w:color="auto"/>
            </w:tcBorders>
            <w:shd w:val="clear" w:color="000000" w:fill="C6EFCE"/>
            <w:vAlign w:val="center"/>
            <w:hideMark/>
          </w:tcPr>
          <w:p w14:paraId="6BDB55FE" w14:textId="3D0D2DAC"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 Wsparcie </w:t>
            </w:r>
            <w:r w:rsidR="00DF0D3E">
              <w:rPr>
                <w:rFonts w:ascii="Times New Roman" w:eastAsia="Times New Roman" w:hAnsi="Times New Roman" w:cs="Times New Roman"/>
                <w:sz w:val="18"/>
                <w:szCs w:val="18"/>
                <w:lang w:val="pl-PL" w:eastAsia="pl-PL"/>
              </w:rPr>
              <w:t>rekultywacji</w:t>
            </w:r>
            <w:r w:rsidRPr="007A3B4B">
              <w:rPr>
                <w:rFonts w:ascii="Times New Roman" w:eastAsia="Times New Roman" w:hAnsi="Times New Roman" w:cs="Times New Roman"/>
                <w:sz w:val="18"/>
                <w:szCs w:val="18"/>
                <w:lang w:val="pl-PL" w:eastAsia="pl-PL"/>
              </w:rPr>
              <w:t xml:space="preserve"> środowiska i </w:t>
            </w:r>
            <w:r w:rsidR="00482CC0">
              <w:rPr>
                <w:rFonts w:ascii="Times New Roman" w:eastAsia="Times New Roman" w:hAnsi="Times New Roman" w:cs="Times New Roman"/>
                <w:sz w:val="18"/>
                <w:szCs w:val="18"/>
                <w:lang w:val="pl-PL" w:eastAsia="pl-PL"/>
              </w:rPr>
              <w:t>ochrony</w:t>
            </w:r>
            <w:r w:rsidR="00482CC0" w:rsidRPr="007A3B4B">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przed substancjami niebezpiecznymi</w:t>
            </w:r>
          </w:p>
        </w:tc>
        <w:tc>
          <w:tcPr>
            <w:tcW w:w="992" w:type="dxa"/>
            <w:tcBorders>
              <w:top w:val="nil"/>
              <w:left w:val="nil"/>
              <w:bottom w:val="single" w:sz="4" w:space="0" w:color="auto"/>
              <w:right w:val="single" w:sz="4" w:space="0" w:color="auto"/>
            </w:tcBorders>
            <w:shd w:val="clear" w:color="000000" w:fill="C6EFCE"/>
            <w:vAlign w:val="center"/>
            <w:hideMark/>
          </w:tcPr>
          <w:p w14:paraId="587EED3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185ECE8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ustawy umożliwiającej kompleksowe eliminowanie negatywnego wpływu na środowisko </w:t>
            </w:r>
            <w:r w:rsidRPr="007A3B4B">
              <w:rPr>
                <w:rFonts w:ascii="Times New Roman" w:eastAsia="Times New Roman" w:hAnsi="Times New Roman" w:cs="Times New Roman"/>
                <w:strike/>
                <w:sz w:val="18"/>
                <w:szCs w:val="18"/>
                <w:lang w:val="pl-PL" w:eastAsia="pl-PL"/>
              </w:rPr>
              <w:t xml:space="preserve"> </w:t>
            </w:r>
            <w:r w:rsidRPr="007A3B4B">
              <w:rPr>
                <w:rFonts w:ascii="Times New Roman" w:eastAsia="Times New Roman" w:hAnsi="Times New Roman" w:cs="Times New Roman"/>
                <w:sz w:val="18"/>
                <w:szCs w:val="18"/>
                <w:lang w:val="pl-PL" w:eastAsia="pl-PL"/>
              </w:rPr>
              <w:t>na wielkoobszarowych terenach poprzemysłowych</w:t>
            </w:r>
          </w:p>
        </w:tc>
        <w:tc>
          <w:tcPr>
            <w:tcW w:w="2268" w:type="dxa"/>
            <w:tcBorders>
              <w:top w:val="nil"/>
              <w:left w:val="nil"/>
              <w:bottom w:val="single" w:sz="4" w:space="0" w:color="auto"/>
              <w:right w:val="single" w:sz="4" w:space="0" w:color="auto"/>
            </w:tcBorders>
            <w:shd w:val="clear" w:color="000000" w:fill="C6EFCE"/>
            <w:vAlign w:val="center"/>
            <w:hideMark/>
          </w:tcPr>
          <w:p w14:paraId="082563A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Przepis w ustawie wskazujący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1D6C3B3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C2835A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D9FE40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49FB7A2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4F8AA21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1479C18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ustawy mającej na celu zwiększenie bezpieczeństwa dla zdrowia ludzi i stanu środowiska. Ustawa usunie bariery organizacyjne i prawne w kompleksowej likwidacji negatywnego oddziaływania na środowisko na wielkoobszarowych  terenach poprzemysłowych.</w:t>
            </w:r>
            <w:r w:rsidRPr="007A3B4B">
              <w:rPr>
                <w:rFonts w:ascii="Times New Roman" w:eastAsia="Times New Roman" w:hAnsi="Times New Roman" w:cs="Times New Roman"/>
                <w:sz w:val="18"/>
                <w:szCs w:val="18"/>
                <w:lang w:val="pl-PL" w:eastAsia="pl-PL"/>
              </w:rPr>
              <w:br/>
              <w:t xml:space="preserve">Jest to forma pilotażu dla wcześniej zdefiniowanych lokalizacji. </w:t>
            </w:r>
            <w:r w:rsidRPr="007A3B4B">
              <w:rPr>
                <w:rFonts w:ascii="Times New Roman" w:eastAsia="Times New Roman" w:hAnsi="Times New Roman" w:cs="Times New Roman"/>
                <w:sz w:val="18"/>
                <w:szCs w:val="18"/>
                <w:lang w:val="pl-PL" w:eastAsia="pl-PL"/>
              </w:rPr>
              <w:br/>
              <w:t>Ustawa reguluje cztery niezależne komponenty terenowe (różne lokalizacje i zakresy prac): 1) dawne Zakłady Chemiczne "Tarnowskie Góry" w Tarnowskich Górach; 2) dawne Zakłady Chemiczne "Zachem" w Bydgoszczy; 3) Zakłady "Organika-Azot" w Jaworznie; 4) dawne Zakłady Przemysłu Barwników "Boruta" w Zgierzu.</w:t>
            </w:r>
            <w:r w:rsidRPr="007A3B4B">
              <w:rPr>
                <w:rFonts w:ascii="Times New Roman" w:eastAsia="Times New Roman" w:hAnsi="Times New Roman" w:cs="Times New Roman"/>
                <w:sz w:val="18"/>
                <w:szCs w:val="18"/>
                <w:lang w:val="pl-PL" w:eastAsia="pl-PL"/>
              </w:rPr>
              <w:br/>
              <w:t>Zakres projektu obejmuje rozpoznanie i inwentaryzację terenów, przygotowanie i ocenę skali problemów związanych z ograniczeniem oddziaływania na środowisko dużych terenów poprzemysłowych oraz opracowanie kompleksowej dokumentacji inwestycyjnej dla tych terenów.</w:t>
            </w:r>
          </w:p>
        </w:tc>
      </w:tr>
      <w:tr w:rsidR="001052B5" w:rsidRPr="009D378C" w14:paraId="1201046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74"/>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BA3EB7A"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B15L</w:t>
            </w:r>
          </w:p>
        </w:tc>
        <w:tc>
          <w:tcPr>
            <w:tcW w:w="1843" w:type="dxa"/>
            <w:tcBorders>
              <w:top w:val="nil"/>
              <w:left w:val="nil"/>
              <w:bottom w:val="single" w:sz="4" w:space="0" w:color="auto"/>
              <w:right w:val="single" w:sz="4" w:space="0" w:color="auto"/>
            </w:tcBorders>
            <w:shd w:val="clear" w:color="000000" w:fill="C6EFCE"/>
            <w:vAlign w:val="center"/>
            <w:hideMark/>
          </w:tcPr>
          <w:p w14:paraId="6A8D7EE9" w14:textId="70DFF1E8"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 Wsparcie </w:t>
            </w:r>
            <w:r w:rsidR="003A2B1D">
              <w:rPr>
                <w:rFonts w:ascii="Times New Roman" w:eastAsia="Times New Roman" w:hAnsi="Times New Roman" w:cs="Times New Roman"/>
                <w:sz w:val="18"/>
                <w:szCs w:val="18"/>
                <w:lang w:val="pl-PL" w:eastAsia="pl-PL"/>
              </w:rPr>
              <w:t>rekultywacji</w:t>
            </w:r>
            <w:r w:rsidRPr="007A3B4B">
              <w:rPr>
                <w:rFonts w:ascii="Times New Roman" w:eastAsia="Times New Roman" w:hAnsi="Times New Roman" w:cs="Times New Roman"/>
                <w:sz w:val="18"/>
                <w:szCs w:val="18"/>
                <w:lang w:val="pl-PL" w:eastAsia="pl-PL"/>
              </w:rPr>
              <w:t xml:space="preserve"> środowiska i </w:t>
            </w:r>
            <w:r w:rsidR="00482CC0">
              <w:rPr>
                <w:rFonts w:ascii="Times New Roman" w:eastAsia="Times New Roman" w:hAnsi="Times New Roman" w:cs="Times New Roman"/>
                <w:sz w:val="18"/>
                <w:szCs w:val="18"/>
                <w:lang w:val="pl-PL" w:eastAsia="pl-PL"/>
              </w:rPr>
              <w:t xml:space="preserve">ochrony </w:t>
            </w:r>
            <w:r w:rsidRPr="007A3B4B">
              <w:rPr>
                <w:rFonts w:ascii="Times New Roman" w:eastAsia="Times New Roman" w:hAnsi="Times New Roman" w:cs="Times New Roman"/>
                <w:sz w:val="18"/>
                <w:szCs w:val="18"/>
                <w:lang w:val="pl-PL" w:eastAsia="pl-PL"/>
              </w:rPr>
              <w:t>przed substancjami niebezpiecznymi</w:t>
            </w:r>
          </w:p>
        </w:tc>
        <w:tc>
          <w:tcPr>
            <w:tcW w:w="992" w:type="dxa"/>
            <w:tcBorders>
              <w:top w:val="nil"/>
              <w:left w:val="nil"/>
              <w:bottom w:val="single" w:sz="4" w:space="0" w:color="auto"/>
              <w:right w:val="single" w:sz="4" w:space="0" w:color="auto"/>
            </w:tcBorders>
            <w:shd w:val="clear" w:color="000000" w:fill="C6EFCE"/>
            <w:vAlign w:val="center"/>
            <w:hideMark/>
          </w:tcPr>
          <w:p w14:paraId="514A977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35A0D259" w14:textId="1560185B"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w:t>
            </w:r>
            <w:r w:rsidR="00106E4F">
              <w:rPr>
                <w:rFonts w:ascii="Times New Roman" w:eastAsia="Times New Roman" w:hAnsi="Times New Roman" w:cs="Times New Roman"/>
                <w:sz w:val="18"/>
                <w:szCs w:val="18"/>
                <w:lang w:val="pl-PL" w:eastAsia="pl-PL"/>
              </w:rPr>
              <w:t>aktu prawnego</w:t>
            </w:r>
            <w:r w:rsidRPr="007A3B4B">
              <w:rPr>
                <w:rFonts w:ascii="Times New Roman" w:eastAsia="Times New Roman" w:hAnsi="Times New Roman" w:cs="Times New Roman"/>
                <w:sz w:val="18"/>
                <w:szCs w:val="18"/>
                <w:lang w:val="pl-PL" w:eastAsia="pl-PL"/>
              </w:rPr>
              <w:t xml:space="preserve"> </w:t>
            </w:r>
            <w:proofErr w:type="spellStart"/>
            <w:r w:rsidRPr="007A3B4B">
              <w:rPr>
                <w:rFonts w:ascii="Times New Roman" w:eastAsia="Times New Roman" w:hAnsi="Times New Roman" w:cs="Times New Roman"/>
                <w:sz w:val="18"/>
                <w:szCs w:val="18"/>
                <w:lang w:val="pl-PL" w:eastAsia="pl-PL"/>
              </w:rPr>
              <w:t>dedykowan</w:t>
            </w:r>
            <w:r w:rsidR="00106E4F">
              <w:rPr>
                <w:rFonts w:ascii="Times New Roman" w:eastAsia="Times New Roman" w:hAnsi="Times New Roman" w:cs="Times New Roman"/>
                <w:sz w:val="18"/>
                <w:szCs w:val="18"/>
                <w:lang w:val="pl-PL" w:eastAsia="pl-PL"/>
              </w:rPr>
              <w:t>ego</w:t>
            </w:r>
            <w:r w:rsidRPr="007A3B4B">
              <w:rPr>
                <w:rFonts w:ascii="Times New Roman" w:eastAsia="Times New Roman" w:hAnsi="Times New Roman" w:cs="Times New Roman"/>
                <w:sz w:val="18"/>
                <w:szCs w:val="18"/>
                <w:lang w:val="pl-PL" w:eastAsia="pl-PL"/>
              </w:rPr>
              <w:t>likwidacji</w:t>
            </w:r>
            <w:proofErr w:type="spellEnd"/>
            <w:r w:rsidRPr="007A3B4B">
              <w:rPr>
                <w:rFonts w:ascii="Times New Roman" w:eastAsia="Times New Roman" w:hAnsi="Times New Roman" w:cs="Times New Roman"/>
                <w:sz w:val="18"/>
                <w:szCs w:val="18"/>
                <w:lang w:val="pl-PL" w:eastAsia="pl-PL"/>
              </w:rPr>
              <w:t xml:space="preserve"> materiałów niebezpiecznych zatopionych w Morzu Bałtyckim</w:t>
            </w:r>
          </w:p>
        </w:tc>
        <w:tc>
          <w:tcPr>
            <w:tcW w:w="2268" w:type="dxa"/>
            <w:tcBorders>
              <w:top w:val="nil"/>
              <w:left w:val="nil"/>
              <w:bottom w:val="single" w:sz="4" w:space="0" w:color="auto"/>
              <w:right w:val="single" w:sz="4" w:space="0" w:color="auto"/>
            </w:tcBorders>
            <w:shd w:val="clear" w:color="000000" w:fill="C6EFCE"/>
            <w:vAlign w:val="center"/>
            <w:hideMark/>
          </w:tcPr>
          <w:p w14:paraId="75B26351" w14:textId="2293132F"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Przepis w </w:t>
            </w:r>
            <w:r w:rsidR="00106E4F">
              <w:rPr>
                <w:rFonts w:ascii="Times New Roman" w:eastAsia="Times New Roman" w:hAnsi="Times New Roman" w:cs="Times New Roman"/>
                <w:sz w:val="18"/>
                <w:szCs w:val="18"/>
                <w:lang w:val="pl-PL" w:eastAsia="pl-PL"/>
              </w:rPr>
              <w:t xml:space="preserve">akcie prawnym </w:t>
            </w:r>
            <w:r w:rsidRPr="007A3B4B">
              <w:rPr>
                <w:rFonts w:ascii="Times New Roman" w:eastAsia="Times New Roman" w:hAnsi="Times New Roman" w:cs="Times New Roman"/>
                <w:sz w:val="18"/>
                <w:szCs w:val="18"/>
                <w:lang w:val="pl-PL" w:eastAsia="pl-PL"/>
              </w:rPr>
              <w:t>wskazujący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579903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2418CC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6677507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0A5792F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Q3</w:t>
            </w:r>
          </w:p>
        </w:tc>
        <w:tc>
          <w:tcPr>
            <w:tcW w:w="709" w:type="dxa"/>
            <w:tcBorders>
              <w:top w:val="nil"/>
              <w:left w:val="nil"/>
              <w:bottom w:val="single" w:sz="4" w:space="0" w:color="auto"/>
              <w:right w:val="single" w:sz="4" w:space="0" w:color="auto"/>
            </w:tcBorders>
            <w:shd w:val="clear" w:color="000000" w:fill="C6EFCE"/>
            <w:vAlign w:val="center"/>
            <w:hideMark/>
          </w:tcPr>
          <w:p w14:paraId="5CADF97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19489ECE" w14:textId="474AC0A9"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w:t>
            </w:r>
            <w:r w:rsidR="001E45AF">
              <w:rPr>
                <w:rFonts w:ascii="Times New Roman" w:eastAsia="Times New Roman" w:hAnsi="Times New Roman" w:cs="Times New Roman"/>
                <w:sz w:val="18"/>
                <w:szCs w:val="18"/>
                <w:lang w:val="pl-PL" w:eastAsia="pl-PL"/>
              </w:rPr>
              <w:t xml:space="preserve">aktu prawnego </w:t>
            </w:r>
            <w:r w:rsidRPr="007A3B4B">
              <w:rPr>
                <w:rFonts w:ascii="Times New Roman" w:eastAsia="Times New Roman" w:hAnsi="Times New Roman" w:cs="Times New Roman"/>
                <w:sz w:val="18"/>
                <w:szCs w:val="18"/>
                <w:lang w:val="pl-PL" w:eastAsia="pl-PL"/>
              </w:rPr>
              <w:t>mające</w:t>
            </w:r>
            <w:r w:rsidR="001E45AF">
              <w:rPr>
                <w:rFonts w:ascii="Times New Roman" w:eastAsia="Times New Roman" w:hAnsi="Times New Roman" w:cs="Times New Roman"/>
                <w:sz w:val="18"/>
                <w:szCs w:val="18"/>
                <w:lang w:val="pl-PL" w:eastAsia="pl-PL"/>
              </w:rPr>
              <w:t>go</w:t>
            </w:r>
            <w:r w:rsidRPr="007A3B4B">
              <w:rPr>
                <w:rFonts w:ascii="Times New Roman" w:eastAsia="Times New Roman" w:hAnsi="Times New Roman" w:cs="Times New Roman"/>
                <w:sz w:val="18"/>
                <w:szCs w:val="18"/>
                <w:lang w:val="pl-PL" w:eastAsia="pl-PL"/>
              </w:rPr>
              <w:t xml:space="preserve"> na celu zwiększenie bezpieczeństwa dla zdrowia ludzi i stanu środowiska, która </w:t>
            </w:r>
            <w:r w:rsidRPr="007A3B4B">
              <w:rPr>
                <w:rFonts w:ascii="Times New Roman" w:eastAsia="Times New Roman" w:hAnsi="Times New Roman" w:cs="Times New Roman"/>
                <w:sz w:val="18"/>
                <w:szCs w:val="18"/>
                <w:lang w:val="pl-PL" w:eastAsia="pl-PL"/>
              </w:rPr>
              <w:br/>
              <w:t>zapewni:</w:t>
            </w:r>
            <w:r w:rsidRPr="007A3B4B">
              <w:rPr>
                <w:rFonts w:ascii="Times New Roman" w:eastAsia="Times New Roman" w:hAnsi="Times New Roman" w:cs="Times New Roman"/>
                <w:sz w:val="18"/>
                <w:szCs w:val="18"/>
                <w:lang w:val="pl-PL" w:eastAsia="pl-PL"/>
              </w:rPr>
              <w:br/>
              <w:t>- precyzyjny opis kompetencji organów władzy publicznej w przepisach prawa;</w:t>
            </w:r>
            <w:r w:rsidRPr="007A3B4B">
              <w:rPr>
                <w:rFonts w:ascii="Times New Roman" w:eastAsia="Times New Roman" w:hAnsi="Times New Roman" w:cs="Times New Roman"/>
                <w:sz w:val="18"/>
                <w:szCs w:val="18"/>
                <w:lang w:val="pl-PL" w:eastAsia="pl-PL"/>
              </w:rPr>
              <w:br/>
              <w:t>- wskazanie podmiotów wiodących i współdziałających w sprawach związanych z usuwaniem materiałów niebezpiecznych na obszarach morskich Rzeczypospolitej Polskiej;</w:t>
            </w:r>
            <w:r w:rsidRPr="007A3B4B">
              <w:rPr>
                <w:rFonts w:ascii="Times New Roman" w:eastAsia="Times New Roman" w:hAnsi="Times New Roman" w:cs="Times New Roman"/>
                <w:sz w:val="18"/>
                <w:szCs w:val="18"/>
                <w:lang w:val="pl-PL" w:eastAsia="pl-PL"/>
              </w:rPr>
              <w:br/>
              <w:t xml:space="preserve">- opracowanie szczegółowego planu działania administracji publicznej oraz jednostek nadzorowanych i podległych w zakresie problematyki materiałów niebezpiecznych składowanych na obszarach morskich wraz ze wskazaniem podmiotów odpowiedzialnych za </w:t>
            </w:r>
            <w:r w:rsidRPr="007A3B4B">
              <w:rPr>
                <w:rFonts w:ascii="Times New Roman" w:eastAsia="Times New Roman" w:hAnsi="Times New Roman" w:cs="Times New Roman"/>
                <w:sz w:val="18"/>
                <w:szCs w:val="18"/>
                <w:lang w:val="pl-PL" w:eastAsia="pl-PL"/>
              </w:rPr>
              <w:lastRenderedPageBreak/>
              <w:t>realizację poszczególnych zadań;</w:t>
            </w:r>
            <w:r w:rsidRPr="007A3B4B">
              <w:rPr>
                <w:rFonts w:ascii="Times New Roman" w:eastAsia="Times New Roman" w:hAnsi="Times New Roman" w:cs="Times New Roman"/>
                <w:sz w:val="18"/>
                <w:szCs w:val="18"/>
                <w:lang w:val="pl-PL" w:eastAsia="pl-PL"/>
              </w:rPr>
              <w:br/>
              <w:t>- wprowadzenie zmian prawnych umożliwiających monitorowanie, identyfikację oraz ewentualne wydobycie i unieszkodliwianie materiałów niebezpiecznych.</w:t>
            </w:r>
          </w:p>
        </w:tc>
      </w:tr>
      <w:tr w:rsidR="001052B5" w:rsidRPr="009D378C" w14:paraId="4A3297F3"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823"/>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C11B1EA"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B16L</w:t>
            </w:r>
          </w:p>
        </w:tc>
        <w:tc>
          <w:tcPr>
            <w:tcW w:w="1843" w:type="dxa"/>
            <w:tcBorders>
              <w:top w:val="nil"/>
              <w:left w:val="nil"/>
              <w:bottom w:val="single" w:sz="4" w:space="0" w:color="auto"/>
              <w:right w:val="single" w:sz="4" w:space="0" w:color="auto"/>
            </w:tcBorders>
            <w:shd w:val="clear" w:color="000000" w:fill="C6EFCE"/>
            <w:vAlign w:val="center"/>
            <w:hideMark/>
          </w:tcPr>
          <w:p w14:paraId="5DE32C15" w14:textId="19CDF8ED"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003A2B1D" w:rsidRPr="003A2B1D">
              <w:rPr>
                <w:rFonts w:ascii="Times New Roman" w:eastAsia="Times New Roman" w:hAnsi="Times New Roman" w:cs="Times New Roman"/>
                <w:sz w:val="18"/>
                <w:szCs w:val="18"/>
                <w:lang w:val="pl-PL" w:eastAsia="pl-PL"/>
              </w:rPr>
              <w:t>neutralizacja ryzyka i rekultywacj</w:t>
            </w:r>
            <w:r w:rsidR="003A2B1D">
              <w:rPr>
                <w:rFonts w:ascii="Times New Roman" w:eastAsia="Times New Roman" w:hAnsi="Times New Roman" w:cs="Times New Roman"/>
                <w:sz w:val="18"/>
                <w:szCs w:val="18"/>
                <w:lang w:val="pl-PL" w:eastAsia="pl-PL"/>
              </w:rPr>
              <w:t xml:space="preserve">ę wielkoobszarowych </w:t>
            </w:r>
            <w:r w:rsidR="003A2B1D" w:rsidRPr="003A2B1D">
              <w:rPr>
                <w:rFonts w:ascii="Times New Roman" w:eastAsia="Times New Roman" w:hAnsi="Times New Roman" w:cs="Times New Roman"/>
                <w:sz w:val="18"/>
                <w:szCs w:val="18"/>
                <w:lang w:val="pl-PL" w:eastAsia="pl-PL"/>
              </w:rPr>
              <w:t>terenów poprzemysłowych</w:t>
            </w:r>
            <w:r w:rsidR="003A2B1D"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6F1F05C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142EAA6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Zbiory dokumentacji przygotowane dla inwestycji związanych z negatywnym oddziaływaniem na środowisko wybranych wielkoskalowych terenów poprzemysłowych oraz materiałów niebezpiecznych zatopionych na dnie Morza Bałtyckiego</w:t>
            </w:r>
          </w:p>
        </w:tc>
        <w:tc>
          <w:tcPr>
            <w:tcW w:w="2268" w:type="dxa"/>
            <w:tcBorders>
              <w:top w:val="nil"/>
              <w:left w:val="nil"/>
              <w:bottom w:val="single" w:sz="4" w:space="0" w:color="auto"/>
              <w:right w:val="single" w:sz="4" w:space="0" w:color="auto"/>
            </w:tcBorders>
            <w:shd w:val="clear" w:color="000000" w:fill="C6EFCE"/>
            <w:vAlign w:val="center"/>
            <w:hideMark/>
          </w:tcPr>
          <w:p w14:paraId="5D4CAB0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614920E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4D80FC9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6866F42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9</w:t>
            </w:r>
          </w:p>
        </w:tc>
        <w:tc>
          <w:tcPr>
            <w:tcW w:w="567" w:type="dxa"/>
            <w:tcBorders>
              <w:top w:val="nil"/>
              <w:left w:val="nil"/>
              <w:bottom w:val="single" w:sz="4" w:space="0" w:color="auto"/>
              <w:right w:val="single" w:sz="4" w:space="0" w:color="auto"/>
            </w:tcBorders>
            <w:shd w:val="clear" w:color="000000" w:fill="C6EFCE"/>
            <w:vAlign w:val="center"/>
            <w:hideMark/>
          </w:tcPr>
          <w:p w14:paraId="50B2AC4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71880DA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0B800AFF" w14:textId="77777777" w:rsidR="001052B5" w:rsidRPr="007A3B4B" w:rsidRDefault="001052B5" w:rsidP="00A20CA7">
            <w:pPr>
              <w:spacing w:after="24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Pełna dokumentacja inwestycyjna dla dziewięciu predefiniowanych lokalizacji - na lądzie i morzu w ramach odrębnej części programu - gdzie występują istotne problemy z zanieczyszczeniami lub substancjami niebezpiecznymi na dużym obszarze.</w:t>
            </w:r>
          </w:p>
        </w:tc>
      </w:tr>
      <w:tr w:rsidR="001052B5" w:rsidRPr="009D378C" w14:paraId="41C683C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42"/>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1FC31C7"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B17L</w:t>
            </w:r>
          </w:p>
        </w:tc>
        <w:tc>
          <w:tcPr>
            <w:tcW w:w="1843" w:type="dxa"/>
            <w:tcBorders>
              <w:top w:val="nil"/>
              <w:left w:val="nil"/>
              <w:bottom w:val="single" w:sz="4" w:space="0" w:color="auto"/>
              <w:right w:val="single" w:sz="4" w:space="0" w:color="auto"/>
            </w:tcBorders>
            <w:shd w:val="clear" w:color="000000" w:fill="C6EFCE"/>
            <w:vAlign w:val="center"/>
            <w:hideMark/>
          </w:tcPr>
          <w:p w14:paraId="130E535F" w14:textId="0DD3544C" w:rsidR="001052B5" w:rsidRPr="007A3B4B" w:rsidRDefault="003A2B1D"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Pr="003A2B1D">
              <w:rPr>
                <w:rFonts w:ascii="Times New Roman" w:eastAsia="Times New Roman" w:hAnsi="Times New Roman" w:cs="Times New Roman"/>
                <w:sz w:val="18"/>
                <w:szCs w:val="18"/>
                <w:lang w:val="pl-PL" w:eastAsia="pl-PL"/>
              </w:rPr>
              <w:t>neutralizacja ryzyka i rekultywacj</w:t>
            </w:r>
            <w:r>
              <w:rPr>
                <w:rFonts w:ascii="Times New Roman" w:eastAsia="Times New Roman" w:hAnsi="Times New Roman" w:cs="Times New Roman"/>
                <w:sz w:val="18"/>
                <w:szCs w:val="18"/>
                <w:lang w:val="pl-PL" w:eastAsia="pl-PL"/>
              </w:rPr>
              <w:t xml:space="preserve">ę wielkoobszarowych </w:t>
            </w:r>
            <w:r w:rsidRPr="003A2B1D">
              <w:rPr>
                <w:rFonts w:ascii="Times New Roman" w:eastAsia="Times New Roman" w:hAnsi="Times New Roman" w:cs="Times New Roman"/>
                <w:sz w:val="18"/>
                <w:szCs w:val="18"/>
                <w:lang w:val="pl-PL" w:eastAsia="pl-PL"/>
              </w:rPr>
              <w:t>terenów poprzemysłowych</w:t>
            </w:r>
            <w:r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27A1203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6B5D49A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Obszary lądowe, dla których przeprowadzono badania terenowe związane z występowaniem zanieczyszczeń i materiałów niebezpiecznych </w:t>
            </w:r>
          </w:p>
        </w:tc>
        <w:tc>
          <w:tcPr>
            <w:tcW w:w="2268" w:type="dxa"/>
            <w:tcBorders>
              <w:top w:val="nil"/>
              <w:left w:val="nil"/>
              <w:bottom w:val="single" w:sz="4" w:space="0" w:color="auto"/>
              <w:right w:val="single" w:sz="4" w:space="0" w:color="auto"/>
            </w:tcBorders>
            <w:shd w:val="clear" w:color="000000" w:fill="C6EFCE"/>
            <w:vAlign w:val="center"/>
            <w:hideMark/>
          </w:tcPr>
          <w:p w14:paraId="74E0431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5A79DF7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07F58B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007B0E9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5</w:t>
            </w:r>
          </w:p>
        </w:tc>
        <w:tc>
          <w:tcPr>
            <w:tcW w:w="567" w:type="dxa"/>
            <w:tcBorders>
              <w:top w:val="nil"/>
              <w:left w:val="nil"/>
              <w:bottom w:val="single" w:sz="4" w:space="0" w:color="auto"/>
              <w:right w:val="single" w:sz="4" w:space="0" w:color="auto"/>
            </w:tcBorders>
            <w:shd w:val="clear" w:color="000000" w:fill="C6EFCE"/>
            <w:vAlign w:val="center"/>
            <w:hideMark/>
          </w:tcPr>
          <w:p w14:paraId="0BEB93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679388E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21F7FD8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Opracowanie badań terenowych, studiów i inwentaryzacji terenu, jako wstępny, ale podstawowy krok prowadzący do przygotowania pełnej dokumentacji inwestycyjnej w kolejnych etapach programu.</w:t>
            </w:r>
          </w:p>
        </w:tc>
      </w:tr>
      <w:tr w:rsidR="001052B5" w:rsidRPr="009D378C" w14:paraId="1C54AD3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40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BA51AA"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B18L</w:t>
            </w:r>
          </w:p>
        </w:tc>
        <w:tc>
          <w:tcPr>
            <w:tcW w:w="1843" w:type="dxa"/>
            <w:tcBorders>
              <w:top w:val="nil"/>
              <w:left w:val="nil"/>
              <w:bottom w:val="single" w:sz="4" w:space="0" w:color="auto"/>
              <w:right w:val="single" w:sz="4" w:space="0" w:color="auto"/>
            </w:tcBorders>
            <w:shd w:val="clear" w:color="000000" w:fill="C6EFCE"/>
            <w:vAlign w:val="center"/>
            <w:hideMark/>
          </w:tcPr>
          <w:p w14:paraId="41DBE7EF" w14:textId="137E9D68" w:rsidR="001052B5" w:rsidRPr="007A3B4B" w:rsidRDefault="003A2B1D"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Pr="003A2B1D">
              <w:rPr>
                <w:rFonts w:ascii="Times New Roman" w:eastAsia="Times New Roman" w:hAnsi="Times New Roman" w:cs="Times New Roman"/>
                <w:sz w:val="18"/>
                <w:szCs w:val="18"/>
                <w:lang w:val="pl-PL" w:eastAsia="pl-PL"/>
              </w:rPr>
              <w:t>neutralizacja ryzyka i rekultywacj</w:t>
            </w:r>
            <w:r>
              <w:rPr>
                <w:rFonts w:ascii="Times New Roman" w:eastAsia="Times New Roman" w:hAnsi="Times New Roman" w:cs="Times New Roman"/>
                <w:sz w:val="18"/>
                <w:szCs w:val="18"/>
                <w:lang w:val="pl-PL" w:eastAsia="pl-PL"/>
              </w:rPr>
              <w:t xml:space="preserve">ę wielkoobszarowych </w:t>
            </w:r>
            <w:r w:rsidRPr="003A2B1D">
              <w:rPr>
                <w:rFonts w:ascii="Times New Roman" w:eastAsia="Times New Roman" w:hAnsi="Times New Roman" w:cs="Times New Roman"/>
                <w:sz w:val="18"/>
                <w:szCs w:val="18"/>
                <w:lang w:val="pl-PL" w:eastAsia="pl-PL"/>
              </w:rPr>
              <w:t>terenów poprzemysłowych</w:t>
            </w:r>
            <w:r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2C5D9B5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1E1DE29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Lokalizacje w polskich obszarach morskich (w tym wraki) z przeprowadzoną inwentaryzacją i badaniami terenowymi na obecność materiałów niebezpiecznych</w:t>
            </w:r>
          </w:p>
        </w:tc>
        <w:tc>
          <w:tcPr>
            <w:tcW w:w="2268" w:type="dxa"/>
            <w:tcBorders>
              <w:top w:val="nil"/>
              <w:left w:val="nil"/>
              <w:bottom w:val="single" w:sz="4" w:space="0" w:color="auto"/>
              <w:right w:val="single" w:sz="4" w:space="0" w:color="auto"/>
            </w:tcBorders>
            <w:shd w:val="clear" w:color="000000" w:fill="C6EFCE"/>
            <w:vAlign w:val="center"/>
            <w:hideMark/>
          </w:tcPr>
          <w:p w14:paraId="7B8B010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1EB3C75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71F2D48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0BD0384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4</w:t>
            </w:r>
          </w:p>
        </w:tc>
        <w:tc>
          <w:tcPr>
            <w:tcW w:w="567" w:type="dxa"/>
            <w:tcBorders>
              <w:top w:val="nil"/>
              <w:left w:val="nil"/>
              <w:bottom w:val="single" w:sz="4" w:space="0" w:color="auto"/>
              <w:right w:val="single" w:sz="4" w:space="0" w:color="auto"/>
            </w:tcBorders>
            <w:shd w:val="clear" w:color="000000" w:fill="C6EFCE"/>
            <w:vAlign w:val="center"/>
            <w:hideMark/>
          </w:tcPr>
          <w:p w14:paraId="4E0BD1B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367A004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016860C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Szczegółowe kampanie rozpoznawcze i pomiarowe w morzu oraz analiza uzyskanych danych jako niezbędny krok prowadzący do przygotowania kompletnej dokumentacji dla planów neutralizacji.</w:t>
            </w:r>
          </w:p>
        </w:tc>
      </w:tr>
      <w:tr w:rsidR="001052B5" w:rsidRPr="009D378C" w14:paraId="5B7A2389"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41"/>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8626C4"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B19L</w:t>
            </w:r>
          </w:p>
        </w:tc>
        <w:tc>
          <w:tcPr>
            <w:tcW w:w="1843" w:type="dxa"/>
            <w:tcBorders>
              <w:top w:val="nil"/>
              <w:left w:val="nil"/>
              <w:bottom w:val="single" w:sz="4" w:space="0" w:color="auto"/>
              <w:right w:val="single" w:sz="4" w:space="0" w:color="auto"/>
            </w:tcBorders>
            <w:shd w:val="clear" w:color="000000" w:fill="C6EFCE"/>
            <w:vAlign w:val="center"/>
            <w:hideMark/>
          </w:tcPr>
          <w:p w14:paraId="708A2858" w14:textId="7B695E3E" w:rsidR="001052B5" w:rsidRPr="007A3B4B" w:rsidRDefault="003A2B1D"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Pr="003A2B1D">
              <w:rPr>
                <w:rFonts w:ascii="Times New Roman" w:eastAsia="Times New Roman" w:hAnsi="Times New Roman" w:cs="Times New Roman"/>
                <w:sz w:val="18"/>
                <w:szCs w:val="18"/>
                <w:lang w:val="pl-PL" w:eastAsia="pl-PL"/>
              </w:rPr>
              <w:t>neutralizacja ryzyka i rekultywacj</w:t>
            </w:r>
            <w:r>
              <w:rPr>
                <w:rFonts w:ascii="Times New Roman" w:eastAsia="Times New Roman" w:hAnsi="Times New Roman" w:cs="Times New Roman"/>
                <w:sz w:val="18"/>
                <w:szCs w:val="18"/>
                <w:lang w:val="pl-PL" w:eastAsia="pl-PL"/>
              </w:rPr>
              <w:t xml:space="preserve">ę wielkoobszarowych </w:t>
            </w:r>
            <w:r w:rsidRPr="003A2B1D">
              <w:rPr>
                <w:rFonts w:ascii="Times New Roman" w:eastAsia="Times New Roman" w:hAnsi="Times New Roman" w:cs="Times New Roman"/>
                <w:sz w:val="18"/>
                <w:szCs w:val="18"/>
                <w:lang w:val="pl-PL" w:eastAsia="pl-PL"/>
              </w:rPr>
              <w:t>terenów poprzemysłowych</w:t>
            </w:r>
            <w:r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7F3AB93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0AE07FE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Powierzchnia terenów rekultywowanych (w hektarach)</w:t>
            </w:r>
          </w:p>
        </w:tc>
        <w:tc>
          <w:tcPr>
            <w:tcW w:w="2268" w:type="dxa"/>
            <w:tcBorders>
              <w:top w:val="nil"/>
              <w:left w:val="nil"/>
              <w:bottom w:val="single" w:sz="4" w:space="0" w:color="auto"/>
              <w:right w:val="single" w:sz="4" w:space="0" w:color="auto"/>
            </w:tcBorders>
            <w:shd w:val="clear" w:color="000000" w:fill="C6EFCE"/>
            <w:vAlign w:val="center"/>
            <w:hideMark/>
          </w:tcPr>
          <w:p w14:paraId="61984DD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2AEEE11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293CDFE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1F65960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160</w:t>
            </w:r>
          </w:p>
        </w:tc>
        <w:tc>
          <w:tcPr>
            <w:tcW w:w="567" w:type="dxa"/>
            <w:tcBorders>
              <w:top w:val="nil"/>
              <w:left w:val="nil"/>
              <w:bottom w:val="single" w:sz="4" w:space="0" w:color="auto"/>
              <w:right w:val="single" w:sz="4" w:space="0" w:color="auto"/>
            </w:tcBorders>
            <w:shd w:val="clear" w:color="000000" w:fill="C6EFCE"/>
            <w:vAlign w:val="center"/>
            <w:hideMark/>
          </w:tcPr>
          <w:p w14:paraId="173860F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68ED54F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73E2B65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Rewitalizacja Huty Sendzimira, gdzie planowana jest część inwestycyjna.</w:t>
            </w:r>
            <w:r w:rsidRPr="007A3B4B">
              <w:rPr>
                <w:rFonts w:ascii="Times New Roman" w:eastAsia="Times New Roman" w:hAnsi="Times New Roman" w:cs="Times New Roman"/>
                <w:sz w:val="18"/>
                <w:szCs w:val="18"/>
                <w:lang w:val="pl-PL" w:eastAsia="pl-PL"/>
              </w:rPr>
              <w:br/>
              <w:t>Wskaźnik obejmuje rewitalizację terenu i neutralizację substancji niebezpiecznych, przygotowanie terenów pod inwestycje poprzez modernizację infrastruktury twardej (komunikacyjnej, drogowej i torowej).</w:t>
            </w:r>
          </w:p>
        </w:tc>
      </w:tr>
      <w:tr w:rsidR="001052B5" w:rsidRPr="009D378C" w14:paraId="3090F5E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98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77B22964"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B20L</w:t>
            </w:r>
          </w:p>
        </w:tc>
        <w:tc>
          <w:tcPr>
            <w:tcW w:w="1843" w:type="dxa"/>
            <w:tcBorders>
              <w:top w:val="nil"/>
              <w:left w:val="nil"/>
              <w:bottom w:val="single" w:sz="4" w:space="0" w:color="auto"/>
              <w:right w:val="single" w:sz="4" w:space="0" w:color="auto"/>
            </w:tcBorders>
            <w:shd w:val="clear" w:color="000000" w:fill="C6EFCE"/>
            <w:vAlign w:val="center"/>
            <w:hideMark/>
          </w:tcPr>
          <w:p w14:paraId="08EACD61" w14:textId="12810B5A" w:rsidR="001052B5" w:rsidRPr="007A3B4B" w:rsidRDefault="003A2B1D"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B3.2.1 Inwestycje w </w:t>
            </w:r>
            <w:r w:rsidRPr="003A2B1D">
              <w:rPr>
                <w:rFonts w:ascii="Times New Roman" w:eastAsia="Times New Roman" w:hAnsi="Times New Roman" w:cs="Times New Roman"/>
                <w:sz w:val="18"/>
                <w:szCs w:val="18"/>
                <w:lang w:val="pl-PL" w:eastAsia="pl-PL"/>
              </w:rPr>
              <w:t>neutralizacja ryzyka i rekultywacj</w:t>
            </w:r>
            <w:r>
              <w:rPr>
                <w:rFonts w:ascii="Times New Roman" w:eastAsia="Times New Roman" w:hAnsi="Times New Roman" w:cs="Times New Roman"/>
                <w:sz w:val="18"/>
                <w:szCs w:val="18"/>
                <w:lang w:val="pl-PL" w:eastAsia="pl-PL"/>
              </w:rPr>
              <w:t xml:space="preserve">ę wielkoobszarowych </w:t>
            </w:r>
            <w:r w:rsidRPr="003A2B1D">
              <w:rPr>
                <w:rFonts w:ascii="Times New Roman" w:eastAsia="Times New Roman" w:hAnsi="Times New Roman" w:cs="Times New Roman"/>
                <w:sz w:val="18"/>
                <w:szCs w:val="18"/>
                <w:lang w:val="pl-PL" w:eastAsia="pl-PL"/>
              </w:rPr>
              <w:t>terenów poprzemysłowych</w:t>
            </w:r>
            <w:r w:rsidRPr="003A2B1D" w:rsidDel="003A2B1D">
              <w:rPr>
                <w:rFonts w:ascii="Times New Roman" w:eastAsia="Times New Roman" w:hAnsi="Times New Roman" w:cs="Times New Roman"/>
                <w:sz w:val="18"/>
                <w:szCs w:val="18"/>
                <w:lang w:val="pl-PL" w:eastAsia="pl-PL"/>
              </w:rPr>
              <w:t xml:space="preserve"> </w:t>
            </w:r>
            <w:r w:rsidRPr="007A3B4B">
              <w:rPr>
                <w:rFonts w:ascii="Times New Roman" w:eastAsia="Times New Roman" w:hAnsi="Times New Roman" w:cs="Times New Roman"/>
                <w:sz w:val="18"/>
                <w:szCs w:val="18"/>
                <w:lang w:val="pl-PL" w:eastAsia="pl-PL"/>
              </w:rPr>
              <w:t>i Morza Bałtyckiego</w:t>
            </w:r>
          </w:p>
        </w:tc>
        <w:tc>
          <w:tcPr>
            <w:tcW w:w="992" w:type="dxa"/>
            <w:tcBorders>
              <w:top w:val="nil"/>
              <w:left w:val="nil"/>
              <w:bottom w:val="single" w:sz="4" w:space="0" w:color="auto"/>
              <w:right w:val="single" w:sz="4" w:space="0" w:color="auto"/>
            </w:tcBorders>
            <w:shd w:val="clear" w:color="000000" w:fill="C6EFCE"/>
            <w:vAlign w:val="center"/>
            <w:hideMark/>
          </w:tcPr>
          <w:p w14:paraId="32D5B30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4B4183C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Powierzchnia zrewitalizowanych budynków (w metrach kwadratowych)</w:t>
            </w:r>
          </w:p>
        </w:tc>
        <w:tc>
          <w:tcPr>
            <w:tcW w:w="2268" w:type="dxa"/>
            <w:tcBorders>
              <w:top w:val="nil"/>
              <w:left w:val="nil"/>
              <w:bottom w:val="single" w:sz="4" w:space="0" w:color="auto"/>
              <w:right w:val="single" w:sz="4" w:space="0" w:color="auto"/>
            </w:tcBorders>
            <w:shd w:val="clear" w:color="000000" w:fill="C6EFCE"/>
            <w:vAlign w:val="center"/>
            <w:hideMark/>
          </w:tcPr>
          <w:p w14:paraId="2B6A707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2D6A78E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68AC00D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29A82AC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17000</w:t>
            </w:r>
          </w:p>
        </w:tc>
        <w:tc>
          <w:tcPr>
            <w:tcW w:w="567" w:type="dxa"/>
            <w:tcBorders>
              <w:top w:val="nil"/>
              <w:left w:val="nil"/>
              <w:bottom w:val="single" w:sz="4" w:space="0" w:color="auto"/>
              <w:right w:val="single" w:sz="4" w:space="0" w:color="auto"/>
            </w:tcBorders>
            <w:shd w:val="clear" w:color="000000" w:fill="C6EFCE"/>
            <w:vAlign w:val="center"/>
            <w:hideMark/>
          </w:tcPr>
          <w:p w14:paraId="337E718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vAlign w:val="center"/>
            <w:hideMark/>
          </w:tcPr>
          <w:p w14:paraId="14D73D3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205323C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 odnosi się do komponentu dotyczącego Huty Sendzimira, gdzie planowana jest część inwestycyjna.</w:t>
            </w:r>
            <w:r w:rsidRPr="007A3B4B">
              <w:rPr>
                <w:rFonts w:ascii="Times New Roman" w:eastAsia="Times New Roman" w:hAnsi="Times New Roman" w:cs="Times New Roman"/>
                <w:sz w:val="18"/>
                <w:szCs w:val="18"/>
                <w:lang w:val="pl-PL" w:eastAsia="pl-PL"/>
              </w:rPr>
              <w:br/>
              <w:t xml:space="preserve">Wskaźnik obejmuje rewitalizację dwóch zabytkowych budynków poprzez zmianę standardów środowiskowych i efektywności energetycznej na aktualne - zgodne z wymogami prawnymi i środowiskowymi. </w:t>
            </w:r>
          </w:p>
        </w:tc>
      </w:tr>
      <w:tr w:rsidR="001052B5" w:rsidRPr="009D378C" w14:paraId="4E4AF7A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16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43703AD"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B21L</w:t>
            </w:r>
          </w:p>
        </w:tc>
        <w:tc>
          <w:tcPr>
            <w:tcW w:w="1843" w:type="dxa"/>
            <w:tcBorders>
              <w:top w:val="nil"/>
              <w:left w:val="nil"/>
              <w:bottom w:val="single" w:sz="4" w:space="0" w:color="auto"/>
              <w:right w:val="single" w:sz="4" w:space="0" w:color="auto"/>
            </w:tcBorders>
            <w:shd w:val="clear" w:color="000000" w:fill="C6EFCE"/>
            <w:vAlign w:val="center"/>
            <w:hideMark/>
          </w:tcPr>
          <w:p w14:paraId="0D94CC6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B3.3 Wsparcie dla zrównoważonego gospodarowania zasobami wodnymi w rolnictwie i na obszarach wiejskich</w:t>
            </w:r>
          </w:p>
        </w:tc>
        <w:tc>
          <w:tcPr>
            <w:tcW w:w="992" w:type="dxa"/>
            <w:tcBorders>
              <w:top w:val="nil"/>
              <w:left w:val="nil"/>
              <w:bottom w:val="single" w:sz="4" w:space="0" w:color="auto"/>
              <w:right w:val="single" w:sz="4" w:space="0" w:color="auto"/>
            </w:tcBorders>
            <w:shd w:val="clear" w:color="000000" w:fill="C6EFCE"/>
            <w:vAlign w:val="center"/>
            <w:hideMark/>
          </w:tcPr>
          <w:p w14:paraId="2071787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3C27FF5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zmian w ustawodawstwie krajowym koniecznych do poprawy odporności gospodarki wodnej w rolnictwie i na obszarach wiejskich</w:t>
            </w:r>
          </w:p>
        </w:tc>
        <w:tc>
          <w:tcPr>
            <w:tcW w:w="2268" w:type="dxa"/>
            <w:tcBorders>
              <w:top w:val="nil"/>
              <w:left w:val="nil"/>
              <w:bottom w:val="single" w:sz="4" w:space="0" w:color="auto"/>
              <w:right w:val="single" w:sz="4" w:space="0" w:color="auto"/>
            </w:tcBorders>
            <w:shd w:val="clear" w:color="000000" w:fill="C6EFCE"/>
            <w:vAlign w:val="center"/>
            <w:hideMark/>
          </w:tcPr>
          <w:p w14:paraId="657AB132" w14:textId="67A4059D"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Przepis </w:t>
            </w:r>
            <w:proofErr w:type="spellStart"/>
            <w:r w:rsidR="001E45AF">
              <w:rPr>
                <w:rFonts w:ascii="Times New Roman" w:eastAsia="Times New Roman" w:hAnsi="Times New Roman" w:cs="Times New Roman"/>
                <w:sz w:val="18"/>
                <w:szCs w:val="18"/>
                <w:lang w:val="pl-PL" w:eastAsia="pl-PL"/>
              </w:rPr>
              <w:t>nowelizacji</w:t>
            </w:r>
            <w:r w:rsidRPr="007A3B4B">
              <w:rPr>
                <w:rFonts w:ascii="Times New Roman" w:eastAsia="Times New Roman" w:hAnsi="Times New Roman" w:cs="Times New Roman"/>
                <w:sz w:val="18"/>
                <w:szCs w:val="18"/>
                <w:lang w:val="pl-PL" w:eastAsia="pl-PL"/>
              </w:rPr>
              <w:t>wskazujący</w:t>
            </w:r>
            <w:proofErr w:type="spellEnd"/>
            <w:r w:rsidRPr="007A3B4B">
              <w:rPr>
                <w:rFonts w:ascii="Times New Roman" w:eastAsia="Times New Roman" w:hAnsi="Times New Roman" w:cs="Times New Roman"/>
                <w:sz w:val="18"/>
                <w:szCs w:val="18"/>
                <w:lang w:val="pl-PL" w:eastAsia="pl-PL"/>
              </w:rPr>
              <w:t xml:space="preserve"> na wejście w życie</w:t>
            </w:r>
          </w:p>
        </w:tc>
        <w:tc>
          <w:tcPr>
            <w:tcW w:w="851" w:type="dxa"/>
            <w:tcBorders>
              <w:top w:val="nil"/>
              <w:left w:val="nil"/>
              <w:bottom w:val="single" w:sz="4" w:space="0" w:color="auto"/>
              <w:right w:val="single" w:sz="4" w:space="0" w:color="auto"/>
            </w:tcBorders>
            <w:shd w:val="clear" w:color="000000" w:fill="C6EFCE"/>
            <w:vAlign w:val="center"/>
            <w:hideMark/>
          </w:tcPr>
          <w:p w14:paraId="2EECC52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4C54118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50324AC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346AA39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7A1354C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52A991CB" w14:textId="15D54E39"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w:t>
            </w:r>
            <w:r w:rsidR="00E33EC5">
              <w:rPr>
                <w:rFonts w:ascii="Times New Roman" w:eastAsia="Times New Roman" w:hAnsi="Times New Roman" w:cs="Times New Roman"/>
                <w:sz w:val="18"/>
                <w:szCs w:val="18"/>
                <w:lang w:val="pl-PL" w:eastAsia="pl-PL"/>
              </w:rPr>
              <w:t xml:space="preserve">nowelizacji </w:t>
            </w:r>
            <w:r w:rsidRPr="007A3B4B">
              <w:rPr>
                <w:rFonts w:ascii="Times New Roman" w:eastAsia="Times New Roman" w:hAnsi="Times New Roman" w:cs="Times New Roman"/>
                <w:sz w:val="18"/>
                <w:szCs w:val="18"/>
                <w:lang w:val="pl-PL" w:eastAsia="pl-PL"/>
              </w:rPr>
              <w:t xml:space="preserve">ustawy przyczyni się do: zwiększenia odporności rolnictwa na suszę i powodzie na obszarach rolniczych; poprawy efektywności wykorzystania wody poprzez właściwe regulowanie stosunków wodnych na obszarach rolniczych i ograniczenie odpływu wód; oraz zwiększenia retencji wody </w:t>
            </w:r>
            <w:r w:rsidR="001E45AF">
              <w:rPr>
                <w:rFonts w:ascii="Times New Roman" w:eastAsia="Times New Roman" w:hAnsi="Times New Roman" w:cs="Times New Roman"/>
                <w:sz w:val="18"/>
                <w:szCs w:val="18"/>
                <w:lang w:val="pl-PL" w:eastAsia="pl-PL"/>
              </w:rPr>
              <w:t>Z</w:t>
            </w:r>
            <w:r w:rsidRPr="007A3B4B">
              <w:rPr>
                <w:rFonts w:ascii="Times New Roman" w:eastAsia="Times New Roman" w:hAnsi="Times New Roman" w:cs="Times New Roman"/>
                <w:sz w:val="18"/>
                <w:szCs w:val="18"/>
                <w:lang w:val="pl-PL" w:eastAsia="pl-PL"/>
              </w:rPr>
              <w:t xml:space="preserve">miany są zgodne z wymogami określonymi w wytycznych technicznych DNSH (2021/C 58/01), w szczególności zapewniają zgodność z prawodawstwem UE w zakresie ochrony środowiska, w tym z dyrektywą EIA i ramową dyrektywą wodną.  Zmiana nie doprowadzi do pogorszenia poziomu zgodności z unijnym prawodawstwem środowiskowym w odniesieniu do inwestycji, które są uznawane za znaczące lub potencjalnie znaczące zgodnie z rozporządzeniem Rady Ministrów w sprawie przedsięwzięć mogących znacząco oddziaływać na środowisko a także inwestycji na obszarach Natura 2000 lub mających na nie wpływ. Ponadto zmiany te nie zmienią obecnie obowiązujących przepisów dotyczących poboru wody. </w:t>
            </w:r>
          </w:p>
        </w:tc>
      </w:tr>
      <w:tr w:rsidR="001052B5" w:rsidRPr="009D378C" w14:paraId="70C491C1"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2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D0CAD5F"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B22L</w:t>
            </w:r>
          </w:p>
        </w:tc>
        <w:tc>
          <w:tcPr>
            <w:tcW w:w="1843" w:type="dxa"/>
            <w:tcBorders>
              <w:top w:val="nil"/>
              <w:left w:val="nil"/>
              <w:bottom w:val="single" w:sz="4" w:space="0" w:color="auto"/>
              <w:right w:val="single" w:sz="4" w:space="0" w:color="auto"/>
            </w:tcBorders>
            <w:shd w:val="clear" w:color="000000" w:fill="C6EFCE"/>
            <w:vAlign w:val="center"/>
            <w:hideMark/>
          </w:tcPr>
          <w:p w14:paraId="5A63E33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B3.3.1 Inwestycje w zwiększanie potencjału zrównoważonej gospodarki wodnej na obszarach wiejskich</w:t>
            </w:r>
          </w:p>
        </w:tc>
        <w:tc>
          <w:tcPr>
            <w:tcW w:w="992" w:type="dxa"/>
            <w:tcBorders>
              <w:top w:val="nil"/>
              <w:left w:val="nil"/>
              <w:bottom w:val="single" w:sz="4" w:space="0" w:color="auto"/>
              <w:right w:val="single" w:sz="4" w:space="0" w:color="auto"/>
            </w:tcBorders>
            <w:shd w:val="clear" w:color="000000" w:fill="C6EFCE"/>
            <w:vAlign w:val="center"/>
            <w:hideMark/>
          </w:tcPr>
          <w:p w14:paraId="4510765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2397EA4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Przyjęcie kryteriów wyboru naboru wniosków </w:t>
            </w:r>
          </w:p>
        </w:tc>
        <w:tc>
          <w:tcPr>
            <w:tcW w:w="2268" w:type="dxa"/>
            <w:tcBorders>
              <w:top w:val="nil"/>
              <w:left w:val="nil"/>
              <w:bottom w:val="single" w:sz="4" w:space="0" w:color="auto"/>
              <w:right w:val="single" w:sz="4" w:space="0" w:color="auto"/>
            </w:tcBorders>
            <w:shd w:val="clear" w:color="000000" w:fill="C6EFCE"/>
            <w:vAlign w:val="center"/>
            <w:hideMark/>
          </w:tcPr>
          <w:p w14:paraId="1602778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Przyjęcie kryteriów przez Ministerstwo Rolnictwa i Rozwoju Wsi </w:t>
            </w:r>
          </w:p>
        </w:tc>
        <w:tc>
          <w:tcPr>
            <w:tcW w:w="851" w:type="dxa"/>
            <w:tcBorders>
              <w:top w:val="nil"/>
              <w:left w:val="nil"/>
              <w:bottom w:val="single" w:sz="4" w:space="0" w:color="auto"/>
              <w:right w:val="single" w:sz="4" w:space="0" w:color="auto"/>
            </w:tcBorders>
            <w:shd w:val="clear" w:color="000000" w:fill="C6EFCE"/>
            <w:noWrap/>
            <w:vAlign w:val="center"/>
            <w:hideMark/>
          </w:tcPr>
          <w:p w14:paraId="77AFA36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281C4C7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60AEEF0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3214283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4A58D0C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4C4E3E9B" w14:textId="6BD8AC2E"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Inwestycje będą wybierane w drodze dedykowanych naborów, w oparciu o kryteria środowiskowe. </w:t>
            </w:r>
            <w:r w:rsidRPr="007A3B4B">
              <w:rPr>
                <w:rFonts w:ascii="Times New Roman" w:eastAsia="Times New Roman" w:hAnsi="Times New Roman" w:cs="Times New Roman"/>
                <w:sz w:val="18"/>
                <w:szCs w:val="18"/>
                <w:lang w:val="pl-PL" w:eastAsia="pl-PL"/>
              </w:rPr>
              <w:br/>
              <w:t>Projekt przyczyni się do: zwiększenia odporności rolnictwa na suszę i powodzie na obszarach rolniczych; poprawy efektywności wykorzystania wody poprzez właściwą regulację stosunków wodnych na obszarach rolniczych i ograniczenie odpływu wód; oraz zwiększenia retencji wody, pod warunkiem odpowiedniego uzasadnienia ich potrzeby i charakteru.</w:t>
            </w:r>
            <w:r w:rsidRPr="007A3B4B">
              <w:rPr>
                <w:rFonts w:ascii="Times New Roman" w:eastAsia="Times New Roman" w:hAnsi="Times New Roman" w:cs="Times New Roman"/>
                <w:sz w:val="18"/>
                <w:szCs w:val="18"/>
                <w:lang w:val="pl-PL" w:eastAsia="pl-PL"/>
              </w:rPr>
              <w:br/>
              <w:t xml:space="preserve">Priorytetowo traktuje się rozwiązania oparte na naturze lub inne odporne na zmiany klimatu.  Wspiera się wyłącznie projekty, które nie prowadzą do pogorszenia stanu wód powierzchniowych i podziemnych oraz nie uniemożliwiają poprawy stanu lub potencjału ekologicznego jednolitych części wód, na które mają wpływ. </w:t>
            </w:r>
          </w:p>
        </w:tc>
      </w:tr>
      <w:tr w:rsidR="001052B5" w:rsidRPr="009D378C" w14:paraId="66248862"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676"/>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401883F6"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B23L</w:t>
            </w:r>
          </w:p>
        </w:tc>
        <w:tc>
          <w:tcPr>
            <w:tcW w:w="1843" w:type="dxa"/>
            <w:tcBorders>
              <w:top w:val="nil"/>
              <w:left w:val="nil"/>
              <w:bottom w:val="single" w:sz="4" w:space="0" w:color="auto"/>
              <w:right w:val="single" w:sz="4" w:space="0" w:color="auto"/>
            </w:tcBorders>
            <w:shd w:val="clear" w:color="000000" w:fill="C6EFCE"/>
            <w:vAlign w:val="center"/>
            <w:hideMark/>
          </w:tcPr>
          <w:p w14:paraId="078B4F1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B3.3.1 Inwestycje w zwiększanie potencjału zrównoważonej gospodarki wodnej na obszarach wiejskich</w:t>
            </w:r>
          </w:p>
        </w:tc>
        <w:tc>
          <w:tcPr>
            <w:tcW w:w="992" w:type="dxa"/>
            <w:tcBorders>
              <w:top w:val="nil"/>
              <w:left w:val="nil"/>
              <w:bottom w:val="single" w:sz="4" w:space="0" w:color="auto"/>
              <w:right w:val="single" w:sz="4" w:space="0" w:color="auto"/>
            </w:tcBorders>
            <w:shd w:val="clear" w:color="000000" w:fill="C6EFCE"/>
            <w:vAlign w:val="center"/>
            <w:hideMark/>
          </w:tcPr>
          <w:p w14:paraId="0666976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28CA0C2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Obszar gruntów rolnych / leśnych (w hektarach) korzystających z ulepszonej retencji wody</w:t>
            </w:r>
          </w:p>
        </w:tc>
        <w:tc>
          <w:tcPr>
            <w:tcW w:w="2268" w:type="dxa"/>
            <w:tcBorders>
              <w:top w:val="nil"/>
              <w:left w:val="nil"/>
              <w:bottom w:val="single" w:sz="4" w:space="0" w:color="auto"/>
              <w:right w:val="single" w:sz="4" w:space="0" w:color="auto"/>
            </w:tcBorders>
            <w:shd w:val="clear" w:color="000000" w:fill="C6EFCE"/>
            <w:vAlign w:val="center"/>
            <w:hideMark/>
          </w:tcPr>
          <w:p w14:paraId="6A41ED1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7E30936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28936AF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noWrap/>
            <w:vAlign w:val="center"/>
            <w:hideMark/>
          </w:tcPr>
          <w:p w14:paraId="3A7ABD6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2500000</w:t>
            </w:r>
          </w:p>
        </w:tc>
        <w:tc>
          <w:tcPr>
            <w:tcW w:w="567" w:type="dxa"/>
            <w:tcBorders>
              <w:top w:val="nil"/>
              <w:left w:val="nil"/>
              <w:bottom w:val="single" w:sz="4" w:space="0" w:color="auto"/>
              <w:right w:val="single" w:sz="4" w:space="0" w:color="auto"/>
            </w:tcBorders>
            <w:shd w:val="clear" w:color="000000" w:fill="C6EFCE"/>
            <w:noWrap/>
            <w:vAlign w:val="center"/>
            <w:hideMark/>
          </w:tcPr>
          <w:p w14:paraId="11C1CD9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52F8451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198032A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Co najmniej 2,5 mln ha gruntów rolnych lub leśnych, na których można wykazać korzyści z poprawy retencji wody, dzięki interwencjom poprawiającym długoterminową odporność sektora rolnego na skutki zmian klimatu (susze i powodzie), oraz wspieranie bioróżnorodności.   </w:t>
            </w:r>
            <w:r w:rsidRPr="007A3B4B">
              <w:rPr>
                <w:rFonts w:ascii="Times New Roman" w:eastAsia="Times New Roman" w:hAnsi="Times New Roman" w:cs="Times New Roman"/>
                <w:sz w:val="18"/>
                <w:szCs w:val="18"/>
                <w:lang w:val="pl-PL" w:eastAsia="pl-PL"/>
              </w:rPr>
              <w:br/>
            </w:r>
            <w:r w:rsidRPr="007A3B4B">
              <w:rPr>
                <w:rFonts w:ascii="Times New Roman" w:eastAsia="Times New Roman" w:hAnsi="Times New Roman" w:cs="Times New Roman"/>
                <w:sz w:val="18"/>
                <w:szCs w:val="18"/>
                <w:lang w:val="pl-PL" w:eastAsia="pl-PL"/>
              </w:rPr>
              <w:br/>
              <w:t xml:space="preserve">Inwestycja powinna być zgodna z wymogami określonymi w wytycznych technicznych DNSH (2021/C 58/01). W szczególności zapewnia ona zgodność z prawodawstwem UE w zakresie ochrony środowiska, w tym z dyrektywą EIA (2014/52/UE) i ramową dyrektywą wodną (2000/60/WE). Wszystkie projekty inwestycyjne finansowane w ramach tego komponentu, które wymagają decyzji OOŚ, muszą być zgodne z dyrektywą 2011/92/UE zmienioną dyrektywą 2014/52/UE. W szczególności, wszystkie nowe projekty wymagające OOŚ muszą uzyskać zezwolenie na podstawie nowej ustawy z dnia 30 marca 2021 r. o zmianie ustawy o udostępnianiu informacji o środowisku i jego ochronie, udziale społeczeństwa w ochronie środowiska oraz o ocenach oddziaływania na środowisko oraz niektórych innych ustaw. Do wszystkich przedsięwzięć inwestycyjnych, które uzyskały decyzję środowiskową przed wejściem w życie ustawy z dnia 30 marca 2021 r. lub są już w trakcie realizacji, stosuje się przepisy "Wytycznych w sprawie działań naprawczych dla przedsięwzięć współfinansowanych z funduszy UE, których dotyczy naruszenie 2016/2046", przekazanych Polsce w dniu 23 lutego 2021 r. (sygn. Ares(2021)1423319). Wspierane są wyłącznie przedsięwzięcia, które nie prowadzą do pogorszenia stanu wód powierzchniowych i podziemnych oraz nie zapobiegają poprawie stanu lub potencjału ekologicznego jednolitych części wód, na które oddziałują.   </w:t>
            </w:r>
            <w:r w:rsidRPr="007A3B4B">
              <w:rPr>
                <w:rFonts w:ascii="Times New Roman" w:eastAsia="Times New Roman" w:hAnsi="Times New Roman" w:cs="Times New Roman"/>
                <w:sz w:val="18"/>
                <w:szCs w:val="18"/>
                <w:lang w:val="pl-PL" w:eastAsia="pl-PL"/>
              </w:rPr>
              <w:br/>
            </w:r>
            <w:r w:rsidRPr="007A3B4B">
              <w:rPr>
                <w:rFonts w:ascii="Times New Roman" w:eastAsia="Times New Roman" w:hAnsi="Times New Roman" w:cs="Times New Roman"/>
                <w:sz w:val="18"/>
                <w:szCs w:val="18"/>
                <w:lang w:val="pl-PL" w:eastAsia="pl-PL"/>
              </w:rPr>
              <w:lastRenderedPageBreak/>
              <w:t xml:space="preserve"> </w:t>
            </w:r>
            <w:r w:rsidRPr="007A3B4B">
              <w:rPr>
                <w:rFonts w:ascii="Times New Roman" w:eastAsia="Times New Roman" w:hAnsi="Times New Roman" w:cs="Times New Roman"/>
                <w:sz w:val="18"/>
                <w:szCs w:val="18"/>
                <w:lang w:val="pl-PL" w:eastAsia="pl-PL"/>
              </w:rPr>
              <w:br/>
              <w:t xml:space="preserve">W przypadku poboru wody, właściwy organ musi wydać odpowiednie pozwolenie, określając warunki w celu uniknięcia pogorszenia i zapewnienia dobrego stanu ekologicznego części wód, na które ten pobór ma wpływ, zgodnie z wymogami dyrektywy 2000/60/WE i w oparciu o najnowsze odpowiednie dane uzupełniające. Należy unikać poboru wody w przypadku, gdy stan lub potencjał danych części wód (powierzchniowych lub gruntowych) jest na </w:t>
            </w:r>
            <w:proofErr w:type="spellStart"/>
            <w:r w:rsidRPr="007A3B4B">
              <w:rPr>
                <w:rFonts w:ascii="Times New Roman" w:eastAsia="Times New Roman" w:hAnsi="Times New Roman" w:cs="Times New Roman"/>
                <w:sz w:val="18"/>
                <w:szCs w:val="18"/>
                <w:lang w:val="pl-PL" w:eastAsia="pl-PL"/>
              </w:rPr>
              <w:t>poziomiem</w:t>
            </w:r>
            <w:proofErr w:type="spellEnd"/>
            <w:r w:rsidRPr="007A3B4B">
              <w:rPr>
                <w:rFonts w:ascii="Times New Roman" w:eastAsia="Times New Roman" w:hAnsi="Times New Roman" w:cs="Times New Roman"/>
                <w:sz w:val="18"/>
                <w:szCs w:val="18"/>
                <w:lang w:val="pl-PL" w:eastAsia="pl-PL"/>
              </w:rPr>
              <w:t xml:space="preserve"> niższym niż dobry lub gdy przewiduje się (w kontekście nasilających się zmian klimatycznych), że będzie on na poziomie niższym niż dobry. Inwestycje powinny również być zgodne z przepisami dyrektywy 2009/147/WE w sprawie ochrony dzikiego ptactwa (dyrektywa ptasia) oraz dyrektywy w sprawie ochrony siedlisk przyrodniczych oraz dzikiej fauny i flory 92/43/EWG (dyrektywa siedliskowa).</w:t>
            </w:r>
          </w:p>
        </w:tc>
      </w:tr>
      <w:tr w:rsidR="001052B5" w:rsidRPr="007A3B4B" w14:paraId="4DDD37EC"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44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29115A2"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B24L</w:t>
            </w:r>
          </w:p>
        </w:tc>
        <w:tc>
          <w:tcPr>
            <w:tcW w:w="1843" w:type="dxa"/>
            <w:tcBorders>
              <w:top w:val="nil"/>
              <w:left w:val="nil"/>
              <w:bottom w:val="single" w:sz="4" w:space="0" w:color="auto"/>
              <w:right w:val="single" w:sz="4" w:space="0" w:color="auto"/>
            </w:tcBorders>
            <w:shd w:val="clear" w:color="000000" w:fill="C6EFCE"/>
            <w:vAlign w:val="center"/>
            <w:hideMark/>
          </w:tcPr>
          <w:p w14:paraId="32F7AF42" w14:textId="72525D64" w:rsidR="001052B5" w:rsidRPr="007A3B4B" w:rsidRDefault="00482CC0" w:rsidP="00A20CA7">
            <w:pPr>
              <w:spacing w:after="0" w:line="240" w:lineRule="auto"/>
              <w:rPr>
                <w:rFonts w:ascii="Times New Roman" w:eastAsia="Times New Roman" w:hAnsi="Times New Roman" w:cs="Times New Roman"/>
                <w:sz w:val="18"/>
                <w:szCs w:val="18"/>
                <w:lang w:val="pl-PL" w:eastAsia="pl-PL"/>
              </w:rPr>
            </w:pPr>
            <w:r w:rsidRPr="00482CC0">
              <w:rPr>
                <w:rFonts w:ascii="Times New Roman" w:eastAsia="Times New Roman" w:hAnsi="Times New Roman" w:cs="Times New Roman"/>
                <w:sz w:val="18"/>
                <w:szCs w:val="18"/>
                <w:lang w:val="pl-PL" w:eastAsia="pl-PL"/>
              </w:rPr>
              <w:t>B3.4.Ramowe warunki dla inwestycji w zieloną transformację na obszarach miejskich</w:t>
            </w:r>
          </w:p>
        </w:tc>
        <w:tc>
          <w:tcPr>
            <w:tcW w:w="992" w:type="dxa"/>
            <w:tcBorders>
              <w:top w:val="nil"/>
              <w:left w:val="nil"/>
              <w:bottom w:val="single" w:sz="4" w:space="0" w:color="auto"/>
              <w:right w:val="single" w:sz="4" w:space="0" w:color="auto"/>
            </w:tcBorders>
            <w:shd w:val="clear" w:color="000000" w:fill="C6EFCE"/>
            <w:vAlign w:val="center"/>
            <w:hideMark/>
          </w:tcPr>
          <w:p w14:paraId="630B54C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44C08CB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ustawy o zrównoważonym rozwoju miast wyznaczającej cele, kierunki, zasady wdrażania i mechanizmy koordynacji dla zielonej transformacji miast </w:t>
            </w:r>
          </w:p>
        </w:tc>
        <w:tc>
          <w:tcPr>
            <w:tcW w:w="2268" w:type="dxa"/>
            <w:tcBorders>
              <w:top w:val="nil"/>
              <w:left w:val="nil"/>
              <w:bottom w:val="single" w:sz="4" w:space="0" w:color="auto"/>
              <w:right w:val="single" w:sz="4" w:space="0" w:color="auto"/>
            </w:tcBorders>
            <w:shd w:val="clear" w:color="000000" w:fill="C6EFCE"/>
            <w:vAlign w:val="center"/>
            <w:hideMark/>
          </w:tcPr>
          <w:p w14:paraId="29E43A2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Przepis w ustawie wskazujący na wejście w życie</w:t>
            </w:r>
          </w:p>
        </w:tc>
        <w:tc>
          <w:tcPr>
            <w:tcW w:w="851" w:type="dxa"/>
            <w:tcBorders>
              <w:top w:val="nil"/>
              <w:left w:val="nil"/>
              <w:bottom w:val="single" w:sz="4" w:space="0" w:color="auto"/>
              <w:right w:val="single" w:sz="4" w:space="0" w:color="auto"/>
            </w:tcBorders>
            <w:shd w:val="clear" w:color="000000" w:fill="C6EFCE"/>
            <w:noWrap/>
            <w:vAlign w:val="center"/>
            <w:hideMark/>
          </w:tcPr>
          <w:p w14:paraId="3398B26E"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0401F6E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5A691C8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0D7884D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638D1A7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2023</w:t>
            </w:r>
          </w:p>
        </w:tc>
        <w:tc>
          <w:tcPr>
            <w:tcW w:w="3544" w:type="dxa"/>
            <w:tcBorders>
              <w:top w:val="nil"/>
              <w:left w:val="nil"/>
              <w:bottom w:val="single" w:sz="4" w:space="0" w:color="auto"/>
              <w:right w:val="single" w:sz="4" w:space="0" w:color="auto"/>
            </w:tcBorders>
            <w:shd w:val="clear" w:color="000000" w:fill="C6EFCE"/>
            <w:vAlign w:val="center"/>
            <w:hideMark/>
          </w:tcPr>
          <w:p w14:paraId="373D832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Wejście w życie prawa, które ma na celu wspieranie zdolności obszarów miejskich w inwestowaniu w zieloną transformację. Zapewni ono, że aspekty zrównoważonego rozwoju są lepiej zintegrowane z procedurami planowania urbanistycznego. Zapewni ono także, że interesariusze są prawidłowo konsultowani w ramach tych procedur. Zapewni wsparcie zdolności instytucjonalnej samorządów do wdrażania takich projektów.</w:t>
            </w:r>
          </w:p>
        </w:tc>
      </w:tr>
      <w:tr w:rsidR="001052B5" w:rsidRPr="009D378C" w14:paraId="2A645724"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35"/>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3AB740E3"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B25L</w:t>
            </w:r>
          </w:p>
        </w:tc>
        <w:tc>
          <w:tcPr>
            <w:tcW w:w="1843" w:type="dxa"/>
            <w:tcBorders>
              <w:top w:val="nil"/>
              <w:left w:val="nil"/>
              <w:bottom w:val="single" w:sz="4" w:space="0" w:color="auto"/>
              <w:right w:val="single" w:sz="4" w:space="0" w:color="auto"/>
            </w:tcBorders>
            <w:shd w:val="clear" w:color="000000" w:fill="C6EFCE"/>
            <w:vAlign w:val="center"/>
            <w:hideMark/>
          </w:tcPr>
          <w:p w14:paraId="23410A60" w14:textId="5CD5A8C2" w:rsidR="001052B5" w:rsidRPr="007A3B4B" w:rsidRDefault="00482CC0" w:rsidP="00A20CA7">
            <w:pPr>
              <w:spacing w:after="0" w:line="240" w:lineRule="auto"/>
              <w:rPr>
                <w:rFonts w:ascii="Times New Roman" w:eastAsia="Times New Roman" w:hAnsi="Times New Roman" w:cs="Times New Roman"/>
                <w:sz w:val="18"/>
                <w:szCs w:val="18"/>
                <w:lang w:val="pl-PL" w:eastAsia="pl-PL"/>
              </w:rPr>
            </w:pPr>
            <w:r w:rsidRPr="00482CC0">
              <w:rPr>
                <w:rFonts w:ascii="Times New Roman" w:eastAsia="Times New Roman" w:hAnsi="Times New Roman" w:cs="Times New Roman"/>
                <w:sz w:val="18"/>
                <w:szCs w:val="18"/>
                <w:lang w:val="pl-PL" w:eastAsia="pl-PL"/>
              </w:rPr>
              <w:t>B3.4.Ramowe warunki dla inwestycji w zieloną transformację na obszarach miejskich</w:t>
            </w:r>
          </w:p>
        </w:tc>
        <w:tc>
          <w:tcPr>
            <w:tcW w:w="992" w:type="dxa"/>
            <w:tcBorders>
              <w:top w:val="nil"/>
              <w:left w:val="nil"/>
              <w:bottom w:val="single" w:sz="4" w:space="0" w:color="auto"/>
              <w:right w:val="single" w:sz="4" w:space="0" w:color="auto"/>
            </w:tcBorders>
            <w:shd w:val="clear" w:color="000000" w:fill="C6EFCE"/>
            <w:vAlign w:val="center"/>
            <w:hideMark/>
          </w:tcPr>
          <w:p w14:paraId="1137CA6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245CE73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Instrument Zielonej Transformacji Miejskiej </w:t>
            </w:r>
          </w:p>
        </w:tc>
        <w:tc>
          <w:tcPr>
            <w:tcW w:w="2268" w:type="dxa"/>
            <w:tcBorders>
              <w:top w:val="nil"/>
              <w:left w:val="nil"/>
              <w:bottom w:val="single" w:sz="4" w:space="0" w:color="auto"/>
              <w:right w:val="single" w:sz="4" w:space="0" w:color="auto"/>
            </w:tcBorders>
            <w:shd w:val="clear" w:color="000000" w:fill="C6EFCE"/>
            <w:vAlign w:val="center"/>
            <w:hideMark/>
          </w:tcPr>
          <w:p w14:paraId="1B1E6D3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Ustanowienie Instrumentu Zielonej Transformacji Miast i przyjęcie odpowiednich procedur we współpracy z przedstawicielami środowiska samorządowego</w:t>
            </w:r>
          </w:p>
        </w:tc>
        <w:tc>
          <w:tcPr>
            <w:tcW w:w="851" w:type="dxa"/>
            <w:tcBorders>
              <w:top w:val="nil"/>
              <w:left w:val="nil"/>
              <w:bottom w:val="single" w:sz="4" w:space="0" w:color="auto"/>
              <w:right w:val="single" w:sz="4" w:space="0" w:color="auto"/>
            </w:tcBorders>
            <w:shd w:val="clear" w:color="000000" w:fill="C6EFCE"/>
            <w:vAlign w:val="center"/>
            <w:hideMark/>
          </w:tcPr>
          <w:p w14:paraId="794FA63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7FA8C6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vAlign w:val="center"/>
            <w:hideMark/>
          </w:tcPr>
          <w:p w14:paraId="08C4B4C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vAlign w:val="center"/>
            <w:hideMark/>
          </w:tcPr>
          <w:p w14:paraId="7D580E5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362ABD2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20A6645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Ten kamień milowy odnosi się do ustanowienia Instrumentu Zielonej Transformacji Miast dedykowanemu: a) ekologicznej transformacji miast; oraz b) inwestycji w ekologiczną cyfryzację miast, wraz z przyjętymi procedurami. Instrument będzie zgodny z wytycznymi technicznymi DNSH (2021/C 58/01). W celu zapewnienia zgodności z DNSH, kryteria kwalifikowalności projektów wykluczają następującą listę działań: (i) działania związane z paliwami kopalnymi, w tym ich dalszym wykorzystaniem; (ii) działania w ramach unijnego systemu handlu uprawnieniami do emisji (ETS) osiągające prognozowane emisje gazów cieplarnianych, które nie są niższe niż odpowiednie poziomy odniesienia; (iii) działania związane ze składowiskami odpadów, spalarniami i zakładami mechaniczno-biologicznego przetwarzania odpadów; oraz (iv) działania, w przypadku których długotrwałe unieszkodliwianie odpadów może powodować szkody dla środowiska. Opis zakresu zadań powinien dodatkowo wymagać, aby wybierać tylko te działania, które są zgodne z odpowiednimi unijnymi i krajowymi przepisami dotyczącymi ochrony środowiska. </w:t>
            </w:r>
            <w:r w:rsidRPr="007A3B4B">
              <w:rPr>
                <w:rFonts w:ascii="Times New Roman" w:eastAsia="Times New Roman" w:hAnsi="Times New Roman" w:cs="Times New Roman"/>
                <w:sz w:val="18"/>
                <w:szCs w:val="18"/>
                <w:lang w:val="pl-PL" w:eastAsia="pl-PL"/>
              </w:rPr>
              <w:br/>
              <w:t>Instrument Zielonej Transformacji Miast zapewnia, że wszelkie spłaty (tj. odsetki od pożyczki, zwrot z kapitału lub spłata kapitału minus powiązane koszty) związane z tym instrumentem zostaną wykorzystane do tych samych celów, w tym do spłaty pożyczki z KPO po 2026 r.</w:t>
            </w:r>
          </w:p>
        </w:tc>
      </w:tr>
      <w:tr w:rsidR="001052B5" w:rsidRPr="009D378C" w14:paraId="0F0F4BB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00"/>
        </w:trPr>
        <w:tc>
          <w:tcPr>
            <w:tcW w:w="851" w:type="dxa"/>
            <w:tcBorders>
              <w:top w:val="nil"/>
              <w:left w:val="single" w:sz="4" w:space="0" w:color="auto"/>
              <w:bottom w:val="single" w:sz="4" w:space="0" w:color="auto"/>
              <w:right w:val="single" w:sz="4" w:space="0" w:color="auto"/>
            </w:tcBorders>
            <w:shd w:val="clear" w:color="000000" w:fill="C6EFCE"/>
            <w:vAlign w:val="center"/>
            <w:hideMark/>
          </w:tcPr>
          <w:p w14:paraId="666FCB61"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B26L</w:t>
            </w:r>
          </w:p>
        </w:tc>
        <w:tc>
          <w:tcPr>
            <w:tcW w:w="1843" w:type="dxa"/>
            <w:tcBorders>
              <w:top w:val="nil"/>
              <w:left w:val="nil"/>
              <w:bottom w:val="single" w:sz="4" w:space="0" w:color="auto"/>
              <w:right w:val="single" w:sz="4" w:space="0" w:color="auto"/>
            </w:tcBorders>
            <w:shd w:val="clear" w:color="000000" w:fill="C6EFCE"/>
            <w:vAlign w:val="center"/>
            <w:hideMark/>
          </w:tcPr>
          <w:p w14:paraId="69DA3721" w14:textId="0BB7F5D1"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B3.4.1 Inwestycje na rzecz zielonej transformacji miast</w:t>
            </w:r>
          </w:p>
        </w:tc>
        <w:tc>
          <w:tcPr>
            <w:tcW w:w="992" w:type="dxa"/>
            <w:tcBorders>
              <w:top w:val="nil"/>
              <w:left w:val="nil"/>
              <w:bottom w:val="single" w:sz="4" w:space="0" w:color="auto"/>
              <w:right w:val="single" w:sz="4" w:space="0" w:color="auto"/>
            </w:tcBorders>
            <w:shd w:val="clear" w:color="000000" w:fill="C6EFCE"/>
            <w:vAlign w:val="center"/>
            <w:hideMark/>
          </w:tcPr>
          <w:p w14:paraId="7381E69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59784DDA" w14:textId="2B5E1683"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W1- </w:t>
            </w:r>
            <w:r w:rsidR="00E33EC5" w:rsidRPr="00E33EC5">
              <w:rPr>
                <w:rFonts w:ascii="Times New Roman" w:eastAsia="Times New Roman" w:hAnsi="Times New Roman" w:cs="Times New Roman"/>
                <w:sz w:val="18"/>
                <w:szCs w:val="18"/>
                <w:lang w:val="pl-PL" w:eastAsia="pl-PL"/>
              </w:rPr>
              <w:t>Podpisanie wszystkich umów dla inwestycji  z</w:t>
            </w:r>
            <w:r w:rsidR="00E33EC5" w:rsidRPr="00E33EC5" w:rsidDel="00E33EC5">
              <w:rPr>
                <w:rFonts w:ascii="Times New Roman" w:eastAsia="Times New Roman" w:hAnsi="Times New Roman" w:cs="Times New Roman"/>
                <w:sz w:val="18"/>
                <w:szCs w:val="18"/>
                <w:lang w:val="pl-PL" w:eastAsia="pl-PL"/>
              </w:rPr>
              <w:t xml:space="preserve"> </w:t>
            </w:r>
            <w:proofErr w:type="spellStart"/>
            <w:r w:rsidRPr="007A3B4B">
              <w:rPr>
                <w:rFonts w:ascii="Times New Roman" w:eastAsia="Times New Roman" w:hAnsi="Times New Roman" w:cs="Times New Roman"/>
                <w:sz w:val="18"/>
                <w:szCs w:val="18"/>
                <w:lang w:val="pl-PL" w:eastAsia="pl-PL"/>
              </w:rPr>
              <w:t>z</w:t>
            </w:r>
            <w:proofErr w:type="spellEnd"/>
            <w:r w:rsidRPr="007A3B4B">
              <w:rPr>
                <w:rFonts w:ascii="Times New Roman" w:eastAsia="Times New Roman" w:hAnsi="Times New Roman" w:cs="Times New Roman"/>
                <w:sz w:val="18"/>
                <w:szCs w:val="18"/>
                <w:lang w:val="pl-PL" w:eastAsia="pl-PL"/>
              </w:rPr>
              <w:t xml:space="preserve"> zakresu zielonej transformacji miast (obliczany kumulatywnie)</w:t>
            </w:r>
          </w:p>
        </w:tc>
        <w:tc>
          <w:tcPr>
            <w:tcW w:w="2268" w:type="dxa"/>
            <w:tcBorders>
              <w:top w:val="nil"/>
              <w:left w:val="nil"/>
              <w:bottom w:val="single" w:sz="4" w:space="0" w:color="auto"/>
              <w:right w:val="single" w:sz="4" w:space="0" w:color="auto"/>
            </w:tcBorders>
            <w:shd w:val="clear" w:color="000000" w:fill="C6EFCE"/>
            <w:vAlign w:val="center"/>
            <w:hideMark/>
          </w:tcPr>
          <w:p w14:paraId="774F8F1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vAlign w:val="center"/>
            <w:hideMark/>
          </w:tcPr>
          <w:p w14:paraId="4232537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vAlign w:val="center"/>
            <w:hideMark/>
          </w:tcPr>
          <w:p w14:paraId="1FB8762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vAlign w:val="center"/>
            <w:hideMark/>
          </w:tcPr>
          <w:p w14:paraId="0299E7C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120</w:t>
            </w:r>
          </w:p>
        </w:tc>
        <w:tc>
          <w:tcPr>
            <w:tcW w:w="567" w:type="dxa"/>
            <w:tcBorders>
              <w:top w:val="nil"/>
              <w:left w:val="nil"/>
              <w:bottom w:val="single" w:sz="4" w:space="0" w:color="auto"/>
              <w:right w:val="single" w:sz="4" w:space="0" w:color="auto"/>
            </w:tcBorders>
            <w:shd w:val="clear" w:color="000000" w:fill="C6EFCE"/>
            <w:vAlign w:val="center"/>
            <w:hideMark/>
          </w:tcPr>
          <w:p w14:paraId="655C76F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vAlign w:val="center"/>
            <w:hideMark/>
          </w:tcPr>
          <w:p w14:paraId="274C766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2024</w:t>
            </w:r>
          </w:p>
        </w:tc>
        <w:tc>
          <w:tcPr>
            <w:tcW w:w="3544" w:type="dxa"/>
            <w:tcBorders>
              <w:top w:val="nil"/>
              <w:left w:val="nil"/>
              <w:bottom w:val="single" w:sz="4" w:space="0" w:color="auto"/>
              <w:right w:val="single" w:sz="4" w:space="0" w:color="auto"/>
            </w:tcBorders>
            <w:shd w:val="clear" w:color="000000" w:fill="C6EFCE"/>
            <w:vAlign w:val="center"/>
            <w:hideMark/>
          </w:tcPr>
          <w:p w14:paraId="3B679015" w14:textId="04002F36"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Cel odnosi się do liczby umów podpisanych z beneficjentami. Wsparcie jest przekazywane za pośrednictwem instrumentu na rzecz ekologicznych przemian w miastach i jest zgodne z przyjętymi procedurami. Podmioty będące beneficjentami są wybierane w drodze przejrzystych i konkurencyjnych naborów, otwartych dla wszystkich miast. Kryteria wyboru podmiotów będących beneficjentami odzwierciedlają w szczególności potrzeby w zakresie łagodzenia wpływu miast na zmianę klimatu i zdrowie ich mieszkańców poprzez obniżenie emisji gazów cieplarnianych i zanieczyszczeń. Wskaźniki rezultatu są określane zgodnie ze specyfiką wspieranych projektów. Kwalifikujące się typy projektów obejmują: (i) zwiększenie powierzchni biologicznie czynnych na obszarach miejskich i funkcjonalnych oraz zmniejszenie uszczelnienia gleby; (ii) inwestycje miejskie oparte na przyrodzie (NBS) wraz z rozwiązaniami dotyczącymi roślinności towarzyszącej; (iii) zrównoważone systemy gospodarowania wodami opadowymi obejmujące zielono-niebieską infrastrukturę i rozwiązania oparte na przyrodzie; (iv) poprawę jakości powietrza w miastach, w tym rozwój energetyki rozproszonej i obywatelskiej; (v) tworzenie stref niskiej emisji, zrównoważonej multimodalnej mobilności miejskiej, efektywnych planów mobilności, zielonych stref na obszarach miejskich; (vi) rozwój klastrów i spółdzielni energetycznych; (vii) zwiększenie wykorzystania OZE jako źródła energii w mieście; (viii) rozwój infrastruktury transportowej o zerowej emisji (ruch pieszy, rowerowy) zintegrowanej z transportem zbiorowym; (ix) wdrażanie energooszczędnych technologii oświetleniowych na drogach i w przestrzeni publicznej; (x) edukacja i podnoszenie świadomości obywateli na temat potrzeby </w:t>
            </w:r>
            <w:r w:rsidRPr="007A3B4B">
              <w:rPr>
                <w:rFonts w:ascii="Times New Roman" w:eastAsia="Times New Roman" w:hAnsi="Times New Roman" w:cs="Times New Roman"/>
                <w:sz w:val="18"/>
                <w:szCs w:val="18"/>
                <w:lang w:val="pl-PL" w:eastAsia="pl-PL"/>
              </w:rPr>
              <w:lastRenderedPageBreak/>
              <w:t xml:space="preserve">przekształcania miast w kierunku neutralności klimatycznej w ramach adaptacji do zmian klimatu. Koszt (x) nie przekroczy 10% </w:t>
            </w:r>
            <w:proofErr w:type="spellStart"/>
            <w:r w:rsidRPr="007A3B4B">
              <w:rPr>
                <w:rFonts w:ascii="Times New Roman" w:eastAsia="Times New Roman" w:hAnsi="Times New Roman" w:cs="Times New Roman"/>
                <w:sz w:val="18"/>
                <w:szCs w:val="18"/>
                <w:lang w:val="pl-PL" w:eastAsia="pl-PL"/>
              </w:rPr>
              <w:t>kosztw</w:t>
            </w:r>
            <w:proofErr w:type="spellEnd"/>
            <w:r w:rsidRPr="007A3B4B">
              <w:rPr>
                <w:rFonts w:ascii="Times New Roman" w:eastAsia="Times New Roman" w:hAnsi="Times New Roman" w:cs="Times New Roman"/>
                <w:sz w:val="18"/>
                <w:szCs w:val="18"/>
                <w:lang w:val="pl-PL" w:eastAsia="pl-PL"/>
              </w:rPr>
              <w:t xml:space="preserve"> inwestycji  B3.4.1. Priorytetowo traktowane są miasta, w których takie typy projektów zostały już wprowadzone lub planuje się ich wprowadzenie. Przydzielając  projekty należy zapewnić zrównoważony podział pomiędzy podmiotami w całym kraju, z uwzględnieniem liczby ludności i zasięgu geograficznego. </w:t>
            </w:r>
            <w:r w:rsidR="00465EE7" w:rsidRPr="00465EE7">
              <w:rPr>
                <w:rFonts w:ascii="Times New Roman" w:eastAsia="Times New Roman" w:hAnsi="Times New Roman" w:cs="Times New Roman"/>
                <w:sz w:val="18"/>
                <w:szCs w:val="18"/>
                <w:lang w:val="pl-PL" w:eastAsia="pl-PL"/>
              </w:rPr>
              <w:t>Koszt spłaty pożyczki nie powinien w żadnej formie obciążać ostatecznych odbiorców, w tym samorządów. Zasada ta nie ma zastosowania do projektów inwestycyjnych, które generują wystarczający poziom przychodów lub oszczędności kosztów.</w:t>
            </w:r>
          </w:p>
        </w:tc>
      </w:tr>
      <w:tr w:rsidR="001052B5" w:rsidRPr="007A3B4B" w14:paraId="7C304AEA"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65"/>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8D8C6BB"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B27L</w:t>
            </w:r>
          </w:p>
        </w:tc>
        <w:tc>
          <w:tcPr>
            <w:tcW w:w="1843" w:type="dxa"/>
            <w:tcBorders>
              <w:top w:val="nil"/>
              <w:left w:val="nil"/>
              <w:bottom w:val="single" w:sz="4" w:space="0" w:color="auto"/>
              <w:right w:val="single" w:sz="4" w:space="0" w:color="auto"/>
            </w:tcBorders>
            <w:shd w:val="clear" w:color="000000" w:fill="C6EFCE"/>
            <w:vAlign w:val="center"/>
            <w:hideMark/>
          </w:tcPr>
          <w:p w14:paraId="0F4CDB90" w14:textId="161FDA20"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B3.4.1 Inwestycje na rzecz zielonej transformacji miast</w:t>
            </w:r>
          </w:p>
        </w:tc>
        <w:tc>
          <w:tcPr>
            <w:tcW w:w="992" w:type="dxa"/>
            <w:tcBorders>
              <w:top w:val="nil"/>
              <w:left w:val="nil"/>
              <w:bottom w:val="single" w:sz="4" w:space="0" w:color="auto"/>
              <w:right w:val="single" w:sz="4" w:space="0" w:color="auto"/>
            </w:tcBorders>
            <w:shd w:val="clear" w:color="000000" w:fill="C6EFCE"/>
            <w:vAlign w:val="center"/>
            <w:hideMark/>
          </w:tcPr>
          <w:p w14:paraId="128FDEC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34636738" w14:textId="5EFFB73E"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W2 - </w:t>
            </w:r>
            <w:r w:rsidR="00E33EC5" w:rsidRPr="00E33EC5">
              <w:rPr>
                <w:rFonts w:ascii="Times New Roman" w:eastAsia="Times New Roman" w:hAnsi="Times New Roman" w:cs="Times New Roman"/>
                <w:sz w:val="18"/>
                <w:szCs w:val="18"/>
                <w:lang w:val="pl-PL" w:eastAsia="pl-PL"/>
              </w:rPr>
              <w:t>Podpisanie wszystkich umów dla inwestycji  z</w:t>
            </w:r>
            <w:r w:rsidR="00E33EC5" w:rsidRPr="00E33EC5" w:rsidDel="00E33EC5">
              <w:rPr>
                <w:rFonts w:ascii="Times New Roman" w:eastAsia="Times New Roman" w:hAnsi="Times New Roman" w:cs="Times New Roman"/>
                <w:sz w:val="18"/>
                <w:szCs w:val="18"/>
                <w:lang w:val="pl-PL" w:eastAsia="pl-PL"/>
              </w:rPr>
              <w:t xml:space="preserve"> </w:t>
            </w:r>
            <w:proofErr w:type="spellStart"/>
            <w:r w:rsidRPr="007A3B4B">
              <w:rPr>
                <w:rFonts w:ascii="Times New Roman" w:eastAsia="Times New Roman" w:hAnsi="Times New Roman" w:cs="Times New Roman"/>
                <w:sz w:val="18"/>
                <w:szCs w:val="18"/>
                <w:lang w:val="pl-PL" w:eastAsia="pl-PL"/>
              </w:rPr>
              <w:t>z</w:t>
            </w:r>
            <w:proofErr w:type="spellEnd"/>
            <w:r w:rsidRPr="007A3B4B">
              <w:rPr>
                <w:rFonts w:ascii="Times New Roman" w:eastAsia="Times New Roman" w:hAnsi="Times New Roman" w:cs="Times New Roman"/>
                <w:sz w:val="18"/>
                <w:szCs w:val="18"/>
                <w:lang w:val="pl-PL" w:eastAsia="pl-PL"/>
              </w:rPr>
              <w:t xml:space="preserve"> zakresu zielonej transformacji miast (obliczany kumulatywnie)</w:t>
            </w:r>
          </w:p>
        </w:tc>
        <w:tc>
          <w:tcPr>
            <w:tcW w:w="2268" w:type="dxa"/>
            <w:tcBorders>
              <w:top w:val="nil"/>
              <w:left w:val="nil"/>
              <w:bottom w:val="single" w:sz="4" w:space="0" w:color="auto"/>
              <w:right w:val="single" w:sz="4" w:space="0" w:color="auto"/>
            </w:tcBorders>
            <w:shd w:val="clear" w:color="000000" w:fill="C6EFCE"/>
            <w:vAlign w:val="center"/>
            <w:hideMark/>
          </w:tcPr>
          <w:p w14:paraId="647B95C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742DC33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1AA7F4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120</w:t>
            </w:r>
          </w:p>
        </w:tc>
        <w:tc>
          <w:tcPr>
            <w:tcW w:w="992" w:type="dxa"/>
            <w:tcBorders>
              <w:top w:val="nil"/>
              <w:left w:val="nil"/>
              <w:bottom w:val="single" w:sz="4" w:space="0" w:color="auto"/>
              <w:right w:val="single" w:sz="4" w:space="0" w:color="auto"/>
            </w:tcBorders>
            <w:shd w:val="clear" w:color="000000" w:fill="C6EFCE"/>
            <w:noWrap/>
            <w:vAlign w:val="center"/>
            <w:hideMark/>
          </w:tcPr>
          <w:p w14:paraId="384C1D2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344</w:t>
            </w:r>
          </w:p>
        </w:tc>
        <w:tc>
          <w:tcPr>
            <w:tcW w:w="567" w:type="dxa"/>
            <w:tcBorders>
              <w:top w:val="nil"/>
              <w:left w:val="nil"/>
              <w:bottom w:val="single" w:sz="4" w:space="0" w:color="auto"/>
              <w:right w:val="single" w:sz="4" w:space="0" w:color="auto"/>
            </w:tcBorders>
            <w:shd w:val="clear" w:color="000000" w:fill="C6EFCE"/>
            <w:noWrap/>
            <w:vAlign w:val="center"/>
            <w:hideMark/>
          </w:tcPr>
          <w:p w14:paraId="5B07323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Q4</w:t>
            </w:r>
          </w:p>
        </w:tc>
        <w:tc>
          <w:tcPr>
            <w:tcW w:w="709" w:type="dxa"/>
            <w:tcBorders>
              <w:top w:val="nil"/>
              <w:left w:val="nil"/>
              <w:bottom w:val="single" w:sz="4" w:space="0" w:color="auto"/>
              <w:right w:val="single" w:sz="4" w:space="0" w:color="auto"/>
            </w:tcBorders>
            <w:shd w:val="clear" w:color="000000" w:fill="C6EFCE"/>
            <w:noWrap/>
            <w:vAlign w:val="center"/>
            <w:hideMark/>
          </w:tcPr>
          <w:p w14:paraId="3E1F3C8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hideMark/>
          </w:tcPr>
          <w:p w14:paraId="4F61F63C" w14:textId="1325B984"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Liczba podpisanych umów z beneficjentami dla inwestycji spełniających kryteria określone dla poz. B26L (jak powyżej).  </w:t>
            </w:r>
          </w:p>
        </w:tc>
      </w:tr>
      <w:tr w:rsidR="001052B5" w:rsidRPr="007A3B4B" w14:paraId="492992E7"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7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63B6DB28"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t>B28L</w:t>
            </w:r>
          </w:p>
        </w:tc>
        <w:tc>
          <w:tcPr>
            <w:tcW w:w="1843" w:type="dxa"/>
            <w:tcBorders>
              <w:top w:val="nil"/>
              <w:left w:val="nil"/>
              <w:bottom w:val="single" w:sz="4" w:space="0" w:color="auto"/>
              <w:right w:val="single" w:sz="4" w:space="0" w:color="auto"/>
            </w:tcBorders>
            <w:shd w:val="clear" w:color="000000" w:fill="C6EFCE"/>
            <w:vAlign w:val="center"/>
            <w:hideMark/>
          </w:tcPr>
          <w:p w14:paraId="790279F3" w14:textId="294AB753" w:rsidR="001052B5" w:rsidRPr="007A3B4B" w:rsidRDefault="00482CC0" w:rsidP="00A20CA7">
            <w:pPr>
              <w:spacing w:after="0" w:line="240" w:lineRule="auto"/>
              <w:rPr>
                <w:rFonts w:ascii="Times New Roman" w:eastAsia="Times New Roman" w:hAnsi="Times New Roman" w:cs="Times New Roman"/>
                <w:sz w:val="18"/>
                <w:szCs w:val="18"/>
                <w:lang w:val="pl-PL" w:eastAsia="pl-PL"/>
              </w:rPr>
            </w:pPr>
            <w:r w:rsidRPr="00482CC0">
              <w:rPr>
                <w:rFonts w:ascii="Times New Roman" w:eastAsia="Times New Roman" w:hAnsi="Times New Roman" w:cs="Times New Roman"/>
                <w:sz w:val="18"/>
                <w:szCs w:val="18"/>
                <w:lang w:val="pl-PL" w:eastAsia="pl-PL"/>
              </w:rPr>
              <w:t>B3.5 Reforma budownictwa mieszkaniowego dla gospodarstw domowych o niskich i średnich dochodach, uwzględniająca wyższą efektywność energetyczną budynków</w:t>
            </w:r>
          </w:p>
        </w:tc>
        <w:tc>
          <w:tcPr>
            <w:tcW w:w="992" w:type="dxa"/>
            <w:tcBorders>
              <w:top w:val="nil"/>
              <w:left w:val="nil"/>
              <w:bottom w:val="single" w:sz="4" w:space="0" w:color="auto"/>
              <w:right w:val="single" w:sz="4" w:space="0" w:color="auto"/>
            </w:tcBorders>
            <w:shd w:val="clear" w:color="000000" w:fill="C6EFCE"/>
            <w:vAlign w:val="center"/>
            <w:hideMark/>
          </w:tcPr>
          <w:p w14:paraId="6F0D591C"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kamień milowy</w:t>
            </w:r>
          </w:p>
        </w:tc>
        <w:tc>
          <w:tcPr>
            <w:tcW w:w="1984" w:type="dxa"/>
            <w:tcBorders>
              <w:top w:val="nil"/>
              <w:left w:val="nil"/>
              <w:bottom w:val="single" w:sz="4" w:space="0" w:color="auto"/>
              <w:right w:val="single" w:sz="4" w:space="0" w:color="auto"/>
            </w:tcBorders>
            <w:shd w:val="clear" w:color="000000" w:fill="C6EFCE"/>
            <w:vAlign w:val="center"/>
            <w:hideMark/>
          </w:tcPr>
          <w:p w14:paraId="6E206E7F" w14:textId="3267B1BC"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Wejście w życie </w:t>
            </w:r>
            <w:r w:rsidR="00E33EC5">
              <w:rPr>
                <w:rFonts w:ascii="Times New Roman" w:eastAsia="Times New Roman" w:hAnsi="Times New Roman" w:cs="Times New Roman"/>
                <w:sz w:val="18"/>
                <w:szCs w:val="18"/>
                <w:lang w:val="pl-PL" w:eastAsia="pl-PL"/>
              </w:rPr>
              <w:t xml:space="preserve">nowelizacji </w:t>
            </w:r>
            <w:r w:rsidRPr="007A3B4B">
              <w:rPr>
                <w:rFonts w:ascii="Times New Roman" w:eastAsia="Times New Roman" w:hAnsi="Times New Roman" w:cs="Times New Roman"/>
                <w:sz w:val="18"/>
                <w:szCs w:val="18"/>
                <w:lang w:val="pl-PL" w:eastAsia="pl-PL"/>
              </w:rPr>
              <w:t xml:space="preserve">ustawy z dnia 8 grudnia 2006 r. o finansowym wsparciu tworzenia lokali mieszkalnych na wynajem, mieszkań chronionych, noclegowni, schronisk dla bezdomnych, ogrzewalni i tymczasowych pomieszczeń oraz wynikające z niej zmiany w innych ustawach </w:t>
            </w:r>
          </w:p>
        </w:tc>
        <w:tc>
          <w:tcPr>
            <w:tcW w:w="2268" w:type="dxa"/>
            <w:tcBorders>
              <w:top w:val="nil"/>
              <w:left w:val="nil"/>
              <w:bottom w:val="single" w:sz="4" w:space="0" w:color="auto"/>
              <w:right w:val="single" w:sz="4" w:space="0" w:color="auto"/>
            </w:tcBorders>
            <w:shd w:val="clear" w:color="000000" w:fill="C6EFCE"/>
            <w:vAlign w:val="center"/>
            <w:hideMark/>
          </w:tcPr>
          <w:p w14:paraId="6D3BEA8E" w14:textId="4F1A572E"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sidRPr="00E33EC5">
              <w:rPr>
                <w:rFonts w:ascii="Times New Roman" w:eastAsia="Times New Roman" w:hAnsi="Times New Roman" w:cs="Times New Roman"/>
                <w:sz w:val="18"/>
                <w:szCs w:val="18"/>
                <w:lang w:val="pl-PL" w:eastAsia="pl-PL"/>
              </w:rPr>
              <w:t>Przepis w nowelizacji ustawy  dnia 8 grudnia 2006 r. o finansowym wsparciu tworzenia lokali mieszkalnych na wynajem, mieszkań chronionych, noclegowni, schronisk dla bezdomnych, ogrzewalni i tymczasowych pomieszczeń oraz wynikające z niej zmiany w innych ustawach  wskazujący na wejście w życie</w:t>
            </w:r>
          </w:p>
        </w:tc>
        <w:tc>
          <w:tcPr>
            <w:tcW w:w="851" w:type="dxa"/>
            <w:tcBorders>
              <w:top w:val="nil"/>
              <w:left w:val="nil"/>
              <w:bottom w:val="single" w:sz="4" w:space="0" w:color="auto"/>
              <w:right w:val="single" w:sz="4" w:space="0" w:color="auto"/>
            </w:tcBorders>
            <w:shd w:val="clear" w:color="000000" w:fill="C6EFCE"/>
            <w:noWrap/>
            <w:vAlign w:val="center"/>
            <w:hideMark/>
          </w:tcPr>
          <w:p w14:paraId="2EA2437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220426F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992" w:type="dxa"/>
            <w:tcBorders>
              <w:top w:val="nil"/>
              <w:left w:val="nil"/>
              <w:bottom w:val="single" w:sz="4" w:space="0" w:color="auto"/>
              <w:right w:val="single" w:sz="4" w:space="0" w:color="auto"/>
            </w:tcBorders>
            <w:shd w:val="clear" w:color="000000" w:fill="C6EFCE"/>
            <w:noWrap/>
            <w:vAlign w:val="center"/>
            <w:hideMark/>
          </w:tcPr>
          <w:p w14:paraId="1458BF8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567" w:type="dxa"/>
            <w:tcBorders>
              <w:top w:val="nil"/>
              <w:left w:val="nil"/>
              <w:bottom w:val="single" w:sz="4" w:space="0" w:color="auto"/>
              <w:right w:val="single" w:sz="4" w:space="0" w:color="auto"/>
            </w:tcBorders>
            <w:shd w:val="clear" w:color="000000" w:fill="C6EFCE"/>
            <w:noWrap/>
            <w:vAlign w:val="center"/>
            <w:hideMark/>
          </w:tcPr>
          <w:p w14:paraId="2BB8956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634877D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2022</w:t>
            </w:r>
          </w:p>
        </w:tc>
        <w:tc>
          <w:tcPr>
            <w:tcW w:w="3544" w:type="dxa"/>
            <w:tcBorders>
              <w:top w:val="nil"/>
              <w:left w:val="nil"/>
              <w:bottom w:val="single" w:sz="4" w:space="0" w:color="auto"/>
              <w:right w:val="single" w:sz="4" w:space="0" w:color="auto"/>
            </w:tcBorders>
            <w:shd w:val="clear" w:color="000000" w:fill="C6EFCE"/>
            <w:vAlign w:val="center"/>
            <w:hideMark/>
          </w:tcPr>
          <w:p w14:paraId="6E29803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Nowelizacja ustawy przewiduje zwiększenie wsparcia dla inwestycji w zakresie budowy budynków o standardzie energetycznym wyższym o 20% od NZEB. Wsparcie zostanie zwiększone w stosunku do standardowego budownictwa mieszkaniowego z 80% do 95% dla budynków dla gospodarstw domowych o niskich dochodach oraz z 35% do 60% dla gospodarstw domowych o średnich dochodach. Przepisy te mają zastosowanie do każdego źródła wsparcia publicznego.</w:t>
            </w:r>
          </w:p>
        </w:tc>
      </w:tr>
      <w:tr w:rsidR="00BF27A8" w:rsidRPr="009D378C" w14:paraId="1A181689" w14:textId="77777777" w:rsidTr="00BF27A8">
        <w:tblPrEx>
          <w:tblCellMar>
            <w:left w:w="70" w:type="dxa"/>
            <w:right w:w="70" w:type="dxa"/>
          </w:tblCellMar>
        </w:tblPrEx>
        <w:trPr>
          <w:trHeight w:val="387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5AF593BD"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B29L</w:t>
            </w:r>
          </w:p>
        </w:tc>
        <w:tc>
          <w:tcPr>
            <w:tcW w:w="1843" w:type="dxa"/>
            <w:tcBorders>
              <w:top w:val="nil"/>
              <w:left w:val="nil"/>
              <w:bottom w:val="single" w:sz="4" w:space="0" w:color="auto"/>
              <w:right w:val="single" w:sz="4" w:space="0" w:color="auto"/>
            </w:tcBorders>
            <w:shd w:val="clear" w:color="000000" w:fill="C6EFCE"/>
            <w:vAlign w:val="center"/>
            <w:hideMark/>
          </w:tcPr>
          <w:p w14:paraId="1A31A21D"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B3.5.1 Inwestycje w budowę mieszkań przeznaczonych dla gospodarstw domowych o niskich </w:t>
            </w:r>
            <w:r w:rsidRPr="007A3B4B">
              <w:rPr>
                <w:rFonts w:ascii="Times New Roman" w:eastAsia="Times New Roman" w:hAnsi="Times New Roman" w:cs="Times New Roman"/>
                <w:sz w:val="18"/>
                <w:szCs w:val="18"/>
                <w:lang w:val="pl-PL" w:eastAsia="pl-PL"/>
              </w:rPr>
              <w:br/>
              <w:t xml:space="preserve">i umiarkowanych dochodach, z uwzględnieniem efektywności energetycznej </w:t>
            </w:r>
          </w:p>
        </w:tc>
        <w:tc>
          <w:tcPr>
            <w:tcW w:w="992" w:type="dxa"/>
            <w:tcBorders>
              <w:top w:val="nil"/>
              <w:left w:val="nil"/>
              <w:bottom w:val="single" w:sz="4" w:space="0" w:color="auto"/>
              <w:right w:val="single" w:sz="4" w:space="0" w:color="auto"/>
            </w:tcBorders>
            <w:shd w:val="clear" w:color="000000" w:fill="C6EFCE"/>
            <w:vAlign w:val="center"/>
            <w:hideMark/>
          </w:tcPr>
          <w:p w14:paraId="7D24EDF3"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single" w:sz="4" w:space="0" w:color="auto"/>
              <w:right w:val="single" w:sz="4" w:space="0" w:color="auto"/>
            </w:tcBorders>
            <w:shd w:val="clear" w:color="000000" w:fill="C6EFCE"/>
            <w:vAlign w:val="center"/>
            <w:hideMark/>
          </w:tcPr>
          <w:p w14:paraId="0CC9850E" w14:textId="408F706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W1 - </w:t>
            </w:r>
            <w:r w:rsidR="00E33EC5" w:rsidRPr="00E33EC5">
              <w:rPr>
                <w:rFonts w:ascii="Times New Roman" w:eastAsia="Times New Roman" w:hAnsi="Times New Roman" w:cs="Times New Roman"/>
                <w:sz w:val="18"/>
                <w:szCs w:val="18"/>
                <w:lang w:val="pl-PL" w:eastAsia="pl-PL"/>
              </w:rPr>
              <w:t>Zakończona budowa pierwszej puli  energooszczędnego budownictwa mieszkaniowego dla gospodarstw domowych o niskich i średnich dochodach</w:t>
            </w:r>
          </w:p>
        </w:tc>
        <w:tc>
          <w:tcPr>
            <w:tcW w:w="2268" w:type="dxa"/>
            <w:tcBorders>
              <w:top w:val="nil"/>
              <w:left w:val="nil"/>
              <w:bottom w:val="single" w:sz="4" w:space="0" w:color="auto"/>
              <w:right w:val="single" w:sz="4" w:space="0" w:color="auto"/>
            </w:tcBorders>
            <w:shd w:val="clear" w:color="000000" w:fill="C6EFCE"/>
            <w:vAlign w:val="center"/>
            <w:hideMark/>
          </w:tcPr>
          <w:p w14:paraId="2A0234A4"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31AA472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6C787942"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0</w:t>
            </w:r>
          </w:p>
        </w:tc>
        <w:tc>
          <w:tcPr>
            <w:tcW w:w="992" w:type="dxa"/>
            <w:tcBorders>
              <w:top w:val="nil"/>
              <w:left w:val="nil"/>
              <w:bottom w:val="single" w:sz="4" w:space="0" w:color="auto"/>
              <w:right w:val="single" w:sz="4" w:space="0" w:color="auto"/>
            </w:tcBorders>
            <w:shd w:val="clear" w:color="000000" w:fill="C6EFCE"/>
            <w:noWrap/>
            <w:vAlign w:val="center"/>
            <w:hideMark/>
          </w:tcPr>
          <w:p w14:paraId="64D0CDDD" w14:textId="59D80073"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1544</w:t>
            </w:r>
          </w:p>
        </w:tc>
        <w:tc>
          <w:tcPr>
            <w:tcW w:w="567" w:type="dxa"/>
            <w:tcBorders>
              <w:top w:val="nil"/>
              <w:left w:val="nil"/>
              <w:bottom w:val="single" w:sz="4" w:space="0" w:color="auto"/>
              <w:right w:val="single" w:sz="4" w:space="0" w:color="auto"/>
            </w:tcBorders>
            <w:shd w:val="clear" w:color="000000" w:fill="C6EFCE"/>
            <w:noWrap/>
            <w:vAlign w:val="center"/>
            <w:hideMark/>
          </w:tcPr>
          <w:p w14:paraId="39767EE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11EF9281" w14:textId="4E961E3C"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w:t>
            </w:r>
            <w:r w:rsidR="00E33EC5">
              <w:rPr>
                <w:rFonts w:ascii="Times New Roman" w:eastAsia="Times New Roman" w:hAnsi="Times New Roman" w:cs="Times New Roman"/>
                <w:sz w:val="18"/>
                <w:szCs w:val="18"/>
                <w:lang w:val="pl-PL" w:eastAsia="pl-PL"/>
              </w:rPr>
              <w:t>4</w:t>
            </w:r>
          </w:p>
        </w:tc>
        <w:tc>
          <w:tcPr>
            <w:tcW w:w="3544" w:type="dxa"/>
            <w:tcBorders>
              <w:top w:val="nil"/>
              <w:left w:val="nil"/>
              <w:bottom w:val="single" w:sz="4" w:space="0" w:color="auto"/>
              <w:right w:val="single" w:sz="4" w:space="0" w:color="auto"/>
            </w:tcBorders>
            <w:shd w:val="clear" w:color="000000" w:fill="C6EFCE"/>
            <w:vAlign w:val="center"/>
          </w:tcPr>
          <w:p w14:paraId="296163F7" w14:textId="3C10DBF5"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Liczba oddanych do użytku (dla osób o niskich i średnich dochodach) mieszkań.</w:t>
            </w:r>
          </w:p>
          <w:p w14:paraId="1844BB65" w14:textId="7012B132"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Inwestycje będą realizowane przez </w:t>
            </w:r>
            <w:r w:rsidR="005C3B29">
              <w:rPr>
                <w:rFonts w:ascii="Times New Roman" w:eastAsia="Times New Roman" w:hAnsi="Times New Roman" w:cs="Times New Roman"/>
                <w:sz w:val="18"/>
                <w:szCs w:val="18"/>
                <w:lang w:val="pl-PL" w:eastAsia="pl-PL"/>
              </w:rPr>
              <w:t>władze lokalne</w:t>
            </w:r>
            <w:r w:rsidRPr="00465EE7">
              <w:rPr>
                <w:rFonts w:ascii="Times New Roman" w:eastAsia="Times New Roman" w:hAnsi="Times New Roman" w:cs="Times New Roman"/>
                <w:sz w:val="18"/>
                <w:szCs w:val="18"/>
                <w:lang w:val="pl-PL" w:eastAsia="pl-PL"/>
              </w:rPr>
              <w:t xml:space="preserve"> i towarzystwa budownictwa społecznego.</w:t>
            </w:r>
          </w:p>
          <w:p w14:paraId="1FD5E22B" w14:textId="54811F01"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W umowach podpisywanych z beneficjentami </w:t>
            </w:r>
            <w:r w:rsidR="003A2B1D">
              <w:rPr>
                <w:rFonts w:ascii="Times New Roman" w:eastAsia="Times New Roman" w:hAnsi="Times New Roman" w:cs="Times New Roman"/>
                <w:sz w:val="18"/>
                <w:szCs w:val="18"/>
                <w:lang w:val="pl-PL" w:eastAsia="pl-PL"/>
              </w:rPr>
              <w:t>(</w:t>
            </w:r>
            <w:r w:rsidR="005C3B29">
              <w:rPr>
                <w:rFonts w:ascii="Times New Roman" w:eastAsia="Times New Roman" w:hAnsi="Times New Roman" w:cs="Times New Roman"/>
                <w:sz w:val="18"/>
                <w:szCs w:val="18"/>
                <w:lang w:val="pl-PL" w:eastAsia="pl-PL"/>
              </w:rPr>
              <w:t>władze lokalne</w:t>
            </w:r>
            <w:r w:rsidR="003A2B1D" w:rsidRPr="00465EE7">
              <w:rPr>
                <w:rFonts w:ascii="Times New Roman" w:eastAsia="Times New Roman" w:hAnsi="Times New Roman" w:cs="Times New Roman"/>
                <w:sz w:val="18"/>
                <w:szCs w:val="18"/>
                <w:lang w:val="pl-PL" w:eastAsia="pl-PL"/>
              </w:rPr>
              <w:t xml:space="preserve"> i towarzystwa budownictwa społecznego</w:t>
            </w:r>
            <w:r w:rsidR="003A2B1D">
              <w:rPr>
                <w:rFonts w:ascii="Times New Roman" w:eastAsia="Times New Roman" w:hAnsi="Times New Roman" w:cs="Times New Roman"/>
                <w:sz w:val="18"/>
                <w:szCs w:val="18"/>
                <w:lang w:val="pl-PL" w:eastAsia="pl-PL"/>
              </w:rPr>
              <w:t>) o</w:t>
            </w:r>
            <w:r w:rsidRPr="00465EE7">
              <w:rPr>
                <w:rFonts w:ascii="Times New Roman" w:eastAsia="Times New Roman" w:hAnsi="Times New Roman" w:cs="Times New Roman"/>
                <w:sz w:val="18"/>
                <w:szCs w:val="18"/>
                <w:lang w:val="pl-PL" w:eastAsia="pl-PL"/>
              </w:rPr>
              <w:t>kreśla się, że:</w:t>
            </w:r>
          </w:p>
          <w:p w14:paraId="6B52423E"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co najmniej 75% tych mieszkań zostanie przydzielone tym wnioskodawcom o mieszkania, którzy znajdują się w dolnej połowie listy wnioskodawców sporządzonej na podstawie dochodów wnioskodawców w porządku malejącym, oraz</w:t>
            </w:r>
          </w:p>
          <w:p w14:paraId="2205A8C7" w14:textId="77777777"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mieszkania zostaną wybudowane zgodnie ze standardem efektywności energetycznej o 20% ambitniejszym niż minimalny standard efektywności energetycznej obowiązujący w Polsce (standard budynków o niemal zerowym zużyciu energii/NZEB). .</w:t>
            </w:r>
          </w:p>
          <w:p w14:paraId="4DC42E52" w14:textId="788F461F"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Podmioty będące beneficjentami wybierane są w drodze przejrzystych i konkurencyjnych naborów, otwartych dla wszystkich władz lokalnych</w:t>
            </w:r>
            <w:r w:rsidR="003A2B1D">
              <w:rPr>
                <w:rFonts w:ascii="Times New Roman" w:eastAsia="Times New Roman" w:hAnsi="Times New Roman" w:cs="Times New Roman"/>
                <w:sz w:val="18"/>
                <w:szCs w:val="18"/>
                <w:lang w:val="pl-PL" w:eastAsia="pl-PL"/>
              </w:rPr>
              <w:t xml:space="preserve"> i towarzystw budownictwa społecznego</w:t>
            </w:r>
            <w:r w:rsidRPr="00465EE7">
              <w:rPr>
                <w:rFonts w:ascii="Times New Roman" w:eastAsia="Times New Roman" w:hAnsi="Times New Roman" w:cs="Times New Roman"/>
                <w:sz w:val="18"/>
                <w:szCs w:val="18"/>
                <w:lang w:val="pl-PL" w:eastAsia="pl-PL"/>
              </w:rPr>
              <w:t>. Kryteria wyboru podmiotów będących beneficjentami odzwierciedlają w szczególności potrzeby w zakresie zwiększenia podaży energooszczędnych budynków mieszkalnych dla gospodarstw domowych o niskich i średnich dochodach.</w:t>
            </w:r>
          </w:p>
          <w:p w14:paraId="7A31EBE8" w14:textId="2B820E85"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Priorytetowo traktuje się </w:t>
            </w:r>
            <w:r w:rsidR="001D6B91">
              <w:rPr>
                <w:rFonts w:ascii="Times New Roman" w:eastAsia="Times New Roman" w:hAnsi="Times New Roman" w:cs="Times New Roman"/>
                <w:sz w:val="18"/>
                <w:szCs w:val="18"/>
                <w:lang w:val="pl-PL" w:eastAsia="pl-PL"/>
              </w:rPr>
              <w:t>obszary</w:t>
            </w:r>
            <w:r w:rsidRPr="00465EE7">
              <w:rPr>
                <w:rFonts w:ascii="Times New Roman" w:eastAsia="Times New Roman" w:hAnsi="Times New Roman" w:cs="Times New Roman"/>
                <w:sz w:val="18"/>
                <w:szCs w:val="18"/>
                <w:lang w:val="pl-PL" w:eastAsia="pl-PL"/>
              </w:rPr>
              <w:t>, w których takie projekty zostały już wprowadzone lub planuje się ich wprowadzenie.  Przydzielając  projekty należy zapewnić zrównoważony podział pomiędzy podmiotami w całym kraju, z uwzględnieniem liczby ludności i zasięgu geograficznego.</w:t>
            </w:r>
          </w:p>
          <w:p w14:paraId="6834279A"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Inwestycja nie może wyrządzić znaczącej szkody celom środowiskowym w rozumieniu art. 17 rozporządzenia (UE) 2020/852, z uwzględnieniem opisu środka i kroków łagodzących określonych w planie naprawy i </w:t>
            </w:r>
            <w:r w:rsidRPr="00465EE7">
              <w:rPr>
                <w:rFonts w:ascii="Times New Roman" w:eastAsia="Times New Roman" w:hAnsi="Times New Roman" w:cs="Times New Roman"/>
                <w:sz w:val="18"/>
                <w:szCs w:val="18"/>
                <w:lang w:val="pl-PL" w:eastAsia="pl-PL"/>
              </w:rPr>
              <w:lastRenderedPageBreak/>
              <w:t>odporności zgodnie z DNSH Wytyczne techniczne (2021/C 58/01).</w:t>
            </w:r>
          </w:p>
          <w:p w14:paraId="2ED41AE2" w14:textId="1B8FDDC7" w:rsidR="001052B5" w:rsidRPr="007A3B4B"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W przypadku prowadzenia nowych prac budowlanych na obszarach wrażliwych na różnorodność biologiczną lub w ich pobliżu (w tym na obszarach chronionych sieci Natura 2000, miejscach światowego dziedzictwa UNESCO i obszarach o kluczowym znaczeniu dla różnorodności biologicznej, a także na innych obszarach chronionych), zgodność z art. 6 ust. 3 i art. dyrektywy siedliskowej i art. 5 dyrektywy ptasiej, a ocena oddziaływania na środowisko (OOŚ) lub badanie przesiewowe są przeprowadzane tam, gdzie jest to wymagane na mocy dyrektywy OOŚ. Wszystkie projekty inwestycyjne finansowane w ramach tego komponentu, które wymagają decyzji OOŚ, muszą być zgodne z dyrektywą 2011/92/UE zmienioną dyrektywą 2014/52/UE. W szczególności wszystkie nowe przedsięwzięcia wymagające przeprowadzenia OOŚ będą dopuszczone na podstawie ustawy o udostępnianiu informacji o środowisku i jego ochronie, udziale społeczeństwa w ochronie środowiska oraz o ocenach oddziaływania na środowisko zmienionej ustawą z dnia 30 marca o zmianie tej ustawy oraz niektórych innych ustaw. Postanowienia „Wytycznych w sprawie działań naprawczych dla projektów współfinansowanych z funduszy UE dotkniętych naruszeniem 2016/2046”, zakomunikowanych Polsce w dniu 23 lutego 2021 r. (sygn. Ares(2021)1423319), powinny być uwzględnione przy realizacji wszystkich przedsięwzięć inwestycyjnych, dla których przed wejściem w życie ustawy z dnia 30 marca 2021 r. złożono wniosek lub wydano decyzję o środowiskowych uwarunkowaniach lub pozwolenie na budowę.</w:t>
            </w:r>
            <w:r w:rsidRPr="00465EE7" w:rsidDel="00465EE7">
              <w:rPr>
                <w:rFonts w:ascii="Times New Roman" w:eastAsia="Times New Roman" w:hAnsi="Times New Roman" w:cs="Times New Roman"/>
                <w:sz w:val="18"/>
                <w:szCs w:val="18"/>
                <w:lang w:val="pl-PL" w:eastAsia="pl-PL"/>
              </w:rPr>
              <w:t xml:space="preserve"> </w:t>
            </w:r>
          </w:p>
        </w:tc>
      </w:tr>
      <w:tr w:rsidR="00BF27A8" w:rsidRPr="009D378C" w14:paraId="22398B05" w14:textId="77777777" w:rsidTr="00BF27A8">
        <w:tblPrEx>
          <w:tblCellMar>
            <w:left w:w="70" w:type="dxa"/>
            <w:right w:w="70" w:type="dxa"/>
          </w:tblCellMar>
        </w:tblPrEx>
        <w:trPr>
          <w:trHeight w:val="387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292555B8"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B30L</w:t>
            </w:r>
          </w:p>
        </w:tc>
        <w:tc>
          <w:tcPr>
            <w:tcW w:w="1843" w:type="dxa"/>
            <w:tcBorders>
              <w:top w:val="nil"/>
              <w:left w:val="nil"/>
              <w:bottom w:val="single" w:sz="4" w:space="0" w:color="auto"/>
              <w:right w:val="single" w:sz="4" w:space="0" w:color="auto"/>
            </w:tcBorders>
            <w:shd w:val="clear" w:color="000000" w:fill="C6EFCE"/>
            <w:vAlign w:val="center"/>
            <w:hideMark/>
          </w:tcPr>
          <w:p w14:paraId="1856466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B3.5.1 Inwestycje w budowę mieszkań przeznaczonych dla gospodarstw domowych o niskich </w:t>
            </w:r>
            <w:r w:rsidRPr="007A3B4B">
              <w:rPr>
                <w:rFonts w:ascii="Times New Roman" w:eastAsia="Times New Roman" w:hAnsi="Times New Roman" w:cs="Times New Roman"/>
                <w:sz w:val="18"/>
                <w:szCs w:val="18"/>
                <w:lang w:val="pl-PL" w:eastAsia="pl-PL"/>
              </w:rPr>
              <w:br/>
              <w:t xml:space="preserve">i umiarkowanych dochodach, z uwzględnieniem efektywności energetycznej </w:t>
            </w:r>
          </w:p>
        </w:tc>
        <w:tc>
          <w:tcPr>
            <w:tcW w:w="992" w:type="dxa"/>
            <w:tcBorders>
              <w:top w:val="nil"/>
              <w:left w:val="nil"/>
              <w:bottom w:val="single" w:sz="4" w:space="0" w:color="auto"/>
              <w:right w:val="single" w:sz="4" w:space="0" w:color="auto"/>
            </w:tcBorders>
            <w:shd w:val="clear" w:color="000000" w:fill="C6EFCE"/>
            <w:vAlign w:val="center"/>
            <w:hideMark/>
          </w:tcPr>
          <w:p w14:paraId="40D830C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nil"/>
              <w:left w:val="nil"/>
              <w:bottom w:val="nil"/>
              <w:right w:val="nil"/>
            </w:tcBorders>
            <w:shd w:val="clear" w:color="000000" w:fill="C6EFCE"/>
            <w:vAlign w:val="center"/>
            <w:hideMark/>
          </w:tcPr>
          <w:p w14:paraId="40D49EE2" w14:textId="793BD596"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W2 - </w:t>
            </w:r>
            <w:r w:rsidR="00E33EC5" w:rsidRPr="00E33EC5">
              <w:rPr>
                <w:rFonts w:ascii="Times New Roman" w:eastAsia="Times New Roman" w:hAnsi="Times New Roman" w:cs="Times New Roman"/>
                <w:sz w:val="18"/>
                <w:szCs w:val="18"/>
                <w:lang w:val="pl-PL" w:eastAsia="pl-PL"/>
              </w:rPr>
              <w:t xml:space="preserve">Zakończona budowa </w:t>
            </w:r>
            <w:r w:rsidR="00E33EC5">
              <w:rPr>
                <w:rFonts w:ascii="Times New Roman" w:eastAsia="Times New Roman" w:hAnsi="Times New Roman" w:cs="Times New Roman"/>
                <w:sz w:val="18"/>
                <w:szCs w:val="18"/>
                <w:lang w:val="pl-PL" w:eastAsia="pl-PL"/>
              </w:rPr>
              <w:t>drugiej</w:t>
            </w:r>
            <w:r w:rsidR="00E33EC5" w:rsidRPr="00E33EC5">
              <w:rPr>
                <w:rFonts w:ascii="Times New Roman" w:eastAsia="Times New Roman" w:hAnsi="Times New Roman" w:cs="Times New Roman"/>
                <w:sz w:val="18"/>
                <w:szCs w:val="18"/>
                <w:lang w:val="pl-PL" w:eastAsia="pl-PL"/>
              </w:rPr>
              <w:t xml:space="preserve"> puli  energooszczędnego budownictwa mieszkaniowego dla gospodarstw domowych o niskich i średnich dochodach</w:t>
            </w:r>
          </w:p>
        </w:tc>
        <w:tc>
          <w:tcPr>
            <w:tcW w:w="2268" w:type="dxa"/>
            <w:tcBorders>
              <w:top w:val="nil"/>
              <w:left w:val="single" w:sz="4" w:space="0" w:color="auto"/>
              <w:bottom w:val="single" w:sz="4" w:space="0" w:color="auto"/>
              <w:right w:val="single" w:sz="4" w:space="0" w:color="auto"/>
            </w:tcBorders>
            <w:shd w:val="clear" w:color="000000" w:fill="C6EFCE"/>
            <w:vAlign w:val="center"/>
            <w:hideMark/>
          </w:tcPr>
          <w:p w14:paraId="37E0145A"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2A7988C7"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13810A18" w14:textId="077DD87A"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1544</w:t>
            </w:r>
          </w:p>
        </w:tc>
        <w:tc>
          <w:tcPr>
            <w:tcW w:w="992" w:type="dxa"/>
            <w:tcBorders>
              <w:top w:val="nil"/>
              <w:left w:val="nil"/>
              <w:bottom w:val="single" w:sz="4" w:space="0" w:color="auto"/>
              <w:right w:val="single" w:sz="4" w:space="0" w:color="auto"/>
            </w:tcBorders>
            <w:shd w:val="clear" w:color="000000" w:fill="C6EFCE"/>
            <w:noWrap/>
            <w:vAlign w:val="center"/>
            <w:hideMark/>
          </w:tcPr>
          <w:p w14:paraId="586CFF5A" w14:textId="01E672E7"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6485</w:t>
            </w:r>
          </w:p>
        </w:tc>
        <w:tc>
          <w:tcPr>
            <w:tcW w:w="567" w:type="dxa"/>
            <w:tcBorders>
              <w:top w:val="nil"/>
              <w:left w:val="nil"/>
              <w:bottom w:val="single" w:sz="4" w:space="0" w:color="auto"/>
              <w:right w:val="single" w:sz="4" w:space="0" w:color="auto"/>
            </w:tcBorders>
            <w:shd w:val="clear" w:color="000000" w:fill="C6EFCE"/>
            <w:noWrap/>
            <w:vAlign w:val="center"/>
            <w:hideMark/>
          </w:tcPr>
          <w:p w14:paraId="688D0838"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05813519"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2025</w:t>
            </w:r>
          </w:p>
        </w:tc>
        <w:tc>
          <w:tcPr>
            <w:tcW w:w="3544" w:type="dxa"/>
            <w:tcBorders>
              <w:top w:val="nil"/>
              <w:left w:val="nil"/>
              <w:bottom w:val="single" w:sz="4" w:space="0" w:color="auto"/>
              <w:right w:val="single" w:sz="4" w:space="0" w:color="auto"/>
            </w:tcBorders>
            <w:shd w:val="clear" w:color="000000" w:fill="C6EFCE"/>
            <w:vAlign w:val="center"/>
          </w:tcPr>
          <w:p w14:paraId="449CCB8C" w14:textId="4E28ACF0"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Liczba oddanych do użytku (dla osób o niskich i średnich dochodach) mieszkań.</w:t>
            </w:r>
          </w:p>
          <w:p w14:paraId="4E398C81" w14:textId="00D2AC56"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Inwestycje będą realizowane przez </w:t>
            </w:r>
            <w:r w:rsidR="005C3B29">
              <w:rPr>
                <w:rFonts w:ascii="Times New Roman" w:eastAsia="Times New Roman" w:hAnsi="Times New Roman" w:cs="Times New Roman"/>
                <w:sz w:val="18"/>
                <w:szCs w:val="18"/>
                <w:lang w:val="pl-PL" w:eastAsia="pl-PL"/>
              </w:rPr>
              <w:t>władze lokalne</w:t>
            </w:r>
            <w:r w:rsidRPr="00465EE7">
              <w:rPr>
                <w:rFonts w:ascii="Times New Roman" w:eastAsia="Times New Roman" w:hAnsi="Times New Roman" w:cs="Times New Roman"/>
                <w:sz w:val="18"/>
                <w:szCs w:val="18"/>
                <w:lang w:val="pl-PL" w:eastAsia="pl-PL"/>
              </w:rPr>
              <w:t xml:space="preserve"> i towarzystwa budownictwa społecznego.</w:t>
            </w:r>
          </w:p>
          <w:p w14:paraId="10D0181E" w14:textId="2D2A1D5D"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W umowach podpisywanych z beneficjentami </w:t>
            </w:r>
            <w:r w:rsidR="001D6B91">
              <w:rPr>
                <w:rFonts w:ascii="Times New Roman" w:eastAsia="Times New Roman" w:hAnsi="Times New Roman" w:cs="Times New Roman"/>
                <w:sz w:val="18"/>
                <w:szCs w:val="18"/>
                <w:lang w:val="pl-PL" w:eastAsia="pl-PL"/>
              </w:rPr>
              <w:t>(</w:t>
            </w:r>
            <w:r w:rsidR="005C3B29">
              <w:rPr>
                <w:rFonts w:ascii="Times New Roman" w:eastAsia="Times New Roman" w:hAnsi="Times New Roman" w:cs="Times New Roman"/>
                <w:sz w:val="18"/>
                <w:szCs w:val="18"/>
                <w:lang w:val="pl-PL" w:eastAsia="pl-PL"/>
              </w:rPr>
              <w:t>władze lokalne</w:t>
            </w:r>
            <w:r w:rsidR="001D6B91" w:rsidRPr="00465EE7">
              <w:rPr>
                <w:rFonts w:ascii="Times New Roman" w:eastAsia="Times New Roman" w:hAnsi="Times New Roman" w:cs="Times New Roman"/>
                <w:sz w:val="18"/>
                <w:szCs w:val="18"/>
                <w:lang w:val="pl-PL" w:eastAsia="pl-PL"/>
              </w:rPr>
              <w:t xml:space="preserve"> i towarzystwa budownictwa społecznego</w:t>
            </w:r>
            <w:r w:rsidR="001D6B91">
              <w:rPr>
                <w:rFonts w:ascii="Times New Roman" w:eastAsia="Times New Roman" w:hAnsi="Times New Roman" w:cs="Times New Roman"/>
                <w:sz w:val="18"/>
                <w:szCs w:val="18"/>
                <w:lang w:val="pl-PL" w:eastAsia="pl-PL"/>
              </w:rPr>
              <w:t xml:space="preserve">) </w:t>
            </w:r>
            <w:r w:rsidRPr="00465EE7">
              <w:rPr>
                <w:rFonts w:ascii="Times New Roman" w:eastAsia="Times New Roman" w:hAnsi="Times New Roman" w:cs="Times New Roman"/>
                <w:sz w:val="18"/>
                <w:szCs w:val="18"/>
                <w:lang w:val="pl-PL" w:eastAsia="pl-PL"/>
              </w:rPr>
              <w:t>określa się, że:</w:t>
            </w:r>
          </w:p>
          <w:p w14:paraId="1A39F5EA"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co najmniej 75% tych mieszkań zostanie przydzielone tym wnioskodawcom o mieszkania, którzy znajdują się w dolnej połowie listy wnioskodawców sporządzonej na podstawie dochodów wnioskodawców w porządku malejącym, oraz</w:t>
            </w:r>
          </w:p>
          <w:p w14:paraId="75BD6010" w14:textId="77777777"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mieszkania zostaną wybudowane zgodnie ze standardem efektywności energetycznej o 20% ambitniejszym niż minimalny standard efektywności energetycznej obowiązujący w Polsce (standard budynków o niemal zerowym zużyciu energii/NZEB). .</w:t>
            </w:r>
          </w:p>
          <w:p w14:paraId="3C9BE2A2" w14:textId="41F9EB40"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Podmioty będące beneficjentami wybierane są w drodze przejrzystych i konkurencyjnych naborów, otwartych dla wszystkich władz lokalnych</w:t>
            </w:r>
            <w:r w:rsidR="001D6B91">
              <w:rPr>
                <w:rFonts w:ascii="Times New Roman" w:eastAsia="Times New Roman" w:hAnsi="Times New Roman" w:cs="Times New Roman"/>
                <w:sz w:val="18"/>
                <w:szCs w:val="18"/>
                <w:lang w:val="pl-PL" w:eastAsia="pl-PL"/>
              </w:rPr>
              <w:t xml:space="preserve"> i towarzystw budownictwa społecznego</w:t>
            </w:r>
            <w:r w:rsidRPr="00465EE7">
              <w:rPr>
                <w:rFonts w:ascii="Times New Roman" w:eastAsia="Times New Roman" w:hAnsi="Times New Roman" w:cs="Times New Roman"/>
                <w:sz w:val="18"/>
                <w:szCs w:val="18"/>
                <w:lang w:val="pl-PL" w:eastAsia="pl-PL"/>
              </w:rPr>
              <w:t>. Kryteria wyboru podmiotów będących beneficjentami odzwierciedlają w szczególności potrzeby w zakresie zwiększenia podaży energooszczędnych budynków mieszkalnych dla gospodarstw domowych o niskich i średnich dochodach.</w:t>
            </w:r>
          </w:p>
          <w:p w14:paraId="43522569" w14:textId="43B53326"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Priorytetowo traktuje się </w:t>
            </w:r>
            <w:r w:rsidR="001D6B91">
              <w:rPr>
                <w:rFonts w:ascii="Times New Roman" w:eastAsia="Times New Roman" w:hAnsi="Times New Roman" w:cs="Times New Roman"/>
                <w:sz w:val="18"/>
                <w:szCs w:val="18"/>
                <w:lang w:val="pl-PL" w:eastAsia="pl-PL"/>
              </w:rPr>
              <w:t>obszary</w:t>
            </w:r>
            <w:r w:rsidRPr="00465EE7">
              <w:rPr>
                <w:rFonts w:ascii="Times New Roman" w:eastAsia="Times New Roman" w:hAnsi="Times New Roman" w:cs="Times New Roman"/>
                <w:sz w:val="18"/>
                <w:szCs w:val="18"/>
                <w:lang w:val="pl-PL" w:eastAsia="pl-PL"/>
              </w:rPr>
              <w:t>, w których takie projekty zostały już wprowadzone lub planuje się ich wprowadzenie.  Przydzielając  projekty należy zapewnić zrównoważony podział pomiędzy podmiotami w całym kraju, z uwzględnieniem liczby ludności i zasięgu geograficznego.</w:t>
            </w:r>
          </w:p>
          <w:p w14:paraId="41720EB4"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Inwestycja nie może wyrządzić znaczącej szkody celom środowiskowym w rozumieniu art. 17 rozporządzenia (UE) 2020/852, z uwzględnieniem opisu środka i kroków łagodzących określonych w planie naprawy i </w:t>
            </w:r>
            <w:r w:rsidRPr="00465EE7">
              <w:rPr>
                <w:rFonts w:ascii="Times New Roman" w:eastAsia="Times New Roman" w:hAnsi="Times New Roman" w:cs="Times New Roman"/>
                <w:sz w:val="18"/>
                <w:szCs w:val="18"/>
                <w:lang w:val="pl-PL" w:eastAsia="pl-PL"/>
              </w:rPr>
              <w:lastRenderedPageBreak/>
              <w:t>odporności zgodnie z DNSH Wytyczne techniczne (2021/C 58/01).</w:t>
            </w:r>
          </w:p>
          <w:p w14:paraId="48DEB103" w14:textId="33928DAB" w:rsidR="001052B5" w:rsidRPr="007A3B4B"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W przypadku prowadzenia nowych prac budowlanych na obszarach wrażliwych na różnorodność biologiczną lub w ich pobliżu (w tym na obszarach chronionych sieci Natura 2000, miejscach światowego dziedzictwa UNESCO i obszarach o kluczowym znaczeniu dla różnorodności biologicznej, a także na innych obszarach chronionych), zgodność z art. 6 ust. 3 i art. dyrektywy siedliskowej i art. 5 dyrektywy ptasiej, a ocena oddziaływania na środowisko (OOŚ) lub badanie przesiewowe są przeprowadzane tam, gdzie jest to wymagane na mocy dyrektywy OOŚ. Wszystkie projekty inwestycyjne finansowane w ramach tego komponentu, które wymagają decyzji OOŚ, muszą być zgodne z dyrektywą 2011/92/UE zmienioną dyrektywą 2014/52/UE. W szczególności wszystkie nowe przedsięwzięcia wymagające przeprowadzenia OOŚ będą dopuszczone na podstawie ustawy o udostępnianiu informacji o środowisku i jego ochronie, udziale społeczeństwa w ochronie środowiska oraz o ocenach oddziaływania na środowisko zmienionej ustawą z dnia 30 marca o zmianie tej ustawy oraz niektórych innych ustaw. Postanowienia „Wytycznych w sprawie działań naprawczych dla projektów współfinansowanych z funduszy UE dotkniętych naruszeniem 2016/2046”, zakomunikowanych Polsce w dniu 23 lutego 2021 r. (sygn. Ares(2021)1423319), powinny być uwzględnione przy realizacji wszystkich przedsięwzięć inwestycyjnych, dla których przed wejściem w życie ustawy z dnia 30 marca 2021 r. złożono wniosek lub wydano decyzję o środowiskowych uwarunkowaniach lub pozwolenie na budowę.</w:t>
            </w:r>
            <w:r w:rsidRPr="00465EE7" w:rsidDel="00465EE7">
              <w:rPr>
                <w:rFonts w:ascii="Times New Roman" w:eastAsia="Times New Roman" w:hAnsi="Times New Roman" w:cs="Times New Roman"/>
                <w:sz w:val="18"/>
                <w:szCs w:val="18"/>
                <w:lang w:val="pl-PL" w:eastAsia="pl-PL"/>
              </w:rPr>
              <w:t xml:space="preserve"> </w:t>
            </w:r>
          </w:p>
        </w:tc>
      </w:tr>
      <w:tr w:rsidR="001052B5" w:rsidRPr="009D378C" w14:paraId="003B0C7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0"/>
        </w:trPr>
        <w:tc>
          <w:tcPr>
            <w:tcW w:w="851" w:type="dxa"/>
            <w:tcBorders>
              <w:top w:val="nil"/>
              <w:left w:val="single" w:sz="4" w:space="0" w:color="auto"/>
              <w:bottom w:val="single" w:sz="4" w:space="0" w:color="auto"/>
              <w:right w:val="single" w:sz="4" w:space="0" w:color="auto"/>
            </w:tcBorders>
            <w:shd w:val="clear" w:color="000000" w:fill="C6EFCE"/>
            <w:noWrap/>
            <w:vAlign w:val="center"/>
            <w:hideMark/>
          </w:tcPr>
          <w:p w14:paraId="14970ADF" w14:textId="77777777" w:rsidR="001052B5" w:rsidRPr="007A3B4B" w:rsidRDefault="001052B5" w:rsidP="00A20CA7">
            <w:pPr>
              <w:spacing w:after="0" w:line="240" w:lineRule="auto"/>
              <w:rPr>
                <w:rFonts w:ascii="Times New Roman" w:eastAsia="Times New Roman" w:hAnsi="Times New Roman" w:cs="Times New Roman"/>
                <w:b/>
                <w:bCs/>
                <w:sz w:val="18"/>
                <w:szCs w:val="18"/>
                <w:lang w:val="pl-PL" w:eastAsia="pl-PL"/>
              </w:rPr>
            </w:pPr>
            <w:r w:rsidRPr="007A3B4B">
              <w:rPr>
                <w:rFonts w:ascii="Times New Roman" w:eastAsia="Times New Roman" w:hAnsi="Times New Roman" w:cs="Times New Roman"/>
                <w:b/>
                <w:bCs/>
                <w:sz w:val="18"/>
                <w:szCs w:val="18"/>
                <w:lang w:val="pl-PL" w:eastAsia="pl-PL"/>
              </w:rPr>
              <w:lastRenderedPageBreak/>
              <w:t>B31L</w:t>
            </w:r>
          </w:p>
        </w:tc>
        <w:tc>
          <w:tcPr>
            <w:tcW w:w="1843" w:type="dxa"/>
            <w:tcBorders>
              <w:top w:val="nil"/>
              <w:left w:val="nil"/>
              <w:bottom w:val="single" w:sz="4" w:space="0" w:color="auto"/>
              <w:right w:val="single" w:sz="4" w:space="0" w:color="auto"/>
            </w:tcBorders>
            <w:shd w:val="clear" w:color="000000" w:fill="C6EFCE"/>
            <w:vAlign w:val="center"/>
            <w:hideMark/>
          </w:tcPr>
          <w:p w14:paraId="0188CE81"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xml:space="preserve">B3.5.1 Inwestycje w budowę mieszkań przeznaczonych dla gospodarstw domowych o niskich </w:t>
            </w:r>
            <w:r w:rsidRPr="007A3B4B">
              <w:rPr>
                <w:rFonts w:ascii="Times New Roman" w:eastAsia="Times New Roman" w:hAnsi="Times New Roman" w:cs="Times New Roman"/>
                <w:sz w:val="18"/>
                <w:szCs w:val="18"/>
                <w:lang w:val="pl-PL" w:eastAsia="pl-PL"/>
              </w:rPr>
              <w:br/>
              <w:t xml:space="preserve">i umiarkowanych dochodach, z uwzględnieniem efektywności energetycznej </w:t>
            </w:r>
          </w:p>
        </w:tc>
        <w:tc>
          <w:tcPr>
            <w:tcW w:w="992" w:type="dxa"/>
            <w:tcBorders>
              <w:top w:val="nil"/>
              <w:left w:val="nil"/>
              <w:bottom w:val="single" w:sz="4" w:space="0" w:color="auto"/>
              <w:right w:val="single" w:sz="4" w:space="0" w:color="auto"/>
            </w:tcBorders>
            <w:shd w:val="clear" w:color="000000" w:fill="C6EFCE"/>
            <w:vAlign w:val="center"/>
            <w:hideMark/>
          </w:tcPr>
          <w:p w14:paraId="7866D4E5"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wskaźnik</w:t>
            </w:r>
          </w:p>
        </w:tc>
        <w:tc>
          <w:tcPr>
            <w:tcW w:w="1984" w:type="dxa"/>
            <w:tcBorders>
              <w:top w:val="single" w:sz="4" w:space="0" w:color="auto"/>
              <w:left w:val="nil"/>
              <w:bottom w:val="single" w:sz="4" w:space="0" w:color="auto"/>
              <w:right w:val="single" w:sz="4" w:space="0" w:color="auto"/>
            </w:tcBorders>
            <w:shd w:val="clear" w:color="000000" w:fill="C6EFCE"/>
            <w:vAlign w:val="center"/>
            <w:hideMark/>
          </w:tcPr>
          <w:p w14:paraId="28F273EB" w14:textId="5D583069" w:rsidR="00E33EC5" w:rsidRPr="00E33EC5" w:rsidRDefault="00E33EC5" w:rsidP="00E33EC5">
            <w:pPr>
              <w:spacing w:after="0" w:line="240" w:lineRule="auto"/>
              <w:rPr>
                <w:rFonts w:ascii="Times New Roman" w:eastAsia="Times New Roman" w:hAnsi="Times New Roman" w:cs="Times New Roman"/>
                <w:sz w:val="18"/>
                <w:szCs w:val="18"/>
                <w:lang w:val="pl-PL" w:eastAsia="pl-PL"/>
              </w:rPr>
            </w:pPr>
            <w:r w:rsidRPr="00E33EC5">
              <w:rPr>
                <w:rFonts w:ascii="Times New Roman" w:eastAsia="Times New Roman" w:hAnsi="Times New Roman" w:cs="Times New Roman"/>
                <w:sz w:val="18"/>
                <w:szCs w:val="18"/>
                <w:lang w:val="pl-PL" w:eastAsia="pl-PL"/>
              </w:rPr>
              <w:t>Zakończona budowa trzeciej puli  energooszczędnego budownictwa mieszkaniowego dla gospodarstw domowych o niskich i średnich dochodach</w:t>
            </w:r>
          </w:p>
          <w:p w14:paraId="1C025193" w14:textId="1851A6D3" w:rsidR="001052B5" w:rsidRPr="007A3B4B" w:rsidRDefault="001052B5" w:rsidP="00E33EC5">
            <w:pPr>
              <w:spacing w:after="0" w:line="240" w:lineRule="auto"/>
              <w:rPr>
                <w:rFonts w:ascii="Times New Roman" w:eastAsia="Times New Roman" w:hAnsi="Times New Roman" w:cs="Times New Roman"/>
                <w:sz w:val="18"/>
                <w:szCs w:val="18"/>
                <w:lang w:val="pl-PL" w:eastAsia="pl-PL"/>
              </w:rPr>
            </w:pPr>
          </w:p>
        </w:tc>
        <w:tc>
          <w:tcPr>
            <w:tcW w:w="2268" w:type="dxa"/>
            <w:tcBorders>
              <w:top w:val="nil"/>
              <w:left w:val="nil"/>
              <w:bottom w:val="single" w:sz="4" w:space="0" w:color="auto"/>
              <w:right w:val="single" w:sz="4" w:space="0" w:color="auto"/>
            </w:tcBorders>
            <w:shd w:val="clear" w:color="000000" w:fill="C6EFCE"/>
            <w:vAlign w:val="center"/>
            <w:hideMark/>
          </w:tcPr>
          <w:p w14:paraId="2000478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 </w:t>
            </w:r>
          </w:p>
        </w:tc>
        <w:tc>
          <w:tcPr>
            <w:tcW w:w="851" w:type="dxa"/>
            <w:tcBorders>
              <w:top w:val="nil"/>
              <w:left w:val="nil"/>
              <w:bottom w:val="single" w:sz="4" w:space="0" w:color="auto"/>
              <w:right w:val="single" w:sz="4" w:space="0" w:color="auto"/>
            </w:tcBorders>
            <w:shd w:val="clear" w:color="000000" w:fill="C6EFCE"/>
            <w:noWrap/>
            <w:vAlign w:val="center"/>
            <w:hideMark/>
          </w:tcPr>
          <w:p w14:paraId="45C3BDD6"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liczba</w:t>
            </w:r>
          </w:p>
        </w:tc>
        <w:tc>
          <w:tcPr>
            <w:tcW w:w="992" w:type="dxa"/>
            <w:tcBorders>
              <w:top w:val="nil"/>
              <w:left w:val="nil"/>
              <w:bottom w:val="single" w:sz="4" w:space="0" w:color="auto"/>
              <w:right w:val="single" w:sz="4" w:space="0" w:color="auto"/>
            </w:tcBorders>
            <w:shd w:val="clear" w:color="000000" w:fill="C6EFCE"/>
            <w:noWrap/>
            <w:vAlign w:val="center"/>
            <w:hideMark/>
          </w:tcPr>
          <w:p w14:paraId="01568766" w14:textId="0F79ADFE" w:rsidR="001052B5" w:rsidRPr="007A3B4B" w:rsidRDefault="00E33EC5"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6485</w:t>
            </w:r>
          </w:p>
        </w:tc>
        <w:tc>
          <w:tcPr>
            <w:tcW w:w="992" w:type="dxa"/>
            <w:tcBorders>
              <w:top w:val="nil"/>
              <w:left w:val="nil"/>
              <w:bottom w:val="single" w:sz="4" w:space="0" w:color="auto"/>
              <w:right w:val="single" w:sz="4" w:space="0" w:color="auto"/>
            </w:tcBorders>
            <w:shd w:val="clear" w:color="000000" w:fill="C6EFCE"/>
            <w:noWrap/>
            <w:vAlign w:val="center"/>
            <w:hideMark/>
          </w:tcPr>
          <w:p w14:paraId="6F95008F"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12 355</w:t>
            </w:r>
          </w:p>
        </w:tc>
        <w:tc>
          <w:tcPr>
            <w:tcW w:w="567" w:type="dxa"/>
            <w:tcBorders>
              <w:top w:val="nil"/>
              <w:left w:val="nil"/>
              <w:bottom w:val="single" w:sz="4" w:space="0" w:color="auto"/>
              <w:right w:val="single" w:sz="4" w:space="0" w:color="auto"/>
            </w:tcBorders>
            <w:shd w:val="clear" w:color="000000" w:fill="C6EFCE"/>
            <w:noWrap/>
            <w:vAlign w:val="center"/>
            <w:hideMark/>
          </w:tcPr>
          <w:p w14:paraId="42436A1B"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Q2</w:t>
            </w:r>
          </w:p>
        </w:tc>
        <w:tc>
          <w:tcPr>
            <w:tcW w:w="709" w:type="dxa"/>
            <w:tcBorders>
              <w:top w:val="nil"/>
              <w:left w:val="nil"/>
              <w:bottom w:val="single" w:sz="4" w:space="0" w:color="auto"/>
              <w:right w:val="single" w:sz="4" w:space="0" w:color="auto"/>
            </w:tcBorders>
            <w:shd w:val="clear" w:color="000000" w:fill="C6EFCE"/>
            <w:noWrap/>
            <w:vAlign w:val="center"/>
            <w:hideMark/>
          </w:tcPr>
          <w:p w14:paraId="2F4A7270" w14:textId="77777777" w:rsidR="001052B5" w:rsidRPr="007A3B4B" w:rsidRDefault="001052B5" w:rsidP="00A20CA7">
            <w:pPr>
              <w:spacing w:after="0" w:line="240" w:lineRule="auto"/>
              <w:rPr>
                <w:rFonts w:ascii="Times New Roman" w:eastAsia="Times New Roman" w:hAnsi="Times New Roman" w:cs="Times New Roman"/>
                <w:sz w:val="18"/>
                <w:szCs w:val="18"/>
                <w:lang w:val="pl-PL" w:eastAsia="pl-PL"/>
              </w:rPr>
            </w:pPr>
            <w:r w:rsidRPr="007A3B4B">
              <w:rPr>
                <w:rFonts w:ascii="Times New Roman" w:eastAsia="Times New Roman" w:hAnsi="Times New Roman" w:cs="Times New Roman"/>
                <w:sz w:val="18"/>
                <w:szCs w:val="18"/>
                <w:lang w:val="pl-PL" w:eastAsia="pl-PL"/>
              </w:rPr>
              <w:t>2026</w:t>
            </w:r>
          </w:p>
        </w:tc>
        <w:tc>
          <w:tcPr>
            <w:tcW w:w="3544" w:type="dxa"/>
            <w:tcBorders>
              <w:top w:val="nil"/>
              <w:left w:val="nil"/>
              <w:bottom w:val="single" w:sz="4" w:space="0" w:color="auto"/>
              <w:right w:val="single" w:sz="4" w:space="0" w:color="auto"/>
            </w:tcBorders>
            <w:shd w:val="clear" w:color="000000" w:fill="C6EFCE"/>
            <w:vAlign w:val="center"/>
            <w:hideMark/>
          </w:tcPr>
          <w:p w14:paraId="0816998B" w14:textId="4A14ABBC"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Liczba oddanych do użytku mieszkań o przystępnych cenach (dla osób o niskich i średnich dochodach). Inwestycje będą realizowane przez </w:t>
            </w:r>
            <w:r w:rsidR="005C3B29">
              <w:rPr>
                <w:rFonts w:ascii="Times New Roman" w:eastAsia="Times New Roman" w:hAnsi="Times New Roman" w:cs="Times New Roman"/>
                <w:sz w:val="18"/>
                <w:szCs w:val="18"/>
                <w:lang w:val="pl-PL" w:eastAsia="pl-PL"/>
              </w:rPr>
              <w:t>władze lokalne</w:t>
            </w:r>
            <w:r w:rsidRPr="00465EE7">
              <w:rPr>
                <w:rFonts w:ascii="Times New Roman" w:eastAsia="Times New Roman" w:hAnsi="Times New Roman" w:cs="Times New Roman"/>
                <w:sz w:val="18"/>
                <w:szCs w:val="18"/>
                <w:lang w:val="pl-PL" w:eastAsia="pl-PL"/>
              </w:rPr>
              <w:t xml:space="preserve"> i towarzystwa budownictwa społecznego.</w:t>
            </w:r>
          </w:p>
          <w:p w14:paraId="17D5C59C" w14:textId="160D298F"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 W umowach podpisywanych z beneficjentami </w:t>
            </w:r>
            <w:r w:rsidR="001D6B91">
              <w:rPr>
                <w:rFonts w:ascii="Times New Roman" w:eastAsia="Times New Roman" w:hAnsi="Times New Roman" w:cs="Times New Roman"/>
                <w:sz w:val="18"/>
                <w:szCs w:val="18"/>
                <w:lang w:val="pl-PL" w:eastAsia="pl-PL"/>
              </w:rPr>
              <w:t>(</w:t>
            </w:r>
            <w:r w:rsidR="005C3B29">
              <w:rPr>
                <w:rFonts w:ascii="Times New Roman" w:eastAsia="Times New Roman" w:hAnsi="Times New Roman" w:cs="Times New Roman"/>
                <w:sz w:val="18"/>
                <w:szCs w:val="18"/>
                <w:lang w:val="pl-PL" w:eastAsia="pl-PL"/>
              </w:rPr>
              <w:t>władze lokalne</w:t>
            </w:r>
            <w:r w:rsidR="001D6B91" w:rsidRPr="00465EE7">
              <w:rPr>
                <w:rFonts w:ascii="Times New Roman" w:eastAsia="Times New Roman" w:hAnsi="Times New Roman" w:cs="Times New Roman"/>
                <w:sz w:val="18"/>
                <w:szCs w:val="18"/>
                <w:lang w:val="pl-PL" w:eastAsia="pl-PL"/>
              </w:rPr>
              <w:t xml:space="preserve"> i towarzystwa budownictwa społecznego</w:t>
            </w:r>
            <w:r w:rsidR="001D6B91">
              <w:rPr>
                <w:rFonts w:ascii="Times New Roman" w:eastAsia="Times New Roman" w:hAnsi="Times New Roman" w:cs="Times New Roman"/>
                <w:sz w:val="18"/>
                <w:szCs w:val="18"/>
                <w:lang w:val="pl-PL" w:eastAsia="pl-PL"/>
              </w:rPr>
              <w:t>)</w:t>
            </w:r>
            <w:r w:rsidR="001D6B91" w:rsidRPr="00465EE7">
              <w:rPr>
                <w:rFonts w:ascii="Times New Roman" w:eastAsia="Times New Roman" w:hAnsi="Times New Roman" w:cs="Times New Roman"/>
                <w:sz w:val="18"/>
                <w:szCs w:val="18"/>
                <w:lang w:val="pl-PL" w:eastAsia="pl-PL"/>
              </w:rPr>
              <w:t xml:space="preserve"> </w:t>
            </w:r>
            <w:r w:rsidRPr="00465EE7">
              <w:rPr>
                <w:rFonts w:ascii="Times New Roman" w:eastAsia="Times New Roman" w:hAnsi="Times New Roman" w:cs="Times New Roman"/>
                <w:sz w:val="18"/>
                <w:szCs w:val="18"/>
                <w:lang w:val="pl-PL" w:eastAsia="pl-PL"/>
              </w:rPr>
              <w:t>określa się, że:</w:t>
            </w:r>
          </w:p>
          <w:p w14:paraId="1E430378" w14:textId="77777777"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 co najmniej 75% tych mieszkań zostanie przydzielone tym wnioskodawcom o mieszkania, którzy znajdują się w dolnej połowie listy wnioskodawców sporządzonej na podstawie dochodów wnioskodawców w porządku malejącym, oraz  </w:t>
            </w:r>
          </w:p>
          <w:p w14:paraId="001CA303" w14:textId="77777777" w:rsid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mieszkania zostaną wybudowane zgodnie ze standardem efektywności energetycznej o 20% ambitniejszym niż minimalny standard efektywności energetycznej obowiązujący w Polsce (standard budynków o niemal zerowym zużyciu energii/NZEB). .</w:t>
            </w:r>
          </w:p>
          <w:p w14:paraId="7F0AADE9" w14:textId="4E6E4532"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Podmioty będące beneficjentami wybierane są w drodze przejrzystych i konkurencyjnych naborów, otwartych dla wszystkich władz lokalnych</w:t>
            </w:r>
            <w:r w:rsidR="001D6B91">
              <w:rPr>
                <w:rFonts w:ascii="Times New Roman" w:eastAsia="Times New Roman" w:hAnsi="Times New Roman" w:cs="Times New Roman"/>
                <w:sz w:val="18"/>
                <w:szCs w:val="18"/>
                <w:lang w:val="pl-PL" w:eastAsia="pl-PL"/>
              </w:rPr>
              <w:t xml:space="preserve"> i towarzystw budownictwa społecznego</w:t>
            </w:r>
            <w:r w:rsidRPr="00465EE7">
              <w:rPr>
                <w:rFonts w:ascii="Times New Roman" w:eastAsia="Times New Roman" w:hAnsi="Times New Roman" w:cs="Times New Roman"/>
                <w:sz w:val="18"/>
                <w:szCs w:val="18"/>
                <w:lang w:val="pl-PL" w:eastAsia="pl-PL"/>
              </w:rPr>
              <w:t>. Kryteria wyboru podmiotów będących beneficjentami odzwierciedlają w szczególności potrzeby w zakresie zwiększenia podaży energooszczędnych budynków mieszkalnych dla gospodarstw domowych o niskich i średnich dochodach.</w:t>
            </w:r>
          </w:p>
          <w:p w14:paraId="57BEC558" w14:textId="120019C2"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Priorytetowo traktuje się </w:t>
            </w:r>
            <w:r w:rsidR="001D6B91">
              <w:rPr>
                <w:rFonts w:ascii="Times New Roman" w:eastAsia="Times New Roman" w:hAnsi="Times New Roman" w:cs="Times New Roman"/>
                <w:sz w:val="18"/>
                <w:szCs w:val="18"/>
                <w:lang w:val="pl-PL" w:eastAsia="pl-PL"/>
              </w:rPr>
              <w:t>obszary</w:t>
            </w:r>
            <w:r w:rsidRPr="00465EE7">
              <w:rPr>
                <w:rFonts w:ascii="Times New Roman" w:eastAsia="Times New Roman" w:hAnsi="Times New Roman" w:cs="Times New Roman"/>
                <w:sz w:val="18"/>
                <w:szCs w:val="18"/>
                <w:lang w:val="pl-PL" w:eastAsia="pl-PL"/>
              </w:rPr>
              <w:t>, w których takie projekty zostały już wprowadzone lub planuje się ich wprowadzenie.  Przydzielając  projekty należy zapewnić zrównoważony podział pomiędzy podmiotami w całym kraju, z uwzględnieniem liczby ludności i zasięgu geograficznego.</w:t>
            </w:r>
          </w:p>
          <w:p w14:paraId="4CA5AAFE" w14:textId="77777777" w:rsidR="00465EE7" w:rsidRPr="00465EE7"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Oczekuje się, że działanie to nie spowoduje znaczącej szkody dla celów środowiskowych w rozumieniu art. 17 rozporządzenia (UE) 2020/852, biorąc pod uwagę opis działania i środki łagodzące określone w KPO zgodne z </w:t>
            </w:r>
            <w:r w:rsidRPr="00465EE7">
              <w:rPr>
                <w:rFonts w:ascii="Times New Roman" w:eastAsia="Times New Roman" w:hAnsi="Times New Roman" w:cs="Times New Roman"/>
                <w:sz w:val="18"/>
                <w:szCs w:val="18"/>
                <w:lang w:val="pl-PL" w:eastAsia="pl-PL"/>
              </w:rPr>
              <w:lastRenderedPageBreak/>
              <w:t>wytycznymi technicznymi DNSH (2021/C 58/01).</w:t>
            </w:r>
          </w:p>
          <w:p w14:paraId="56150A5A" w14:textId="4A9D5B09" w:rsidR="001052B5" w:rsidRPr="007A3B4B" w:rsidRDefault="00465EE7" w:rsidP="00465EE7">
            <w:pPr>
              <w:spacing w:after="0" w:line="240" w:lineRule="auto"/>
              <w:rPr>
                <w:rFonts w:ascii="Times New Roman" w:eastAsia="Times New Roman" w:hAnsi="Times New Roman" w:cs="Times New Roman"/>
                <w:sz w:val="18"/>
                <w:szCs w:val="18"/>
                <w:lang w:val="pl-PL" w:eastAsia="pl-PL"/>
              </w:rPr>
            </w:pPr>
            <w:r w:rsidRPr="00465EE7">
              <w:rPr>
                <w:rFonts w:ascii="Times New Roman" w:eastAsia="Times New Roman" w:hAnsi="Times New Roman" w:cs="Times New Roman"/>
                <w:sz w:val="18"/>
                <w:szCs w:val="18"/>
                <w:lang w:val="pl-PL" w:eastAsia="pl-PL"/>
              </w:rPr>
              <w:t xml:space="preserve">W przypadku, gdy nowe działania budowlane będą miały miejsce na obszarach o wrażliwej bioróżnorodności lub w ich pobliżu (w tym na obszarach chronionych w ramach Natura 2000, obszarach światowego dziedzictwa UNESCO i kluczowych obszarach różnorodności biologicznej, jak również na innych obszarach chronionych), wymagana będzie zgodność z art. 6 ust. 3 i art. 12 dyrektywy siedliskowej oraz art. 5 dyrektywy ptasiej, a ocena oddziaływania na środowisko (OOŚ) lub screening zostaną przeprowadzone tam, gdzie jest to wymagane na mocy dyrektywy OOŚ. Wszystkie projekty inwestycyjne finansowane w ramach tego komponentu, które wymagają decyzji OOŚ, muszą być zgodne z dyrektywą 2011/92/UE zmienioną dyrektywą 2014/52/UE. W szczególności, wszystkie nowe przedsięwzięcia wymagające OOŚ muszą uzyskać zgodę na podstawie nowej ustawy z dnia 30 marca 2021 r. o zmianie ustawy o udostępnianiu informacji o środowisku i jego ochronie, udziale społeczeństwa w ochronie środowiska oraz o ocenach oddziaływania na środowisko oraz niektórych innych ustaw. </w:t>
            </w:r>
            <w:r w:rsidR="00A14381" w:rsidRPr="00465EE7">
              <w:rPr>
                <w:rFonts w:ascii="Times New Roman" w:eastAsia="Times New Roman" w:hAnsi="Times New Roman" w:cs="Times New Roman"/>
                <w:sz w:val="18"/>
                <w:szCs w:val="18"/>
                <w:lang w:val="pl-PL" w:eastAsia="pl-PL"/>
              </w:rPr>
              <w:t>Postanowienia „Wytycznych w sprawie działań naprawczych dla projektów współfinansowanych z funduszy UE dotkniętych naruszeniem 2016/2046”, zakomunikowanych Polsce w dniu 23 lutego 2021 r. (sygn. Ares(2021)1423319), powinny być uwzględnione przy realizacji wszystkich przedsięwzięć inwestycyjnych, dla których przed wejściem w życie ustawy z dnia 30 marca 2021 r. złożono wniosek lub wydano decyzję o środowiskowych uwarunkowaniach lub pozwolenie na budowę</w:t>
            </w:r>
          </w:p>
        </w:tc>
      </w:tr>
    </w:tbl>
    <w:p w14:paraId="638A9631" w14:textId="77777777" w:rsidR="001052B5"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b/>
          <w:bCs/>
          <w:color w:val="000000"/>
          <w:sz w:val="24"/>
          <w:szCs w:val="24"/>
          <w:lang w:val="pl-PL"/>
        </w:rPr>
      </w:pPr>
    </w:p>
    <w:p w14:paraId="49206A88" w14:textId="3CA00FCA" w:rsidR="001052B5" w:rsidRPr="00AF7348"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sectPr w:rsidR="001052B5" w:rsidRPr="00AF7348">
          <w:headerReference w:type="even" r:id="rId51"/>
          <w:headerReference w:type="default" r:id="rId52"/>
          <w:footerReference w:type="even" r:id="rId53"/>
          <w:footerReference w:type="default" r:id="rId54"/>
          <w:headerReference w:type="first" r:id="rId55"/>
          <w:footerReference w:type="first" r:id="rId56"/>
          <w:pgSz w:w="16839" w:h="11907" w:orient="landscape"/>
          <w:pgMar w:top="1418" w:right="1134" w:bottom="1418" w:left="1134" w:header="709" w:footer="709" w:gutter="0"/>
          <w:cols w:space="720"/>
        </w:sectPr>
      </w:pPr>
    </w:p>
    <w:p w14:paraId="0618BFED" w14:textId="77777777" w:rsidR="007C4506" w:rsidRPr="00AF7348"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smallCaps/>
          <w:color w:val="000000"/>
          <w:sz w:val="24"/>
          <w:szCs w:val="24"/>
          <w:lang w:val="pl-PL"/>
        </w:rPr>
        <w:lastRenderedPageBreak/>
        <w:t>C. KOMPONENT C: TRANSFORMACJA CYFROWA</w:t>
      </w:r>
    </w:p>
    <w:p w14:paraId="688EA1F7" w14:textId="2A6AB7D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Komponent C Krajowego Planu Odbudowy i Zwiększania Odporności (KPO) dotyczy szeregu wyzwań: po pierwsze, dysproporcji pomiędzy obszarami miejskimi i wiejskimi pod względem łączności oraz dostępu do szybkiego i niezawodnego połączenia internetowego, zarówno stacjonarnego, jak i mobilnego; po drugie, potrzeby szybszego i bezpieczniejszego korzystania z usług cyfrowych w sektorze publicznym; po trzecie, ogólnego braku ukierunkowanej strategii edukacji cyfrowej i szkoleń, co wyraźnie uwidoczniło się, w czasie pandemii COVID-19, w niewystarczających umiejętnościach cyfrowych i wyposażeniu w technologie informacyjno-komunikacyjne pośród uczni</w:t>
      </w:r>
      <w:r w:rsidR="00AF7348">
        <w:rPr>
          <w:rFonts w:ascii="Times New Roman" w:eastAsia="Times New Roman" w:hAnsi="Times New Roman" w:cs="Times New Roman"/>
          <w:color w:val="000000"/>
          <w:sz w:val="24"/>
          <w:szCs w:val="24"/>
          <w:lang w:val="pl-PL"/>
        </w:rPr>
        <w:t>ów</w:t>
      </w:r>
      <w:r w:rsidRPr="00AF7348">
        <w:rPr>
          <w:rFonts w:ascii="Times New Roman" w:eastAsia="Times New Roman" w:hAnsi="Times New Roman" w:cs="Times New Roman"/>
          <w:color w:val="000000"/>
          <w:sz w:val="24"/>
          <w:szCs w:val="24"/>
          <w:lang w:val="pl-PL"/>
        </w:rPr>
        <w:t xml:space="preserve"> i nauczycieli; wreszcie, potrzeby zwiększenia bezpieczeństwa cybernetycznego systemu informacji publicznej celem szybkiego reagowania na ataki cybernetyczne oraz inne incydenty dotyczące bezpieczeństwa.</w:t>
      </w:r>
    </w:p>
    <w:p w14:paraId="02754BF2" w14:textId="603BF0B1"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tego komponentu jest przyspieszenie procesu cyfryzacji kraju poprzez transformację informatyczną sektora publicznego, gospodarki i społeczeństwa. Komponent składa się z trzech </w:t>
      </w:r>
      <w:proofErr w:type="spellStart"/>
      <w:r w:rsidRPr="00AF7348">
        <w:rPr>
          <w:rFonts w:ascii="Times New Roman" w:eastAsia="Times New Roman" w:hAnsi="Times New Roman" w:cs="Times New Roman"/>
          <w:color w:val="000000" w:themeColor="text1"/>
          <w:sz w:val="24"/>
          <w:szCs w:val="24"/>
          <w:lang w:val="pl-PL"/>
        </w:rPr>
        <w:t>podkomponentów</w:t>
      </w:r>
      <w:proofErr w:type="spellEnd"/>
      <w:r w:rsidRPr="00AF7348">
        <w:rPr>
          <w:rFonts w:ascii="Times New Roman" w:eastAsia="Times New Roman" w:hAnsi="Times New Roman" w:cs="Times New Roman"/>
          <w:color w:val="000000" w:themeColor="text1"/>
          <w:sz w:val="24"/>
          <w:szCs w:val="24"/>
          <w:lang w:val="pl-PL"/>
        </w:rPr>
        <w:t xml:space="preserve">, zgodnie z jego celami szczegółowymi: poprawa dostępu do szybkiego Internetu (C1); rozwój e-usług i ich konsolidacja, tworzenie warunków dla rozwoju zastosowań przełomowych technologii cyfrowych w sektorze publicznym, gospodarce i społeczeństwie oraz usprawnienie komunikacji między instytucjami publicznymi, obywatelami i biznesem </w:t>
      </w:r>
      <w:r w:rsidR="0044377D" w:rsidRPr="0044377D">
        <w:rPr>
          <w:rFonts w:ascii="Times New Roman" w:eastAsia="Times New Roman" w:hAnsi="Times New Roman" w:cs="Times New Roman"/>
          <w:color w:val="000000" w:themeColor="text1"/>
          <w:sz w:val="24"/>
          <w:szCs w:val="24"/>
          <w:lang w:val="pl-PL"/>
        </w:rPr>
        <w:t xml:space="preserve">oraz wyrównywanie poziomu wyposażenia szkół i podnoszenie kompetencji cyfrowych obywateli. </w:t>
      </w:r>
      <w:r w:rsidRPr="00AF7348">
        <w:rPr>
          <w:rFonts w:ascii="Times New Roman" w:eastAsia="Times New Roman" w:hAnsi="Times New Roman" w:cs="Times New Roman"/>
          <w:color w:val="000000" w:themeColor="text1"/>
          <w:sz w:val="24"/>
          <w:szCs w:val="24"/>
          <w:lang w:val="pl-PL"/>
        </w:rPr>
        <w:t>(C2); wzrost bezpieczeństwa w cyberprzestrzeni, zabezpieczenie infrastruktury przetwarzania danych oraz cyfryzacja infrastruktury służb odpowiedzialnych za bezpieczeństwo (C3).</w:t>
      </w:r>
    </w:p>
    <w:p w14:paraId="35DB3F80" w14:textId="11BA3C1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Reformy i inwestycje opracowane w ramach komponentu przyczyni</w:t>
      </w:r>
      <w:r w:rsidR="0079702F">
        <w:rPr>
          <w:rFonts w:ascii="Times New Roman" w:eastAsia="Times New Roman" w:hAnsi="Times New Roman" w:cs="Times New Roman"/>
          <w:color w:val="000000"/>
          <w:sz w:val="24"/>
          <w:szCs w:val="24"/>
          <w:lang w:val="pl-PL"/>
        </w:rPr>
        <w:t>ą</w:t>
      </w:r>
      <w:r w:rsidRPr="00AF7348">
        <w:rPr>
          <w:rFonts w:ascii="Times New Roman" w:eastAsia="Times New Roman" w:hAnsi="Times New Roman" w:cs="Times New Roman"/>
          <w:color w:val="000000"/>
          <w:sz w:val="24"/>
          <w:szCs w:val="24"/>
          <w:lang w:val="pl-PL"/>
        </w:rPr>
        <w:t xml:space="preserve"> się do realizacji trzech zaleceń krajowych (</w:t>
      </w:r>
      <w:r w:rsidRPr="00AF7348">
        <w:rPr>
          <w:rFonts w:ascii="Times New Roman" w:eastAsia="Times New Roman" w:hAnsi="Times New Roman" w:cs="Times New Roman"/>
          <w:i/>
          <w:iCs/>
          <w:color w:val="000000"/>
          <w:sz w:val="24"/>
          <w:szCs w:val="24"/>
          <w:lang w:val="pl-PL"/>
        </w:rPr>
        <w:t>Country-</w:t>
      </w:r>
      <w:proofErr w:type="spellStart"/>
      <w:r w:rsidRPr="00AF7348">
        <w:rPr>
          <w:rFonts w:ascii="Times New Roman" w:eastAsia="Times New Roman" w:hAnsi="Times New Roman" w:cs="Times New Roman"/>
          <w:i/>
          <w:iCs/>
          <w:color w:val="000000"/>
          <w:sz w:val="24"/>
          <w:szCs w:val="24"/>
          <w:lang w:val="pl-PL"/>
        </w:rPr>
        <w:t>Specific</w:t>
      </w:r>
      <w:proofErr w:type="spellEnd"/>
      <w:r w:rsidRPr="00AF7348">
        <w:rPr>
          <w:rFonts w:ascii="Times New Roman" w:eastAsia="Times New Roman" w:hAnsi="Times New Roman" w:cs="Times New Roman"/>
          <w:i/>
          <w:iCs/>
          <w:color w:val="000000"/>
          <w:sz w:val="24"/>
          <w:szCs w:val="24"/>
          <w:lang w:val="pl-PL"/>
        </w:rPr>
        <w:t xml:space="preserve"> </w:t>
      </w:r>
      <w:proofErr w:type="spellStart"/>
      <w:r w:rsidRPr="00AF7348">
        <w:rPr>
          <w:rFonts w:ascii="Times New Roman" w:eastAsia="Times New Roman" w:hAnsi="Times New Roman" w:cs="Times New Roman"/>
          <w:i/>
          <w:iCs/>
          <w:color w:val="000000"/>
          <w:sz w:val="24"/>
          <w:szCs w:val="24"/>
          <w:lang w:val="pl-PL"/>
        </w:rPr>
        <w:t>Recommendations</w:t>
      </w:r>
      <w:proofErr w:type="spellEnd"/>
      <w:r w:rsidRPr="00AF7348">
        <w:rPr>
          <w:rFonts w:ascii="Times New Roman" w:eastAsia="Times New Roman" w:hAnsi="Times New Roman" w:cs="Times New Roman"/>
          <w:i/>
          <w:iCs/>
          <w:color w:val="000000"/>
          <w:sz w:val="24"/>
          <w:szCs w:val="24"/>
          <w:lang w:val="pl-PL"/>
        </w:rPr>
        <w:t>, CSR</w:t>
      </w:r>
      <w:r w:rsidRPr="00AF7348">
        <w:rPr>
          <w:rFonts w:ascii="Times New Roman" w:eastAsia="Times New Roman" w:hAnsi="Times New Roman" w:cs="Times New Roman"/>
          <w:color w:val="000000"/>
          <w:sz w:val="24"/>
          <w:szCs w:val="24"/>
          <w:lang w:val="pl-PL"/>
        </w:rPr>
        <w:t xml:space="preserve">), sformułowanych dla Polski w ciągu ostatnich dwóch lat i dotyczących potrzeby skoncentrowania polityki gospodarczej związanej z inwestycjami na infrastrukturze cyfrowej (CSR 3, 2019) i transformacji cyfrowej (CSR 3, 2020), a także potrzeby podnoszenia </w:t>
      </w:r>
      <w:r w:rsidR="0044377D">
        <w:rPr>
          <w:rFonts w:ascii="Times New Roman" w:eastAsia="Times New Roman" w:hAnsi="Times New Roman" w:cs="Times New Roman"/>
          <w:color w:val="000000"/>
          <w:sz w:val="24"/>
          <w:szCs w:val="24"/>
          <w:lang w:val="pl-PL"/>
        </w:rPr>
        <w:t>kompetencji</w:t>
      </w:r>
      <w:r w:rsidRPr="00AF7348">
        <w:rPr>
          <w:rFonts w:ascii="Times New Roman" w:eastAsia="Times New Roman" w:hAnsi="Times New Roman" w:cs="Times New Roman"/>
          <w:color w:val="000000"/>
          <w:sz w:val="24"/>
          <w:szCs w:val="24"/>
          <w:lang w:val="pl-PL"/>
        </w:rPr>
        <w:t xml:space="preserve"> cyfrowych i wspierania transformacji cyfrowej zarówno przedsiębiorstw, jak i administracji publicznej (CSR 2, 2020). </w:t>
      </w:r>
    </w:p>
    <w:p w14:paraId="7057CE24" w14:textId="30A10831" w:rsidR="007A3960" w:rsidRPr="00AF7348" w:rsidRDefault="4CDD99F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żaden środek przewidziany w tym komponencie nie spowoduje znaczącej szkody dla celów środowiskowych w rozumieniu art. 17 Rozporządzenia (UE) 2020/852, biorąc pod uwagę opis środków i działań ograniczających określonych w </w:t>
      </w:r>
      <w:r w:rsidR="0079702F">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79702F">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79702F">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79702F">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79702F">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dporności zgodnie z Wytycznymi Technicznymi Dotyczącymi Zasady DNSH - Nie Czyń </w:t>
      </w:r>
      <w:r w:rsidR="005427AE">
        <w:rPr>
          <w:rFonts w:ascii="Times New Roman" w:eastAsia="Times New Roman" w:hAnsi="Times New Roman" w:cs="Times New Roman"/>
          <w:color w:val="000000" w:themeColor="text1"/>
          <w:sz w:val="24"/>
          <w:szCs w:val="24"/>
          <w:lang w:val="pl-PL"/>
        </w:rPr>
        <w:t>Znaczącej Szkody</w:t>
      </w:r>
      <w:r w:rsidRPr="00AF7348">
        <w:rPr>
          <w:rFonts w:ascii="Times New Roman" w:eastAsia="Times New Roman" w:hAnsi="Times New Roman" w:cs="Times New Roman"/>
          <w:color w:val="000000" w:themeColor="text1"/>
          <w:sz w:val="24"/>
          <w:szCs w:val="24"/>
          <w:lang w:val="pl-PL"/>
        </w:rPr>
        <w:t xml:space="preserve"> (</w:t>
      </w:r>
      <w:r w:rsidRPr="0079702F">
        <w:rPr>
          <w:rFonts w:ascii="Times New Roman" w:eastAsia="Times New Roman" w:hAnsi="Times New Roman" w:cs="Times New Roman"/>
          <w:i/>
          <w:iCs/>
          <w:color w:val="000000" w:themeColor="text1"/>
          <w:sz w:val="24"/>
          <w:szCs w:val="24"/>
          <w:lang w:val="pl-PL"/>
        </w:rPr>
        <w:t xml:space="preserve">DNSH Technical </w:t>
      </w:r>
      <w:proofErr w:type="spellStart"/>
      <w:r w:rsidRPr="0079702F">
        <w:rPr>
          <w:rFonts w:ascii="Times New Roman" w:eastAsia="Times New Roman" w:hAnsi="Times New Roman" w:cs="Times New Roman"/>
          <w:i/>
          <w:iCs/>
          <w:color w:val="000000" w:themeColor="text1"/>
          <w:sz w:val="24"/>
          <w:szCs w:val="24"/>
          <w:lang w:val="pl-PL"/>
        </w:rPr>
        <w:t>Guidance</w:t>
      </w:r>
      <w:proofErr w:type="spellEnd"/>
      <w:r w:rsidRPr="0079702F">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w:t>
      </w:r>
    </w:p>
    <w:p w14:paraId="4E61B8F0" w14:textId="77B155E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Komponent będzie wspierał transformację cyfrową poprzez rozwój infrastruktury </w:t>
      </w:r>
      <w:r w:rsidR="0044377D" w:rsidRPr="0044377D">
        <w:rPr>
          <w:rFonts w:ascii="Times New Roman" w:eastAsia="Times New Roman" w:hAnsi="Times New Roman" w:cs="Times New Roman"/>
          <w:color w:val="000000"/>
          <w:sz w:val="24"/>
          <w:szCs w:val="24"/>
          <w:lang w:val="pl-PL"/>
        </w:rPr>
        <w:t>sie</w:t>
      </w:r>
      <w:r w:rsidR="0044377D">
        <w:rPr>
          <w:rFonts w:ascii="Times New Roman" w:eastAsia="Times New Roman" w:hAnsi="Times New Roman" w:cs="Times New Roman"/>
          <w:color w:val="000000"/>
          <w:sz w:val="24"/>
          <w:szCs w:val="24"/>
          <w:lang w:val="pl-PL"/>
        </w:rPr>
        <w:t xml:space="preserve">ci </w:t>
      </w:r>
      <w:r w:rsidR="0044377D" w:rsidRPr="0044377D">
        <w:rPr>
          <w:rFonts w:ascii="Times New Roman" w:eastAsia="Times New Roman" w:hAnsi="Times New Roman" w:cs="Times New Roman"/>
          <w:color w:val="000000"/>
          <w:sz w:val="24"/>
          <w:szCs w:val="24"/>
          <w:lang w:val="pl-PL"/>
        </w:rPr>
        <w:t>dostępu nowej generacji</w:t>
      </w:r>
      <w:r w:rsidR="0044377D">
        <w:rPr>
          <w:rFonts w:ascii="Times New Roman" w:eastAsia="Times New Roman" w:hAnsi="Times New Roman" w:cs="Times New Roman"/>
          <w:color w:val="000000"/>
          <w:sz w:val="24"/>
          <w:szCs w:val="24"/>
          <w:lang w:val="pl-PL"/>
        </w:rPr>
        <w:t xml:space="preserve"> (NGA - </w:t>
      </w:r>
      <w:r w:rsidR="0044377D" w:rsidRPr="0044377D">
        <w:rPr>
          <w:rFonts w:ascii="Times New Roman" w:eastAsia="Times New Roman" w:hAnsi="Times New Roman" w:cs="Times New Roman"/>
          <w:color w:val="000000"/>
          <w:sz w:val="24"/>
          <w:szCs w:val="24"/>
          <w:lang w:val="pl-PL"/>
        </w:rPr>
        <w:t xml:space="preserve">ang. </w:t>
      </w:r>
      <w:proofErr w:type="spellStart"/>
      <w:r w:rsidR="0044377D" w:rsidRPr="0044377D">
        <w:rPr>
          <w:rFonts w:ascii="Times New Roman" w:eastAsia="Times New Roman" w:hAnsi="Times New Roman" w:cs="Times New Roman"/>
          <w:color w:val="000000"/>
          <w:sz w:val="24"/>
          <w:szCs w:val="24"/>
          <w:lang w:val="pl-PL"/>
        </w:rPr>
        <w:t>next-generation</w:t>
      </w:r>
      <w:proofErr w:type="spellEnd"/>
      <w:r w:rsidR="0044377D" w:rsidRPr="0044377D">
        <w:rPr>
          <w:rFonts w:ascii="Times New Roman" w:eastAsia="Times New Roman" w:hAnsi="Times New Roman" w:cs="Times New Roman"/>
          <w:color w:val="000000"/>
          <w:sz w:val="24"/>
          <w:szCs w:val="24"/>
          <w:lang w:val="pl-PL"/>
        </w:rPr>
        <w:t xml:space="preserve"> </w:t>
      </w:r>
      <w:proofErr w:type="spellStart"/>
      <w:r w:rsidR="0044377D" w:rsidRPr="0044377D">
        <w:rPr>
          <w:rFonts w:ascii="Times New Roman" w:eastAsia="Times New Roman" w:hAnsi="Times New Roman" w:cs="Times New Roman"/>
          <w:color w:val="000000"/>
          <w:sz w:val="24"/>
          <w:szCs w:val="24"/>
          <w:lang w:val="pl-PL"/>
        </w:rPr>
        <w:t>access</w:t>
      </w:r>
      <w:proofErr w:type="spellEnd"/>
      <w:r w:rsidR="0044377D">
        <w:rPr>
          <w:rFonts w:ascii="Times New Roman" w:eastAsia="Times New Roman" w:hAnsi="Times New Roman" w:cs="Times New Roman"/>
          <w:color w:val="000000"/>
          <w:sz w:val="24"/>
          <w:szCs w:val="24"/>
          <w:lang w:val="pl-PL"/>
        </w:rPr>
        <w:t>)</w:t>
      </w:r>
      <w:r w:rsidR="0044377D" w:rsidRPr="0044377D" w:rsidDel="0044377D">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 xml:space="preserve">, zwiększenie wykorzystania narzędzi informatycznych w sektorze publicznym oraz podnoszenie e-kompetencji społeczeństwa (przedsiębiorstw, administracji publicznej, nauczycieli i studentów). Takie działanie przyczyni się do optymalizacji bezpieczeństwa cybernetycznego, poprawy wydajności przetwarzania danych oraz modernizacji infrastruktury służb państwowych odpowiedzialnych za bezpieczeństwo. Wreszcie, potencjalne wdrożenie innowacyjnych rozwiązań </w:t>
      </w:r>
      <w:r w:rsidR="0044377D">
        <w:rPr>
          <w:rFonts w:ascii="Times New Roman" w:eastAsia="Times New Roman" w:hAnsi="Times New Roman" w:cs="Times New Roman"/>
          <w:color w:val="000000"/>
          <w:sz w:val="24"/>
          <w:szCs w:val="24"/>
          <w:lang w:val="pl-PL"/>
        </w:rPr>
        <w:t xml:space="preserve">chmurowych nowej generacji </w:t>
      </w:r>
      <w:r w:rsidRPr="00AF7348">
        <w:rPr>
          <w:rFonts w:ascii="Times New Roman" w:eastAsia="Times New Roman" w:hAnsi="Times New Roman" w:cs="Times New Roman"/>
          <w:color w:val="000000"/>
          <w:sz w:val="24"/>
          <w:szCs w:val="24"/>
          <w:lang w:val="pl-PL"/>
        </w:rPr>
        <w:t>pozwoli stworzyć stabilne i trwałe jej środowisko.</w:t>
      </w:r>
    </w:p>
    <w:p w14:paraId="67B7A70C"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807EE3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color w:val="4F81BD"/>
          <w:sz w:val="24"/>
          <w:szCs w:val="24"/>
          <w:lang w:val="pl-PL"/>
        </w:rPr>
      </w:pPr>
      <w:r w:rsidRPr="00AF7348">
        <w:rPr>
          <w:rFonts w:ascii="Times New Roman" w:eastAsia="Times New Roman" w:hAnsi="Times New Roman" w:cs="Times New Roman"/>
          <w:b/>
          <w:bCs/>
          <w:color w:val="000000"/>
          <w:sz w:val="24"/>
          <w:szCs w:val="24"/>
          <w:lang w:val="pl-PL"/>
        </w:rPr>
        <w:t xml:space="preserve">C.1.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Opis reform i inwestycji, które mają być finansowane z bezzwrotnego wsparcia finansowego</w:t>
      </w:r>
    </w:p>
    <w:p w14:paraId="30CD01E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 ramach dotacji komponent wdroży 3 reformy oraz 5 inwestycji.</w:t>
      </w:r>
    </w:p>
    <w:p w14:paraId="71887C79"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13A95B72" w14:textId="77777777" w:rsidR="006513DC" w:rsidRPr="006513DC" w:rsidRDefault="00B31839" w:rsidP="006513DC">
      <w:pPr>
        <w:pStyle w:val="HTML-wstpniesformatowany"/>
        <w:rPr>
          <w:rFonts w:ascii="Courier New" w:eastAsia="Times New Roman" w:hAnsi="Courier New" w:cs="Courier New"/>
          <w:lang w:val="pl-PL" w:eastAsia="pl-PL"/>
        </w:rPr>
      </w:pPr>
      <w:r w:rsidRPr="00AF7348">
        <w:rPr>
          <w:rFonts w:ascii="Times New Roman" w:eastAsia="Times New Roman" w:hAnsi="Times New Roman" w:cs="Times New Roman"/>
          <w:b/>
          <w:bCs/>
          <w:color w:val="000000"/>
          <w:sz w:val="24"/>
          <w:szCs w:val="24"/>
          <w:u w:val="single"/>
          <w:lang w:val="pl-PL"/>
        </w:rPr>
        <w:lastRenderedPageBreak/>
        <w:t xml:space="preserve">C1.1 </w:t>
      </w:r>
      <w:r w:rsidR="006513DC" w:rsidRPr="00BF27A8">
        <w:rPr>
          <w:rFonts w:ascii="Times New Roman" w:eastAsia="Times New Roman" w:hAnsi="Times New Roman" w:cs="Times New Roman"/>
          <w:b/>
          <w:bCs/>
          <w:sz w:val="24"/>
          <w:szCs w:val="24"/>
          <w:lang w:val="pl-PL" w:eastAsia="pl-PL"/>
        </w:rPr>
        <w:t xml:space="preserve">Ułatwienie rozwoju infrastruktury sieciowej zapewniającej powszechny dostęp do szybkiego </w:t>
      </w:r>
      <w:proofErr w:type="spellStart"/>
      <w:r w:rsidR="006513DC" w:rsidRPr="00BF27A8">
        <w:rPr>
          <w:rFonts w:ascii="Times New Roman" w:eastAsia="Times New Roman" w:hAnsi="Times New Roman" w:cs="Times New Roman"/>
          <w:b/>
          <w:bCs/>
          <w:sz w:val="24"/>
          <w:szCs w:val="24"/>
          <w:lang w:val="pl-PL" w:eastAsia="pl-PL"/>
        </w:rPr>
        <w:t>internetu</w:t>
      </w:r>
      <w:proofErr w:type="spellEnd"/>
    </w:p>
    <w:p w14:paraId="10584BFE" w14:textId="01FC383B"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p>
    <w:p w14:paraId="2B507DF1" w14:textId="4405E156"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Celem reformy jest zagwarantowanie powszechnego dostępu do szybkiego Internetu i usług cyfrowych w całej Polsce, w tym na obszarze tzw. białych plam,</w:t>
      </w:r>
      <w:r w:rsidRPr="00AF7348">
        <w:rPr>
          <w:rFonts w:ascii="Times New Roman" w:eastAsia="Times New Roman" w:hAnsi="Times New Roman" w:cs="Times New Roman"/>
          <w:color w:val="000000"/>
          <w:sz w:val="18"/>
          <w:szCs w:val="18"/>
          <w:lang w:val="pl-PL"/>
        </w:rPr>
        <w:t xml:space="preserve"> </w:t>
      </w:r>
      <w:r w:rsidRPr="00AF7348">
        <w:rPr>
          <w:rFonts w:ascii="Times New Roman" w:eastAsia="Times New Roman" w:hAnsi="Times New Roman" w:cs="Times New Roman"/>
          <w:color w:val="000000"/>
          <w:sz w:val="24"/>
          <w:szCs w:val="24"/>
          <w:lang w:val="pl-PL"/>
        </w:rPr>
        <w:t>gdzie nie ma infrastruktury szerokopasmowej o dużej prz</w:t>
      </w:r>
      <w:r w:rsidR="0044377D">
        <w:rPr>
          <w:rFonts w:ascii="Times New Roman" w:eastAsia="Times New Roman" w:hAnsi="Times New Roman" w:cs="Times New Roman"/>
          <w:color w:val="000000"/>
          <w:sz w:val="24"/>
          <w:szCs w:val="24"/>
          <w:lang w:val="pl-PL"/>
        </w:rPr>
        <w:t>epustowości</w:t>
      </w:r>
      <w:r w:rsidRPr="00AF7348">
        <w:rPr>
          <w:rFonts w:ascii="Times New Roman" w:eastAsia="Times New Roman" w:hAnsi="Times New Roman" w:cs="Times New Roman"/>
          <w:color w:val="000000"/>
          <w:sz w:val="24"/>
          <w:szCs w:val="24"/>
          <w:lang w:val="pl-PL"/>
        </w:rPr>
        <w:t xml:space="preserve">. </w:t>
      </w:r>
    </w:p>
    <w:p w14:paraId="3B7FD67C"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38D6B9B6" w14:textId="640A221D" w:rsidR="007C4506" w:rsidRPr="00AF7348" w:rsidRDefault="00B31839"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 ten zostanie osiągnięty</w:t>
      </w:r>
      <w:r w:rsidR="0043106F">
        <w:rPr>
          <w:rFonts w:ascii="Times New Roman" w:eastAsia="Times New Roman" w:hAnsi="Times New Roman" w:cs="Times New Roman"/>
          <w:color w:val="000000"/>
          <w:sz w:val="24"/>
          <w:szCs w:val="24"/>
          <w:lang w:val="pl-PL"/>
        </w:rPr>
        <w:t>,</w:t>
      </w:r>
      <w:r w:rsidRPr="00AF7348">
        <w:rPr>
          <w:rFonts w:ascii="Times New Roman" w:eastAsia="Times New Roman" w:hAnsi="Times New Roman" w:cs="Times New Roman"/>
          <w:color w:val="000000"/>
          <w:sz w:val="24"/>
          <w:szCs w:val="24"/>
          <w:lang w:val="pl-PL"/>
        </w:rPr>
        <w:t xml:space="preserve"> po pierwsze</w:t>
      </w:r>
      <w:r w:rsidR="0043106F">
        <w:rPr>
          <w:rFonts w:ascii="Times New Roman" w:eastAsia="Times New Roman" w:hAnsi="Times New Roman" w:cs="Times New Roman"/>
          <w:color w:val="000000"/>
          <w:sz w:val="24"/>
          <w:szCs w:val="24"/>
          <w:lang w:val="pl-PL"/>
        </w:rPr>
        <w:t>,</w:t>
      </w:r>
      <w:r w:rsidRPr="00AF7348">
        <w:rPr>
          <w:rFonts w:ascii="Times New Roman" w:eastAsia="Times New Roman" w:hAnsi="Times New Roman" w:cs="Times New Roman"/>
          <w:color w:val="000000"/>
          <w:sz w:val="24"/>
          <w:szCs w:val="24"/>
          <w:lang w:val="pl-PL"/>
        </w:rPr>
        <w:t xml:space="preserve"> poprzez usunięcie barier prawnych dla inwestycji w sieci szerokopasmowe, a po drugie</w:t>
      </w:r>
      <w:r w:rsidR="0043106F">
        <w:rPr>
          <w:rFonts w:ascii="Times New Roman" w:eastAsia="Times New Roman" w:hAnsi="Times New Roman" w:cs="Times New Roman"/>
          <w:color w:val="000000"/>
          <w:sz w:val="24"/>
          <w:szCs w:val="24"/>
          <w:lang w:val="pl-PL"/>
        </w:rPr>
        <w:t>,</w:t>
      </w:r>
      <w:r w:rsidRPr="00AF7348">
        <w:rPr>
          <w:rFonts w:ascii="Times New Roman" w:eastAsia="Times New Roman" w:hAnsi="Times New Roman" w:cs="Times New Roman"/>
          <w:color w:val="000000"/>
          <w:sz w:val="24"/>
          <w:szCs w:val="24"/>
          <w:lang w:val="pl-PL"/>
        </w:rPr>
        <w:t xml:space="preserve"> poprzez dostosowanie przepisów krajowych do wspólnego unijnego </w:t>
      </w:r>
      <w:r w:rsidR="00AF7348" w:rsidRPr="00AF7348">
        <w:rPr>
          <w:rFonts w:ascii="Times New Roman" w:eastAsia="Times New Roman" w:hAnsi="Times New Roman" w:cs="Times New Roman"/>
          <w:color w:val="000000"/>
          <w:sz w:val="24"/>
          <w:szCs w:val="24"/>
          <w:lang w:val="pl-PL"/>
        </w:rPr>
        <w:t>zestawu</w:t>
      </w:r>
      <w:r w:rsidRPr="00AF7348">
        <w:rPr>
          <w:rFonts w:ascii="Times New Roman" w:eastAsia="Times New Roman" w:hAnsi="Times New Roman" w:cs="Times New Roman"/>
          <w:color w:val="000000"/>
          <w:sz w:val="24"/>
          <w:szCs w:val="24"/>
          <w:lang w:val="pl-PL"/>
        </w:rPr>
        <w:t xml:space="preserve"> narzędzi służących łączności z dnia 25 marca 2021 r., będącego zbiorem najlepszych praktyk mających na celu przyspieszenie wdrażania i upowszechniania sieci o bardzo dużej przep</w:t>
      </w:r>
      <w:r w:rsidR="0044377D">
        <w:rPr>
          <w:rFonts w:ascii="Times New Roman" w:eastAsia="Times New Roman" w:hAnsi="Times New Roman" w:cs="Times New Roman"/>
          <w:color w:val="000000"/>
          <w:sz w:val="24"/>
          <w:szCs w:val="24"/>
          <w:lang w:val="pl-PL"/>
        </w:rPr>
        <w:t>ustowości</w:t>
      </w:r>
      <w:r w:rsidRPr="00AF7348">
        <w:rPr>
          <w:rFonts w:ascii="Times New Roman" w:eastAsia="Times New Roman" w:hAnsi="Times New Roman" w:cs="Times New Roman"/>
          <w:color w:val="000000"/>
          <w:sz w:val="24"/>
          <w:szCs w:val="24"/>
          <w:lang w:val="pl-PL"/>
        </w:rPr>
        <w:t xml:space="preserve"> (VHCN). Zmiany prawne przewidują m.in. zmiany w rozporządzeniu w sprawie inwentaryzacji infrastruktury i usług telekomunikacyjnych oraz w rozporządzeniu w sprawie systemu </w:t>
      </w:r>
      <w:r w:rsidR="008A06F7">
        <w:rPr>
          <w:rFonts w:ascii="Times New Roman" w:eastAsia="Times New Roman" w:hAnsi="Times New Roman" w:cs="Times New Roman"/>
          <w:color w:val="000000"/>
          <w:sz w:val="24"/>
          <w:szCs w:val="24"/>
          <w:lang w:val="pl-PL"/>
        </w:rPr>
        <w:t>Jednolitego Punktu Informacyjnego</w:t>
      </w:r>
      <w:r w:rsidRPr="00AF7348">
        <w:rPr>
          <w:rFonts w:ascii="Times New Roman" w:eastAsia="Times New Roman" w:hAnsi="Times New Roman" w:cs="Times New Roman"/>
          <w:color w:val="000000"/>
          <w:sz w:val="24"/>
          <w:szCs w:val="24"/>
          <w:lang w:val="pl-PL"/>
        </w:rPr>
        <w:t xml:space="preserve"> (SIP).</w:t>
      </w:r>
    </w:p>
    <w:p w14:paraId="08D1BA24" w14:textId="010B1827"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31 marca 2023 roku.</w:t>
      </w:r>
    </w:p>
    <w:p w14:paraId="22F860BB"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5B93607B"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C1.1.1 Zapewnienie dostępu do bardzo szybkiego Internetu na obszarach białych plam</w:t>
      </w:r>
    </w:p>
    <w:p w14:paraId="198F93A6" w14:textId="10F0D401" w:rsidR="007C4506" w:rsidRPr="00AF7348" w:rsidRDefault="005427A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7A591F09" w:rsidRPr="00AF7348">
        <w:rPr>
          <w:rFonts w:ascii="Times New Roman" w:eastAsia="Times New Roman" w:hAnsi="Times New Roman" w:cs="Times New Roman"/>
          <w:color w:val="000000" w:themeColor="text1"/>
          <w:sz w:val="24"/>
          <w:szCs w:val="24"/>
          <w:lang w:val="pl-PL"/>
        </w:rPr>
        <w:t xml:space="preserve"> tej inwestycji, zgodnie z założeniami wspomnianej reformy, jest zwiększenie liczby gospodarstw domowych objętych stacjonarną siecią szerokopasmową do 931 tys., ze szczególnym uwzględnieniem obszarów tzw. białych plam</w:t>
      </w:r>
      <w:r w:rsidR="0043106F">
        <w:rPr>
          <w:rFonts w:ascii="Times New Roman" w:eastAsia="Times New Roman" w:hAnsi="Times New Roman" w:cs="Times New Roman"/>
          <w:color w:val="000000" w:themeColor="text1"/>
          <w:sz w:val="24"/>
          <w:szCs w:val="24"/>
          <w:lang w:val="pl-PL"/>
        </w:rPr>
        <w:t xml:space="preserve"> (</w:t>
      </w:r>
      <w:r w:rsidR="7A591F09" w:rsidRPr="00AF7348">
        <w:rPr>
          <w:rFonts w:ascii="Times New Roman" w:eastAsia="Times New Roman" w:hAnsi="Times New Roman" w:cs="Times New Roman"/>
          <w:color w:val="000000" w:themeColor="text1"/>
          <w:sz w:val="24"/>
          <w:szCs w:val="24"/>
          <w:lang w:val="pl-PL"/>
        </w:rPr>
        <w:t>gdzie nie ma obecnie infrastruktury szerokopasmowej o dużej przep</w:t>
      </w:r>
      <w:r w:rsidR="0044377D">
        <w:rPr>
          <w:rFonts w:ascii="Times New Roman" w:eastAsia="Times New Roman" w:hAnsi="Times New Roman" w:cs="Times New Roman"/>
          <w:color w:val="000000" w:themeColor="text1"/>
          <w:sz w:val="24"/>
          <w:szCs w:val="24"/>
          <w:lang w:val="pl-PL"/>
        </w:rPr>
        <w:t>ustowości</w:t>
      </w:r>
      <w:r w:rsidR="7A591F09" w:rsidRPr="00AF7348">
        <w:rPr>
          <w:rFonts w:ascii="Times New Roman" w:eastAsia="Times New Roman" w:hAnsi="Times New Roman" w:cs="Times New Roman"/>
          <w:color w:val="000000" w:themeColor="text1"/>
          <w:sz w:val="24"/>
          <w:szCs w:val="24"/>
          <w:lang w:val="pl-PL"/>
        </w:rPr>
        <w:t xml:space="preserve"> i gdzie w najbliższej przyszłości rynek najprawdopodobniej nie udostępni użytkownikom końcowym sieci oferującej łączność o prędkości pobierania danych 100 </w:t>
      </w:r>
      <w:r w:rsidR="00AF7348" w:rsidRPr="00AF7348">
        <w:rPr>
          <w:rFonts w:ascii="Times New Roman" w:eastAsia="Times New Roman" w:hAnsi="Times New Roman" w:cs="Times New Roman"/>
          <w:color w:val="000000" w:themeColor="text1"/>
          <w:sz w:val="24"/>
          <w:szCs w:val="24"/>
          <w:lang w:val="pl-PL"/>
        </w:rPr>
        <w:t>MB</w:t>
      </w:r>
      <w:r w:rsidR="7A591F09" w:rsidRPr="00AF7348">
        <w:rPr>
          <w:rFonts w:ascii="Times New Roman" w:eastAsia="Times New Roman" w:hAnsi="Times New Roman" w:cs="Times New Roman"/>
          <w:color w:val="000000" w:themeColor="text1"/>
          <w:sz w:val="24"/>
          <w:szCs w:val="24"/>
          <w:lang w:val="pl-PL"/>
        </w:rPr>
        <w:t>/s</w:t>
      </w:r>
      <w:r w:rsidR="0043106F">
        <w:rPr>
          <w:rFonts w:ascii="Times New Roman" w:eastAsia="Times New Roman" w:hAnsi="Times New Roman" w:cs="Times New Roman"/>
          <w:color w:val="000000" w:themeColor="text1"/>
          <w:sz w:val="24"/>
          <w:szCs w:val="24"/>
          <w:lang w:val="pl-PL"/>
        </w:rPr>
        <w:t>)</w:t>
      </w:r>
      <w:r w:rsidR="7A591F09" w:rsidRPr="00AF7348">
        <w:rPr>
          <w:rFonts w:ascii="Times New Roman" w:eastAsia="Times New Roman" w:hAnsi="Times New Roman" w:cs="Times New Roman"/>
          <w:color w:val="000000" w:themeColor="text1"/>
          <w:sz w:val="24"/>
          <w:szCs w:val="24"/>
          <w:lang w:val="pl-PL"/>
        </w:rPr>
        <w:t>, tak aby objąć taką siecią co najmniej 80% gospodarstw domowych, przy zachowaniu możliwości zwiększenia jej przep</w:t>
      </w:r>
      <w:r w:rsidR="0044377D">
        <w:rPr>
          <w:rFonts w:ascii="Times New Roman" w:eastAsia="Times New Roman" w:hAnsi="Times New Roman" w:cs="Times New Roman"/>
          <w:color w:val="000000" w:themeColor="text1"/>
          <w:sz w:val="24"/>
          <w:szCs w:val="24"/>
          <w:lang w:val="pl-PL"/>
        </w:rPr>
        <w:t>ustowości</w:t>
      </w:r>
      <w:r w:rsidR="7A591F09" w:rsidRPr="00AF7348">
        <w:rPr>
          <w:rFonts w:ascii="Times New Roman" w:eastAsia="Times New Roman" w:hAnsi="Times New Roman" w:cs="Times New Roman"/>
          <w:color w:val="000000" w:themeColor="text1"/>
          <w:sz w:val="24"/>
          <w:szCs w:val="24"/>
          <w:lang w:val="pl-PL"/>
        </w:rPr>
        <w:t xml:space="preserve"> do rzędu gigabajtów. Inwestycję podzielono na 3 etapy: pierwszy ma objąć 100 tys. gospodarstw domowych do grudnia 2024 roku, drugi - 400 tys. gospodarstw domowych do grudnia 2025 roku, zaś ostatni - pozostałe 431 tys. gospodarstw domowych - do 30 czerwca 2026 roku.</w:t>
      </w:r>
    </w:p>
    <w:p w14:paraId="443B59E1" w14:textId="457F53EB" w:rsidR="00B80F1D" w:rsidRPr="00AF7348" w:rsidRDefault="6BEEB582" w:rsidP="62CA5F81">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Aby spełnić warunki DNSH, należy przeprowadzić ocenę ryzyka i podatności na zmiany klimatu, jeśli jest to wymagane przez odpowiednie przepisy, oraz wdrożyć wszelkie niezbędne rozwiązania adaptacyjne, zgodnie z tymi przepisami.</w:t>
      </w:r>
      <w:r w:rsidR="0099737E">
        <w:rPr>
          <w:rFonts w:ascii="Times New Roman" w:eastAsia="Times New Roman" w:hAnsi="Times New Roman" w:cs="Times New Roman"/>
          <w:color w:val="000000" w:themeColor="text1"/>
          <w:sz w:val="24"/>
          <w:szCs w:val="24"/>
          <w:lang w:val="pl-PL"/>
        </w:rPr>
        <w:t xml:space="preserve"> </w:t>
      </w:r>
    </w:p>
    <w:p w14:paraId="14CA55A4" w14:textId="0201E3EA" w:rsidR="3C2D92D2" w:rsidRPr="00AF7348" w:rsidRDefault="511E4121" w:rsidP="257B341F">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sz w:val="24"/>
          <w:szCs w:val="24"/>
          <w:lang w:val="pl-PL"/>
        </w:rPr>
        <w:t xml:space="preserve">W przypadku wszystkich inwestycji w infrastrukturę co najmniej 70% odpadów z budowy i rozbiórki zostanie ponownie wykorzystane lub poddane recyklingowi, zgodnie z Wytycznymi Technicznymi Dotyczącymi Zasady DNSH - Nie Czyń </w:t>
      </w:r>
      <w:r w:rsidR="005427AE">
        <w:rPr>
          <w:rFonts w:ascii="Times New Roman" w:eastAsia="Times New Roman" w:hAnsi="Times New Roman" w:cs="Times New Roman"/>
          <w:sz w:val="24"/>
          <w:szCs w:val="24"/>
          <w:lang w:val="pl-PL"/>
        </w:rPr>
        <w:t>Znaczącej Szkody</w:t>
      </w:r>
      <w:r w:rsidRPr="00AF7348">
        <w:rPr>
          <w:rFonts w:ascii="Times New Roman" w:eastAsia="Times New Roman" w:hAnsi="Times New Roman" w:cs="Times New Roman"/>
          <w:sz w:val="24"/>
          <w:szCs w:val="24"/>
          <w:lang w:val="pl-PL"/>
        </w:rPr>
        <w:t xml:space="preserve"> (2021/C 58/01)</w:t>
      </w:r>
      <w:r w:rsidRPr="00AF7348">
        <w:rPr>
          <w:rStyle w:val="Odwoanieprzypisudolnego"/>
          <w:rFonts w:ascii="Times New Roman" w:hAnsi="Times New Roman" w:cs="Times New Roman"/>
          <w:sz w:val="24"/>
          <w:szCs w:val="24"/>
          <w:lang w:val="pl-PL"/>
        </w:rPr>
        <w:footnoteReference w:id="29"/>
      </w:r>
      <w:r w:rsidRPr="00AF7348">
        <w:rPr>
          <w:rFonts w:ascii="Times New Roman" w:eastAsia="Times New Roman" w:hAnsi="Times New Roman" w:cs="Times New Roman"/>
          <w:sz w:val="24"/>
          <w:szCs w:val="24"/>
          <w:lang w:val="pl-PL"/>
        </w:rPr>
        <w:t>.</w:t>
      </w:r>
    </w:p>
    <w:p w14:paraId="38AB270D" w14:textId="77777777" w:rsidR="007C4506" w:rsidRPr="00AF7348" w:rsidRDefault="230FC80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Wdrażanie inwestycji zostanie zakończone do 30 czerwca 2026 roku.</w:t>
      </w:r>
    </w:p>
    <w:p w14:paraId="698536F5"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E8EA6D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C2.1 Zwiększanie skali zastosowań rozwiązań cyfrowych w sferze publicznej, gospodarce i społeczeństwie</w:t>
      </w:r>
    </w:p>
    <w:p w14:paraId="0F75681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Ta szeroko zakrojona reforma obejmuje różne aspekty, promujące informatyzację polskiego społeczeństwa, od cyfrowych usług publicznych po edukację cyfrową obywateli i pracowników. </w:t>
      </w:r>
    </w:p>
    <w:p w14:paraId="2DE11B33" w14:textId="1D91284E" w:rsidR="007C4506" w:rsidRPr="00AF7348" w:rsidRDefault="674FB2D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hAnsi="Times New Roman" w:cs="Times New Roman"/>
          <w:color w:val="000000" w:themeColor="text1"/>
          <w:sz w:val="24"/>
          <w:szCs w:val="24"/>
          <w:lang w:val="pl-PL"/>
        </w:rPr>
        <w:t xml:space="preserve">Upowszechnieniu zastosowań technologii cyfrowych w sektorze publicznym mają służyć zmiany legislacyjne promujące komunikację elektroniczną pomiędzy instytucjami publicznymi, przedsiębiorcami i obywatelami. Pierwsza z nich polega na zmianie ustawy z dnia 17 lutego 2005 r. o informatyzacji działalności podmiotów realizujących zadania publiczne, celem </w:t>
      </w:r>
      <w:r w:rsidR="007D313B">
        <w:rPr>
          <w:rFonts w:ascii="Times New Roman" w:hAnsi="Times New Roman" w:cs="Times New Roman"/>
          <w:color w:val="000000" w:themeColor="text1"/>
          <w:sz w:val="24"/>
          <w:szCs w:val="24"/>
          <w:lang w:val="pl-PL"/>
        </w:rPr>
        <w:t>cyfryzacji</w:t>
      </w:r>
      <w:r w:rsidRPr="00AF7348">
        <w:rPr>
          <w:rFonts w:ascii="Times New Roman" w:hAnsi="Times New Roman" w:cs="Times New Roman"/>
          <w:color w:val="000000" w:themeColor="text1"/>
          <w:sz w:val="24"/>
          <w:szCs w:val="24"/>
          <w:lang w:val="pl-PL"/>
        </w:rPr>
        <w:t xml:space="preserve"> dokumentów i procesów realizowanych przez administrację publiczną. Druga zmieni ustawę z dnia 11 marca 2004 r.</w:t>
      </w:r>
      <w:r w:rsidRPr="00AF7348">
        <w:rPr>
          <w:rFonts w:ascii="Times New Roman" w:hAnsi="Times New Roman" w:cs="Times New Roman"/>
          <w:lang w:val="pl-PL"/>
        </w:rPr>
        <w:t xml:space="preserve"> </w:t>
      </w:r>
      <w:r w:rsidRPr="00AF7348">
        <w:rPr>
          <w:rFonts w:ascii="Times New Roman" w:hAnsi="Times New Roman" w:cs="Times New Roman"/>
          <w:color w:val="000000" w:themeColor="text1"/>
          <w:sz w:val="24"/>
          <w:szCs w:val="24"/>
          <w:lang w:val="pl-PL"/>
        </w:rPr>
        <w:t>o podatku od towarów i usług (VAT) w zakresie wykorzystania ustrukturyzowanych danych z faktur wystawianych w formacie elektronicznym, wprowadzając obowiązek wystawiania i otrzymywania e-faktur za pośrednictwem Krajowego Systemu e-Faktur (</w:t>
      </w:r>
      <w:proofErr w:type="spellStart"/>
      <w:r w:rsidRPr="00AF7348">
        <w:rPr>
          <w:rFonts w:ascii="Times New Roman" w:hAnsi="Times New Roman" w:cs="Times New Roman"/>
          <w:color w:val="000000" w:themeColor="text1"/>
          <w:sz w:val="24"/>
          <w:szCs w:val="24"/>
          <w:lang w:val="pl-PL"/>
        </w:rPr>
        <w:t>KSeF</w:t>
      </w:r>
      <w:proofErr w:type="spellEnd"/>
      <w:r w:rsidRPr="00AF7348">
        <w:rPr>
          <w:rFonts w:ascii="Times New Roman" w:hAnsi="Times New Roman" w:cs="Times New Roman"/>
          <w:color w:val="000000" w:themeColor="text1"/>
          <w:sz w:val="24"/>
          <w:szCs w:val="24"/>
          <w:lang w:val="pl-PL"/>
        </w:rPr>
        <w:t>).</w:t>
      </w:r>
    </w:p>
    <w:p w14:paraId="09087D61" w14:textId="4BCA081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Jeśli chodzi o kompetencje cyfrowe, podstawowym elementem ich rozwoju będzie stworzenie i wdrożenie Programu Rozwoju Kompetencji Cyfrowych. Program ten określi kompleksowy, długoterminowy zestaw wymagań wspierających rozwój i monitorowanie kompetencji cyfrowych w edukacji formalnej, </w:t>
      </w:r>
      <w:proofErr w:type="spellStart"/>
      <w:r w:rsidRPr="00AF7348">
        <w:rPr>
          <w:rFonts w:ascii="Times New Roman" w:eastAsia="Times New Roman" w:hAnsi="Times New Roman" w:cs="Times New Roman"/>
          <w:color w:val="000000"/>
          <w:sz w:val="24"/>
          <w:szCs w:val="24"/>
          <w:lang w:val="pl-PL"/>
        </w:rPr>
        <w:t>pozaformalnej</w:t>
      </w:r>
      <w:proofErr w:type="spellEnd"/>
      <w:r w:rsidRPr="00AF7348">
        <w:rPr>
          <w:rFonts w:ascii="Times New Roman" w:eastAsia="Times New Roman" w:hAnsi="Times New Roman" w:cs="Times New Roman"/>
          <w:color w:val="000000"/>
          <w:sz w:val="24"/>
          <w:szCs w:val="24"/>
          <w:lang w:val="pl-PL"/>
        </w:rPr>
        <w:t xml:space="preserve"> i nieformalnej. W programie należy jasno sformułować zasady powołania i funkcjonowania Centrum Rozwoju Kompetencji Cyfrowych. Dokument zostanie opracowany z wykorzystaniem koncepcji zaangażowania wielu interesariuszy.</w:t>
      </w:r>
    </w:p>
    <w:p w14:paraId="7C46B70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 dziedzinie edukacji podstawowym elementem stymulującym jej cyfryzację będzie określenie minimalnych wiążących standardów wyposażenia szkół w infrastrukturę cyfrową. Obowiązkowe wytyczne zostaną opracowane we współpracy z samorządami lokalnymi i w porozumieniu z szeroką grupą interesariuszy, i zapewnią minimalny poziom wyposażenia każdej szkoły w Polsce w technologie informacyjno-komunikacyjne (TIK).</w:t>
      </w:r>
    </w:p>
    <w:p w14:paraId="0095C7D1" w14:textId="78857BAD"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2024 roku.</w:t>
      </w:r>
    </w:p>
    <w:p w14:paraId="7BC1BAF2"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09A3A2A2" w14:textId="12246DB8" w:rsidR="007C4506" w:rsidRPr="00AF7348" w:rsidRDefault="00B31839" w:rsidP="115B229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C2.1.1 E-usługi publiczne, rozwiązania IT usprawniające funkcjonowanie administracji i sektorów gospodarki oraz technologie przełomowe w sektorze publicznym, gospodarce i społeczeństwie</w:t>
      </w:r>
    </w:p>
    <w:p w14:paraId="3CFA5439" w14:textId="4D363CDE" w:rsidR="007C4506" w:rsidRPr="00AF7348" w:rsidRDefault="05E16837" w:rsidP="0D86F68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Aby zwiększyć stopień korzystania z e-usług publicznych, w ramach tej inwestycji realizowane będą następujące pakiety</w:t>
      </w:r>
      <w:r w:rsidR="007D313B">
        <w:rPr>
          <w:rFonts w:ascii="Times New Roman" w:eastAsia="Times New Roman" w:hAnsi="Times New Roman" w:cs="Times New Roman"/>
          <w:color w:val="000000" w:themeColor="text1"/>
          <w:sz w:val="24"/>
          <w:szCs w:val="24"/>
          <w:lang w:val="pl-PL"/>
        </w:rPr>
        <w:t xml:space="preserve"> projektów</w:t>
      </w:r>
      <w:r w:rsidRPr="00AF7348">
        <w:rPr>
          <w:rFonts w:ascii="Times New Roman" w:eastAsia="Times New Roman" w:hAnsi="Times New Roman" w:cs="Times New Roman"/>
          <w:color w:val="000000" w:themeColor="text1"/>
          <w:sz w:val="24"/>
          <w:szCs w:val="24"/>
          <w:lang w:val="pl-PL"/>
        </w:rPr>
        <w:t>:</w:t>
      </w:r>
    </w:p>
    <w:p w14:paraId="73E437EF" w14:textId="7F2862A7" w:rsidR="007C4506" w:rsidRPr="00AF7348" w:rsidRDefault="70C4DE7E"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rozwój e-usług w administracji publicznej umożliwiających obywatelom załatwianie spraw administracyjnych przez Internet;</w:t>
      </w:r>
    </w:p>
    <w:p w14:paraId="51E143A8" w14:textId="1E89B188" w:rsidR="007C4506" w:rsidRPr="00AF7348" w:rsidRDefault="70C4DE7E"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budowa lub rozbudowa systemów informatycznych dla administracji publicznej umożliwiających urzędnikom cyfryzację ich działań;</w:t>
      </w:r>
    </w:p>
    <w:p w14:paraId="75A8AA22" w14:textId="276123AD" w:rsidR="007C4506" w:rsidRPr="00AF7348" w:rsidRDefault="70C4DE7E"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cyfryzacja procedur administracyjnych związanych z budownictwem i planowaniem przestrzennym;</w:t>
      </w:r>
    </w:p>
    <w:p w14:paraId="58F1B112" w14:textId="5FBFE9DA" w:rsidR="007C4506" w:rsidRPr="00AF7348" w:rsidRDefault="2F69C3B0"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cyfryzacja usług i procesów Krajowej Administracji Skarbowej, w tym wdrożenie elektronicznego obiegu faktur w biznesie (Krajowy System e-Faktur - </w:t>
      </w:r>
      <w:proofErr w:type="spellStart"/>
      <w:r w:rsidRPr="00AF7348">
        <w:rPr>
          <w:rFonts w:ascii="Times New Roman" w:eastAsia="Times New Roman" w:hAnsi="Times New Roman" w:cs="Times New Roman"/>
          <w:color w:val="000000" w:themeColor="text1"/>
          <w:sz w:val="24"/>
          <w:szCs w:val="24"/>
          <w:lang w:val="pl-PL"/>
        </w:rPr>
        <w:t>KSeF</w:t>
      </w:r>
      <w:proofErr w:type="spellEnd"/>
      <w:r w:rsidRPr="00AF7348">
        <w:rPr>
          <w:rFonts w:ascii="Times New Roman" w:eastAsia="Times New Roman" w:hAnsi="Times New Roman" w:cs="Times New Roman"/>
          <w:color w:val="000000" w:themeColor="text1"/>
          <w:sz w:val="24"/>
          <w:szCs w:val="24"/>
          <w:lang w:val="pl-PL"/>
        </w:rPr>
        <w:t>);</w:t>
      </w:r>
    </w:p>
    <w:p w14:paraId="08E62817" w14:textId="6ED28969" w:rsidR="00E85EE0" w:rsidRDefault="70C4DE7E"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cyfryzacja rolnictwa, w tym wdrożenie </w:t>
      </w:r>
      <w:r w:rsidR="007D313B">
        <w:rPr>
          <w:rFonts w:ascii="Times New Roman" w:eastAsia="Times New Roman" w:hAnsi="Times New Roman" w:cs="Times New Roman"/>
          <w:color w:val="000000" w:themeColor="text1"/>
          <w:sz w:val="24"/>
          <w:szCs w:val="24"/>
          <w:lang w:val="pl-PL"/>
        </w:rPr>
        <w:t xml:space="preserve">rozwiązań </w:t>
      </w:r>
      <w:proofErr w:type="spellStart"/>
      <w:r w:rsidR="007D313B">
        <w:rPr>
          <w:rFonts w:ascii="Times New Roman" w:eastAsia="Times New Roman" w:hAnsi="Times New Roman" w:cs="Times New Roman"/>
          <w:color w:val="000000" w:themeColor="text1"/>
          <w:sz w:val="24"/>
          <w:szCs w:val="24"/>
          <w:lang w:val="pl-PL"/>
        </w:rPr>
        <w:t>geomatycznych</w:t>
      </w:r>
      <w:proofErr w:type="spellEnd"/>
      <w:r w:rsidRPr="00AF7348">
        <w:rPr>
          <w:rFonts w:ascii="Times New Roman" w:eastAsia="Times New Roman" w:hAnsi="Times New Roman" w:cs="Times New Roman"/>
          <w:color w:val="000000" w:themeColor="text1"/>
          <w:sz w:val="24"/>
          <w:szCs w:val="24"/>
          <w:lang w:val="pl-PL"/>
        </w:rPr>
        <w:t xml:space="preserve"> i monitoringu satelitarnego w rolnictwie</w:t>
      </w:r>
      <w:r w:rsidR="00E85EE0">
        <w:rPr>
          <w:rFonts w:ascii="Times New Roman" w:eastAsia="Times New Roman" w:hAnsi="Times New Roman" w:cs="Times New Roman"/>
          <w:color w:val="000000" w:themeColor="text1"/>
          <w:sz w:val="24"/>
          <w:szCs w:val="24"/>
          <w:lang w:val="pl-PL"/>
        </w:rPr>
        <w:t xml:space="preserve"> oraz</w:t>
      </w:r>
      <w:r w:rsidRPr="00AF7348">
        <w:rPr>
          <w:rFonts w:ascii="Times New Roman" w:eastAsia="Times New Roman" w:hAnsi="Times New Roman" w:cs="Times New Roman"/>
          <w:color w:val="000000" w:themeColor="text1"/>
          <w:sz w:val="24"/>
          <w:szCs w:val="24"/>
          <w:lang w:val="pl-PL"/>
        </w:rPr>
        <w:t xml:space="preserve"> wdrożenie cyfrowego systemu weryfikacji gruntów rolnych</w:t>
      </w:r>
      <w:r w:rsidR="00E85EE0">
        <w:rPr>
          <w:rFonts w:ascii="Times New Roman" w:eastAsia="Times New Roman" w:hAnsi="Times New Roman" w:cs="Times New Roman"/>
          <w:color w:val="000000" w:themeColor="text1"/>
          <w:sz w:val="24"/>
          <w:szCs w:val="24"/>
          <w:lang w:val="pl-PL"/>
        </w:rPr>
        <w:t>;</w:t>
      </w:r>
    </w:p>
    <w:p w14:paraId="0F590982" w14:textId="08B5D828" w:rsidR="00AB104F" w:rsidRDefault="00AB104F" w:rsidP="00C77C57">
      <w:pPr>
        <w:pStyle w:val="Normal0"/>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bookmarkStart w:id="4" w:name="_Hlk104627269"/>
      <w:r w:rsidRPr="00AB104F">
        <w:rPr>
          <w:rFonts w:ascii="Times New Roman" w:eastAsia="Times New Roman" w:hAnsi="Times New Roman" w:cs="Times New Roman"/>
          <w:color w:val="000000" w:themeColor="text1"/>
          <w:sz w:val="24"/>
          <w:szCs w:val="24"/>
          <w:lang w:val="pl-PL"/>
        </w:rPr>
        <w:t>wdrożenie testowych mechanizmów współpracy w celu stymulowania rozwoju i upowszechniania technologii</w:t>
      </w:r>
      <w:r>
        <w:rPr>
          <w:rFonts w:ascii="Times New Roman" w:eastAsia="Times New Roman" w:hAnsi="Times New Roman" w:cs="Times New Roman"/>
          <w:color w:val="000000" w:themeColor="text1"/>
          <w:sz w:val="24"/>
          <w:szCs w:val="24"/>
          <w:lang w:val="pl-PL"/>
        </w:rPr>
        <w:t xml:space="preserve"> przełomowych,</w:t>
      </w:r>
      <w:r w:rsidRPr="00AB104F">
        <w:rPr>
          <w:rFonts w:ascii="Times New Roman" w:eastAsia="Times New Roman" w:hAnsi="Times New Roman" w:cs="Times New Roman"/>
          <w:color w:val="000000" w:themeColor="text1"/>
          <w:sz w:val="24"/>
          <w:szCs w:val="24"/>
          <w:lang w:val="pl-PL"/>
        </w:rPr>
        <w:t xml:space="preserve"> np. poprzez portal integrujący usługi smart </w:t>
      </w:r>
      <w:proofErr w:type="spellStart"/>
      <w:r w:rsidRPr="00AB104F">
        <w:rPr>
          <w:rFonts w:ascii="Times New Roman" w:eastAsia="Times New Roman" w:hAnsi="Times New Roman" w:cs="Times New Roman"/>
          <w:color w:val="000000" w:themeColor="text1"/>
          <w:sz w:val="24"/>
          <w:szCs w:val="24"/>
          <w:lang w:val="pl-PL"/>
        </w:rPr>
        <w:t>city</w:t>
      </w:r>
      <w:proofErr w:type="spellEnd"/>
      <w:r w:rsidRPr="00AB104F">
        <w:rPr>
          <w:rFonts w:ascii="Times New Roman" w:eastAsia="Times New Roman" w:hAnsi="Times New Roman" w:cs="Times New Roman"/>
          <w:color w:val="000000" w:themeColor="text1"/>
          <w:sz w:val="24"/>
          <w:szCs w:val="24"/>
          <w:lang w:val="pl-PL"/>
        </w:rPr>
        <w:t xml:space="preserve"> z aplikacjami opartymi na Sztucznej Inteligencji i Internecie Rzeczy.</w:t>
      </w:r>
    </w:p>
    <w:bookmarkEnd w:id="4"/>
    <w:p w14:paraId="210FE8A0" w14:textId="4F7B2079" w:rsidR="007C4506" w:rsidRPr="00AF7348" w:rsidRDefault="0077671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 szczególności </w:t>
      </w:r>
      <w:r w:rsidR="007D313B">
        <w:rPr>
          <w:rFonts w:ascii="Times New Roman" w:eastAsia="Times New Roman" w:hAnsi="Times New Roman" w:cs="Times New Roman"/>
          <w:color w:val="000000" w:themeColor="text1"/>
          <w:sz w:val="24"/>
          <w:szCs w:val="24"/>
          <w:lang w:val="pl-PL"/>
        </w:rPr>
        <w:t>przewiduje</w:t>
      </w:r>
      <w:r w:rsidRPr="00AF7348">
        <w:rPr>
          <w:rFonts w:ascii="Times New Roman" w:eastAsia="Times New Roman" w:hAnsi="Times New Roman" w:cs="Times New Roman"/>
          <w:color w:val="000000" w:themeColor="text1"/>
          <w:sz w:val="24"/>
          <w:szCs w:val="24"/>
          <w:lang w:val="pl-PL"/>
        </w:rPr>
        <w:t xml:space="preserve"> się opracowani</w:t>
      </w:r>
      <w:r w:rsidR="007D313B">
        <w:rPr>
          <w:rFonts w:ascii="Times New Roman" w:eastAsia="Times New Roman" w:hAnsi="Times New Roman" w:cs="Times New Roman"/>
          <w:color w:val="000000" w:themeColor="text1"/>
          <w:sz w:val="24"/>
          <w:szCs w:val="24"/>
          <w:lang w:val="pl-PL"/>
        </w:rPr>
        <w:t>e</w:t>
      </w:r>
      <w:r w:rsidRPr="00AF7348">
        <w:rPr>
          <w:rFonts w:ascii="Times New Roman" w:eastAsia="Times New Roman" w:hAnsi="Times New Roman" w:cs="Times New Roman"/>
          <w:color w:val="000000" w:themeColor="text1"/>
          <w:sz w:val="24"/>
          <w:szCs w:val="24"/>
          <w:lang w:val="pl-PL"/>
        </w:rPr>
        <w:t xml:space="preserve"> 39 projektów mających na celu m.in. budowę dziewięciu nowych lub rozbudowę istniejących platform udostępniania danych</w:t>
      </w:r>
      <w:r w:rsidR="007D313B">
        <w:rPr>
          <w:rFonts w:ascii="Times New Roman" w:eastAsia="Times New Roman" w:hAnsi="Times New Roman" w:cs="Times New Roman"/>
          <w:color w:val="000000" w:themeColor="text1"/>
          <w:sz w:val="24"/>
          <w:szCs w:val="24"/>
          <w:lang w:val="pl-PL"/>
        </w:rPr>
        <w:t xml:space="preserve"> publicznych</w:t>
      </w:r>
      <w:r w:rsidRPr="00AF7348">
        <w:rPr>
          <w:rFonts w:ascii="Times New Roman" w:eastAsia="Times New Roman" w:hAnsi="Times New Roman" w:cs="Times New Roman"/>
          <w:color w:val="000000" w:themeColor="text1"/>
          <w:sz w:val="24"/>
          <w:szCs w:val="24"/>
          <w:lang w:val="pl-PL"/>
        </w:rPr>
        <w:t xml:space="preserve"> i e-usług; budowę 30 nowych lub rozbudowę istniejących publicznych systemów informatycznych; wdrożenie 65 nowych, zmodyfikowanych lub zintegrowanych e-usług publicznych; udostępnienie, dostosowanie i rozbudowę 400 e-usług, w tym usług API na nowych lub rozbudowanych platformach, a także wdrożenie trzech </w:t>
      </w:r>
      <w:r w:rsidR="007D313B">
        <w:rPr>
          <w:rFonts w:ascii="Times New Roman" w:eastAsia="Times New Roman" w:hAnsi="Times New Roman" w:cs="Times New Roman"/>
          <w:color w:val="000000" w:themeColor="text1"/>
          <w:sz w:val="24"/>
          <w:szCs w:val="24"/>
          <w:lang w:val="pl-PL"/>
        </w:rPr>
        <w:t xml:space="preserve">testowych </w:t>
      </w:r>
      <w:r w:rsidRPr="00AF7348">
        <w:rPr>
          <w:rFonts w:ascii="Times New Roman" w:eastAsia="Times New Roman" w:hAnsi="Times New Roman" w:cs="Times New Roman"/>
          <w:color w:val="000000" w:themeColor="text1"/>
          <w:sz w:val="24"/>
          <w:szCs w:val="24"/>
          <w:lang w:val="pl-PL"/>
        </w:rPr>
        <w:t>mechanizmów współpracy stymulujących wykorzystanie przełomowych technologii. Zakłada się, że wszystkie nowe lub zmodernizowane e-usługi z graficznym interfejsem użytkownika będą miały co najmniej czwarty poziom dojrzałości, czyli pełną elektroniczną obsługę interesantów (poziom obsługi transakcji w pięciostopniowym modelu dojrzałości).</w:t>
      </w:r>
    </w:p>
    <w:p w14:paraId="6A97E3B3"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6C459F96" w14:textId="7B86A641" w:rsidR="005F7787" w:rsidRPr="00AF7348" w:rsidRDefault="005F778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FF0000"/>
          <w:sz w:val="24"/>
          <w:szCs w:val="24"/>
          <w:u w:val="single"/>
          <w:lang w:val="pl-PL"/>
        </w:rPr>
      </w:pPr>
    </w:p>
    <w:p w14:paraId="528FB841" w14:textId="77777777" w:rsidR="005B3E32" w:rsidRPr="00AF7348" w:rsidRDefault="005B3E3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FF0000"/>
          <w:sz w:val="24"/>
          <w:szCs w:val="24"/>
          <w:u w:val="single"/>
          <w:lang w:val="pl-PL"/>
        </w:rPr>
      </w:pPr>
    </w:p>
    <w:p w14:paraId="0E17D936" w14:textId="7B666B1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C2.1.2 Wyrównanie poziomu wyposażenia szkół w przenośne urządzenia multimedialne</w:t>
      </w:r>
      <w:r w:rsidR="00AB104F">
        <w:rPr>
          <w:rFonts w:ascii="Times New Roman" w:eastAsia="Times New Roman" w:hAnsi="Times New Roman" w:cs="Times New Roman"/>
          <w:b/>
          <w:bCs/>
          <w:color w:val="000000"/>
          <w:sz w:val="24"/>
          <w:szCs w:val="24"/>
          <w:u w:val="single"/>
          <w:lang w:val="pl-PL"/>
        </w:rPr>
        <w:t xml:space="preserve"> -</w:t>
      </w:r>
      <w:r w:rsidR="00AB104F" w:rsidRPr="00BF27A8">
        <w:rPr>
          <w:lang w:val="pl-PL"/>
        </w:rPr>
        <w:t xml:space="preserve"> </w:t>
      </w:r>
      <w:bookmarkStart w:id="5" w:name="_Hlk104627543"/>
      <w:r w:rsidR="00AB104F" w:rsidRPr="00BF27A8">
        <w:rPr>
          <w:lang w:val="pl-PL"/>
        </w:rPr>
        <w:t>i</w:t>
      </w:r>
      <w:r w:rsidR="00AB104F" w:rsidRPr="00AB104F">
        <w:rPr>
          <w:rFonts w:ascii="Times New Roman" w:eastAsia="Times New Roman" w:hAnsi="Times New Roman" w:cs="Times New Roman"/>
          <w:b/>
          <w:bCs/>
          <w:color w:val="000000"/>
          <w:sz w:val="24"/>
          <w:szCs w:val="24"/>
          <w:u w:val="single"/>
          <w:lang w:val="pl-PL"/>
        </w:rPr>
        <w:t>nwestycje związane ze spełnieniem minimalnych standardów sprzętowych</w:t>
      </w:r>
      <w:r w:rsidR="00AB104F">
        <w:rPr>
          <w:rFonts w:ascii="Times New Roman" w:eastAsia="Times New Roman" w:hAnsi="Times New Roman" w:cs="Times New Roman"/>
          <w:b/>
          <w:bCs/>
          <w:color w:val="000000"/>
          <w:sz w:val="24"/>
          <w:szCs w:val="24"/>
          <w:u w:val="single"/>
          <w:lang w:val="pl-PL"/>
        </w:rPr>
        <w:t xml:space="preserve"> </w:t>
      </w:r>
    </w:p>
    <w:bookmarkEnd w:id="5"/>
    <w:p w14:paraId="0F56DD95" w14:textId="71C2A853" w:rsidR="007C4506" w:rsidRPr="00AF7348" w:rsidRDefault="2BD372E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Zgodnie z założeniem stworzenia minimalnych wiążących standardów dla sprzętu ICT, inwestycja ta dostarczy do wszystkich szkół w Polsce najnowocześniejszy sprzęt multimedialny, z którego będą mogli korzystać zarówno nauczyciele, jak i uczniowie. Celem jest umożliwienie wykorzystania technologii cyfrowych w nauczaniu, na równym poziomie, w każdej polskiej szkole podstawowej i ponadpodstawowej, a założeniem jest wyposażenie w przenośne komputery z oprogramowaniem co najmniej 90% nauczycieli, oraz zapewnienie jednego laptopa na maksymalnie sześciu uczniów, czyli zaopatrzenie szkół w </w:t>
      </w:r>
      <w:r w:rsidR="006513DC">
        <w:rPr>
          <w:rFonts w:ascii="Times New Roman" w:eastAsia="Times New Roman" w:hAnsi="Times New Roman" w:cs="Times New Roman"/>
          <w:color w:val="000000" w:themeColor="text1"/>
          <w:sz w:val="24"/>
          <w:szCs w:val="24"/>
          <w:lang w:val="pl-PL"/>
        </w:rPr>
        <w:t xml:space="preserve">przynajmniej </w:t>
      </w:r>
      <w:r w:rsidRPr="00AF7348">
        <w:rPr>
          <w:rFonts w:ascii="Times New Roman" w:eastAsia="Times New Roman" w:hAnsi="Times New Roman" w:cs="Times New Roman"/>
          <w:color w:val="000000" w:themeColor="text1"/>
          <w:sz w:val="24"/>
          <w:szCs w:val="24"/>
          <w:lang w:val="pl-PL"/>
        </w:rPr>
        <w:t xml:space="preserve">1 200 000 laptopów. </w:t>
      </w:r>
    </w:p>
    <w:p w14:paraId="5EBF68F1" w14:textId="77777777" w:rsidR="10FCB8E6" w:rsidRPr="00AF7348" w:rsidRDefault="59F977E9" w:rsidP="09B88D20">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Aby spełnić warunki DNSH, sprzęt ICT powinien odpowiadać wymaganiom dotyczącym zużycia energii i efektywności materiałowej określonym zgodnie z Dyrektywą 2009/125/WE dla serwerów i przechowywania danych, komputerów i serwerów komputerowych, lub wyświetlaczy elektronicznych. Ponadto sprzęt ICT nie może zawierać substancji podlegających ograniczeniom wymienionych w załączniku II do Dyrektywy 2011/65/UE. </w:t>
      </w:r>
    </w:p>
    <w:p w14:paraId="1EFE6E9B" w14:textId="77777777" w:rsidR="2382866D" w:rsidRPr="00AF7348" w:rsidRDefault="7EC5B8DB" w:rsidP="09B88D20">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Należy opracować plan gospodarowania odpadami, aby uzyskać maksymalny poziom recyklingu sprzętu elektrycznego i elektronicznego po zakończeniu jego eksploatacji, w tym poprzez umowy z partnerami zajmującymi się recyklingiem, uwzględnione w projekcjach finansowych lub oficjalnej dokumentacji projektu. Po zakończeniu eksploatacji sprzęt należy przygotować do ponownego użycia, odzysku, recyklingu lub odpowiedniego przetworzenia, w tym usunięcia wszystkich cieczy, a także selektywnego przetworzenia zgodnie z załącznikiem VII do Dyrektywy 2012/19/UE.</w:t>
      </w:r>
    </w:p>
    <w:p w14:paraId="5D5B645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września 2025 roku.</w:t>
      </w:r>
    </w:p>
    <w:p w14:paraId="6BF89DA3" w14:textId="77777777" w:rsidR="00C23AF7" w:rsidRPr="00AF7348" w:rsidRDefault="00C23AF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5E76914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C2.1.3 E-kompetencje</w:t>
      </w:r>
    </w:p>
    <w:p w14:paraId="55C29CAF" w14:textId="43952B09"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Poprzez przeszkolenie co najmniej 380</w:t>
      </w:r>
      <w:r w:rsidRPr="00AF7348">
        <w:rPr>
          <w:rFonts w:ascii="Times New Roman" w:eastAsia="Times New Roman" w:hAnsi="Times New Roman" w:cs="Times New Roman"/>
          <w:color w:val="000000" w:themeColor="text1"/>
          <w:sz w:val="24"/>
          <w:szCs w:val="24"/>
          <w:lang w:val="pl-PL"/>
        </w:rPr>
        <w:t> </w:t>
      </w:r>
      <w:r w:rsidRPr="00AF7348">
        <w:rPr>
          <w:rFonts w:ascii="Times New Roman" w:eastAsia="Times New Roman" w:hAnsi="Times New Roman" w:cs="Times New Roman"/>
          <w:color w:val="000000"/>
          <w:sz w:val="24"/>
          <w:szCs w:val="24"/>
          <w:lang w:val="pl-PL"/>
        </w:rPr>
        <w:t xml:space="preserve">000 osób Polska zamierza podnieść ogólny poziom kompetencji cyfrowych w społeczeństwie oraz usprawnić proces cyfryzacji kraju. Wśród grupy </w:t>
      </w:r>
      <w:r w:rsidRPr="00AF7348">
        <w:rPr>
          <w:rFonts w:ascii="Times New Roman" w:eastAsia="Times New Roman" w:hAnsi="Times New Roman" w:cs="Times New Roman"/>
          <w:color w:val="000000"/>
          <w:sz w:val="24"/>
          <w:szCs w:val="24"/>
          <w:lang w:val="pl-PL"/>
        </w:rPr>
        <w:lastRenderedPageBreak/>
        <w:t>przeszkolonych osób 40% stanowić będą obywatele potrzebujący podstawowych umiejętności cyfrowych, 20% - urzędnicy publiczni, 20% - osoby wykluczone i zagrożone wykluczeniem, a pozostałe 20% - wykładowcy i nauczyciele, którzy przejdą szkolenia na poziomie podstawowym i średniozaawansowanym. Ostatnia kategoria nie obejmuje personelu przedszkoli wspieranych przez inwestycje w urządzenia i infrastrukturę ICT zasilane kredytem, dla których przewidziane są dodatkowe, specjalistyczne szkolenia.</w:t>
      </w:r>
    </w:p>
    <w:p w14:paraId="5C3E0E74"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6C5D691B" w14:textId="4CA0CAC4"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 ramach inwestycji w urzędzie ministra właściwego ds. cyfryzacji zostanie utworzone Centrum Rozwoju Kompetencji Cyfrowych, w skład którego wejdą eksperci, doradcy i specjaliści, wspierający realizację polityki cyfrowej. </w:t>
      </w:r>
    </w:p>
    <w:p w14:paraId="66A1FAB9"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4A5AF4E7" w14:textId="0294C20E"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Ponadto należy stworzyć sieć koordynatorów cyfrowych, którzy będą wspierać każdą gminę w organizacji procesu cyfryzacji, w sumie </w:t>
      </w:r>
      <w:r w:rsidR="00E85EE0">
        <w:rPr>
          <w:rFonts w:ascii="Times New Roman" w:eastAsia="Times New Roman" w:hAnsi="Times New Roman" w:cs="Times New Roman"/>
          <w:color w:val="000000"/>
          <w:sz w:val="24"/>
          <w:szCs w:val="24"/>
          <w:lang w:val="pl-PL"/>
        </w:rPr>
        <w:t>przeciętnie</w:t>
      </w:r>
      <w:r w:rsidRPr="00AF7348">
        <w:rPr>
          <w:rFonts w:ascii="Times New Roman" w:eastAsia="Times New Roman" w:hAnsi="Times New Roman" w:cs="Times New Roman"/>
          <w:color w:val="000000"/>
          <w:sz w:val="24"/>
          <w:szCs w:val="24"/>
          <w:lang w:val="pl-PL"/>
        </w:rPr>
        <w:t xml:space="preserve"> 2</w:t>
      </w:r>
      <w:r w:rsidRPr="00AF7348">
        <w:rPr>
          <w:rFonts w:ascii="Times New Roman" w:eastAsia="Times New Roman" w:hAnsi="Times New Roman" w:cs="Times New Roman"/>
          <w:color w:val="000000" w:themeColor="text1"/>
          <w:sz w:val="24"/>
          <w:szCs w:val="24"/>
          <w:lang w:val="pl-PL"/>
        </w:rPr>
        <w:t> </w:t>
      </w:r>
      <w:r w:rsidRPr="00AF7348">
        <w:rPr>
          <w:rFonts w:ascii="Times New Roman" w:eastAsia="Times New Roman" w:hAnsi="Times New Roman" w:cs="Times New Roman"/>
          <w:color w:val="000000"/>
          <w:sz w:val="24"/>
          <w:szCs w:val="24"/>
          <w:lang w:val="pl-PL"/>
        </w:rPr>
        <w:t xml:space="preserve">477 osób (minimum jeden koordynator na gminę, w zależności </w:t>
      </w:r>
      <w:r w:rsidR="00E85EE0">
        <w:rPr>
          <w:rFonts w:ascii="Times New Roman" w:eastAsia="Times New Roman" w:hAnsi="Times New Roman" w:cs="Times New Roman"/>
          <w:color w:val="000000"/>
          <w:sz w:val="24"/>
          <w:szCs w:val="24"/>
          <w:lang w:val="pl-PL"/>
        </w:rPr>
        <w:t xml:space="preserve">czynników takich jak: </w:t>
      </w:r>
      <w:r w:rsidRPr="00AF7348">
        <w:rPr>
          <w:rFonts w:ascii="Times New Roman" w:eastAsia="Times New Roman" w:hAnsi="Times New Roman" w:cs="Times New Roman"/>
          <w:color w:val="000000"/>
          <w:sz w:val="24"/>
          <w:szCs w:val="24"/>
          <w:lang w:val="pl-PL"/>
        </w:rPr>
        <w:t>wielkoś</w:t>
      </w:r>
      <w:r w:rsidR="00E85EE0">
        <w:rPr>
          <w:rFonts w:ascii="Times New Roman" w:eastAsia="Times New Roman" w:hAnsi="Times New Roman" w:cs="Times New Roman"/>
          <w:color w:val="000000"/>
          <w:sz w:val="24"/>
          <w:szCs w:val="24"/>
          <w:lang w:val="pl-PL"/>
        </w:rPr>
        <w:t>ć</w:t>
      </w:r>
      <w:r w:rsidRPr="00AF7348">
        <w:rPr>
          <w:rFonts w:ascii="Times New Roman" w:eastAsia="Times New Roman" w:hAnsi="Times New Roman" w:cs="Times New Roman"/>
          <w:color w:val="000000"/>
          <w:sz w:val="24"/>
          <w:szCs w:val="24"/>
          <w:lang w:val="pl-PL"/>
        </w:rPr>
        <w:t>, liczb</w:t>
      </w:r>
      <w:r w:rsidR="00E85EE0">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mieszkańców, poziom umiejętności cyfrowych oraz zapotrzebowania</w:t>
      </w:r>
      <w:r w:rsidR="00E85EE0">
        <w:rPr>
          <w:rFonts w:ascii="Times New Roman" w:eastAsia="Times New Roman" w:hAnsi="Times New Roman" w:cs="Times New Roman"/>
          <w:color w:val="000000"/>
          <w:sz w:val="24"/>
          <w:szCs w:val="24"/>
          <w:lang w:val="pl-PL"/>
        </w:rPr>
        <w:t xml:space="preserve"> na </w:t>
      </w:r>
      <w:r w:rsidR="00E112AB">
        <w:rPr>
          <w:rFonts w:ascii="Times New Roman" w:eastAsia="Times New Roman" w:hAnsi="Times New Roman" w:cs="Times New Roman"/>
          <w:color w:val="000000"/>
          <w:sz w:val="24"/>
          <w:szCs w:val="24"/>
          <w:lang w:val="pl-PL"/>
        </w:rPr>
        <w:t>sprzęt komputerowy</w:t>
      </w:r>
      <w:r w:rsidRPr="00AF7348">
        <w:rPr>
          <w:rFonts w:ascii="Times New Roman" w:eastAsia="Times New Roman" w:hAnsi="Times New Roman" w:cs="Times New Roman"/>
          <w:color w:val="000000"/>
          <w:sz w:val="24"/>
          <w:szCs w:val="24"/>
          <w:lang w:val="pl-PL"/>
        </w:rPr>
        <w:t xml:space="preserve">). </w:t>
      </w:r>
    </w:p>
    <w:p w14:paraId="76BB753C"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0E19EE43" w14:textId="3CF4E0CF"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0933F3B2" w14:textId="59439A94" w:rsidR="00622C9C" w:rsidRPr="00AF7348" w:rsidRDefault="00622C9C"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895E3CC" w14:textId="1FE54C42" w:rsidR="007C4506" w:rsidRPr="00AF7348" w:rsidRDefault="00B31839" w:rsidP="48DECE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C3.1 Zwiększenie </w:t>
      </w:r>
      <w:proofErr w:type="spellStart"/>
      <w:r w:rsidRPr="00AF7348">
        <w:rPr>
          <w:rFonts w:ascii="Times New Roman" w:eastAsia="Times New Roman" w:hAnsi="Times New Roman" w:cs="Times New Roman"/>
          <w:b/>
          <w:bCs/>
          <w:color w:val="000000" w:themeColor="text1"/>
          <w:sz w:val="24"/>
          <w:szCs w:val="24"/>
          <w:u w:val="single"/>
          <w:lang w:val="pl-PL"/>
        </w:rPr>
        <w:t>cyberbezpieczeństwa</w:t>
      </w:r>
      <w:proofErr w:type="spellEnd"/>
      <w:r w:rsidRPr="00AF7348">
        <w:rPr>
          <w:rFonts w:ascii="Times New Roman" w:eastAsia="Times New Roman" w:hAnsi="Times New Roman" w:cs="Times New Roman"/>
          <w:b/>
          <w:bCs/>
          <w:color w:val="000000" w:themeColor="text1"/>
          <w:sz w:val="24"/>
          <w:szCs w:val="24"/>
          <w:u w:val="single"/>
          <w:lang w:val="pl-PL"/>
        </w:rPr>
        <w:t xml:space="preserve"> systemów informatycznych, wzmocnienie infrastruktury przetwarzania danych oraz optymalizacja infrastruktury służb </w:t>
      </w:r>
      <w:r w:rsidR="00F344E9">
        <w:rPr>
          <w:rFonts w:ascii="Times New Roman" w:eastAsia="Times New Roman" w:hAnsi="Times New Roman" w:cs="Times New Roman"/>
          <w:b/>
          <w:bCs/>
          <w:color w:val="000000" w:themeColor="text1"/>
          <w:sz w:val="24"/>
          <w:szCs w:val="24"/>
          <w:u w:val="single"/>
          <w:lang w:val="pl-PL"/>
        </w:rPr>
        <w:t>państwowych odpowiedzialnych za bezpieczeństwo</w:t>
      </w:r>
    </w:p>
    <w:p w14:paraId="0659170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Reforma koncentruje się na trzech celach szczegółowych, które umożliwią wdrożenie rozwiązań w zakresie bezpieczeństwa systemów informatycznych: (i) rozwój krajowego systemu bezpieczeństwa cybernetycznego; (ii) zdolność do skutecznego zapobiegania incydentom i reagowania na nie; (iii) tworzenie świadomości społecznej w odniesieniu do bezpieczeństwa cybernetycznego. Wymienione cele zostaną osiągnięte poprzez szereg zmian w ustawie z dnia 5 lipca 2018 r. o krajowym systemie </w:t>
      </w:r>
      <w:proofErr w:type="spellStart"/>
      <w:r w:rsidRPr="00AF7348">
        <w:rPr>
          <w:rFonts w:ascii="Times New Roman" w:eastAsia="Times New Roman" w:hAnsi="Times New Roman" w:cs="Times New Roman"/>
          <w:color w:val="000000"/>
          <w:sz w:val="24"/>
          <w:szCs w:val="24"/>
          <w:lang w:val="pl-PL"/>
        </w:rPr>
        <w:t>cyberbezpieczeństwa</w:t>
      </w:r>
      <w:proofErr w:type="spellEnd"/>
      <w:r w:rsidRPr="00AF7348">
        <w:rPr>
          <w:rFonts w:ascii="Times New Roman" w:eastAsia="Times New Roman" w:hAnsi="Times New Roman" w:cs="Times New Roman"/>
          <w:color w:val="000000"/>
          <w:sz w:val="24"/>
          <w:szCs w:val="24"/>
          <w:lang w:val="pl-PL"/>
        </w:rPr>
        <w:t xml:space="preserve"> oraz w rozporządzeniu Rady Ministrów z dnia 11 września 2018 r. w sprawie wykazu usług kluczowych.</w:t>
      </w:r>
    </w:p>
    <w:p w14:paraId="0D3139E9" w14:textId="734F0BAF"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31 grudnia 2023 roku. </w:t>
      </w:r>
    </w:p>
    <w:p w14:paraId="75CAC6F5"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A66F687" w14:textId="5848CAA1" w:rsidR="66E7BAD6" w:rsidRPr="00AF7348" w:rsidRDefault="1E7CB412" w:rsidP="1E7CB412">
      <w:pPr>
        <w:pStyle w:val="Normal0"/>
        <w:spacing w:before="120" w:after="120" w:line="240" w:lineRule="auto"/>
        <w:jc w:val="both"/>
        <w:rPr>
          <w:rFonts w:ascii="Times New Roman" w:eastAsia="Times New Roman" w:hAnsi="Times New Roman" w:cs="Times New Roman"/>
          <w:b/>
          <w:bCs/>
          <w:color w:val="000000" w:themeColor="text1"/>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C3.1.1 </w:t>
      </w:r>
      <w:proofErr w:type="spellStart"/>
      <w:r w:rsidRPr="00AF7348">
        <w:rPr>
          <w:rFonts w:ascii="Times New Roman" w:eastAsia="Times New Roman" w:hAnsi="Times New Roman" w:cs="Times New Roman"/>
          <w:b/>
          <w:bCs/>
          <w:color w:val="000000" w:themeColor="text1"/>
          <w:sz w:val="24"/>
          <w:szCs w:val="24"/>
          <w:u w:val="single"/>
          <w:lang w:val="pl-PL"/>
        </w:rPr>
        <w:t>Cyberbezpieczeństwo</w:t>
      </w:r>
      <w:proofErr w:type="spellEnd"/>
      <w:r w:rsidRPr="00AF7348">
        <w:rPr>
          <w:rFonts w:ascii="Times New Roman" w:eastAsia="Times New Roman" w:hAnsi="Times New Roman" w:cs="Times New Roman"/>
          <w:b/>
          <w:bCs/>
          <w:color w:val="000000" w:themeColor="text1"/>
          <w:sz w:val="24"/>
          <w:szCs w:val="24"/>
          <w:u w:val="single"/>
          <w:lang w:val="pl-PL"/>
        </w:rPr>
        <w:t xml:space="preserve"> - </w:t>
      </w:r>
      <w:proofErr w:type="spellStart"/>
      <w:r w:rsidRPr="00AF7348">
        <w:rPr>
          <w:rFonts w:ascii="Times New Roman" w:eastAsia="Times New Roman" w:hAnsi="Times New Roman" w:cs="Times New Roman"/>
          <w:b/>
          <w:bCs/>
          <w:color w:val="000000" w:themeColor="text1"/>
          <w:sz w:val="24"/>
          <w:szCs w:val="24"/>
          <w:u w:val="single"/>
          <w:lang w:val="pl-PL"/>
        </w:rPr>
        <w:t>CyberPL</w:t>
      </w:r>
      <w:proofErr w:type="spellEnd"/>
      <w:r w:rsidRPr="00AF7348">
        <w:rPr>
          <w:rFonts w:ascii="Times New Roman" w:eastAsia="Times New Roman" w:hAnsi="Times New Roman" w:cs="Times New Roman"/>
          <w:b/>
          <w:bCs/>
          <w:color w:val="000000" w:themeColor="text1"/>
          <w:sz w:val="24"/>
          <w:szCs w:val="24"/>
          <w:u w:val="single"/>
          <w:lang w:val="pl-PL"/>
        </w:rPr>
        <w:t xml:space="preserve"> oraz infrastruktura przetwarzania </w:t>
      </w:r>
      <w:proofErr w:type="spellStart"/>
      <w:r w:rsidRPr="00AF7348">
        <w:rPr>
          <w:rFonts w:ascii="Times New Roman" w:eastAsia="Times New Roman" w:hAnsi="Times New Roman" w:cs="Times New Roman"/>
          <w:b/>
          <w:bCs/>
          <w:color w:val="000000" w:themeColor="text1"/>
          <w:sz w:val="24"/>
          <w:szCs w:val="24"/>
          <w:u w:val="single"/>
          <w:lang w:val="pl-PL"/>
        </w:rPr>
        <w:t>danych</w:t>
      </w:r>
      <w:r w:rsidR="00F344E9">
        <w:rPr>
          <w:rFonts w:ascii="Times New Roman" w:eastAsia="Times New Roman" w:hAnsi="Times New Roman" w:cs="Times New Roman"/>
          <w:b/>
          <w:bCs/>
          <w:color w:val="000000" w:themeColor="text1"/>
          <w:sz w:val="24"/>
          <w:szCs w:val="24"/>
          <w:u w:val="single"/>
          <w:lang w:val="pl-PL"/>
        </w:rPr>
        <w:t>oraz</w:t>
      </w:r>
      <w:proofErr w:type="spellEnd"/>
      <w:r w:rsidR="00F344E9">
        <w:rPr>
          <w:rFonts w:ascii="Times New Roman" w:eastAsia="Times New Roman" w:hAnsi="Times New Roman" w:cs="Times New Roman"/>
          <w:b/>
          <w:bCs/>
          <w:color w:val="000000" w:themeColor="text1"/>
          <w:sz w:val="24"/>
          <w:szCs w:val="24"/>
          <w:u w:val="single"/>
          <w:lang w:val="pl-PL"/>
        </w:rPr>
        <w:t xml:space="preserve"> </w:t>
      </w:r>
      <w:r w:rsidR="00F344E9" w:rsidRPr="00F344E9">
        <w:rPr>
          <w:rFonts w:ascii="Times New Roman" w:eastAsia="Times New Roman" w:hAnsi="Times New Roman" w:cs="Times New Roman"/>
          <w:b/>
          <w:bCs/>
          <w:color w:val="000000" w:themeColor="text1"/>
          <w:sz w:val="24"/>
          <w:szCs w:val="24"/>
          <w:u w:val="single"/>
          <w:lang w:val="pl-PL"/>
        </w:rPr>
        <w:t>optymalizacja infrastruktury służb państwowych odpowiedzialnych za bezpieczeństwo</w:t>
      </w:r>
    </w:p>
    <w:p w14:paraId="14F65562" w14:textId="1103DFB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składa się z czterech różnych komponentów: (i) </w:t>
      </w:r>
      <w:proofErr w:type="spellStart"/>
      <w:r w:rsidRPr="00AF7348">
        <w:rPr>
          <w:rFonts w:ascii="Times New Roman" w:eastAsia="Times New Roman" w:hAnsi="Times New Roman" w:cs="Times New Roman"/>
          <w:color w:val="000000" w:themeColor="text1"/>
          <w:sz w:val="24"/>
          <w:szCs w:val="24"/>
          <w:lang w:val="pl-PL"/>
        </w:rPr>
        <w:t>cyberbezpieczeństwo</w:t>
      </w:r>
      <w:proofErr w:type="spellEnd"/>
      <w:r w:rsidRPr="00AF7348">
        <w:rPr>
          <w:rFonts w:ascii="Times New Roman" w:eastAsia="Times New Roman" w:hAnsi="Times New Roman" w:cs="Times New Roman"/>
          <w:color w:val="000000" w:themeColor="text1"/>
          <w:sz w:val="24"/>
          <w:szCs w:val="24"/>
          <w:lang w:val="pl-PL"/>
        </w:rPr>
        <w:t>; (ii) infrastruktura przetwarzania danych; (iii) optymalizacja infrastruktury służb odpowiedzialnych za egzekwowanie prawa</w:t>
      </w:r>
      <w:r w:rsidR="00FD4F83">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oraz (iv) rozwiązania w zakresie chmury obliczeniowej i przetwarzania brzegowego. </w:t>
      </w:r>
    </w:p>
    <w:p w14:paraId="6485175D" w14:textId="2AB4084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W zakresie (i)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zostanie zrealizowanych 8 projektów indywidualnych zmierzających do:</w:t>
      </w:r>
    </w:p>
    <w:p w14:paraId="7057390C" w14:textId="77777777" w:rsidR="007C4506" w:rsidRPr="00AF7348" w:rsidRDefault="7EBD8A50" w:rsidP="004E5B4E">
      <w:pPr>
        <w:pStyle w:val="Normal0"/>
        <w:numPr>
          <w:ilvl w:val="0"/>
          <w:numId w:val="7"/>
        </w:numPr>
        <w:pBdr>
          <w:top w:val="nil"/>
          <w:left w:val="nil"/>
          <w:bottom w:val="nil"/>
          <w:right w:val="nil"/>
          <w:between w:val="nil"/>
        </w:pBdr>
        <w:spacing w:before="120"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utworzenia sieci 7 regionalnych centrów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w:t>
      </w:r>
      <w:proofErr w:type="spellStart"/>
      <w:r w:rsidRPr="00AF7348">
        <w:rPr>
          <w:rFonts w:ascii="Times New Roman" w:eastAsia="Times New Roman" w:hAnsi="Times New Roman" w:cs="Times New Roman"/>
          <w:color w:val="000000" w:themeColor="text1"/>
          <w:sz w:val="24"/>
          <w:szCs w:val="24"/>
          <w:lang w:val="pl-PL"/>
        </w:rPr>
        <w:t>RegioSOC</w:t>
      </w:r>
      <w:proofErr w:type="spellEnd"/>
      <w:r w:rsidRPr="00AF7348">
        <w:rPr>
          <w:rFonts w:ascii="Times New Roman" w:eastAsia="Times New Roman" w:hAnsi="Times New Roman" w:cs="Times New Roman"/>
          <w:color w:val="000000" w:themeColor="text1"/>
          <w:sz w:val="24"/>
          <w:szCs w:val="24"/>
          <w:lang w:val="pl-PL"/>
        </w:rPr>
        <w:t>);</w:t>
      </w:r>
    </w:p>
    <w:p w14:paraId="74B7492B" w14:textId="6057531D" w:rsidR="007C4506" w:rsidRPr="00AF7348" w:rsidRDefault="7EBD8A50" w:rsidP="004D27D1">
      <w:pPr>
        <w:pStyle w:val="Normal0"/>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utworzenia sieci obejmującej łącznie 7 sektorowych zespołów reagowania na incydenty bezpieczeństwa komputerowego (CSIRT) w kluczowych sektorach w rozumieniu Dyrektywy NIS (Dyrektywy w sprawie środków na rzecz wspólnego wysokiego poziomu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w całej Unii): energetyce, transporcie, ochronie zdrowia, bankowości, infrastrukturze rynku finansowego, infrastrukturze cyfrowej i zaopatrzeniu w wodę;</w:t>
      </w:r>
    </w:p>
    <w:p w14:paraId="7EA39E1D" w14:textId="77777777" w:rsidR="007C4506" w:rsidRPr="00AF7348" w:rsidRDefault="7EBD8A50" w:rsidP="004E5B4E">
      <w:pPr>
        <w:pStyle w:val="Normal0"/>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podłączenia 385 krajowych podmiotów zajmujących się </w:t>
      </w:r>
      <w:proofErr w:type="spellStart"/>
      <w:r w:rsidRPr="00AF7348">
        <w:rPr>
          <w:rFonts w:ascii="Times New Roman" w:eastAsia="Times New Roman" w:hAnsi="Times New Roman" w:cs="Times New Roman"/>
          <w:color w:val="000000" w:themeColor="text1"/>
          <w:sz w:val="24"/>
          <w:szCs w:val="24"/>
          <w:lang w:val="pl-PL"/>
        </w:rPr>
        <w:t>cyberbezpieczeństwem</w:t>
      </w:r>
      <w:proofErr w:type="spellEnd"/>
      <w:r w:rsidRPr="00AF7348">
        <w:rPr>
          <w:rFonts w:ascii="Times New Roman" w:eastAsia="Times New Roman" w:hAnsi="Times New Roman" w:cs="Times New Roman"/>
          <w:color w:val="000000" w:themeColor="text1"/>
          <w:sz w:val="24"/>
          <w:szCs w:val="24"/>
          <w:lang w:val="pl-PL"/>
        </w:rPr>
        <w:t xml:space="preserve"> do zintegrowanego systemu zarządzania </w:t>
      </w:r>
      <w:proofErr w:type="spellStart"/>
      <w:r w:rsidRPr="00AF7348">
        <w:rPr>
          <w:rFonts w:ascii="Times New Roman" w:eastAsia="Times New Roman" w:hAnsi="Times New Roman" w:cs="Times New Roman"/>
          <w:color w:val="000000" w:themeColor="text1"/>
          <w:sz w:val="24"/>
          <w:szCs w:val="24"/>
          <w:lang w:val="pl-PL"/>
        </w:rPr>
        <w:t>cyberbezpieczeństwem</w:t>
      </w:r>
      <w:proofErr w:type="spellEnd"/>
      <w:r w:rsidRPr="00AF7348">
        <w:rPr>
          <w:rFonts w:ascii="Times New Roman" w:eastAsia="Times New Roman" w:hAnsi="Times New Roman" w:cs="Times New Roman"/>
          <w:color w:val="000000" w:themeColor="text1"/>
          <w:sz w:val="24"/>
          <w:szCs w:val="24"/>
          <w:lang w:val="pl-PL"/>
        </w:rPr>
        <w:t>;</w:t>
      </w:r>
    </w:p>
    <w:p w14:paraId="10B242BA" w14:textId="2AFF5A5E" w:rsidR="007C4506" w:rsidRPr="00AF7348" w:rsidRDefault="7EBD8A50" w:rsidP="004E5B4E">
      <w:pPr>
        <w:pStyle w:val="Normal0"/>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stworzenia sieci minimum 30 centrów monitorowania bezpieczeństwa (SOC) na potrzeby bezpieczeństwa narodowego oraz modernizacji istniejących centrów;</w:t>
      </w:r>
    </w:p>
    <w:p w14:paraId="153ECE66" w14:textId="111C697D" w:rsidR="007C4506" w:rsidRPr="00AF7348" w:rsidRDefault="7EBD8A50" w:rsidP="43F89A79">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realizacji programu przekwalifikowania 600 osób w zakresie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w tym między innymi obecnych pracowników;</w:t>
      </w:r>
    </w:p>
    <w:p w14:paraId="2E0FBDAA" w14:textId="4D39E8F2" w:rsidR="007C4506" w:rsidRPr="00AF7348" w:rsidRDefault="7EBD8A50" w:rsidP="004E5B4E">
      <w:pPr>
        <w:pStyle w:val="Normal0"/>
        <w:numPr>
          <w:ilvl w:val="0"/>
          <w:numId w:val="7"/>
        </w:numPr>
        <w:pBdr>
          <w:top w:val="nil"/>
          <w:left w:val="nil"/>
          <w:bottom w:val="nil"/>
          <w:right w:val="nil"/>
          <w:between w:val="nil"/>
        </w:pBdr>
        <w:spacing w:after="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wdrożenia programu zabezpieczenia systemów w co najmniej 30 podmiotach stosujących technologię operacyjną w przemysłowych systemach sterowania;</w:t>
      </w:r>
    </w:p>
    <w:p w14:paraId="070D45DA" w14:textId="141BB0D0" w:rsidR="007C4506" w:rsidRPr="00AF7348" w:rsidRDefault="25F39972" w:rsidP="004E5B4E">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udzielenia wsparcia 400 podmiotom w zakresie modernizacji i rozbudowy struktur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z wykorzystaniem technologii informatycznych i operacyjnych, w tym zakupu zapór sieciowych i systemów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w:t>
      </w:r>
    </w:p>
    <w:p w14:paraId="2E6BE010" w14:textId="6D83C668" w:rsidR="3F446A0F" w:rsidRPr="00AF7348" w:rsidRDefault="6BA46637" w:rsidP="001647C2">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utworzenia na poziomie wojewódzkim sieci osób odpowiedzialnych za </w:t>
      </w:r>
      <w:proofErr w:type="spellStart"/>
      <w:r w:rsidRPr="00AF7348">
        <w:rPr>
          <w:rFonts w:ascii="Times New Roman" w:eastAsia="Times New Roman" w:hAnsi="Times New Roman" w:cs="Times New Roman"/>
          <w:color w:val="000000" w:themeColor="text1"/>
          <w:sz w:val="24"/>
          <w:szCs w:val="24"/>
          <w:lang w:val="pl-PL"/>
        </w:rPr>
        <w:t>cyberbezpieczeństwo</w:t>
      </w:r>
      <w:proofErr w:type="spellEnd"/>
      <w:r w:rsidRPr="00AF7348">
        <w:rPr>
          <w:rFonts w:ascii="Times New Roman" w:eastAsia="Times New Roman" w:hAnsi="Times New Roman" w:cs="Times New Roman"/>
          <w:color w:val="000000" w:themeColor="text1"/>
          <w:sz w:val="24"/>
          <w:szCs w:val="24"/>
          <w:lang w:val="pl-PL"/>
        </w:rPr>
        <w:t xml:space="preserve"> (ang. </w:t>
      </w:r>
      <w:proofErr w:type="spellStart"/>
      <w:r w:rsidRPr="00FD4F83">
        <w:rPr>
          <w:rFonts w:ascii="Times New Roman" w:eastAsia="Times New Roman" w:hAnsi="Times New Roman" w:cs="Times New Roman"/>
          <w:i/>
          <w:iCs/>
          <w:color w:val="000000" w:themeColor="text1"/>
          <w:sz w:val="24"/>
          <w:szCs w:val="24"/>
          <w:lang w:val="pl-PL"/>
        </w:rPr>
        <w:t>cybersecurity</w:t>
      </w:r>
      <w:proofErr w:type="spellEnd"/>
      <w:r w:rsidRPr="00FD4F83">
        <w:rPr>
          <w:rFonts w:ascii="Times New Roman" w:eastAsia="Times New Roman" w:hAnsi="Times New Roman" w:cs="Times New Roman"/>
          <w:i/>
          <w:iCs/>
          <w:color w:val="000000" w:themeColor="text1"/>
          <w:sz w:val="24"/>
          <w:szCs w:val="24"/>
          <w:lang w:val="pl-PL"/>
        </w:rPr>
        <w:t xml:space="preserve"> </w:t>
      </w:r>
      <w:proofErr w:type="spellStart"/>
      <w:r w:rsidRPr="00FD4F83">
        <w:rPr>
          <w:rFonts w:ascii="Times New Roman" w:eastAsia="Times New Roman" w:hAnsi="Times New Roman" w:cs="Times New Roman"/>
          <w:i/>
          <w:iCs/>
          <w:color w:val="000000" w:themeColor="text1"/>
          <w:sz w:val="24"/>
          <w:szCs w:val="24"/>
          <w:lang w:val="pl-PL"/>
        </w:rPr>
        <w:t>first</w:t>
      </w:r>
      <w:proofErr w:type="spellEnd"/>
      <w:r w:rsidRPr="00FD4F83">
        <w:rPr>
          <w:rFonts w:ascii="Times New Roman" w:eastAsia="Times New Roman" w:hAnsi="Times New Roman" w:cs="Times New Roman"/>
          <w:i/>
          <w:iCs/>
          <w:color w:val="000000" w:themeColor="text1"/>
          <w:sz w:val="24"/>
          <w:szCs w:val="24"/>
          <w:lang w:val="pl-PL"/>
        </w:rPr>
        <w:t xml:space="preserve"> </w:t>
      </w:r>
      <w:proofErr w:type="spellStart"/>
      <w:r w:rsidRPr="00FD4F83">
        <w:rPr>
          <w:rFonts w:ascii="Times New Roman" w:eastAsia="Times New Roman" w:hAnsi="Times New Roman" w:cs="Times New Roman"/>
          <w:i/>
          <w:iCs/>
          <w:color w:val="000000" w:themeColor="text1"/>
          <w:sz w:val="24"/>
          <w:szCs w:val="24"/>
          <w:lang w:val="pl-PL"/>
        </w:rPr>
        <w:t>responders</w:t>
      </w:r>
      <w:proofErr w:type="spellEnd"/>
      <w:r w:rsidRPr="00AF7348">
        <w:rPr>
          <w:rFonts w:ascii="Times New Roman" w:eastAsia="Times New Roman" w:hAnsi="Times New Roman" w:cs="Times New Roman"/>
          <w:color w:val="000000" w:themeColor="text1"/>
          <w:sz w:val="24"/>
          <w:szCs w:val="24"/>
          <w:lang w:val="pl-PL"/>
        </w:rPr>
        <w:t xml:space="preserve">), które będą wspierać podmioty publiczne w reagowaniu na incydenty związane z </w:t>
      </w:r>
      <w:proofErr w:type="spellStart"/>
      <w:r w:rsidRPr="00AF7348">
        <w:rPr>
          <w:rFonts w:ascii="Times New Roman" w:eastAsia="Times New Roman" w:hAnsi="Times New Roman" w:cs="Times New Roman"/>
          <w:color w:val="000000" w:themeColor="text1"/>
          <w:sz w:val="24"/>
          <w:szCs w:val="24"/>
          <w:lang w:val="pl-PL"/>
        </w:rPr>
        <w:t>cyberbezpieczeństwem</w:t>
      </w:r>
      <w:proofErr w:type="spellEnd"/>
      <w:r w:rsidRPr="00AF7348">
        <w:rPr>
          <w:rFonts w:ascii="Times New Roman" w:eastAsia="Times New Roman" w:hAnsi="Times New Roman" w:cs="Times New Roman"/>
          <w:color w:val="000000" w:themeColor="text1"/>
          <w:sz w:val="24"/>
          <w:szCs w:val="24"/>
          <w:lang w:val="pl-PL"/>
        </w:rPr>
        <w:t xml:space="preserve"> oraz w usuwaniu skutków takich incydentów, a także prowadzić szkolenia dla władz lokalnych i regionalnych w zakresie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(co najmniej 440 przeszkolonych osób odpowiedzialnych za </w:t>
      </w:r>
      <w:proofErr w:type="spellStart"/>
      <w:r w:rsidRPr="00AF7348">
        <w:rPr>
          <w:rFonts w:ascii="Times New Roman" w:eastAsia="Times New Roman" w:hAnsi="Times New Roman" w:cs="Times New Roman"/>
          <w:color w:val="000000" w:themeColor="text1"/>
          <w:sz w:val="24"/>
          <w:szCs w:val="24"/>
          <w:lang w:val="pl-PL"/>
        </w:rPr>
        <w:t>cyberbezpieczeństwo</w:t>
      </w:r>
      <w:proofErr w:type="spellEnd"/>
      <w:r w:rsidRPr="00AF7348">
        <w:rPr>
          <w:rFonts w:ascii="Times New Roman" w:eastAsia="Times New Roman" w:hAnsi="Times New Roman" w:cs="Times New Roman"/>
          <w:color w:val="000000" w:themeColor="text1"/>
          <w:sz w:val="24"/>
          <w:szCs w:val="24"/>
          <w:lang w:val="pl-PL"/>
        </w:rPr>
        <w:t xml:space="preserve"> plus pracownicy władz lokalnych i regionalnych).</w:t>
      </w:r>
    </w:p>
    <w:p w14:paraId="11E617FC" w14:textId="48E7613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 zakresie (ii) infrastruktury przetwarzania danych utworzone zostaną 3 standardowe centra przetwarzania danych, gwarantujące energooszczędną i skalowalną infrastrukturę krytyczną, aby zapewnić dostępność usług cyfrowych oraz bezpieczną infrastrukturę dla systemów ICT. Centra te będą zgodne z Europejskim kodeksem postępowania w zakresie efektywności energetycznej centrów danych (</w:t>
      </w:r>
      <w:proofErr w:type="spellStart"/>
      <w:r w:rsidRPr="00AF7348">
        <w:rPr>
          <w:rFonts w:ascii="Times New Roman" w:eastAsia="Times New Roman" w:hAnsi="Times New Roman" w:cs="Times New Roman"/>
          <w:i/>
          <w:iCs/>
          <w:color w:val="000000" w:themeColor="text1"/>
          <w:sz w:val="24"/>
          <w:szCs w:val="24"/>
          <w:lang w:val="pl-PL"/>
        </w:rPr>
        <w:t>European</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Code</w:t>
      </w:r>
      <w:proofErr w:type="spellEnd"/>
      <w:r w:rsidRPr="00AF7348">
        <w:rPr>
          <w:rFonts w:ascii="Times New Roman" w:eastAsia="Times New Roman" w:hAnsi="Times New Roman" w:cs="Times New Roman"/>
          <w:i/>
          <w:iCs/>
          <w:color w:val="000000" w:themeColor="text1"/>
          <w:sz w:val="24"/>
          <w:szCs w:val="24"/>
          <w:lang w:val="pl-PL"/>
        </w:rPr>
        <w:t xml:space="preserve"> of </w:t>
      </w:r>
      <w:proofErr w:type="spellStart"/>
      <w:r w:rsidRPr="00AF7348">
        <w:rPr>
          <w:rFonts w:ascii="Times New Roman" w:eastAsia="Times New Roman" w:hAnsi="Times New Roman" w:cs="Times New Roman"/>
          <w:i/>
          <w:iCs/>
          <w:color w:val="000000" w:themeColor="text1"/>
          <w:sz w:val="24"/>
          <w:szCs w:val="24"/>
          <w:lang w:val="pl-PL"/>
        </w:rPr>
        <w:t>Conduct</w:t>
      </w:r>
      <w:proofErr w:type="spellEnd"/>
      <w:r w:rsidRPr="00AF7348">
        <w:rPr>
          <w:rFonts w:ascii="Times New Roman" w:eastAsia="Times New Roman" w:hAnsi="Times New Roman" w:cs="Times New Roman"/>
          <w:i/>
          <w:iCs/>
          <w:color w:val="000000" w:themeColor="text1"/>
          <w:sz w:val="24"/>
          <w:szCs w:val="24"/>
          <w:lang w:val="pl-PL"/>
        </w:rPr>
        <w:t xml:space="preserve"> on Data Centre Energy </w:t>
      </w:r>
      <w:proofErr w:type="spellStart"/>
      <w:r w:rsidRPr="00AF7348">
        <w:rPr>
          <w:rFonts w:ascii="Times New Roman" w:eastAsia="Times New Roman" w:hAnsi="Times New Roman" w:cs="Times New Roman"/>
          <w:i/>
          <w:iCs/>
          <w:color w:val="000000" w:themeColor="text1"/>
          <w:sz w:val="24"/>
          <w:szCs w:val="24"/>
          <w:lang w:val="pl-PL"/>
        </w:rPr>
        <w:t>Efficiency</w:t>
      </w:r>
      <w:proofErr w:type="spellEnd"/>
      <w:r w:rsidRPr="00AF7348">
        <w:rPr>
          <w:rFonts w:ascii="Times New Roman" w:eastAsia="Times New Roman" w:hAnsi="Times New Roman" w:cs="Times New Roman"/>
          <w:color w:val="000000" w:themeColor="text1"/>
          <w:sz w:val="24"/>
          <w:szCs w:val="24"/>
          <w:lang w:val="pl-PL"/>
        </w:rPr>
        <w:t>), w szczególności w odniesieniu do następujących obszarów:</w:t>
      </w:r>
    </w:p>
    <w:p w14:paraId="549A0DE8" w14:textId="77777777" w:rsidR="007C4506" w:rsidRPr="00AF7348" w:rsidRDefault="0A87BA0A" w:rsidP="004E5B4E">
      <w:pPr>
        <w:pStyle w:val="Normal0"/>
        <w:numPr>
          <w:ilvl w:val="0"/>
          <w:numId w:val="7"/>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3.2.8 </w:t>
      </w:r>
      <w:r w:rsidRPr="00AF7348">
        <w:rPr>
          <w:rFonts w:ascii="Times New Roman" w:eastAsia="Times New Roman" w:hAnsi="Times New Roman" w:cs="Times New Roman"/>
          <w:i/>
          <w:iCs/>
          <w:color w:val="000000" w:themeColor="text1"/>
          <w:sz w:val="24"/>
          <w:szCs w:val="24"/>
          <w:lang w:val="pl-PL"/>
        </w:rPr>
        <w:t>Zrównoważone wykorzystanie energii</w:t>
      </w:r>
      <w:r w:rsidRPr="00AF7348">
        <w:rPr>
          <w:rFonts w:ascii="Times New Roman" w:eastAsia="Times New Roman" w:hAnsi="Times New Roman" w:cs="Times New Roman"/>
          <w:color w:val="000000" w:themeColor="text1"/>
          <w:sz w:val="24"/>
          <w:szCs w:val="24"/>
          <w:lang w:val="pl-PL"/>
        </w:rPr>
        <w:t xml:space="preserve">: energię potrzebną do funkcjonowania centrów danych należy pozyskiwać z OZE. </w:t>
      </w:r>
    </w:p>
    <w:p w14:paraId="03F9FEE8" w14:textId="77777777" w:rsidR="007C4506" w:rsidRPr="00AF7348" w:rsidRDefault="0A87BA0A" w:rsidP="004E5B4E">
      <w:pPr>
        <w:pStyle w:val="Normal0"/>
        <w:numPr>
          <w:ilvl w:val="0"/>
          <w:numId w:val="7"/>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3.2.11 </w:t>
      </w:r>
      <w:r w:rsidRPr="00AF7348">
        <w:rPr>
          <w:rFonts w:ascii="Times New Roman" w:eastAsia="Times New Roman" w:hAnsi="Times New Roman" w:cs="Times New Roman"/>
          <w:i/>
          <w:iCs/>
          <w:color w:val="000000" w:themeColor="text1"/>
          <w:sz w:val="24"/>
          <w:szCs w:val="24"/>
          <w:lang w:val="pl-PL"/>
        </w:rPr>
        <w:t>Alternatywne technologie wytwarzania energii</w:t>
      </w:r>
      <w:r w:rsidRPr="00AF7348">
        <w:rPr>
          <w:rFonts w:ascii="Times New Roman" w:eastAsia="Times New Roman" w:hAnsi="Times New Roman" w:cs="Times New Roman"/>
          <w:color w:val="000000" w:themeColor="text1"/>
          <w:sz w:val="24"/>
          <w:szCs w:val="24"/>
          <w:lang w:val="pl-PL"/>
        </w:rPr>
        <w:t>: planuje się instalację odnawialnych źródeł energii w obiektach centrów danych oraz wykorzystanie technologii wodorowych ogniw paliwowych;</w:t>
      </w:r>
    </w:p>
    <w:p w14:paraId="31418F63" w14:textId="77777777" w:rsidR="3F0D1FF1" w:rsidRPr="00AF7348" w:rsidRDefault="4760AA95" w:rsidP="004E5B4E">
      <w:pPr>
        <w:pStyle w:val="Normal0"/>
        <w:numPr>
          <w:ilvl w:val="0"/>
          <w:numId w:val="7"/>
        </w:num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i/>
          <w:iCs/>
          <w:color w:val="000000" w:themeColor="text1"/>
          <w:sz w:val="24"/>
          <w:szCs w:val="24"/>
          <w:lang w:val="pl-PL"/>
        </w:rPr>
        <w:t>3.3.2. Uwzględnienie wielu poziomów odporności</w:t>
      </w:r>
      <w:r w:rsidRPr="00AF7348">
        <w:rPr>
          <w:rFonts w:ascii="Times New Roman" w:eastAsia="Times New Roman" w:hAnsi="Times New Roman" w:cs="Times New Roman"/>
          <w:color w:val="000000" w:themeColor="text1"/>
          <w:sz w:val="24"/>
          <w:szCs w:val="24"/>
          <w:lang w:val="pl-PL"/>
        </w:rPr>
        <w:t>: oczekuje się, że centra danych wzmocnią niezawodność systemu zasilania poprzez stworzenie nowych źródeł zasilania rezerwowego, np. turbin gazowych czy wodorowych ogniw paliwowych.</w:t>
      </w:r>
    </w:p>
    <w:p w14:paraId="5FC2AFCE" w14:textId="7B92641E" w:rsidR="00C650AD" w:rsidRPr="00AF7348" w:rsidRDefault="4FB409E3" w:rsidP="7A05A10C">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hAnsi="Times New Roman" w:cs="Times New Roman"/>
          <w:color w:val="000000" w:themeColor="text1"/>
          <w:sz w:val="24"/>
          <w:szCs w:val="24"/>
          <w:lang w:val="pl-PL"/>
        </w:rPr>
        <w:t xml:space="preserve">Aby spełnić warunki DNSH, przeprowadzona zostanie ocena ryzyka środowiskowego i podatności na zagrożenia dla budowanych i remontowanych centrów danych oraz wdrożone zostaną wszelkie niezbędne rozwiązania adaptacyjne. </w:t>
      </w:r>
      <w:r w:rsidRPr="00AF7348">
        <w:rPr>
          <w:rFonts w:ascii="Times New Roman" w:hAnsi="Times New Roman" w:cs="Times New Roman"/>
          <w:sz w:val="24"/>
          <w:szCs w:val="24"/>
          <w:lang w:val="pl-PL"/>
        </w:rPr>
        <w:t xml:space="preserve">W przypadku wszystkich inwestycji w infrastrukturę co najmniej 70% odpadów z budowy i rozbiórki zostanie ponownie wykorzystane lub poddane recyklingowi, zgodnie z Wytycznymi Technicznymi Dotyczącymi Zasady DNSH - Nie Czyń </w:t>
      </w:r>
      <w:r w:rsidR="005427AE">
        <w:rPr>
          <w:rFonts w:ascii="Times New Roman" w:hAnsi="Times New Roman" w:cs="Times New Roman"/>
          <w:sz w:val="24"/>
          <w:szCs w:val="24"/>
          <w:lang w:val="pl-PL"/>
        </w:rPr>
        <w:t>Znaczącej Szkody</w:t>
      </w:r>
      <w:r w:rsidRPr="00AF7348">
        <w:rPr>
          <w:rFonts w:ascii="Times New Roman" w:hAnsi="Times New Roman" w:cs="Times New Roman"/>
          <w:sz w:val="24"/>
          <w:szCs w:val="24"/>
          <w:lang w:val="pl-PL"/>
        </w:rPr>
        <w:t xml:space="preserve"> (2021/C 58/01).</w:t>
      </w:r>
    </w:p>
    <w:p w14:paraId="0D8D85AA" w14:textId="55C5D31E" w:rsidR="007C4506" w:rsidRPr="00AF7348" w:rsidRDefault="56083BD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(iii) Optymalizacja infrastruktury służb odpowiedzialnych za egzekwowanie prawa obejmie 4 projekty mające na celu integrację różnych systemów ostrzegania i alarmowania oraz poprawę współpracy pomiędzy służbami państwowymi, takimi jak policja, straż pożarna czy władze lokalne.</w:t>
      </w:r>
    </w:p>
    <w:p w14:paraId="233BD36A" w14:textId="33D1541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Wreszcie, jeśli chodzi o (iv) rozwiązania w zakresie chmury obliczeniowej i przetwarzania brzegowego, oczekuje się, że Polska weźmie udział w potencjalnie ważnym projekcie stanowiącym przedmiot wspólnego europejskiego zainteresowania (projekt IPCEI) dotyczącym infrastruktury chmury obliczeniowej następnej generacji i usług brzegowych, mającym na celu wsparcie rozwoju i pierwszego przemysłowego wdrożenia zaawansowanych projektów badawczo-rozwojowych dotyczących przyszłości przetwarzania danych z wykorzystaniem kontinuum chmury obliczeniowej i usług brzegowych (</w:t>
      </w:r>
      <w:proofErr w:type="spellStart"/>
      <w:r w:rsidRPr="00AF7348">
        <w:rPr>
          <w:rFonts w:ascii="Times New Roman" w:eastAsia="Times New Roman" w:hAnsi="Times New Roman" w:cs="Times New Roman"/>
          <w:i/>
          <w:iCs/>
          <w:color w:val="000000" w:themeColor="text1"/>
          <w:sz w:val="24"/>
          <w:szCs w:val="24"/>
          <w:lang w:val="pl-PL"/>
        </w:rPr>
        <w:t>edge</w:t>
      </w:r>
      <w:proofErr w:type="spellEnd"/>
      <w:r w:rsidRPr="00AF7348">
        <w:rPr>
          <w:rFonts w:ascii="Times New Roman" w:eastAsia="Times New Roman" w:hAnsi="Times New Roman" w:cs="Times New Roman"/>
          <w:i/>
          <w:iCs/>
          <w:color w:val="000000" w:themeColor="text1"/>
          <w:sz w:val="24"/>
          <w:szCs w:val="24"/>
          <w:lang w:val="pl-PL"/>
        </w:rPr>
        <w:t>-to-</w:t>
      </w:r>
      <w:proofErr w:type="spellStart"/>
      <w:r w:rsidRPr="00AF7348">
        <w:rPr>
          <w:rFonts w:ascii="Times New Roman" w:eastAsia="Times New Roman" w:hAnsi="Times New Roman" w:cs="Times New Roman"/>
          <w:i/>
          <w:iCs/>
          <w:color w:val="000000" w:themeColor="text1"/>
          <w:sz w:val="24"/>
          <w:szCs w:val="24"/>
          <w:lang w:val="pl-PL"/>
        </w:rPr>
        <w:t>cloud</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compute</w:t>
      </w:r>
      <w:proofErr w:type="spellEnd"/>
      <w:r w:rsidRPr="00AF7348">
        <w:rPr>
          <w:rFonts w:ascii="Times New Roman" w:eastAsia="Times New Roman" w:hAnsi="Times New Roman" w:cs="Times New Roman"/>
          <w:i/>
          <w:iCs/>
          <w:color w:val="000000" w:themeColor="text1"/>
          <w:sz w:val="24"/>
          <w:szCs w:val="24"/>
          <w:lang w:val="pl-PL"/>
        </w:rPr>
        <w:t xml:space="preserve"> continuum</w:t>
      </w:r>
      <w:r w:rsidRPr="00AF7348">
        <w:rPr>
          <w:rFonts w:ascii="Times New Roman" w:eastAsia="Times New Roman" w:hAnsi="Times New Roman" w:cs="Times New Roman"/>
          <w:color w:val="000000" w:themeColor="text1"/>
          <w:sz w:val="24"/>
          <w:szCs w:val="24"/>
          <w:lang w:val="pl-PL"/>
        </w:rPr>
        <w:t>).</w:t>
      </w:r>
    </w:p>
    <w:p w14:paraId="009066B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Wdrażanie inwestycji zostanie zakończone do 30 czerwca 2026 roku.</w:t>
      </w:r>
    </w:p>
    <w:p w14:paraId="66060428"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1D0656FE"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sectPr w:rsidR="00212550" w:rsidRPr="00AF7348">
          <w:headerReference w:type="even" r:id="rId57"/>
          <w:headerReference w:type="default" r:id="rId58"/>
          <w:footerReference w:type="even" r:id="rId59"/>
          <w:footerReference w:type="default" r:id="rId60"/>
          <w:headerReference w:type="first" r:id="rId61"/>
          <w:footerReference w:type="first" r:id="rId62"/>
          <w:pgSz w:w="11907" w:h="16839"/>
          <w:pgMar w:top="1134" w:right="1417" w:bottom="1134" w:left="1417" w:header="709" w:footer="709" w:gutter="0"/>
          <w:cols w:space="720"/>
        </w:sectPr>
      </w:pPr>
    </w:p>
    <w:p w14:paraId="75EE01D8" w14:textId="3D30139B" w:rsidR="007C4506" w:rsidRDefault="0033239E"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C.2.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 xml:space="preserve">Kamienie milowe, </w:t>
      </w:r>
      <w:r w:rsidR="005427AE">
        <w:rPr>
          <w:rFonts w:ascii="Times New Roman" w:eastAsia="Times New Roman" w:hAnsi="Times New Roman" w:cs="Times New Roman"/>
          <w:b/>
          <w:bCs/>
          <w:color w:val="000000"/>
          <w:sz w:val="24"/>
          <w:szCs w:val="24"/>
          <w:lang w:val="pl-PL"/>
        </w:rPr>
        <w:t>cele</w:t>
      </w:r>
      <w:r w:rsidRPr="00AF7348">
        <w:rPr>
          <w:rFonts w:ascii="Times New Roman" w:eastAsia="Times New Roman" w:hAnsi="Times New Roman" w:cs="Times New Roman"/>
          <w:b/>
          <w:bCs/>
          <w:color w:val="000000"/>
          <w:sz w:val="24"/>
          <w:szCs w:val="24"/>
          <w:lang w:val="pl-PL"/>
        </w:rPr>
        <w:t>, wskaźniki i harmonogram monitorowania i realizacji na potrzeby bezzwrotnego wsparcia finansowego</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6"/>
        <w:gridCol w:w="2126"/>
        <w:gridCol w:w="992"/>
        <w:gridCol w:w="2268"/>
        <w:gridCol w:w="1361"/>
        <w:gridCol w:w="992"/>
        <w:gridCol w:w="1247"/>
        <w:gridCol w:w="1362"/>
        <w:gridCol w:w="624"/>
        <w:gridCol w:w="793"/>
        <w:gridCol w:w="2982"/>
      </w:tblGrid>
      <w:tr w:rsidR="001052B5" w:rsidRPr="00F464C8" w14:paraId="4AAED36B" w14:textId="77777777" w:rsidTr="00A20CA7">
        <w:trPr>
          <w:trHeight w:val="939"/>
          <w:jc w:val="center"/>
        </w:trPr>
        <w:tc>
          <w:tcPr>
            <w:tcW w:w="846" w:type="dxa"/>
            <w:vMerge w:val="restart"/>
            <w:shd w:val="clear" w:color="auto" w:fill="BDD7EE"/>
            <w:vAlign w:val="center"/>
          </w:tcPr>
          <w:p w14:paraId="6348810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2126" w:type="dxa"/>
            <w:vMerge w:val="restart"/>
            <w:shd w:val="clear" w:color="auto" w:fill="BDD7EE"/>
            <w:vAlign w:val="center"/>
          </w:tcPr>
          <w:p w14:paraId="6F89D0B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992" w:type="dxa"/>
            <w:vMerge w:val="restart"/>
            <w:shd w:val="clear" w:color="auto" w:fill="BDD7EE"/>
            <w:vAlign w:val="center"/>
          </w:tcPr>
          <w:p w14:paraId="1517DB2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2268" w:type="dxa"/>
            <w:vMerge w:val="restart"/>
            <w:shd w:val="clear" w:color="auto" w:fill="BDD7EE"/>
            <w:vAlign w:val="center"/>
          </w:tcPr>
          <w:p w14:paraId="4F3F8B0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361" w:type="dxa"/>
            <w:vMerge w:val="restart"/>
            <w:shd w:val="clear" w:color="auto" w:fill="BDD7EE"/>
            <w:vAlign w:val="center"/>
          </w:tcPr>
          <w:p w14:paraId="53C5BBA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Qualitative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milestones)</w:t>
            </w:r>
          </w:p>
        </w:tc>
        <w:tc>
          <w:tcPr>
            <w:tcW w:w="3601" w:type="dxa"/>
            <w:gridSpan w:val="3"/>
            <w:shd w:val="clear" w:color="auto" w:fill="BDD7EE"/>
            <w:vAlign w:val="center"/>
          </w:tcPr>
          <w:p w14:paraId="63BBBD6B"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Quantitative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targets)</w:t>
            </w:r>
          </w:p>
        </w:tc>
        <w:tc>
          <w:tcPr>
            <w:tcW w:w="1417" w:type="dxa"/>
            <w:gridSpan w:val="2"/>
            <w:shd w:val="clear" w:color="auto" w:fill="BDD7EE"/>
            <w:vAlign w:val="center"/>
          </w:tcPr>
          <w:p w14:paraId="345E98F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2982" w:type="dxa"/>
            <w:vMerge w:val="restart"/>
            <w:shd w:val="clear" w:color="auto" w:fill="BDD7EE"/>
            <w:vAlign w:val="center"/>
          </w:tcPr>
          <w:p w14:paraId="2C1F5FE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464C8" w14:paraId="0B7B9E46" w14:textId="77777777" w:rsidTr="00A20CA7">
        <w:trPr>
          <w:trHeight w:val="1027"/>
          <w:jc w:val="center"/>
        </w:trPr>
        <w:tc>
          <w:tcPr>
            <w:tcW w:w="846" w:type="dxa"/>
            <w:vMerge/>
            <w:vAlign w:val="center"/>
          </w:tcPr>
          <w:p w14:paraId="2FF19A0C"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126" w:type="dxa"/>
            <w:vMerge/>
            <w:vAlign w:val="center"/>
          </w:tcPr>
          <w:p w14:paraId="62AF8098"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vMerge/>
            <w:vAlign w:val="center"/>
          </w:tcPr>
          <w:p w14:paraId="01E536F1"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268" w:type="dxa"/>
            <w:vMerge/>
            <w:vAlign w:val="center"/>
          </w:tcPr>
          <w:p w14:paraId="5179685B"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361" w:type="dxa"/>
            <w:vMerge/>
            <w:vAlign w:val="center"/>
          </w:tcPr>
          <w:p w14:paraId="39A55CB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7E32B1B"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0F974FE" w14:textId="77777777" w:rsidR="001052B5" w:rsidRPr="00F07CEA" w:rsidRDefault="001052B5" w:rsidP="00A20CA7">
            <w:pPr>
              <w:pStyle w:val="Normal0"/>
              <w:pBdr>
                <w:top w:val="nil"/>
                <w:left w:val="nil"/>
                <w:bottom w:val="nil"/>
                <w:right w:val="nil"/>
                <w:between w:val="nil"/>
              </w:pBdr>
              <w:spacing w:after="0" w:line="240" w:lineRule="auto"/>
              <w:jc w:val="right"/>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D09E101" w14:textId="77777777" w:rsidR="001052B5" w:rsidRPr="00F07CEA" w:rsidRDefault="001052B5" w:rsidP="00A20CA7">
            <w:pPr>
              <w:pStyle w:val="Normal0"/>
              <w:pBdr>
                <w:top w:val="nil"/>
                <w:left w:val="nil"/>
                <w:bottom w:val="nil"/>
                <w:right w:val="nil"/>
                <w:between w:val="nil"/>
              </w:pBdr>
              <w:spacing w:after="0" w:line="240" w:lineRule="auto"/>
              <w:jc w:val="right"/>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F09CE0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633140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2982" w:type="dxa"/>
            <w:vMerge/>
            <w:vAlign w:val="center"/>
          </w:tcPr>
          <w:p w14:paraId="60933C4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9D378C" w14:paraId="361C4DD6"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73A54B"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4364EF" w14:textId="77777777" w:rsidR="006513DC" w:rsidRPr="006513DC" w:rsidRDefault="001052B5" w:rsidP="006513DC">
            <w:pPr>
              <w:pStyle w:val="HTML-wstpniesformatowany"/>
              <w:rPr>
                <w:rFonts w:ascii="Courier New" w:eastAsia="Times New Roman" w:hAnsi="Courier New" w:cs="Courier New"/>
                <w:lang w:val="pl-PL" w:eastAsia="pl-PL"/>
              </w:rPr>
            </w:pPr>
            <w:r w:rsidRPr="007A3B4B">
              <w:rPr>
                <w:rFonts w:ascii="Times New Roman" w:eastAsia="Times New Roman" w:hAnsi="Times New Roman" w:cs="Times New Roman"/>
                <w:color w:val="000000" w:themeColor="text1"/>
                <w:sz w:val="18"/>
                <w:szCs w:val="18"/>
                <w:lang w:val="pl-PL"/>
              </w:rPr>
              <w:t xml:space="preserve">C1.1 </w:t>
            </w:r>
            <w:r w:rsidR="006513DC" w:rsidRPr="00BF27A8">
              <w:rPr>
                <w:rFonts w:ascii="Times New Roman" w:eastAsia="Times New Roman" w:hAnsi="Times New Roman" w:cs="Times New Roman"/>
                <w:sz w:val="18"/>
                <w:szCs w:val="18"/>
                <w:lang w:val="pl-PL" w:eastAsia="pl-PL"/>
              </w:rPr>
              <w:t xml:space="preserve">Ułatwienie rozwoju infrastruktury sieciowej zapewniającej powszechny dostęp do szybkiego </w:t>
            </w:r>
            <w:proofErr w:type="spellStart"/>
            <w:r w:rsidR="006513DC" w:rsidRPr="00BF27A8">
              <w:rPr>
                <w:rFonts w:ascii="Times New Roman" w:eastAsia="Times New Roman" w:hAnsi="Times New Roman" w:cs="Times New Roman"/>
                <w:sz w:val="18"/>
                <w:szCs w:val="18"/>
                <w:lang w:val="pl-PL" w:eastAsia="pl-PL"/>
              </w:rPr>
              <w:t>internetu</w:t>
            </w:r>
            <w:proofErr w:type="spellEnd"/>
          </w:p>
          <w:p w14:paraId="0F98FB20" w14:textId="786CFE11"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E6BC0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C8951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Przygotowane przez Kancelarię Prezesa Rady Ministrów ramy dofinansowania projektów szerokopasmowych na białych obszarach Dostępu Nowej Generacji (DNG), na których obecnie nie ma sieci DNG</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0B60F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Publikacja ram na stronach internetowych Kancelarii Prezesa Rady Ministrów oraz Centrum Projektów Polska Cyfrowa, wskazująca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9337D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D16E0F"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7813D3"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D43B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3AC66E"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DB175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Ustanowienie ram jako podstawy dla ogłoszenia na składanie wniosków.</w:t>
            </w:r>
            <w:r w:rsidRPr="007A3B4B">
              <w:rPr>
                <w:rFonts w:ascii="Times New Roman" w:eastAsia="Times New Roman" w:hAnsi="Times New Roman" w:cs="Times New Roman"/>
                <w:color w:val="000000"/>
                <w:sz w:val="18"/>
                <w:szCs w:val="18"/>
                <w:lang w:val="pl-PL"/>
              </w:rPr>
              <w:br/>
              <w:t xml:space="preserve">Ramy będą zawierać przepisy mające na celu zapewnienie pełnej zgodności z wytycznymi technicznymi DNSH (2021/C58/01) w odniesieniu do projektów wspieranych w ramach tego środka, poprzez zastosowanie testu zrównoważonego rozwoju, listy </w:t>
            </w:r>
            <w:proofErr w:type="spellStart"/>
            <w:r w:rsidRPr="007A3B4B">
              <w:rPr>
                <w:rFonts w:ascii="Times New Roman" w:eastAsia="Times New Roman" w:hAnsi="Times New Roman" w:cs="Times New Roman"/>
                <w:color w:val="000000"/>
                <w:sz w:val="18"/>
                <w:szCs w:val="18"/>
                <w:lang w:val="pl-PL"/>
              </w:rPr>
              <w:t>wykluczeń</w:t>
            </w:r>
            <w:proofErr w:type="spellEnd"/>
            <w:r w:rsidRPr="007A3B4B">
              <w:rPr>
                <w:rFonts w:ascii="Times New Roman" w:eastAsia="Times New Roman" w:hAnsi="Times New Roman" w:cs="Times New Roman"/>
                <w:color w:val="000000"/>
                <w:sz w:val="18"/>
                <w:szCs w:val="18"/>
                <w:lang w:val="pl-PL"/>
              </w:rPr>
              <w:t xml:space="preserve"> oraz wymogu zgodności z odpowiednimi unijnymi i krajowymi przepisami dotyczącymi ochrony środowiska.</w:t>
            </w:r>
          </w:p>
        </w:tc>
      </w:tr>
      <w:tr w:rsidR="001052B5" w:rsidRPr="009D378C" w14:paraId="48B7A556"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E2D8BD"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A1CE3B" w14:textId="085BCD70"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 </w:t>
            </w:r>
            <w:r w:rsidR="0096244E" w:rsidRPr="00BC0B30">
              <w:rPr>
                <w:rFonts w:ascii="Times New Roman" w:eastAsia="Times New Roman" w:hAnsi="Times New Roman" w:cs="Times New Roman"/>
                <w:sz w:val="18"/>
                <w:szCs w:val="18"/>
                <w:lang w:val="pl-PL" w:eastAsia="pl-PL"/>
              </w:rPr>
              <w:t xml:space="preserve">Ułatwienie rozwoju infrastruktury sieciowej zapewniającej powszechny dostęp do szybkiego </w:t>
            </w:r>
            <w:proofErr w:type="spellStart"/>
            <w:r w:rsidR="0096244E" w:rsidRPr="00BC0B30">
              <w:rPr>
                <w:rFonts w:ascii="Times New Roman" w:eastAsia="Times New Roman" w:hAnsi="Times New Roman" w:cs="Times New Roman"/>
                <w:sz w:val="18"/>
                <w:szCs w:val="18"/>
                <w:lang w:val="pl-PL" w:eastAsia="pl-PL"/>
              </w:rPr>
              <w:t>internetu</w:t>
            </w:r>
            <w:proofErr w:type="spellEnd"/>
            <w:r w:rsidR="0096244E" w:rsidRPr="007A3B4B" w:rsidDel="0096244E">
              <w:rPr>
                <w:rFonts w:ascii="Times New Roman" w:eastAsia="Times New Roman" w:hAnsi="Times New Roman" w:cs="Times New Roman"/>
                <w:color w:val="000000" w:themeColor="text1"/>
                <w:sz w:val="18"/>
                <w:szCs w:val="18"/>
                <w:lang w:val="pl-PL"/>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71AC2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E59A8C" w14:textId="1D78EB20" w:rsidR="001052B5" w:rsidRPr="007A3B4B" w:rsidRDefault="00D87022"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Pr>
                <w:rFonts w:ascii="Times New Roman" w:eastAsia="Times New Roman" w:hAnsi="Times New Roman" w:cs="Times New Roman"/>
                <w:color w:val="000000"/>
                <w:sz w:val="18"/>
                <w:szCs w:val="18"/>
                <w:lang w:val="pl-PL"/>
              </w:rPr>
              <w:t>Nowelizacja r</w:t>
            </w:r>
            <w:r w:rsidR="001052B5" w:rsidRPr="007A3B4B">
              <w:rPr>
                <w:rFonts w:ascii="Times New Roman" w:eastAsia="Times New Roman" w:hAnsi="Times New Roman" w:cs="Times New Roman"/>
                <w:color w:val="000000"/>
                <w:sz w:val="18"/>
                <w:szCs w:val="18"/>
                <w:lang w:val="pl-PL"/>
              </w:rPr>
              <w:t>ozporządzeni</w:t>
            </w:r>
            <w:r>
              <w:rPr>
                <w:rFonts w:ascii="Times New Roman" w:eastAsia="Times New Roman" w:hAnsi="Times New Roman" w:cs="Times New Roman"/>
                <w:color w:val="000000"/>
                <w:sz w:val="18"/>
                <w:szCs w:val="18"/>
                <w:lang w:val="pl-PL"/>
              </w:rPr>
              <w:t>a</w:t>
            </w:r>
            <w:r w:rsidR="001052B5" w:rsidRPr="007A3B4B">
              <w:rPr>
                <w:rFonts w:ascii="Times New Roman" w:eastAsia="Times New Roman" w:hAnsi="Times New Roman" w:cs="Times New Roman"/>
                <w:color w:val="000000"/>
                <w:sz w:val="18"/>
                <w:szCs w:val="18"/>
                <w:lang w:val="pl-PL"/>
              </w:rPr>
              <w:t xml:space="preserve"> Ministra Cyfryzacji w sprawie corocznej inwentaryzacji infrastruktury i usług telekomunikacyjnych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66D2EA" w14:textId="42E0DC01"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Przepis w </w:t>
            </w:r>
            <w:r w:rsidR="00D87022">
              <w:rPr>
                <w:rFonts w:ascii="Times New Roman" w:eastAsia="Times New Roman" w:hAnsi="Times New Roman" w:cs="Times New Roman"/>
                <w:color w:val="000000"/>
                <w:sz w:val="18"/>
                <w:szCs w:val="18"/>
                <w:lang w:val="pl-PL"/>
              </w:rPr>
              <w:t xml:space="preserve">nowelizacji </w:t>
            </w:r>
            <w:r w:rsidRPr="007A3B4B">
              <w:rPr>
                <w:rFonts w:ascii="Times New Roman" w:eastAsia="Times New Roman" w:hAnsi="Times New Roman" w:cs="Times New Roman"/>
                <w:color w:val="000000"/>
                <w:sz w:val="18"/>
                <w:szCs w:val="18"/>
                <w:lang w:val="pl-PL"/>
              </w:rPr>
              <w:t>rozporządz</w:t>
            </w:r>
            <w:r w:rsidR="00E7607A">
              <w:rPr>
                <w:rFonts w:ascii="Times New Roman" w:eastAsia="Times New Roman" w:hAnsi="Times New Roman" w:cs="Times New Roman"/>
                <w:color w:val="000000"/>
                <w:sz w:val="18"/>
                <w:szCs w:val="18"/>
                <w:lang w:val="pl-PL"/>
              </w:rPr>
              <w:t>enia</w:t>
            </w:r>
            <w:r w:rsidRPr="007A3B4B">
              <w:rPr>
                <w:rFonts w:ascii="Times New Roman" w:eastAsia="Times New Roman" w:hAnsi="Times New Roman" w:cs="Times New Roman"/>
                <w:color w:val="000000"/>
                <w:sz w:val="18"/>
                <w:szCs w:val="18"/>
                <w:lang w:val="pl-PL"/>
              </w:rPr>
              <w:t xml:space="preserv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B61D9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9B2299"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8B0625"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77ACFB"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Q1</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33F69F"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88F8A5" w14:textId="39EE8998"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Wejście w życie</w:t>
            </w:r>
            <w:r w:rsidR="00BA7898">
              <w:rPr>
                <w:rFonts w:ascii="Times New Roman" w:eastAsia="Times New Roman" w:hAnsi="Times New Roman" w:cs="Times New Roman"/>
                <w:color w:val="000000"/>
                <w:sz w:val="18"/>
                <w:szCs w:val="18"/>
                <w:lang w:val="pl-PL"/>
              </w:rPr>
              <w:t xml:space="preserve"> znowelizowanych przepisów </w:t>
            </w:r>
            <w:r w:rsidRPr="007A3B4B">
              <w:rPr>
                <w:rFonts w:ascii="Times New Roman" w:eastAsia="Times New Roman" w:hAnsi="Times New Roman" w:cs="Times New Roman"/>
                <w:color w:val="000000"/>
                <w:sz w:val="18"/>
                <w:szCs w:val="18"/>
                <w:lang w:val="pl-PL"/>
              </w:rPr>
              <w:t>rozporządzenia w sprawie krajowej corocznej inwentaryzacji infrastruktury i usług telekomunikacyjnych, w celu lepszej identyfikacji obszarów wymagających dodatkowego wsparcia ze środków publicznych.</w:t>
            </w:r>
          </w:p>
        </w:tc>
      </w:tr>
      <w:tr w:rsidR="001052B5" w:rsidRPr="009D378C" w14:paraId="1D125B3A"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4EB473"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6D8250" w14:textId="0F2159B3"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 </w:t>
            </w:r>
            <w:r w:rsidR="0020267F" w:rsidRPr="00BC0B30">
              <w:rPr>
                <w:rFonts w:ascii="Times New Roman" w:eastAsia="Times New Roman" w:hAnsi="Times New Roman" w:cs="Times New Roman"/>
                <w:sz w:val="18"/>
                <w:szCs w:val="18"/>
                <w:lang w:val="pl-PL" w:eastAsia="pl-PL"/>
              </w:rPr>
              <w:t xml:space="preserve">Ułatwienie rozwoju infrastruktury sieciowej zapewniającej powszechny dostęp do szybkiego </w:t>
            </w:r>
            <w:proofErr w:type="spellStart"/>
            <w:r w:rsidR="0020267F" w:rsidRPr="00BC0B30">
              <w:rPr>
                <w:rFonts w:ascii="Times New Roman" w:eastAsia="Times New Roman" w:hAnsi="Times New Roman" w:cs="Times New Roman"/>
                <w:sz w:val="18"/>
                <w:szCs w:val="18"/>
                <w:lang w:val="pl-PL" w:eastAsia="pl-PL"/>
              </w:rPr>
              <w:t>internetu</w:t>
            </w:r>
            <w:proofErr w:type="spellEnd"/>
            <w:r w:rsidR="0020267F" w:rsidRPr="007A3B4B" w:rsidDel="0096244E">
              <w:rPr>
                <w:rFonts w:ascii="Times New Roman" w:eastAsia="Times New Roman" w:hAnsi="Times New Roman" w:cs="Times New Roman"/>
                <w:color w:val="000000" w:themeColor="text1"/>
                <w:sz w:val="18"/>
                <w:szCs w:val="18"/>
                <w:lang w:val="pl-PL"/>
              </w:rPr>
              <w:t xml:space="preserve"> </w:t>
            </w:r>
            <w:r w:rsidRPr="007A3B4B">
              <w:rPr>
                <w:rFonts w:ascii="Times New Roman" w:eastAsia="Times New Roman" w:hAnsi="Times New Roman" w:cs="Times New Roman"/>
                <w:color w:val="000000" w:themeColor="text1"/>
                <w:sz w:val="18"/>
                <w:szCs w:val="18"/>
                <w:lang w:val="pl-PL"/>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2CE51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5CAB3F" w14:textId="0D7AD4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Nowelizacja rozporządzenia w sprawie Jednolitego Punktu Informacyjnego przez Prezesa Rady Ministrów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226335" w14:textId="3C3581B1"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Przepis w </w:t>
            </w:r>
            <w:r w:rsidR="00D87022">
              <w:rPr>
                <w:rFonts w:ascii="Times New Roman" w:eastAsia="Times New Roman" w:hAnsi="Times New Roman" w:cs="Times New Roman"/>
                <w:color w:val="000000"/>
                <w:sz w:val="18"/>
                <w:szCs w:val="18"/>
                <w:lang w:val="pl-PL"/>
              </w:rPr>
              <w:t xml:space="preserve">nowelizacji </w:t>
            </w:r>
            <w:r w:rsidRPr="007A3B4B">
              <w:rPr>
                <w:rFonts w:ascii="Times New Roman" w:eastAsia="Times New Roman" w:hAnsi="Times New Roman" w:cs="Times New Roman"/>
                <w:color w:val="000000"/>
                <w:sz w:val="18"/>
                <w:szCs w:val="18"/>
                <w:lang w:val="pl-PL"/>
              </w:rPr>
              <w:t>rozporządzeni</w:t>
            </w:r>
            <w:r w:rsidR="00D87022">
              <w:rPr>
                <w:rFonts w:ascii="Times New Roman" w:eastAsia="Times New Roman" w:hAnsi="Times New Roman" w:cs="Times New Roman"/>
                <w:color w:val="000000"/>
                <w:sz w:val="18"/>
                <w:szCs w:val="18"/>
                <w:lang w:val="pl-PL"/>
              </w:rPr>
              <w:t>a</w:t>
            </w:r>
            <w:r w:rsidRPr="007A3B4B">
              <w:rPr>
                <w:rFonts w:ascii="Times New Roman" w:eastAsia="Times New Roman" w:hAnsi="Times New Roman" w:cs="Times New Roman"/>
                <w:color w:val="000000"/>
                <w:sz w:val="18"/>
                <w:szCs w:val="18"/>
                <w:lang w:val="pl-PL"/>
              </w:rPr>
              <w:t xml:space="preserv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44C17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BFE56D"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D15A97"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8D4472"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87B157"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AB2E0D" w14:textId="6983557A"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Wejście w życie </w:t>
            </w:r>
            <w:r w:rsidR="00BA7898">
              <w:rPr>
                <w:rFonts w:ascii="Times New Roman" w:eastAsia="Times New Roman" w:hAnsi="Times New Roman" w:cs="Times New Roman"/>
                <w:color w:val="000000"/>
                <w:sz w:val="18"/>
                <w:szCs w:val="18"/>
                <w:lang w:val="pl-PL"/>
              </w:rPr>
              <w:t xml:space="preserve">znowelizowanych przepisów </w:t>
            </w:r>
            <w:r w:rsidRPr="007A3B4B">
              <w:rPr>
                <w:rFonts w:ascii="Times New Roman" w:eastAsia="Times New Roman" w:hAnsi="Times New Roman" w:cs="Times New Roman"/>
                <w:color w:val="000000"/>
                <w:sz w:val="18"/>
                <w:szCs w:val="18"/>
                <w:lang w:val="pl-PL"/>
              </w:rPr>
              <w:t xml:space="preserve">rozporządzenia w sprawie Jednolitego Punktu Informacyjnego, zapewniającego operatorom szerszy zakres informacji o infrastrukturze, która może być wykorzystana w </w:t>
            </w:r>
            <w:r w:rsidRPr="007A3B4B">
              <w:rPr>
                <w:rFonts w:ascii="Times New Roman" w:eastAsia="Times New Roman" w:hAnsi="Times New Roman" w:cs="Times New Roman"/>
                <w:color w:val="000000"/>
                <w:sz w:val="18"/>
                <w:szCs w:val="18"/>
                <w:lang w:val="pl-PL"/>
              </w:rPr>
              <w:lastRenderedPageBreak/>
              <w:t>inwestycjach telekomunikacyjnych oraz zapewniającego lepiej dopasowane narzędzia planowania.</w:t>
            </w:r>
          </w:p>
        </w:tc>
      </w:tr>
      <w:tr w:rsidR="001052B5" w:rsidRPr="009D378C" w14:paraId="0E9B036A"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4283E1"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CA375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C1.1.1 Zapewnienie dostępu do bardzo szybkiego </w:t>
            </w:r>
            <w:proofErr w:type="spellStart"/>
            <w:r w:rsidRPr="007A3B4B">
              <w:rPr>
                <w:rFonts w:ascii="Times New Roman" w:eastAsia="Times New Roman" w:hAnsi="Times New Roman" w:cs="Times New Roman"/>
                <w:color w:val="000000" w:themeColor="text1"/>
                <w:sz w:val="18"/>
                <w:szCs w:val="18"/>
                <w:lang w:val="pl-PL"/>
              </w:rPr>
              <w:t>internetu</w:t>
            </w:r>
            <w:proofErr w:type="spellEnd"/>
            <w:r w:rsidRPr="007A3B4B">
              <w:rPr>
                <w:rFonts w:ascii="Times New Roman" w:eastAsia="Times New Roman" w:hAnsi="Times New Roman" w:cs="Times New Roman"/>
                <w:color w:val="000000" w:themeColor="text1"/>
                <w:sz w:val="18"/>
                <w:szCs w:val="18"/>
                <w:lang w:val="pl-PL"/>
              </w:rPr>
              <w:t xml:space="preserve">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B9CDF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1F298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W1 - Dodatkowe gospodarstwa domowe (lokale mieszkalne) z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895E9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FE76F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26865F" w14:textId="6E7315F7"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FDBD88" w14:textId="501E8D1B"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5CEE22"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28857C"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95DF0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Dodatkowe co najmniej 100 000 gospodarstw domowych na białych obszarach NGA, w których rynek prawdopodobnie nie zapewni użytkownikom końcowym w najbliższej przyszłości sieci oferującej łączność o przepustowości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 xml:space="preserve">/s, zostanie objęte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 zgodnie z celami Krajowego Planu Szerokopasmowego oraz Komunikatu Komisji w sprawie Europejskiego Społeczeństwa Gigabitowego.</w:t>
            </w:r>
            <w:r w:rsidRPr="007A3B4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charakterystyką energetyczną, gospodarką odpadami i oceną ryzyka środowiskowego.</w:t>
            </w:r>
          </w:p>
        </w:tc>
      </w:tr>
      <w:tr w:rsidR="001052B5" w:rsidRPr="009D378C" w14:paraId="1AA089C5"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DEBF7D"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65114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C1.1.1 Zapewnienie dostępu do bardzo szybkiego </w:t>
            </w:r>
            <w:proofErr w:type="spellStart"/>
            <w:r w:rsidRPr="007A3B4B">
              <w:rPr>
                <w:rFonts w:ascii="Times New Roman" w:eastAsia="Times New Roman" w:hAnsi="Times New Roman" w:cs="Times New Roman"/>
                <w:color w:val="000000" w:themeColor="text1"/>
                <w:sz w:val="18"/>
                <w:szCs w:val="18"/>
                <w:lang w:val="pl-PL"/>
              </w:rPr>
              <w:t>internetu</w:t>
            </w:r>
            <w:proofErr w:type="spellEnd"/>
            <w:r w:rsidRPr="007A3B4B">
              <w:rPr>
                <w:rFonts w:ascii="Times New Roman" w:eastAsia="Times New Roman" w:hAnsi="Times New Roman" w:cs="Times New Roman"/>
                <w:color w:val="000000" w:themeColor="text1"/>
                <w:sz w:val="18"/>
                <w:szCs w:val="18"/>
                <w:lang w:val="pl-PL"/>
              </w:rPr>
              <w:t xml:space="preserve">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5495C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03BE7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W2 - Dodatkowe gospodarstwa domowe (lokale mieszkalne) z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 xml:space="preserve">/s (z możliwością zwiększenia do </w:t>
            </w:r>
            <w:r w:rsidRPr="007A3B4B">
              <w:rPr>
                <w:rFonts w:ascii="Times New Roman" w:eastAsia="Times New Roman" w:hAnsi="Times New Roman" w:cs="Times New Roman"/>
                <w:color w:val="000000"/>
                <w:sz w:val="18"/>
                <w:szCs w:val="18"/>
                <w:lang w:val="pl-PL"/>
              </w:rPr>
              <w:lastRenderedPageBreak/>
              <w:t>przepustowości gigabitowej)</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AF227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lastRenderedPageBreak/>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CA087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B3CA40" w14:textId="3F181FB2"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100 000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62A6E1" w14:textId="1B84D62B"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A8F754"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25397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197B6C" w14:textId="1653A67D"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Dodatkowe co najmniej 500 000 </w:t>
            </w:r>
            <w:r w:rsidR="00D87022">
              <w:rPr>
                <w:rFonts w:ascii="Times New Roman" w:eastAsia="Times New Roman" w:hAnsi="Times New Roman" w:cs="Times New Roman"/>
                <w:color w:val="000000"/>
                <w:sz w:val="18"/>
                <w:szCs w:val="18"/>
                <w:lang w:val="pl-PL"/>
              </w:rPr>
              <w:t xml:space="preserve">(kumulatywnie) </w:t>
            </w:r>
            <w:r w:rsidRPr="007A3B4B">
              <w:rPr>
                <w:rFonts w:ascii="Times New Roman" w:eastAsia="Times New Roman" w:hAnsi="Times New Roman" w:cs="Times New Roman"/>
                <w:color w:val="000000"/>
                <w:sz w:val="18"/>
                <w:szCs w:val="18"/>
                <w:lang w:val="pl-PL"/>
              </w:rPr>
              <w:t xml:space="preserve">gospodarstw domowych na białych obszarach NGA, w których rynek prawdopodobnie nie zapewni użytkownikom końcowym w najbliższej przyszłości sieci oferującej łączność o przepustowości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 xml:space="preserve">/s, zostanie objęta </w:t>
            </w:r>
            <w:r w:rsidRPr="007A3B4B">
              <w:rPr>
                <w:rFonts w:ascii="Times New Roman" w:eastAsia="Times New Roman" w:hAnsi="Times New Roman" w:cs="Times New Roman"/>
                <w:color w:val="000000"/>
                <w:sz w:val="18"/>
                <w:szCs w:val="18"/>
                <w:lang w:val="pl-PL"/>
              </w:rPr>
              <w:lastRenderedPageBreak/>
              <w:t xml:space="preserve">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 zgodnie z celami Krajowego Planu Szerokopasmowego oraz Komunikatu Komisji w sprawie Europejskiego Społeczeństwa Gigabitowego.</w:t>
            </w:r>
            <w:r w:rsidRPr="007A3B4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charakterystyką energetyczną, gospodarką odpadami i oceną ryzyka środowiskowego.</w:t>
            </w:r>
          </w:p>
        </w:tc>
      </w:tr>
      <w:tr w:rsidR="001052B5" w:rsidRPr="009D378C" w14:paraId="3BB0F331"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D21280"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1C7A5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C1.1.1 Zapewnienie dostępu do bardzo szybkiego </w:t>
            </w:r>
            <w:proofErr w:type="spellStart"/>
            <w:r w:rsidRPr="007A3B4B">
              <w:rPr>
                <w:rFonts w:ascii="Times New Roman" w:eastAsia="Times New Roman" w:hAnsi="Times New Roman" w:cs="Times New Roman"/>
                <w:color w:val="000000" w:themeColor="text1"/>
                <w:sz w:val="18"/>
                <w:szCs w:val="18"/>
                <w:lang w:val="pl-PL"/>
              </w:rPr>
              <w:t>internetu</w:t>
            </w:r>
            <w:proofErr w:type="spellEnd"/>
            <w:r w:rsidRPr="007A3B4B">
              <w:rPr>
                <w:rFonts w:ascii="Times New Roman" w:eastAsia="Times New Roman" w:hAnsi="Times New Roman" w:cs="Times New Roman"/>
                <w:color w:val="000000" w:themeColor="text1"/>
                <w:sz w:val="18"/>
                <w:szCs w:val="18"/>
                <w:lang w:val="pl-PL"/>
              </w:rPr>
              <w:t xml:space="preserve">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8F0EA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32512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W3 - Dodatkowe gospodarstwa domowe (lokale mieszkalne) z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60CE6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DB92A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95B17E" w14:textId="5218F5AE"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500 000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C6D151" w14:textId="2295E7AF" w:rsidR="001052B5" w:rsidRPr="007A3B4B" w:rsidRDefault="00D87022"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931 000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58EBA6"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551B0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FA4EE2" w14:textId="18DA0E4F"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Dodatkowe co najmniej 931 000 </w:t>
            </w:r>
            <w:r w:rsidR="00D87022">
              <w:rPr>
                <w:rFonts w:ascii="Times New Roman" w:eastAsia="Times New Roman" w:hAnsi="Times New Roman" w:cs="Times New Roman"/>
                <w:color w:val="000000"/>
                <w:sz w:val="18"/>
                <w:szCs w:val="18"/>
                <w:lang w:val="pl-PL"/>
              </w:rPr>
              <w:t xml:space="preserve">(kumulatywnie) </w:t>
            </w:r>
            <w:r w:rsidRPr="007A3B4B">
              <w:rPr>
                <w:rFonts w:ascii="Times New Roman" w:eastAsia="Times New Roman" w:hAnsi="Times New Roman" w:cs="Times New Roman"/>
                <w:color w:val="000000"/>
                <w:sz w:val="18"/>
                <w:szCs w:val="18"/>
                <w:lang w:val="pl-PL"/>
              </w:rPr>
              <w:t xml:space="preserve">gospodarstw domowych na białych obszarach NGA, w których rynek prawdopodobnie nie zapewni użytkownikom końcowym w najbliższej przyszłości sieci oferującej łączność o przepustowości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 xml:space="preserve">/s, zostanie objęta szerokopasmowym dostępem do Internetu o przepustowości co najmniej 100 </w:t>
            </w:r>
            <w:proofErr w:type="spellStart"/>
            <w:r w:rsidRPr="007A3B4B">
              <w:rPr>
                <w:rFonts w:ascii="Times New Roman" w:eastAsia="Times New Roman" w:hAnsi="Times New Roman" w:cs="Times New Roman"/>
                <w:color w:val="000000"/>
                <w:sz w:val="18"/>
                <w:szCs w:val="18"/>
                <w:lang w:val="pl-PL"/>
              </w:rPr>
              <w:t>Mb</w:t>
            </w:r>
            <w:proofErr w:type="spellEnd"/>
            <w:r w:rsidRPr="007A3B4B">
              <w:rPr>
                <w:rFonts w:ascii="Times New Roman" w:eastAsia="Times New Roman" w:hAnsi="Times New Roman" w:cs="Times New Roman"/>
                <w:color w:val="000000"/>
                <w:sz w:val="18"/>
                <w:szCs w:val="18"/>
                <w:lang w:val="pl-PL"/>
              </w:rPr>
              <w:t>/s (z możliwością zwiększenia do przepustowości gigabitowej), zgodnie z celami Krajowego Planu Szerokopasmowego oraz Komunikatu Komisji w sprawie Europejskiego Społeczeństwa Gigabitowego.</w:t>
            </w:r>
            <w:r w:rsidRPr="007A3B4B">
              <w:rPr>
                <w:rFonts w:ascii="Times New Roman" w:eastAsia="Times New Roman" w:hAnsi="Times New Roman" w:cs="Times New Roman"/>
                <w:color w:val="000000"/>
                <w:sz w:val="18"/>
                <w:szCs w:val="18"/>
                <w:lang w:val="pl-PL"/>
              </w:rPr>
              <w:br/>
              <w:t xml:space="preserve">Inwestycja będzie realizowana w pełnej zgodności z Wytycznymi Technicznymi DNSH (2021/C </w:t>
            </w:r>
            <w:r w:rsidRPr="007A3B4B">
              <w:rPr>
                <w:rFonts w:ascii="Times New Roman" w:eastAsia="Times New Roman" w:hAnsi="Times New Roman" w:cs="Times New Roman"/>
                <w:color w:val="000000"/>
                <w:sz w:val="18"/>
                <w:szCs w:val="18"/>
                <w:lang w:val="pl-PL"/>
              </w:rPr>
              <w:lastRenderedPageBreak/>
              <w:t>58/01), w szczególności z uwzględnieniem wymagań związanych z charakterystyką energetyczną, gospodarką odpadami i oceną ryzyka środowiskowego.</w:t>
            </w:r>
          </w:p>
        </w:tc>
      </w:tr>
      <w:tr w:rsidR="001052B5" w:rsidRPr="009D378C" w14:paraId="2D7155C9" w14:textId="77777777" w:rsidTr="00A20CA7">
        <w:trPr>
          <w:trHeight w:val="265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6E7665"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C0C12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 Zwiększenie skali zastosowań cyfrowych w sferze publicznej,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BDF0E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D050B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Zmiana ustawy z dnia 17 lutego 2005 r. o informatyzacji działalności podmiotów realizujących zadania publiczne - wprowadzenie domyślnej cyfrowej formy dokumentów i elektronicznej formy usług oraz cyfryzacja procesów administracyjnych.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B58B8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Przepis w nowelizacji ustawy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B63DA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678BA1"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646B2A"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702CA2"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6D1EC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43005A" w14:textId="6BE5E563"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Wejście w życie</w:t>
            </w:r>
            <w:r w:rsidR="00BA7898">
              <w:rPr>
                <w:rFonts w:ascii="Times New Roman" w:eastAsia="Times New Roman" w:hAnsi="Times New Roman" w:cs="Times New Roman"/>
                <w:color w:val="000000"/>
                <w:sz w:val="18"/>
                <w:szCs w:val="18"/>
                <w:lang w:val="pl-PL"/>
              </w:rPr>
              <w:t xml:space="preserve"> </w:t>
            </w:r>
            <w:r w:rsidR="00B35A50">
              <w:rPr>
                <w:rFonts w:ascii="Times New Roman" w:eastAsia="Times New Roman" w:hAnsi="Times New Roman" w:cs="Times New Roman"/>
                <w:color w:val="000000"/>
                <w:sz w:val="18"/>
                <w:szCs w:val="18"/>
                <w:lang w:val="pl-PL"/>
              </w:rPr>
              <w:t xml:space="preserve">znowelizowanych przepisów </w:t>
            </w:r>
            <w:r w:rsidR="00BA7898">
              <w:rPr>
                <w:rFonts w:ascii="Times New Roman" w:eastAsia="Times New Roman" w:hAnsi="Times New Roman" w:cs="Times New Roman"/>
                <w:color w:val="000000"/>
                <w:sz w:val="18"/>
                <w:szCs w:val="18"/>
                <w:lang w:val="pl-PL"/>
              </w:rPr>
              <w:t>ustawy</w:t>
            </w:r>
            <w:r w:rsidRPr="007A3B4B">
              <w:rPr>
                <w:rFonts w:ascii="Times New Roman" w:eastAsia="Times New Roman" w:hAnsi="Times New Roman" w:cs="Times New Roman"/>
                <w:color w:val="000000"/>
                <w:sz w:val="18"/>
                <w:szCs w:val="18"/>
                <w:lang w:val="pl-PL"/>
              </w:rPr>
              <w:t xml:space="preserve"> z dnia 17 lutego 2005 r. o informatyzacji działalności podmiotów realizujących zadania publiczne. Za przygotowanie i uchwalenie tej ustawy odpowiada Kancelaria Prezesa Rady Ministrów.</w:t>
            </w:r>
          </w:p>
        </w:tc>
      </w:tr>
      <w:tr w:rsidR="001052B5" w:rsidRPr="009D378C" w14:paraId="5D58ED04"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F4D8BB"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2B808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 Zwiększenie skali zastosowań cyfrowych w sferze publicznej,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EED25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0789B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Zmiana ustawy z dnia 11 marca 2004 r. o podatku od towarów i usług (stosowanie faktur ustrukturyzowanych) - wprowadzenie do obrotu gospodarczego ustrukturyzowanych faktur elektronicznych oraz obowiązku ich wystawiania i otrzymywania za pośrednictwem Krajowego Systemu e-faktur.</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3B7AA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Przepis w nowelizacji ustawy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DD9A5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7783A7"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027B68"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5012C"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4ADE43"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3D6BAE" w14:textId="6D9DE55F"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Wejście w życie </w:t>
            </w:r>
            <w:r w:rsidR="00B35A50">
              <w:rPr>
                <w:rFonts w:ascii="Times New Roman" w:eastAsia="Times New Roman" w:hAnsi="Times New Roman" w:cs="Times New Roman"/>
                <w:color w:val="000000"/>
                <w:sz w:val="18"/>
                <w:szCs w:val="18"/>
                <w:lang w:val="pl-PL"/>
              </w:rPr>
              <w:t xml:space="preserve">znowelizowanych przepisów </w:t>
            </w:r>
            <w:r w:rsidRPr="007A3B4B">
              <w:rPr>
                <w:rFonts w:ascii="Times New Roman" w:eastAsia="Times New Roman" w:hAnsi="Times New Roman" w:cs="Times New Roman"/>
                <w:color w:val="000000"/>
                <w:sz w:val="18"/>
                <w:szCs w:val="18"/>
                <w:lang w:val="pl-PL"/>
              </w:rPr>
              <w:t>ustawy z dnia 11 marca 2004 r. o podatku od towarów i usług (stosowanie faktur strukturyzowanych). Korzystanie z e-faktury uważa się za obowiązkowe. Organem rządowym odpowiedzialnym za przygotowanie i przyjęcie znowelizowanej ustawy jest Ministerstwo Finansów.</w:t>
            </w:r>
          </w:p>
        </w:tc>
      </w:tr>
      <w:tr w:rsidR="001052B5" w:rsidRPr="009D378C" w14:paraId="100F4665"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89A77E"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EB5BF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 Zwiększenie skali zastosowań cyfrowych w sferze publicznej,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34391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7E4AA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Minimalne obowiązujące standardy wyposażenia wszystkich szkół w infrastrukturę cyfrową umożliwiającą wykorzystanie technologii cyfrowych w nauce na </w:t>
            </w:r>
            <w:r w:rsidRPr="007A3B4B">
              <w:rPr>
                <w:rFonts w:ascii="Times New Roman" w:eastAsia="Times New Roman" w:hAnsi="Times New Roman" w:cs="Times New Roman"/>
                <w:color w:val="000000"/>
                <w:sz w:val="18"/>
                <w:szCs w:val="18"/>
                <w:lang w:val="pl-PL"/>
              </w:rPr>
              <w:lastRenderedPageBreak/>
              <w:t>równym poziomie w każdej szkole.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0367F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lastRenderedPageBreak/>
              <w:t>Przyjęcie standardów przez Ministerstwo Edukacji i Nauki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B7A95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E88DAD"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01796"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E5CB8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BCF10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765E6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Przyjęcie obowiązujących standardów wyposażenia szkół w infrastrukturę cyfrową, które mają być obowiązkowe dla każdej szkoły, aby osiągnąć ten sam poziom infrastruktury cyfrowej. Opracowanie standardów będzie konsultowane z </w:t>
            </w:r>
            <w:r w:rsidRPr="007A3B4B">
              <w:rPr>
                <w:rFonts w:ascii="Times New Roman" w:eastAsia="Times New Roman" w:hAnsi="Times New Roman" w:cs="Times New Roman"/>
                <w:color w:val="000000"/>
                <w:sz w:val="18"/>
                <w:szCs w:val="18"/>
                <w:lang w:val="pl-PL"/>
              </w:rPr>
              <w:lastRenderedPageBreak/>
              <w:t>szerokim gronem interesariuszy oraz samorządem. Za przygotowanie i przyjęcie tego rozporządzenia odpowiada Ministerstwo Edukacji i Nauki.</w:t>
            </w:r>
          </w:p>
        </w:tc>
      </w:tr>
      <w:tr w:rsidR="001052B5" w:rsidRPr="009D378C" w14:paraId="6B351430"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0C490A"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C10G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5ACEE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 Zwiększenie skali zastosowań cyfrowych w sferze publicznej,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BFB48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7D859E" w14:textId="7C3B6005" w:rsidR="001052B5" w:rsidRPr="007A3B4B" w:rsidRDefault="00B35A50"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pl-PL"/>
              </w:rPr>
              <w:t xml:space="preserve">Wejście w życie uchwały Rady Ministrów przyjmującej </w:t>
            </w:r>
            <w:r w:rsidR="001052B5" w:rsidRPr="007A3B4B">
              <w:rPr>
                <w:rFonts w:ascii="Times New Roman" w:eastAsia="Times New Roman" w:hAnsi="Times New Roman" w:cs="Times New Roman"/>
                <w:color w:val="000000"/>
                <w:sz w:val="18"/>
                <w:szCs w:val="18"/>
                <w:lang w:val="pl-PL"/>
              </w:rPr>
              <w:t xml:space="preserve"> Program Rozwoju Kompetencji Cyfrowych do zarządzania rozwojem kompetencji cyfrowych oraz edukacji cyfrowej obywateli i pracowników w różnych sektorach. </w:t>
            </w:r>
            <w:proofErr w:type="spellStart"/>
            <w:r w:rsidR="001052B5" w:rsidRPr="007A3B4B">
              <w:rPr>
                <w:rFonts w:ascii="Times New Roman" w:eastAsia="Times New Roman" w:hAnsi="Times New Roman" w:cs="Times New Roman"/>
                <w:color w:val="000000"/>
                <w:sz w:val="18"/>
                <w:szCs w:val="18"/>
              </w:rPr>
              <w:t>Zawiera</w:t>
            </w:r>
            <w:proofErr w:type="spellEnd"/>
            <w:r w:rsidR="001052B5" w:rsidRPr="007A3B4B">
              <w:rPr>
                <w:rFonts w:ascii="Times New Roman" w:eastAsia="Times New Roman" w:hAnsi="Times New Roman" w:cs="Times New Roman"/>
                <w:color w:val="000000"/>
                <w:sz w:val="18"/>
                <w:szCs w:val="18"/>
              </w:rPr>
              <w:t xml:space="preserve"> to </w:t>
            </w:r>
            <w:proofErr w:type="spellStart"/>
            <w:r w:rsidR="001052B5" w:rsidRPr="007A3B4B">
              <w:rPr>
                <w:rFonts w:ascii="Times New Roman" w:eastAsia="Times New Roman" w:hAnsi="Times New Roman" w:cs="Times New Roman"/>
                <w:color w:val="000000"/>
                <w:sz w:val="18"/>
                <w:szCs w:val="18"/>
              </w:rPr>
              <w:t>utworzenie</w:t>
            </w:r>
            <w:proofErr w:type="spellEnd"/>
            <w:r w:rsidR="001052B5" w:rsidRPr="007A3B4B">
              <w:rPr>
                <w:rFonts w:ascii="Times New Roman" w:eastAsia="Times New Roman" w:hAnsi="Times New Roman" w:cs="Times New Roman"/>
                <w:color w:val="000000"/>
                <w:sz w:val="18"/>
                <w:szCs w:val="18"/>
              </w:rPr>
              <w:t xml:space="preserve"> Centrum </w:t>
            </w:r>
            <w:proofErr w:type="spellStart"/>
            <w:r w:rsidR="001052B5" w:rsidRPr="007A3B4B">
              <w:rPr>
                <w:rFonts w:ascii="Times New Roman" w:eastAsia="Times New Roman" w:hAnsi="Times New Roman" w:cs="Times New Roman"/>
                <w:color w:val="000000"/>
                <w:sz w:val="18"/>
                <w:szCs w:val="18"/>
              </w:rPr>
              <w:t>Rozwoju</w:t>
            </w:r>
            <w:proofErr w:type="spellEnd"/>
            <w:r w:rsidR="001052B5" w:rsidRPr="007A3B4B">
              <w:rPr>
                <w:rFonts w:ascii="Times New Roman" w:eastAsia="Times New Roman" w:hAnsi="Times New Roman" w:cs="Times New Roman"/>
                <w:color w:val="000000"/>
                <w:sz w:val="18"/>
                <w:szCs w:val="18"/>
              </w:rPr>
              <w:t xml:space="preserve"> </w:t>
            </w:r>
            <w:proofErr w:type="spellStart"/>
            <w:r w:rsidR="001052B5" w:rsidRPr="007A3B4B">
              <w:rPr>
                <w:rFonts w:ascii="Times New Roman" w:eastAsia="Times New Roman" w:hAnsi="Times New Roman" w:cs="Times New Roman"/>
                <w:color w:val="000000"/>
                <w:sz w:val="18"/>
                <w:szCs w:val="18"/>
              </w:rPr>
              <w:t>Kompetencji</w:t>
            </w:r>
            <w:proofErr w:type="spellEnd"/>
            <w:r w:rsidR="001052B5" w:rsidRPr="007A3B4B">
              <w:rPr>
                <w:rFonts w:ascii="Times New Roman" w:eastAsia="Times New Roman" w:hAnsi="Times New Roman" w:cs="Times New Roman"/>
                <w:color w:val="000000"/>
                <w:sz w:val="18"/>
                <w:szCs w:val="18"/>
              </w:rPr>
              <w:t xml:space="preserve"> </w:t>
            </w:r>
            <w:proofErr w:type="spellStart"/>
            <w:r w:rsidR="001052B5" w:rsidRPr="007A3B4B">
              <w:rPr>
                <w:rFonts w:ascii="Times New Roman" w:eastAsia="Times New Roman" w:hAnsi="Times New Roman" w:cs="Times New Roman"/>
                <w:color w:val="000000"/>
                <w:sz w:val="18"/>
                <w:szCs w:val="18"/>
              </w:rPr>
              <w:t>Cyfrowych</w:t>
            </w:r>
            <w:proofErr w:type="spellEnd"/>
            <w:r w:rsidR="001052B5" w:rsidRPr="007A3B4B">
              <w:rPr>
                <w:rFonts w:ascii="Times New Roman" w:eastAsia="Times New Roman" w:hAnsi="Times New Roman" w:cs="Times New Roman"/>
                <w:color w:val="000000"/>
                <w:sz w:val="18"/>
                <w:szCs w:val="18"/>
              </w:rPr>
              <w:t xml:space="preserve"> (CRKC)</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BF1CA" w14:textId="7705746C" w:rsidR="001052B5" w:rsidRPr="007A3B4B" w:rsidRDefault="00B35A50"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Pr>
                <w:rFonts w:ascii="Times New Roman" w:eastAsia="Times New Roman" w:hAnsi="Times New Roman" w:cs="Times New Roman"/>
                <w:color w:val="000000"/>
                <w:sz w:val="18"/>
                <w:szCs w:val="18"/>
                <w:lang w:val="pl-PL"/>
              </w:rPr>
              <w:t xml:space="preserve">Przepis w uchwale Rady Ministrów przyjmującej PRKC wskazujący na wejście jej w życie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F7A1B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046A7C"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75F1F0"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CF4454"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7D1094"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1AADF" w14:textId="00DDF568" w:rsidR="001052B5" w:rsidRPr="007A3B4B" w:rsidRDefault="00B35A50"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Pr>
                <w:rFonts w:ascii="Times New Roman" w:eastAsia="Times New Roman" w:hAnsi="Times New Roman" w:cs="Times New Roman"/>
                <w:color w:val="000000"/>
                <w:sz w:val="18"/>
                <w:szCs w:val="18"/>
                <w:lang w:val="pl-PL"/>
              </w:rPr>
              <w:t>Wejście w życie uchwały</w:t>
            </w:r>
            <w:r w:rsidR="001052B5" w:rsidRPr="007A3B4B">
              <w:rPr>
                <w:rFonts w:ascii="Times New Roman" w:eastAsia="Times New Roman" w:hAnsi="Times New Roman" w:cs="Times New Roman"/>
                <w:color w:val="000000"/>
                <w:sz w:val="18"/>
                <w:szCs w:val="18"/>
                <w:lang w:val="pl-PL"/>
              </w:rPr>
              <w:t xml:space="preserve"> Rad</w:t>
            </w:r>
            <w:r>
              <w:rPr>
                <w:rFonts w:ascii="Times New Roman" w:eastAsia="Times New Roman" w:hAnsi="Times New Roman" w:cs="Times New Roman"/>
                <w:color w:val="000000"/>
                <w:sz w:val="18"/>
                <w:szCs w:val="18"/>
                <w:lang w:val="pl-PL"/>
              </w:rPr>
              <w:t>y</w:t>
            </w:r>
            <w:r w:rsidR="001052B5" w:rsidRPr="007A3B4B">
              <w:rPr>
                <w:rFonts w:ascii="Times New Roman" w:eastAsia="Times New Roman" w:hAnsi="Times New Roman" w:cs="Times New Roman"/>
                <w:color w:val="000000"/>
                <w:sz w:val="18"/>
                <w:szCs w:val="18"/>
                <w:lang w:val="pl-PL"/>
              </w:rPr>
              <w:t xml:space="preserve"> Ministrów </w:t>
            </w:r>
            <w:r>
              <w:rPr>
                <w:rFonts w:ascii="Times New Roman" w:eastAsia="Times New Roman" w:hAnsi="Times New Roman" w:cs="Times New Roman"/>
                <w:color w:val="000000"/>
                <w:sz w:val="18"/>
                <w:szCs w:val="18"/>
                <w:lang w:val="pl-PL"/>
              </w:rPr>
              <w:t xml:space="preserve">przyjmującej </w:t>
            </w:r>
            <w:r w:rsidR="001052B5" w:rsidRPr="007A3B4B">
              <w:rPr>
                <w:rFonts w:ascii="Times New Roman" w:eastAsia="Times New Roman" w:hAnsi="Times New Roman" w:cs="Times New Roman"/>
                <w:color w:val="000000"/>
                <w:sz w:val="18"/>
                <w:szCs w:val="18"/>
                <w:lang w:val="pl-PL"/>
              </w:rPr>
              <w:t xml:space="preserve">Program Rozwoju Kompetencji Cyfrowych (programu wieloletniego do 2030 roku), w tym planu wdrażania, ewaluacji i monitoringu zgodnie z "Ustawą o zasadach prowadzenia polityki rozwoju". Program jest opracowywany z zastosowaniem podejścia obejmującego wielu interesariuszy. W ramach programu ustanawia się między innymi Centrum Rozwoju Kompetencji Cyfrowych (CRKC) oraz politykę rozwoju kompetencji cyfrowych. </w:t>
            </w:r>
          </w:p>
        </w:tc>
      </w:tr>
      <w:tr w:rsidR="001052B5" w:rsidRPr="009D378C" w14:paraId="20AE74C4"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5453EB"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246086" w14:textId="7FBE079C" w:rsidR="001052B5" w:rsidRPr="007A3B4B" w:rsidRDefault="00BC3A5F"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C3A5F">
              <w:rPr>
                <w:rFonts w:ascii="Times New Roman" w:eastAsia="Times New Roman" w:hAnsi="Times New Roman" w:cs="Times New Roman"/>
                <w:color w:val="000000" w:themeColor="text1"/>
                <w:sz w:val="18"/>
                <w:szCs w:val="18"/>
                <w:lang w:val="pl-PL"/>
              </w:rPr>
              <w:t>E-usługi publiczne, rozwiązania IT usprawniające funkcjonowanie administracji i sektorów gospodarki oraz technologie przełomowe w sektorze publicznym,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7BBC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0BF65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W1 - Projekty tworzące nowe e-usługi i modernizujące istniejące, usprawniające proces ich tworzenia lub poprzez cyfryzację usprawniające obsługę procesów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F57BA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94D98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691A08"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187B86"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6</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479C9F"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504A8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48749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Liczba zrealizowanych projektów, które tworzą nowe i rozwijają istniejące e-usługi, usprawniając proces ich tworzenia lub, poprzez cyfryzację, usprawniając obsługę procesów. Te projekty doprowadzą do:</w:t>
            </w:r>
            <w:r w:rsidRPr="007A3B4B">
              <w:rPr>
                <w:rFonts w:ascii="Times New Roman" w:eastAsia="Times New Roman" w:hAnsi="Times New Roman" w:cs="Times New Roman"/>
                <w:color w:val="000000"/>
                <w:sz w:val="18"/>
                <w:szCs w:val="18"/>
                <w:lang w:val="pl-PL"/>
              </w:rPr>
              <w:br/>
              <w:t>- Zakończenia budowy nowych lub rozbudowy platform udostępniania danych publicznych oraz platform wdrażania e-usług;</w:t>
            </w:r>
            <w:r w:rsidRPr="007A3B4B">
              <w:rPr>
                <w:rFonts w:ascii="Times New Roman" w:eastAsia="Times New Roman" w:hAnsi="Times New Roman" w:cs="Times New Roman"/>
                <w:color w:val="000000"/>
                <w:sz w:val="18"/>
                <w:szCs w:val="18"/>
                <w:lang w:val="pl-PL"/>
              </w:rPr>
              <w:br/>
              <w:t>- Zakończenia budowy nowych lub rozbudowy publicznych systemów informatycznych;</w:t>
            </w:r>
            <w:r w:rsidRPr="007A3B4B">
              <w:rPr>
                <w:rFonts w:ascii="Times New Roman" w:eastAsia="Times New Roman" w:hAnsi="Times New Roman" w:cs="Times New Roman"/>
                <w:color w:val="000000"/>
                <w:sz w:val="18"/>
                <w:szCs w:val="18"/>
                <w:lang w:val="pl-PL"/>
              </w:rPr>
              <w:br/>
              <w:t>- Wdrożenia nowych, zmodyfikowanych lub zintegrowanych e-usług publicznych;</w:t>
            </w:r>
            <w:r w:rsidRPr="007A3B4B">
              <w:rPr>
                <w:rFonts w:ascii="Times New Roman" w:eastAsia="Times New Roman" w:hAnsi="Times New Roman" w:cs="Times New Roman"/>
                <w:color w:val="000000"/>
                <w:sz w:val="18"/>
                <w:szCs w:val="18"/>
                <w:lang w:val="pl-PL"/>
              </w:rPr>
              <w:br/>
            </w:r>
            <w:r w:rsidRPr="007A3B4B">
              <w:rPr>
                <w:rFonts w:ascii="Times New Roman" w:eastAsia="Times New Roman" w:hAnsi="Times New Roman" w:cs="Times New Roman"/>
                <w:color w:val="000000"/>
                <w:sz w:val="18"/>
                <w:szCs w:val="18"/>
                <w:lang w:val="pl-PL"/>
              </w:rPr>
              <w:lastRenderedPageBreak/>
              <w:t>- Dostarczania, adaptacji i rozbudowy e-usług, w tym usług interfejsu programowania aplikacji (API) na nowych lub rozbudowanych platformach;</w:t>
            </w:r>
            <w:r w:rsidRPr="007A3B4B">
              <w:rPr>
                <w:rFonts w:ascii="Times New Roman" w:eastAsia="Times New Roman" w:hAnsi="Times New Roman" w:cs="Times New Roman"/>
                <w:color w:val="000000"/>
                <w:sz w:val="18"/>
                <w:szCs w:val="18"/>
                <w:lang w:val="pl-PL"/>
              </w:rPr>
              <w:br/>
              <w:t xml:space="preserve">- Wdrożenia testowych mechanizmów współpracy w celu stymulowania wykorzystania przełomowych technologii. </w:t>
            </w:r>
            <w:r w:rsidRPr="007A3B4B">
              <w:rPr>
                <w:rFonts w:ascii="Times New Roman" w:eastAsia="Times New Roman" w:hAnsi="Times New Roman" w:cs="Times New Roman"/>
                <w:color w:val="000000"/>
                <w:sz w:val="18"/>
                <w:szCs w:val="18"/>
                <w:lang w:val="pl-PL"/>
              </w:rPr>
              <w:br/>
              <w:t xml:space="preserve">Wszystkie nowe lub zmodernizowane e-usługi z graficznym interfejsem użytkownika będą mieć co najmniej czwarty poziom dojrzałości, czyli pełną elektroniczną obsługę spraw. </w:t>
            </w:r>
          </w:p>
        </w:tc>
      </w:tr>
      <w:tr w:rsidR="001052B5" w:rsidRPr="009D378C" w14:paraId="483BC93B"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C252DA"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C12G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F15242" w14:textId="3836EA9A" w:rsidR="001052B5" w:rsidRPr="007A3B4B" w:rsidRDefault="00BC3A5F"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C3A5F">
              <w:rPr>
                <w:rFonts w:ascii="Times New Roman" w:eastAsia="Times New Roman" w:hAnsi="Times New Roman" w:cs="Times New Roman"/>
                <w:color w:val="000000" w:themeColor="text1"/>
                <w:sz w:val="18"/>
                <w:szCs w:val="18"/>
                <w:lang w:val="pl-PL"/>
              </w:rPr>
              <w:t>E-usługi publiczne, rozwiązania IT usprawniające funkcjonowanie administracji i sektorów gospodarki oraz technologie przełomowe w sektorze publicznym,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ED786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30093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W2 - Projekty tworzące nowe e-usługi i modernizujące istniejące, usprawniające proces ich tworzenia lub poprzez cyfryzację usprawniające obsługę procesów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DF477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C6A0E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1804D1"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6</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7D92F4"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39</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7B69FE"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9DF67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04E7C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Liczba zrealizowanych projektów, które tworzą nowe i rozwijają istniejące e-usługi, usprawniając proces ich tworzenia lub, poprzez cyfryzację, usprawniając obsługę procesów. Te projekty doprowadzą do:</w:t>
            </w:r>
            <w:r w:rsidRPr="007A3B4B">
              <w:rPr>
                <w:rFonts w:ascii="Times New Roman" w:eastAsia="Times New Roman" w:hAnsi="Times New Roman" w:cs="Times New Roman"/>
                <w:color w:val="000000"/>
                <w:sz w:val="18"/>
                <w:szCs w:val="18"/>
                <w:lang w:val="pl-PL"/>
              </w:rPr>
              <w:br/>
              <w:t>- Zakończenia budowy nowych lub rozbudowy platform udostępniania danych publicznych oraz platform wdrażania e-usług;</w:t>
            </w:r>
            <w:r w:rsidRPr="007A3B4B">
              <w:rPr>
                <w:rFonts w:ascii="Times New Roman" w:eastAsia="Times New Roman" w:hAnsi="Times New Roman" w:cs="Times New Roman"/>
                <w:color w:val="000000"/>
                <w:sz w:val="18"/>
                <w:szCs w:val="18"/>
                <w:lang w:val="pl-PL"/>
              </w:rPr>
              <w:br/>
              <w:t>- Zakończenia budowy nowych lub rozbudowy publicznych systemów informatycznych;</w:t>
            </w:r>
            <w:r w:rsidRPr="007A3B4B">
              <w:rPr>
                <w:rFonts w:ascii="Times New Roman" w:eastAsia="Times New Roman" w:hAnsi="Times New Roman" w:cs="Times New Roman"/>
                <w:color w:val="000000"/>
                <w:sz w:val="18"/>
                <w:szCs w:val="18"/>
                <w:lang w:val="pl-PL"/>
              </w:rPr>
              <w:br/>
              <w:t>- Wdrożenia nowych, zmodyfikowanych lub zintegrowanych e-usług publicznych;</w:t>
            </w:r>
            <w:r w:rsidRPr="007A3B4B">
              <w:rPr>
                <w:rFonts w:ascii="Times New Roman" w:eastAsia="Times New Roman" w:hAnsi="Times New Roman" w:cs="Times New Roman"/>
                <w:color w:val="000000"/>
                <w:sz w:val="18"/>
                <w:szCs w:val="18"/>
                <w:lang w:val="pl-PL"/>
              </w:rPr>
              <w:br/>
              <w:t>- Dostarczania, adaptacji i rozbudowy e-usług, w tym usług interfejsu programowania aplikacji (API) na nowych lub rozbudowanych platformach;</w:t>
            </w:r>
            <w:r w:rsidRPr="007A3B4B">
              <w:rPr>
                <w:rFonts w:ascii="Times New Roman" w:eastAsia="Times New Roman" w:hAnsi="Times New Roman" w:cs="Times New Roman"/>
                <w:color w:val="000000"/>
                <w:sz w:val="18"/>
                <w:szCs w:val="18"/>
                <w:lang w:val="pl-PL"/>
              </w:rPr>
              <w:br/>
              <w:t xml:space="preserve">- Wdrożenia testowych mechanizmów współpracy w celu </w:t>
            </w:r>
            <w:r w:rsidRPr="007A3B4B">
              <w:rPr>
                <w:rFonts w:ascii="Times New Roman" w:eastAsia="Times New Roman" w:hAnsi="Times New Roman" w:cs="Times New Roman"/>
                <w:color w:val="000000"/>
                <w:sz w:val="18"/>
                <w:szCs w:val="18"/>
                <w:lang w:val="pl-PL"/>
              </w:rPr>
              <w:lastRenderedPageBreak/>
              <w:t xml:space="preserve">stymulowania wykorzystania przełomowych technologii. </w:t>
            </w:r>
            <w:r w:rsidRPr="007A3B4B">
              <w:rPr>
                <w:rFonts w:ascii="Times New Roman" w:eastAsia="Times New Roman" w:hAnsi="Times New Roman" w:cs="Times New Roman"/>
                <w:color w:val="000000"/>
                <w:sz w:val="18"/>
                <w:szCs w:val="18"/>
                <w:lang w:val="pl-PL"/>
              </w:rPr>
              <w:br/>
              <w:t>Wszystkie nowe lub zmodernizowane e-usługi z graficznym interfejsem użytkownika będą mieć co najmniej czwarty poziom dojrzałości.</w:t>
            </w:r>
          </w:p>
        </w:tc>
      </w:tr>
      <w:tr w:rsidR="001052B5" w:rsidRPr="009D378C" w14:paraId="4BAB26E1"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A3A869"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C13G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80A506" w14:textId="0E90D75A" w:rsidR="001052B5" w:rsidRPr="007A3B4B" w:rsidRDefault="00BC3A5F"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C3A5F">
              <w:rPr>
                <w:rFonts w:ascii="Times New Roman" w:eastAsia="Times New Roman" w:hAnsi="Times New Roman" w:cs="Times New Roman"/>
                <w:color w:val="000000" w:themeColor="text1"/>
                <w:sz w:val="18"/>
                <w:szCs w:val="18"/>
                <w:lang w:val="pl-PL"/>
              </w:rPr>
              <w:t>E-usługi publiczne, rozwiązania IT usprawniające funkcjonowanie administracji i sektorów gospodarki oraz technologie przełomowe w sektorze publicznym, gospodarce i społeczeństwie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47D21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52857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Uwierzytelnienia przez węzeł krajowy https://login.gov.pl (średnia na miesiąc w danym roku)</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D6A49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74C24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4D9853" w14:textId="65A2574F"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D97806" w14:textId="1FFC53B5" w:rsidR="001052B5" w:rsidRPr="007A3B4B" w:rsidRDefault="00B35A50"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8 500 000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DE702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811FEB"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B26A7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Co najmniej 8 500 000 uwierzytelnień przez węzeł krajowy, który jest narzędziem łączącym krajowe (publiczne i prywatne) systemy identyfikacji elektronicznej oraz systemy informatyczne, w ramach których świadczone są e-usługi. Całkowitą liczbę uwierzytelnień online mierzy się, odzwierciedlając pojedynczą interakcję danego użytkownika usług publicznych online.</w:t>
            </w:r>
          </w:p>
        </w:tc>
      </w:tr>
      <w:tr w:rsidR="001052B5" w:rsidRPr="009D378C" w14:paraId="277D94DC"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FF62CC"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7E1CE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C2.1.2 Równe szanse dla szkół z mobilnymi urządzeniami multimedialnymi – inwestycje związane ze spełnieniem minimalnych standardów wyposażenia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26A57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A6121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Nowe komputery przenośne do dyspozycji nauczycieli</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10794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09AE3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6CBBB5" w14:textId="2E2410B6"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69FF26" w14:textId="38A1D44F" w:rsidR="001052B5" w:rsidRPr="007A3B4B" w:rsidRDefault="00B35A50"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465 000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6E19F7"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E6E54E"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F7D39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Co najmniej 465 000 przenośnych komputerów z niezbędnym oprogramowaniem dostarczonych do szkół do użytku nauczycieli. Ogólnym celem tego działania jest wyposażenie nauczycieli w komputery przenośne. Sprawiedliwa i przejrzysta procedura przydziału komputerów przenośnych z oprogramowaniem, zapewni równe traktowanie wszystkich szkół i placówek oświatowych i zostanie ustalona we współpracy z samorządami.</w:t>
            </w:r>
            <w:r w:rsidRPr="007A3B4B">
              <w:rPr>
                <w:rFonts w:ascii="Times New Roman" w:eastAsia="Times New Roman" w:hAnsi="Times New Roman" w:cs="Times New Roman"/>
                <w:color w:val="000000"/>
                <w:sz w:val="18"/>
                <w:szCs w:val="18"/>
                <w:lang w:val="pl-PL"/>
              </w:rPr>
              <w:br/>
              <w:t xml:space="preserve">Inwestycja będzie realizowana w pełnej zgodności z Wytycznymi Technicznymi DNSH (2021/C 58/01), w szczególności z uwzględnieniem wymagań </w:t>
            </w:r>
            <w:r w:rsidRPr="007A3B4B">
              <w:rPr>
                <w:rFonts w:ascii="Times New Roman" w:eastAsia="Times New Roman" w:hAnsi="Times New Roman" w:cs="Times New Roman"/>
                <w:color w:val="000000"/>
                <w:sz w:val="18"/>
                <w:szCs w:val="18"/>
                <w:lang w:val="pl-PL"/>
              </w:rPr>
              <w:lastRenderedPageBreak/>
              <w:t>związanych z efektywnością energetyczną, efektywnością materiałową i recyklingiem.</w:t>
            </w:r>
          </w:p>
        </w:tc>
      </w:tr>
      <w:tr w:rsidR="001052B5" w:rsidRPr="009D378C" w14:paraId="680140FE"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C49491"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C15G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842D9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C2.1.2 Równe szanse dla szkół z mobilnymi urządzeniami multimedialnymi – inwestycje związane ze spełnieniem minimalnych standardów wyposażenia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D57BB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F87D3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Nowe komputery przenośne do dyspozycji uczniów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E971D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C209E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036605" w14:textId="335AAB66"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6DAC26" w14:textId="386E3395" w:rsidR="001052B5" w:rsidRPr="007A3B4B" w:rsidRDefault="00B35A50"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735000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7221F2"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8D0938"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A78E0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Co najmniej 735 000 przenośnych komputerów z niezbędnym oprogramowaniem dostarczonych do szkół do użytku uczniów.  </w:t>
            </w:r>
            <w:r w:rsidRPr="007A3B4B">
              <w:rPr>
                <w:rFonts w:ascii="Times New Roman" w:eastAsia="Times New Roman" w:hAnsi="Times New Roman" w:cs="Times New Roman"/>
                <w:color w:val="000000"/>
                <w:sz w:val="18"/>
                <w:szCs w:val="18"/>
                <w:lang w:val="pl-PL"/>
              </w:rPr>
              <w:br/>
              <w:t>Sprawiedliwa i przejrzysta procedura przydziału komputerów przenośnych z oprogramowaniem zapewni równe traktowanie wszystkich szkół i placówek oświatowych i zostanie ustalona we współpracy z samorządami.</w:t>
            </w:r>
            <w:r w:rsidRPr="007A3B4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efektywnością energetyczną, efektywnością materiałową i recyklingiem.</w:t>
            </w:r>
          </w:p>
        </w:tc>
      </w:tr>
      <w:tr w:rsidR="001052B5" w:rsidRPr="009D378C" w14:paraId="1A6B067D"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2739ED"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E5F0E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584D9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A4D0F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Utworzenie Centrum Rozwoju Kompetencji Cyfrowych (CRKC)</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F0DE3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Sprawozdanie ze struktury organizacyjnej i funkcjonowania CRKC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A631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0915AB"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911B90"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DB200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67A526"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37740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Centrum Rozwoju Kompetencji Cyfrowych (CRKC) zostanie utworzone w ramach urzędu ministra właściwego do spraw cyfryzacji. Głównym celem CRKC jest przyczynienie się do wzmocnienia i usprawnienia systemu koordynacji rozwoju kompetencji cyfrowych w Polsce poprzez realizację następujących funkcji pomocniczych:</w:t>
            </w:r>
            <w:r w:rsidRPr="007A3B4B">
              <w:rPr>
                <w:rFonts w:ascii="Times New Roman" w:eastAsia="Times New Roman" w:hAnsi="Times New Roman" w:cs="Times New Roman"/>
                <w:color w:val="000000"/>
                <w:sz w:val="18"/>
                <w:szCs w:val="18"/>
                <w:lang w:val="pl-PL"/>
              </w:rPr>
              <w:br/>
              <w:t xml:space="preserve">• Funkcja badawcza i analityczna </w:t>
            </w:r>
            <w:r w:rsidRPr="007A3B4B">
              <w:rPr>
                <w:rFonts w:ascii="Times New Roman" w:eastAsia="Times New Roman" w:hAnsi="Times New Roman" w:cs="Times New Roman"/>
                <w:color w:val="000000"/>
                <w:sz w:val="18"/>
                <w:szCs w:val="18"/>
                <w:lang w:val="pl-PL"/>
              </w:rPr>
              <w:br/>
              <w:t xml:space="preserve">Funkcja ta zawiera prace badawcze i monitorujące w zakresie kompetencji cyfrowych i jest w połączeniu z funkcją obserwatora, który gromadzi </w:t>
            </w:r>
            <w:r w:rsidRPr="007A3B4B">
              <w:rPr>
                <w:rFonts w:ascii="Times New Roman" w:eastAsia="Times New Roman" w:hAnsi="Times New Roman" w:cs="Times New Roman"/>
                <w:color w:val="000000"/>
                <w:sz w:val="18"/>
                <w:szCs w:val="18"/>
                <w:lang w:val="pl-PL"/>
              </w:rPr>
              <w:lastRenderedPageBreak/>
              <w:t>i strukturyzuje wiedzę w tym zakresie (poprzez analizę nowoczesnych trendów, innowacji, badań i dobrych praktyk). Prowadzi to do sformułowania zaleceń i wniosków dotyczących odpowiednich działań.</w:t>
            </w:r>
            <w:r w:rsidRPr="007A3B4B">
              <w:rPr>
                <w:rFonts w:ascii="Times New Roman" w:eastAsia="Times New Roman" w:hAnsi="Times New Roman" w:cs="Times New Roman"/>
                <w:color w:val="000000"/>
                <w:sz w:val="18"/>
                <w:szCs w:val="18"/>
                <w:lang w:val="pl-PL"/>
              </w:rPr>
              <w:br/>
              <w:t xml:space="preserve">• Funkcja testowania i wdrażania </w:t>
            </w:r>
            <w:r w:rsidRPr="007A3B4B">
              <w:rPr>
                <w:rFonts w:ascii="Times New Roman" w:eastAsia="Times New Roman" w:hAnsi="Times New Roman" w:cs="Times New Roman"/>
                <w:color w:val="000000"/>
                <w:sz w:val="18"/>
                <w:szCs w:val="18"/>
                <w:lang w:val="pl-PL"/>
              </w:rPr>
              <w:br/>
              <w:t xml:space="preserve">Funkcja ta będzie polegała na testowaniu w formie akcji pilotażowych i wdrażaniu najbardziej wartościowych i obiecujących rozwiązań, rekomendacji i propozycji wynikających z akcji pilotażowych oraz realizacji funkcji badawczo-analitycznej. </w:t>
            </w:r>
            <w:r w:rsidRPr="007A3B4B">
              <w:rPr>
                <w:rFonts w:ascii="Times New Roman" w:eastAsia="Times New Roman" w:hAnsi="Times New Roman" w:cs="Times New Roman"/>
                <w:color w:val="000000"/>
                <w:sz w:val="18"/>
                <w:szCs w:val="18"/>
                <w:lang w:val="pl-PL"/>
              </w:rPr>
              <w:br/>
              <w:t xml:space="preserve">• Funkcja edukacyjna i popularyzatorska </w:t>
            </w:r>
            <w:r w:rsidRPr="007A3B4B">
              <w:rPr>
                <w:rFonts w:ascii="Times New Roman" w:eastAsia="Times New Roman" w:hAnsi="Times New Roman" w:cs="Times New Roman"/>
                <w:color w:val="000000"/>
                <w:sz w:val="18"/>
                <w:szCs w:val="18"/>
                <w:lang w:val="pl-PL"/>
              </w:rPr>
              <w:br/>
              <w:t>Funkcja ta będzie obejmować takie działania, jak: doradztwo, mentoring, seminaria, szkolenia i kursy, a także upowszechnianie wyników działań Centrum poprzez portal informacyjny z analizami/standardami/schematami/dobrymi praktykami dotyczącymi rozwoju kompetencji cyfrowych.</w:t>
            </w:r>
          </w:p>
        </w:tc>
      </w:tr>
      <w:tr w:rsidR="001052B5" w:rsidRPr="009D378C" w14:paraId="6329C83D"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E4AA13"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C17G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5D6B6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D1ED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C5C7B9" w14:textId="76BDB890"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W1- Koordynatorzy cyfrowi, </w:t>
            </w:r>
            <w:r w:rsidR="00E112AB">
              <w:rPr>
                <w:rFonts w:ascii="Times New Roman" w:eastAsia="Times New Roman" w:hAnsi="Times New Roman" w:cs="Times New Roman"/>
                <w:color w:val="000000"/>
                <w:sz w:val="18"/>
                <w:szCs w:val="18"/>
                <w:lang w:val="pl-PL"/>
              </w:rPr>
              <w:t>średnio</w:t>
            </w:r>
            <w:r w:rsidRPr="007A3B4B">
              <w:rPr>
                <w:rFonts w:ascii="Times New Roman" w:eastAsia="Times New Roman" w:hAnsi="Times New Roman" w:cs="Times New Roman"/>
                <w:color w:val="000000"/>
                <w:sz w:val="18"/>
                <w:szCs w:val="18"/>
                <w:lang w:val="pl-PL"/>
              </w:rPr>
              <w:t xml:space="preserve"> jeden w każdej gminie w Polsce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8BC9F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CFE6B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D1E599"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61FB92"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1500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FCD379"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49B51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B49E4D" w14:textId="675E598E"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Co najmniej połowa wszystkich gmin zostanie objęta programem dla celu pośredniego,  w każdej gminie będzie </w:t>
            </w:r>
            <w:r w:rsidR="00E112AB">
              <w:rPr>
                <w:rFonts w:ascii="Times New Roman" w:eastAsia="Times New Roman" w:hAnsi="Times New Roman" w:cs="Times New Roman"/>
                <w:color w:val="000000"/>
                <w:sz w:val="18"/>
                <w:szCs w:val="18"/>
                <w:lang w:val="pl-PL"/>
              </w:rPr>
              <w:t>średnio</w:t>
            </w:r>
            <w:r w:rsidRPr="007A3B4B">
              <w:rPr>
                <w:rFonts w:ascii="Times New Roman" w:eastAsia="Times New Roman" w:hAnsi="Times New Roman" w:cs="Times New Roman"/>
                <w:color w:val="000000"/>
                <w:sz w:val="18"/>
                <w:szCs w:val="18"/>
                <w:lang w:val="pl-PL"/>
              </w:rPr>
              <w:t xml:space="preserve"> jeden koordynator cyfrowy. Dodatkowa liczba koordynatorów na gminę zostanie określona w oparciu o</w:t>
            </w:r>
            <w:r w:rsidR="00E112AB">
              <w:rPr>
                <w:rFonts w:ascii="Times New Roman" w:eastAsia="Times New Roman" w:hAnsi="Times New Roman" w:cs="Times New Roman"/>
                <w:color w:val="000000"/>
                <w:sz w:val="18"/>
                <w:szCs w:val="18"/>
                <w:lang w:val="pl-PL"/>
              </w:rPr>
              <w:t xml:space="preserve"> takie czynniki jak</w:t>
            </w:r>
            <w:r w:rsidRPr="007A3B4B">
              <w:rPr>
                <w:rFonts w:ascii="Times New Roman" w:eastAsia="Times New Roman" w:hAnsi="Times New Roman" w:cs="Times New Roman"/>
                <w:color w:val="000000"/>
                <w:sz w:val="18"/>
                <w:szCs w:val="18"/>
                <w:lang w:val="pl-PL"/>
              </w:rPr>
              <w:t xml:space="preserve">: wielkość gminy, liczbę mieszkańców, poziom umiejętności cyfrowych oraz zapotrzebowanie na sprzęt komputerowy. Zadaniem koordynatorów cyfrowych będzie </w:t>
            </w:r>
            <w:r w:rsidRPr="007A3B4B">
              <w:rPr>
                <w:rFonts w:ascii="Times New Roman" w:eastAsia="Times New Roman" w:hAnsi="Times New Roman" w:cs="Times New Roman"/>
                <w:color w:val="000000"/>
                <w:sz w:val="18"/>
                <w:szCs w:val="18"/>
                <w:lang w:val="pl-PL"/>
              </w:rPr>
              <w:lastRenderedPageBreak/>
              <w:t>wspieranie gminy i instytucji na swoim terenie oraz odpowiadanie na rzeczywiste potrzeby ludności.</w:t>
            </w:r>
          </w:p>
        </w:tc>
      </w:tr>
      <w:tr w:rsidR="001052B5" w:rsidRPr="009D378C" w14:paraId="77E6EF43"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F3A4F3"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C18G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0BE17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D6186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7316C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W2- Nowi koordynatorzy cyfrowi, co najmniej jeden w każdej gminie w Polsce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3D0D8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3CFA6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5E9BF3"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1500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91C05F"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2477</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8DE988"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44EB43"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022F8D" w14:textId="299E967F"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Programem objęte zostaną wszystkie gminy,  a w każdej gminie będzie </w:t>
            </w:r>
            <w:proofErr w:type="spellStart"/>
            <w:r w:rsidR="00E112AB">
              <w:rPr>
                <w:rFonts w:ascii="Times New Roman" w:eastAsia="Times New Roman" w:hAnsi="Times New Roman" w:cs="Times New Roman"/>
                <w:color w:val="000000"/>
                <w:sz w:val="18"/>
                <w:szCs w:val="18"/>
                <w:lang w:val="pl-PL"/>
              </w:rPr>
              <w:t>średnio</w:t>
            </w:r>
            <w:r w:rsidRPr="007A3B4B">
              <w:rPr>
                <w:rFonts w:ascii="Times New Roman" w:eastAsia="Times New Roman" w:hAnsi="Times New Roman" w:cs="Times New Roman"/>
                <w:color w:val="000000"/>
                <w:sz w:val="18"/>
                <w:szCs w:val="18"/>
                <w:lang w:val="pl-PL"/>
              </w:rPr>
              <w:t>jeden</w:t>
            </w:r>
            <w:proofErr w:type="spellEnd"/>
            <w:r w:rsidRPr="007A3B4B">
              <w:rPr>
                <w:rFonts w:ascii="Times New Roman" w:eastAsia="Times New Roman" w:hAnsi="Times New Roman" w:cs="Times New Roman"/>
                <w:color w:val="000000"/>
                <w:sz w:val="18"/>
                <w:szCs w:val="18"/>
                <w:lang w:val="pl-PL"/>
              </w:rPr>
              <w:t xml:space="preserve"> koordynator cyfrowy. Dodatkowa liczba koordynatorów na gminę zostanie określona w oparciu o</w:t>
            </w:r>
            <w:r w:rsidR="00E112AB">
              <w:rPr>
                <w:rFonts w:ascii="Times New Roman" w:eastAsia="Times New Roman" w:hAnsi="Times New Roman" w:cs="Times New Roman"/>
                <w:color w:val="000000"/>
                <w:sz w:val="18"/>
                <w:szCs w:val="18"/>
                <w:lang w:val="pl-PL"/>
              </w:rPr>
              <w:t xml:space="preserve"> takie czynniki jak</w:t>
            </w:r>
            <w:r w:rsidRPr="007A3B4B">
              <w:rPr>
                <w:rFonts w:ascii="Times New Roman" w:eastAsia="Times New Roman" w:hAnsi="Times New Roman" w:cs="Times New Roman"/>
                <w:color w:val="000000"/>
                <w:sz w:val="18"/>
                <w:szCs w:val="18"/>
                <w:lang w:val="pl-PL"/>
              </w:rPr>
              <w:t>: wielkość gminy, liczbę mieszkańców, poziom umiejętności cyfrowych oraz zapotrzebowanie na sprzęt komputerowy. Zadaniem koordynatorów cyfrowych będzie wspieranie gminy i instytucji na swoim terenie oraz odpowiadanie na rzeczywiste potrzeby ludności.</w:t>
            </w:r>
          </w:p>
        </w:tc>
      </w:tr>
      <w:tr w:rsidR="001052B5" w:rsidRPr="009D378C" w14:paraId="29AC387F"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75E2A2"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C19G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84667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5B1E8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AEBED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W1 - Dodatkowe osoby przeszkolone w zakresie kompetencji cyfrowych, w tym umiejętności informatycznych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DD095D"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BD0FE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17BF99" w14:textId="44004DEB" w:rsidR="001052B5" w:rsidRPr="007A3B4B" w:rsidRDefault="00E112AB"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1E30A4" w14:textId="5ABA0AA9" w:rsidR="001052B5" w:rsidRPr="007A3B4B" w:rsidRDefault="00E112AB"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3CD82C"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3DEC99"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AA708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Co najmniej 190 000 osób przeszkolonych w ramach realizacji projektów mających na celu rozwijanie (nabywanie lub rozwijanie) kompetencji cyfrowych. Osoby objęte szkoleniami z zakresu kompetencji cyfrowych będą zawierać w sposób mniej lub bardziej równomierny następujące kategorie:         </w:t>
            </w:r>
            <w:r w:rsidRPr="007A3B4B">
              <w:rPr>
                <w:rFonts w:ascii="Times New Roman" w:eastAsia="Times New Roman" w:hAnsi="Times New Roman" w:cs="Times New Roman"/>
                <w:color w:val="000000"/>
                <w:sz w:val="18"/>
                <w:szCs w:val="18"/>
                <w:lang w:val="pl-PL"/>
              </w:rPr>
              <w:br/>
              <w:t>- 40% obywateli potrzebujących podstawowych umiejętności cyfrowych;</w:t>
            </w:r>
            <w:r w:rsidRPr="007A3B4B">
              <w:rPr>
                <w:rFonts w:ascii="Times New Roman" w:eastAsia="Times New Roman" w:hAnsi="Times New Roman" w:cs="Times New Roman"/>
                <w:color w:val="000000"/>
                <w:sz w:val="18"/>
                <w:szCs w:val="18"/>
                <w:lang w:val="pl-PL"/>
              </w:rPr>
              <w:br/>
              <w:t>- 20% urzędników publicznych;</w:t>
            </w:r>
            <w:r w:rsidRPr="007A3B4B">
              <w:rPr>
                <w:rFonts w:ascii="Times New Roman" w:eastAsia="Times New Roman" w:hAnsi="Times New Roman" w:cs="Times New Roman"/>
                <w:color w:val="000000"/>
                <w:sz w:val="18"/>
                <w:szCs w:val="18"/>
                <w:lang w:val="pl-PL"/>
              </w:rPr>
              <w:br/>
              <w:t>- 20% wychowawców i nauczycieli;</w:t>
            </w:r>
            <w:r w:rsidRPr="007A3B4B">
              <w:rPr>
                <w:rFonts w:ascii="Times New Roman" w:eastAsia="Times New Roman" w:hAnsi="Times New Roman" w:cs="Times New Roman"/>
                <w:color w:val="000000"/>
                <w:sz w:val="18"/>
                <w:szCs w:val="18"/>
                <w:lang w:val="pl-PL"/>
              </w:rPr>
              <w:br/>
              <w:t>- 20% osób wykluczonych i zagrożonych wykluczeniem.</w:t>
            </w:r>
            <w:r w:rsidRPr="007A3B4B">
              <w:rPr>
                <w:rFonts w:ascii="Times New Roman" w:eastAsia="Times New Roman" w:hAnsi="Times New Roman" w:cs="Times New Roman"/>
                <w:color w:val="000000"/>
                <w:sz w:val="18"/>
                <w:szCs w:val="18"/>
                <w:lang w:val="pl-PL"/>
              </w:rPr>
              <w:br/>
              <w:t xml:space="preserve">Inwestycja nie obejmuje dodatkowych obowiązkowych szkoleń dla kadry pedagogicznej przedszkoli w zakresie obsługi </w:t>
            </w:r>
            <w:r w:rsidRPr="007A3B4B">
              <w:rPr>
                <w:rFonts w:ascii="Times New Roman" w:eastAsia="Times New Roman" w:hAnsi="Times New Roman" w:cs="Times New Roman"/>
                <w:color w:val="000000"/>
                <w:sz w:val="18"/>
                <w:szCs w:val="18"/>
                <w:lang w:val="pl-PL"/>
              </w:rPr>
              <w:lastRenderedPageBreak/>
              <w:t>sprzętu teleinformatycznego dla małych dzieci.</w:t>
            </w:r>
          </w:p>
        </w:tc>
      </w:tr>
      <w:tr w:rsidR="001052B5" w:rsidRPr="009D378C" w14:paraId="3410EA28"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003C39"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C20G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13399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7A3B4B">
              <w:rPr>
                <w:rFonts w:ascii="Times New Roman" w:eastAsia="Times New Roman" w:hAnsi="Times New Roman" w:cs="Times New Roman"/>
                <w:color w:val="000000" w:themeColor="text1"/>
                <w:sz w:val="18"/>
                <w:szCs w:val="18"/>
              </w:rPr>
              <w:t>C2.1.3 E-</w:t>
            </w:r>
            <w:proofErr w:type="spellStart"/>
            <w:r w:rsidRPr="007A3B4B">
              <w:rPr>
                <w:rFonts w:ascii="Times New Roman" w:eastAsia="Times New Roman" w:hAnsi="Times New Roman" w:cs="Times New Roman"/>
                <w:color w:val="000000" w:themeColor="text1"/>
                <w:sz w:val="18"/>
                <w:szCs w:val="18"/>
              </w:rPr>
              <w:t>kompetencje</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960CE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9139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W2 - Dodatkowe osoby przeszkolone w zakresie kompetencji cyfrowych, w tym umiejętności informatycznych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F076D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0D10B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47362A" w14:textId="2E37CA84"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1</w:t>
            </w:r>
            <w:r w:rsidR="00E112AB">
              <w:rPr>
                <w:rFonts w:ascii="Times New Roman" w:eastAsia="Times New Roman" w:hAnsi="Times New Roman" w:cs="Times New Roman"/>
                <w:color w:val="000000"/>
                <w:sz w:val="18"/>
                <w:szCs w:val="18"/>
              </w:rPr>
              <w:t>90 000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F5C280" w14:textId="2D60EA9E" w:rsidR="001052B5" w:rsidRPr="007A3B4B" w:rsidRDefault="00E112AB"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380 000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3368CB"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47E161"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E1176"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Co najmniej 380 000 osób przeszkolonych w ramach realizacji projektów mających na celu rozwijanie (nabywanie lub rozwijanie) kompetencji cyfrowych. Osoby objęte szkoleniami z zakresu kompetencji cyfrowych będą zawierać w sposób mniej lub bardziej równomierny następujące kategorie:         </w:t>
            </w:r>
            <w:r w:rsidRPr="007A3B4B">
              <w:rPr>
                <w:rFonts w:ascii="Times New Roman" w:eastAsia="Times New Roman" w:hAnsi="Times New Roman" w:cs="Times New Roman"/>
                <w:color w:val="000000"/>
                <w:sz w:val="18"/>
                <w:szCs w:val="18"/>
                <w:lang w:val="pl-PL"/>
              </w:rPr>
              <w:br/>
              <w:t>- 40% obywateli potrzebujących podstawowych umiejętności cyfrowych;</w:t>
            </w:r>
            <w:r w:rsidRPr="007A3B4B">
              <w:rPr>
                <w:rFonts w:ascii="Times New Roman" w:eastAsia="Times New Roman" w:hAnsi="Times New Roman" w:cs="Times New Roman"/>
                <w:color w:val="000000"/>
                <w:sz w:val="18"/>
                <w:szCs w:val="18"/>
                <w:lang w:val="pl-PL"/>
              </w:rPr>
              <w:br/>
              <w:t>- 20% urzędników publicznych;</w:t>
            </w:r>
            <w:r w:rsidRPr="007A3B4B">
              <w:rPr>
                <w:rFonts w:ascii="Times New Roman" w:eastAsia="Times New Roman" w:hAnsi="Times New Roman" w:cs="Times New Roman"/>
                <w:color w:val="000000"/>
                <w:sz w:val="18"/>
                <w:szCs w:val="18"/>
                <w:lang w:val="pl-PL"/>
              </w:rPr>
              <w:br/>
              <w:t>- 20% wychowawców i nauczycieli;</w:t>
            </w:r>
            <w:r w:rsidRPr="007A3B4B">
              <w:rPr>
                <w:rFonts w:ascii="Times New Roman" w:eastAsia="Times New Roman" w:hAnsi="Times New Roman" w:cs="Times New Roman"/>
                <w:color w:val="000000"/>
                <w:sz w:val="18"/>
                <w:szCs w:val="18"/>
                <w:lang w:val="pl-PL"/>
              </w:rPr>
              <w:br/>
              <w:t>- 20% osób wykluczonych i zagrożonych wykluczeniem.</w:t>
            </w:r>
            <w:r w:rsidRPr="007A3B4B">
              <w:rPr>
                <w:rFonts w:ascii="Times New Roman" w:eastAsia="Times New Roman" w:hAnsi="Times New Roman" w:cs="Times New Roman"/>
                <w:color w:val="000000"/>
                <w:sz w:val="18"/>
                <w:szCs w:val="18"/>
                <w:lang w:val="pl-PL"/>
              </w:rPr>
              <w:br/>
              <w:t>Inwestycja nie obejmuje dodatkowych obowiązkowych szkoleń dla kadry pedagogicznej przedszkoli w zakresie obsługi sprzętu teleinformatycznego dla małych dzieci.</w:t>
            </w:r>
          </w:p>
        </w:tc>
      </w:tr>
      <w:tr w:rsidR="001052B5" w:rsidRPr="009D378C" w14:paraId="15A455EE"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F3D7FA"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B1445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  Zwiększenie </w:t>
            </w:r>
            <w:proofErr w:type="spellStart"/>
            <w:r w:rsidRPr="007A3B4B">
              <w:rPr>
                <w:rFonts w:ascii="Times New Roman" w:eastAsia="Times New Roman" w:hAnsi="Times New Roman" w:cs="Times New Roman"/>
                <w:color w:val="000000" w:themeColor="text1"/>
                <w:sz w:val="18"/>
                <w:szCs w:val="18"/>
                <w:lang w:val="pl-PL"/>
              </w:rPr>
              <w:t>cyberbezpieczeństwa</w:t>
            </w:r>
            <w:proofErr w:type="spellEnd"/>
            <w:r w:rsidRPr="007A3B4B">
              <w:rPr>
                <w:rFonts w:ascii="Times New Roman" w:eastAsia="Times New Roman" w:hAnsi="Times New Roman" w:cs="Times New Roman"/>
                <w:color w:val="000000" w:themeColor="text1"/>
                <w:sz w:val="18"/>
                <w:szCs w:val="18"/>
                <w:lang w:val="pl-PL"/>
              </w:rPr>
              <w:t xml:space="preserve"> systemów informacyjnych, wzmocnienie infrastruktury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6E7F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4DB0F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Nowelizacja ustawy z dnia 5 lipca 2018 r. o krajowym systemie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wdrażająca dyrektywę NIS oraz ustanawiająca kompleksowe podstawy prawne i organizacyjne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dla krajowego systemu </w:t>
            </w:r>
            <w:proofErr w:type="spellStart"/>
            <w:r w:rsidRPr="007A3B4B">
              <w:rPr>
                <w:rFonts w:ascii="Times New Roman" w:eastAsia="Times New Roman" w:hAnsi="Times New Roman" w:cs="Times New Roman"/>
                <w:color w:val="000000"/>
                <w:sz w:val="18"/>
                <w:szCs w:val="18"/>
                <w:lang w:val="pl-PL"/>
              </w:rPr>
              <w:t>cyberbezpieczeństwa</w:t>
            </w:r>
            <w:proofErr w:type="spellEnd"/>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8AE373" w14:textId="0B1AC1E9"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Przepis </w:t>
            </w:r>
            <w:r w:rsidR="00E112AB">
              <w:rPr>
                <w:rFonts w:ascii="Times New Roman" w:eastAsia="Times New Roman" w:hAnsi="Times New Roman" w:cs="Times New Roman"/>
                <w:color w:val="000000"/>
                <w:sz w:val="18"/>
                <w:szCs w:val="18"/>
                <w:lang w:val="pl-PL"/>
              </w:rPr>
              <w:t xml:space="preserve">w </w:t>
            </w:r>
            <w:r w:rsidRPr="007A3B4B">
              <w:rPr>
                <w:rFonts w:ascii="Times New Roman" w:eastAsia="Times New Roman" w:hAnsi="Times New Roman" w:cs="Times New Roman"/>
                <w:color w:val="000000"/>
                <w:sz w:val="18"/>
                <w:szCs w:val="18"/>
                <w:lang w:val="pl-PL"/>
              </w:rPr>
              <w:t>nowelizacji ustawy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485F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D38694"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DECAA9"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1188A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B3CDD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ECE89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Wejście w życie zmian w ustawie o krajowym systemie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Pozwoli to m.in. na utworzenie sieci sektorowych zespołów reagowania na incydenty bezpieczeństwa komputerowego (CSIRT), utworzenie Centrów Wymiany i Analizy Informacji (ISAC) oraz wzmocni mechanizmy współpracy pomiędzy administracją rządową a jednostkami samorządu terytorialnego w zakresie reagowania na incydenty naruszające </w:t>
            </w:r>
            <w:r w:rsidRPr="007A3B4B">
              <w:rPr>
                <w:rFonts w:ascii="Times New Roman" w:eastAsia="Times New Roman" w:hAnsi="Times New Roman" w:cs="Times New Roman"/>
                <w:color w:val="000000"/>
                <w:sz w:val="18"/>
                <w:szCs w:val="18"/>
                <w:lang w:val="pl-PL"/>
              </w:rPr>
              <w:lastRenderedPageBreak/>
              <w:t xml:space="preserve">bezpieczeństwo. Ustawa o krajowym systemie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jest konieczna także w związku z koniecznością wdrożenia tzw. 5G </w:t>
            </w:r>
            <w:proofErr w:type="spellStart"/>
            <w:r w:rsidRPr="007A3B4B">
              <w:rPr>
                <w:rFonts w:ascii="Times New Roman" w:eastAsia="Times New Roman" w:hAnsi="Times New Roman" w:cs="Times New Roman"/>
                <w:color w:val="000000"/>
                <w:sz w:val="18"/>
                <w:szCs w:val="18"/>
                <w:lang w:val="pl-PL"/>
              </w:rPr>
              <w:t>Toolbox</w:t>
            </w:r>
            <w:proofErr w:type="spellEnd"/>
            <w:r w:rsidRPr="007A3B4B">
              <w:rPr>
                <w:rFonts w:ascii="Times New Roman" w:eastAsia="Times New Roman" w:hAnsi="Times New Roman" w:cs="Times New Roman"/>
                <w:color w:val="000000"/>
                <w:sz w:val="18"/>
                <w:szCs w:val="18"/>
                <w:lang w:val="pl-PL"/>
              </w:rPr>
              <w:t>. Za przygotowanie i przyjęcie znowelizowanej ustawy odpowiedzialna jest Kancelaria Prezesa Rady Ministrów.</w:t>
            </w:r>
          </w:p>
        </w:tc>
      </w:tr>
      <w:tr w:rsidR="001052B5" w:rsidRPr="009D378C" w14:paraId="4AE51BD4"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815A36"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C22G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6E9FC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  Zwiększenie </w:t>
            </w:r>
            <w:proofErr w:type="spellStart"/>
            <w:r w:rsidRPr="007A3B4B">
              <w:rPr>
                <w:rFonts w:ascii="Times New Roman" w:eastAsia="Times New Roman" w:hAnsi="Times New Roman" w:cs="Times New Roman"/>
                <w:color w:val="000000" w:themeColor="text1"/>
                <w:sz w:val="18"/>
                <w:szCs w:val="18"/>
                <w:lang w:val="pl-PL"/>
              </w:rPr>
              <w:t>cyberbezpieczeństwa</w:t>
            </w:r>
            <w:proofErr w:type="spellEnd"/>
            <w:r w:rsidRPr="007A3B4B">
              <w:rPr>
                <w:rFonts w:ascii="Times New Roman" w:eastAsia="Times New Roman" w:hAnsi="Times New Roman" w:cs="Times New Roman"/>
                <w:color w:val="000000" w:themeColor="text1"/>
                <w:sz w:val="18"/>
                <w:szCs w:val="18"/>
                <w:lang w:val="pl-PL"/>
              </w:rPr>
              <w:t xml:space="preserve"> systemów informacyjnych, wzmocnienie infrastruktury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F4B78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31001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Zmiana rozporządzenia Rady Ministrów z dnia 11 września 2018 r. w sprawie wykazu usług podstawowych oraz progów istotności skutku zakłócającego incydentu dla świadczenia usług kluczowych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DD7AF3" w14:textId="028FFA1D"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Przepis </w:t>
            </w:r>
            <w:r w:rsidR="00E112AB">
              <w:rPr>
                <w:rFonts w:ascii="Times New Roman" w:eastAsia="Times New Roman" w:hAnsi="Times New Roman" w:cs="Times New Roman"/>
                <w:color w:val="000000"/>
                <w:sz w:val="18"/>
                <w:szCs w:val="18"/>
                <w:lang w:val="pl-PL"/>
              </w:rPr>
              <w:t xml:space="preserve">w </w:t>
            </w:r>
            <w:r w:rsidRPr="007A3B4B">
              <w:rPr>
                <w:rFonts w:ascii="Times New Roman" w:eastAsia="Times New Roman" w:hAnsi="Times New Roman" w:cs="Times New Roman"/>
                <w:color w:val="000000"/>
                <w:sz w:val="18"/>
                <w:szCs w:val="18"/>
                <w:lang w:val="pl-PL"/>
              </w:rPr>
              <w:t>nowelizacji rozporządzenia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C29B3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C945C7"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86B0FE"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40E7F9"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102447"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CBC6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Wejście w życie zmiany rozporządzenia Rady Ministrów z dnia 11 września 2018 r. w sprawie wykazu usług kluczowych oraz progów istotności skutku zakłócającego incydentu dla świadczenia usług kluczowych. </w:t>
            </w:r>
            <w:r w:rsidRPr="007A3B4B">
              <w:rPr>
                <w:rFonts w:ascii="Times New Roman" w:eastAsia="Times New Roman" w:hAnsi="Times New Roman" w:cs="Times New Roman"/>
                <w:color w:val="000000"/>
                <w:sz w:val="18"/>
                <w:szCs w:val="18"/>
                <w:lang w:val="pl-PL"/>
              </w:rPr>
              <w:br/>
              <w:t>Progi/kryteria identyfikacji operatorów usług kluczowych, przede wszystkim w sektorze zdrowia zostaną zmienione w celu poprawy obecnych kryteriów jakości, pozwalających na identyfikację podmiotów/szpitali kluczowych w sektorze zdrowia.</w:t>
            </w:r>
          </w:p>
        </w:tc>
      </w:tr>
      <w:tr w:rsidR="001052B5" w:rsidRPr="009D378C" w14:paraId="1E7A396F"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696E74"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BF3B32" w14:textId="7A157FDE"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w:t>
            </w:r>
            <w:proofErr w:type="spellStart"/>
            <w:r w:rsidRPr="007A3B4B">
              <w:rPr>
                <w:rFonts w:ascii="Times New Roman" w:eastAsia="Times New Roman" w:hAnsi="Times New Roman" w:cs="Times New Roman"/>
                <w:color w:val="000000" w:themeColor="text1"/>
                <w:sz w:val="18"/>
                <w:szCs w:val="18"/>
                <w:lang w:val="pl-PL"/>
              </w:rPr>
              <w:t>Cyberbezpieczeństwo</w:t>
            </w:r>
            <w:proofErr w:type="spellEnd"/>
            <w:r w:rsidRPr="007A3B4B">
              <w:rPr>
                <w:rFonts w:ascii="Times New Roman" w:eastAsia="Times New Roman" w:hAnsi="Times New Roman" w:cs="Times New Roman"/>
                <w:color w:val="000000" w:themeColor="text1"/>
                <w:sz w:val="18"/>
                <w:szCs w:val="18"/>
                <w:lang w:val="pl-PL"/>
              </w:rPr>
              <w:t xml:space="preserve">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4ECBF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F2FA8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Projekty z zakresu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CyberPL</w:t>
            </w:r>
            <w:proofErr w:type="spellEnd"/>
            <w:r w:rsidRPr="007A3B4B">
              <w:rPr>
                <w:rFonts w:ascii="Times New Roman" w:eastAsia="Times New Roman" w:hAnsi="Times New Roman" w:cs="Times New Roman"/>
                <w:color w:val="000000"/>
                <w:sz w:val="18"/>
                <w:szCs w:val="18"/>
                <w:lang w:val="pl-PL"/>
              </w:rPr>
              <w:t xml:space="preserve">) w ramach dwóch obszarów interwencji: 1) Program Poprawy Efektywności Krajowego Systemu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(KSC-PL) oraz</w:t>
            </w:r>
            <w:r w:rsidRPr="007A3B4B">
              <w:rPr>
                <w:rFonts w:ascii="Times New Roman" w:eastAsia="Times New Roman" w:hAnsi="Times New Roman" w:cs="Times New Roman"/>
                <w:color w:val="000000"/>
                <w:sz w:val="18"/>
                <w:szCs w:val="18"/>
                <w:lang w:val="pl-PL"/>
              </w:rPr>
              <w:br/>
              <w:t xml:space="preserve">2) Utworzenie i rozwój operacyjnych centrów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(SOC-DEV-PL)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80D672"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AF940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CDB3DE"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7A2CC1"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8</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13D18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5A647E"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CDE29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Liczba zrealizowanych projektów pod parasolem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na który składają się:</w:t>
            </w:r>
            <w:r w:rsidRPr="007A3B4B">
              <w:rPr>
                <w:rFonts w:ascii="Times New Roman" w:eastAsia="Times New Roman" w:hAnsi="Times New Roman" w:cs="Times New Roman"/>
                <w:color w:val="000000"/>
                <w:sz w:val="18"/>
                <w:szCs w:val="18"/>
                <w:lang w:val="pl-PL"/>
              </w:rPr>
              <w:br/>
              <w:t xml:space="preserve">• Utworzenie sieci 7 regionalnych centrów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RegioSOC</w:t>
            </w:r>
            <w:proofErr w:type="spellEnd"/>
            <w:r w:rsidRPr="007A3B4B">
              <w:rPr>
                <w:rFonts w:ascii="Times New Roman" w:eastAsia="Times New Roman" w:hAnsi="Times New Roman" w:cs="Times New Roman"/>
                <w:color w:val="000000"/>
                <w:sz w:val="18"/>
                <w:szCs w:val="18"/>
                <w:lang w:val="pl-PL"/>
              </w:rPr>
              <w:t>);</w:t>
            </w:r>
            <w:r w:rsidRPr="007A3B4B">
              <w:rPr>
                <w:rFonts w:ascii="Times New Roman" w:eastAsia="Times New Roman" w:hAnsi="Times New Roman" w:cs="Times New Roman"/>
                <w:color w:val="000000"/>
                <w:sz w:val="18"/>
                <w:szCs w:val="18"/>
                <w:lang w:val="pl-PL"/>
              </w:rPr>
              <w:br/>
              <w:t>• Utworzenie sieci dla łącznie 7 sektorowych zespołów reagowania na incydenty bezpieczeństwa komputerowego (CSIRT) w kluczowych sektorach;</w:t>
            </w:r>
            <w:r w:rsidRPr="007A3B4B">
              <w:rPr>
                <w:rFonts w:ascii="Times New Roman" w:eastAsia="Times New Roman" w:hAnsi="Times New Roman" w:cs="Times New Roman"/>
                <w:color w:val="000000"/>
                <w:sz w:val="18"/>
                <w:szCs w:val="18"/>
                <w:lang w:val="pl-PL"/>
              </w:rPr>
              <w:br/>
              <w:t xml:space="preserve">• Przyłączenie 385 krajowych podmiotów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do zintegrowanego systemu zarządzania </w:t>
            </w:r>
            <w:proofErr w:type="spellStart"/>
            <w:r w:rsidRPr="007A3B4B">
              <w:rPr>
                <w:rFonts w:ascii="Times New Roman" w:eastAsia="Times New Roman" w:hAnsi="Times New Roman" w:cs="Times New Roman"/>
                <w:color w:val="000000"/>
                <w:sz w:val="18"/>
                <w:szCs w:val="18"/>
                <w:lang w:val="pl-PL"/>
              </w:rPr>
              <w:lastRenderedPageBreak/>
              <w:t>cyberbezpieczeństwem</w:t>
            </w:r>
            <w:proofErr w:type="spellEnd"/>
            <w:r w:rsidRPr="007A3B4B">
              <w:rPr>
                <w:rFonts w:ascii="Times New Roman" w:eastAsia="Times New Roman" w:hAnsi="Times New Roman" w:cs="Times New Roman"/>
                <w:color w:val="000000"/>
                <w:sz w:val="18"/>
                <w:szCs w:val="18"/>
                <w:lang w:val="pl-PL"/>
              </w:rPr>
              <w:t>;</w:t>
            </w:r>
            <w:r w:rsidRPr="007A3B4B">
              <w:rPr>
                <w:rFonts w:ascii="Times New Roman" w:eastAsia="Times New Roman" w:hAnsi="Times New Roman" w:cs="Times New Roman"/>
                <w:color w:val="000000"/>
                <w:sz w:val="18"/>
                <w:szCs w:val="18"/>
                <w:lang w:val="pl-PL"/>
              </w:rPr>
              <w:br/>
              <w:t>• Stworzenie sieci nowopowstałych lub zmodernizowanych minimum 30 centrów operacji bezpieczeństwa (SOC) w podmiotach kluczowych dla bezpieczeństwa państwa oraz modernizacja istniejących;</w:t>
            </w:r>
            <w:r w:rsidRPr="007A3B4B">
              <w:rPr>
                <w:rFonts w:ascii="Times New Roman" w:eastAsia="Times New Roman" w:hAnsi="Times New Roman" w:cs="Times New Roman"/>
                <w:color w:val="000000"/>
                <w:sz w:val="18"/>
                <w:szCs w:val="18"/>
                <w:lang w:val="pl-PL"/>
              </w:rPr>
              <w:br/>
              <w:t xml:space="preserve">• Realizacja programu przekwalifikowania i podnoszenia umiejętności 600 osób personelu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w:t>
            </w:r>
            <w:r w:rsidRPr="007A3B4B">
              <w:rPr>
                <w:rFonts w:ascii="Times New Roman" w:eastAsia="Times New Roman" w:hAnsi="Times New Roman" w:cs="Times New Roman"/>
                <w:color w:val="000000"/>
                <w:sz w:val="18"/>
                <w:szCs w:val="18"/>
                <w:lang w:val="pl-PL"/>
              </w:rPr>
              <w:br/>
              <w:t>• Wdrożenie programu wzmocnienia systemowego co najmniej 30 podmiotów wykorzystujących technologię operacyjną przemysłowych systemów sterowania (ICS);</w:t>
            </w:r>
            <w:r w:rsidRPr="007A3B4B">
              <w:rPr>
                <w:rFonts w:ascii="Times New Roman" w:eastAsia="Times New Roman" w:hAnsi="Times New Roman" w:cs="Times New Roman"/>
                <w:color w:val="000000"/>
                <w:sz w:val="18"/>
                <w:szCs w:val="18"/>
                <w:lang w:val="pl-PL"/>
              </w:rPr>
              <w:br/>
              <w:t xml:space="preserve">• Wsparcie 400 podmiotów w zakresie modernizacji i rozbudowy infrastruktury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z wykorzystaniem technologii informatycznych i operacyjnych oraz zakupu produktów i usług z zakresu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br/>
              <w:t xml:space="preserve">• Utworzenie wojewódzkiej sieci ratowników </w:t>
            </w:r>
            <w:proofErr w:type="spellStart"/>
            <w:r w:rsidRPr="007A3B4B">
              <w:rPr>
                <w:rFonts w:ascii="Times New Roman" w:eastAsia="Times New Roman" w:hAnsi="Times New Roman" w:cs="Times New Roman"/>
                <w:color w:val="000000"/>
                <w:sz w:val="18"/>
                <w:szCs w:val="18"/>
                <w:lang w:val="pl-PL"/>
              </w:rPr>
              <w:t>cyberbezpieczeństwa</w:t>
            </w:r>
            <w:proofErr w:type="spellEnd"/>
            <w:r w:rsidRPr="007A3B4B">
              <w:rPr>
                <w:rFonts w:ascii="Times New Roman" w:eastAsia="Times New Roman" w:hAnsi="Times New Roman" w:cs="Times New Roman"/>
                <w:color w:val="000000"/>
                <w:sz w:val="18"/>
                <w:szCs w:val="18"/>
                <w:lang w:val="pl-PL"/>
              </w:rPr>
              <w:t xml:space="preserve"> wspierających podmioty publiczne w obsłudze i odzyskiwaniu incydentów oraz prowadzenie szkoleń dla władz lokalnych i regionalnych z zakresu </w:t>
            </w:r>
            <w:proofErr w:type="spellStart"/>
            <w:r w:rsidRPr="007A3B4B">
              <w:rPr>
                <w:rFonts w:ascii="Times New Roman" w:eastAsia="Times New Roman" w:hAnsi="Times New Roman" w:cs="Times New Roman"/>
                <w:color w:val="000000"/>
                <w:sz w:val="18"/>
                <w:szCs w:val="18"/>
                <w:lang w:val="pl-PL"/>
              </w:rPr>
              <w:t>cyberhigieny</w:t>
            </w:r>
            <w:proofErr w:type="spellEnd"/>
            <w:r w:rsidRPr="007A3B4B">
              <w:rPr>
                <w:rFonts w:ascii="Times New Roman" w:eastAsia="Times New Roman" w:hAnsi="Times New Roman" w:cs="Times New Roman"/>
                <w:color w:val="000000"/>
                <w:sz w:val="18"/>
                <w:szCs w:val="18"/>
                <w:lang w:val="pl-PL"/>
              </w:rPr>
              <w:t xml:space="preserve"> (co najmniej 440 ratowników i osób przeszkolonych).</w:t>
            </w:r>
          </w:p>
        </w:tc>
      </w:tr>
      <w:tr w:rsidR="001052B5" w:rsidRPr="009D378C" w14:paraId="667D4C21"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FA1FDB"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lastRenderedPageBreak/>
              <w:t>C24G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A4E7CF" w14:textId="25D76B00"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w:t>
            </w:r>
            <w:proofErr w:type="spellStart"/>
            <w:r w:rsidRPr="007A3B4B">
              <w:rPr>
                <w:rFonts w:ascii="Times New Roman" w:eastAsia="Times New Roman" w:hAnsi="Times New Roman" w:cs="Times New Roman"/>
                <w:color w:val="000000" w:themeColor="text1"/>
                <w:sz w:val="18"/>
                <w:szCs w:val="18"/>
                <w:lang w:val="pl-PL"/>
              </w:rPr>
              <w:t>Cyberbezpieczeństwo</w:t>
            </w:r>
            <w:proofErr w:type="spellEnd"/>
            <w:r w:rsidRPr="007A3B4B">
              <w:rPr>
                <w:rFonts w:ascii="Times New Roman" w:eastAsia="Times New Roman" w:hAnsi="Times New Roman" w:cs="Times New Roman"/>
                <w:color w:val="000000" w:themeColor="text1"/>
                <w:sz w:val="18"/>
                <w:szCs w:val="18"/>
                <w:lang w:val="pl-PL"/>
              </w:rPr>
              <w:t xml:space="preserve">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xml:space="preserve">, infrastruktura przetwarzania danych oraz optymalizacja infrastruktury służb </w:t>
            </w:r>
            <w:r w:rsidRPr="007A3B4B">
              <w:rPr>
                <w:rFonts w:ascii="Times New Roman" w:eastAsia="Times New Roman" w:hAnsi="Times New Roman" w:cs="Times New Roman"/>
                <w:color w:val="000000" w:themeColor="text1"/>
                <w:sz w:val="18"/>
                <w:szCs w:val="18"/>
                <w:lang w:val="pl-PL"/>
              </w:rPr>
              <w:lastRenderedPageBreak/>
              <w:t>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5D9C1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lastRenderedPageBreak/>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AA294"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Podpisanie umów na budowę centrów przetwarzania danych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C01B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Podpisanie</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umów</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5BF180"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4C91AA"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7D229D"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A5C48A"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Q1</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71C45D"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8702A5"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Podpisane umowy na wykonanie budynków trzech centrów przetwarzania danych, które obejmować będą też ich wyposażenie mechaniczne i elektryczne.</w:t>
            </w:r>
          </w:p>
        </w:tc>
      </w:tr>
      <w:tr w:rsidR="001052B5" w:rsidRPr="009D378C" w14:paraId="66639915"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DE862C"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CE2D4F" w14:textId="5430A282"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w:t>
            </w:r>
            <w:proofErr w:type="spellStart"/>
            <w:r w:rsidRPr="007A3B4B">
              <w:rPr>
                <w:rFonts w:ascii="Times New Roman" w:eastAsia="Times New Roman" w:hAnsi="Times New Roman" w:cs="Times New Roman"/>
                <w:color w:val="000000" w:themeColor="text1"/>
                <w:sz w:val="18"/>
                <w:szCs w:val="18"/>
                <w:lang w:val="pl-PL"/>
              </w:rPr>
              <w:t>Cyberbezpieczeństwo</w:t>
            </w:r>
            <w:proofErr w:type="spellEnd"/>
            <w:r w:rsidRPr="007A3B4B">
              <w:rPr>
                <w:rFonts w:ascii="Times New Roman" w:eastAsia="Times New Roman" w:hAnsi="Times New Roman" w:cs="Times New Roman"/>
                <w:color w:val="000000" w:themeColor="text1"/>
                <w:sz w:val="18"/>
                <w:szCs w:val="18"/>
                <w:lang w:val="pl-PL"/>
              </w:rPr>
              <w:t xml:space="preserve">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AD1C1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1CA4B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Stworzenie standardowych centrów przetwarzania danych, zapewniających energooszczędną infrastrukturę</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E8814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B3AD5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0D2CA8"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770B44"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3</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F7E834"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93C4B7"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EE98AB"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Liczba funkcjonujących ustandaryzowanych centrów danych, pod względem założonych parametrów efektywności energetycznej wykorzystujących energię odnawialną i wodór, gęstość mocy obliczeniowej i podłączonych do wybudowanej pętli światłowodowej zapewniającej dwie niezależne trasy komunikacyjne pomiędzy dowolnie wybraną parą CPD. Centra przestrzegają Europejskiego Kodeksu Postępowania w zakresie Efektywności Energetycznej Centrów Danych.</w:t>
            </w:r>
            <w:r w:rsidRPr="007A3B4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efektywnością energetyczną, gospodarką odpadami i oceną ryzyka środowiskowego.</w:t>
            </w:r>
          </w:p>
        </w:tc>
      </w:tr>
      <w:tr w:rsidR="001052B5" w:rsidRPr="009D378C" w14:paraId="3080B246"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F4A6FA"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B69152" w14:textId="68D74850"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w:t>
            </w:r>
            <w:proofErr w:type="spellStart"/>
            <w:r w:rsidRPr="007A3B4B">
              <w:rPr>
                <w:rFonts w:ascii="Times New Roman" w:eastAsia="Times New Roman" w:hAnsi="Times New Roman" w:cs="Times New Roman"/>
                <w:color w:val="000000" w:themeColor="text1"/>
                <w:sz w:val="18"/>
                <w:szCs w:val="18"/>
                <w:lang w:val="pl-PL"/>
              </w:rPr>
              <w:t>Cyberbezpieczeństwo</w:t>
            </w:r>
            <w:proofErr w:type="spellEnd"/>
            <w:r w:rsidRPr="007A3B4B">
              <w:rPr>
                <w:rFonts w:ascii="Times New Roman" w:eastAsia="Times New Roman" w:hAnsi="Times New Roman" w:cs="Times New Roman"/>
                <w:color w:val="000000" w:themeColor="text1"/>
                <w:sz w:val="18"/>
                <w:szCs w:val="18"/>
                <w:lang w:val="pl-PL"/>
              </w:rPr>
              <w:t xml:space="preserve">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F1E217"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7B4408"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Infrastruktura mobilna systemu zarządzania kryzysowego</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ED98C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0C15FE"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B46E1E"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F13B43"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17721</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7B1BF5"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EC5CB3"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AD0409"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Wartość wskaźnika składa się z następujących elementów: </w:t>
            </w:r>
            <w:r w:rsidRPr="007A3B4B">
              <w:rPr>
                <w:rFonts w:ascii="Times New Roman" w:eastAsia="Times New Roman" w:hAnsi="Times New Roman" w:cs="Times New Roman"/>
                <w:color w:val="000000"/>
                <w:sz w:val="18"/>
                <w:szCs w:val="18"/>
                <w:lang w:val="pl-PL"/>
              </w:rPr>
              <w:br/>
              <w:t xml:space="preserve">- 4060 zmodernizowanych punktów systemu alarmowania i ostrzegania ludności, które obejmują wymianę analogowych syren alarmowych na cyfrowe, wyposażenie wybranych punktów w kompatybilny sprzęt i oprogramowanie, zakup urządzeń umożliwiających szyfrowanie </w:t>
            </w:r>
            <w:r w:rsidRPr="007A3B4B">
              <w:rPr>
                <w:rFonts w:ascii="Times New Roman" w:eastAsia="Times New Roman" w:hAnsi="Times New Roman" w:cs="Times New Roman"/>
                <w:color w:val="000000"/>
                <w:sz w:val="18"/>
                <w:szCs w:val="18"/>
                <w:lang w:val="pl-PL"/>
              </w:rPr>
              <w:lastRenderedPageBreak/>
              <w:t>transmisji radiowej oraz transmisji IP;</w:t>
            </w:r>
            <w:r w:rsidRPr="007A3B4B">
              <w:rPr>
                <w:rFonts w:ascii="Times New Roman" w:eastAsia="Times New Roman" w:hAnsi="Times New Roman" w:cs="Times New Roman"/>
                <w:color w:val="000000"/>
                <w:sz w:val="18"/>
                <w:szCs w:val="18"/>
                <w:lang w:val="pl-PL"/>
              </w:rPr>
              <w:br/>
              <w:t xml:space="preserve">- 13630 wysokiej jakości Mobilnych Terminali Danych (MTD) dostosowanych do nowych funkcjonalności systemu dla funkcjonariuszy Policji (w tym zakup urządzeń i oprogramowania); </w:t>
            </w:r>
            <w:r w:rsidRPr="007A3B4B">
              <w:rPr>
                <w:rFonts w:ascii="Times New Roman" w:eastAsia="Times New Roman" w:hAnsi="Times New Roman" w:cs="Times New Roman"/>
                <w:color w:val="000000"/>
                <w:sz w:val="18"/>
                <w:szCs w:val="18"/>
                <w:lang w:val="pl-PL"/>
              </w:rPr>
              <w:br/>
              <w:t>- 30 mobilnych punktów stworzonych w celu umożliwienia bezpiecznego połączenia w ramach i pomiędzy służbami porządkowymi.</w:t>
            </w:r>
            <w:r w:rsidRPr="007A3B4B">
              <w:rPr>
                <w:rFonts w:ascii="Times New Roman" w:eastAsia="Times New Roman" w:hAnsi="Times New Roman" w:cs="Times New Roman"/>
                <w:color w:val="000000"/>
                <w:sz w:val="18"/>
                <w:szCs w:val="18"/>
                <w:lang w:val="pl-PL"/>
              </w:rPr>
              <w:br/>
              <w:t>- jeden samowystarczalny mobilny punkt medyczny dla zagrożeń medycznych, biochemicznych, radiologicznych i klęsk żywiołowych.</w:t>
            </w:r>
          </w:p>
        </w:tc>
      </w:tr>
      <w:tr w:rsidR="001052B5" w:rsidRPr="009D378C" w14:paraId="4785AD49" w14:textId="77777777" w:rsidTr="00A20CA7">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43FB93" w14:textId="77777777" w:rsidR="001052B5" w:rsidRPr="007A3B4B" w:rsidRDefault="001052B5" w:rsidP="00A20CA7">
            <w:pPr>
              <w:pStyle w:val="Normal0"/>
              <w:pBdr>
                <w:top w:val="nil"/>
                <w:left w:val="nil"/>
                <w:bottom w:val="nil"/>
                <w:right w:val="nil"/>
                <w:between w:val="nil"/>
              </w:pBdr>
              <w:spacing w:after="0"/>
              <w:jc w:val="center"/>
              <w:rPr>
                <w:rFonts w:ascii="Times New Roman" w:hAnsi="Times New Roman" w:cs="Times New Roman"/>
                <w:sz w:val="18"/>
                <w:szCs w:val="18"/>
              </w:rPr>
            </w:pPr>
            <w:r w:rsidRPr="007A3B4B">
              <w:rPr>
                <w:rFonts w:ascii="Times New Roman" w:hAnsi="Times New Roman" w:cs="Times New Roman"/>
                <w:sz w:val="18"/>
                <w:szCs w:val="18"/>
              </w:rPr>
              <w:lastRenderedPageBreak/>
              <w:t>C27G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170F91" w14:textId="25FE2544"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w:t>
            </w:r>
            <w:proofErr w:type="spellStart"/>
            <w:r w:rsidRPr="007A3B4B">
              <w:rPr>
                <w:rFonts w:ascii="Times New Roman" w:eastAsia="Times New Roman" w:hAnsi="Times New Roman" w:cs="Times New Roman"/>
                <w:color w:val="000000" w:themeColor="text1"/>
                <w:sz w:val="18"/>
                <w:szCs w:val="18"/>
                <w:lang w:val="pl-PL"/>
              </w:rPr>
              <w:t>Cyberbezpieczeństwo</w:t>
            </w:r>
            <w:proofErr w:type="spellEnd"/>
            <w:r w:rsidRPr="007A3B4B">
              <w:rPr>
                <w:rFonts w:ascii="Times New Roman" w:eastAsia="Times New Roman" w:hAnsi="Times New Roman" w:cs="Times New Roman"/>
                <w:color w:val="000000" w:themeColor="text1"/>
                <w:sz w:val="18"/>
                <w:szCs w:val="18"/>
                <w:lang w:val="pl-PL"/>
              </w:rPr>
              <w:t xml:space="preserve">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D0D5C"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kamień</w:t>
            </w:r>
            <w:proofErr w:type="spellEnd"/>
            <w:r w:rsidRPr="007A3B4B">
              <w:rPr>
                <w:rFonts w:ascii="Times New Roman" w:eastAsia="Times New Roman" w:hAnsi="Times New Roman" w:cs="Times New Roman"/>
                <w:color w:val="000000"/>
                <w:sz w:val="18"/>
                <w:szCs w:val="18"/>
              </w:rPr>
              <w:t xml:space="preserve"> </w:t>
            </w:r>
            <w:proofErr w:type="spellStart"/>
            <w:r w:rsidRPr="007A3B4B">
              <w:rPr>
                <w:rFonts w:ascii="Times New Roman" w:eastAsia="Times New Roman" w:hAnsi="Times New Roman" w:cs="Times New Roman"/>
                <w:color w:val="000000"/>
                <w:sz w:val="18"/>
                <w:szCs w:val="18"/>
              </w:rPr>
              <w:t>milowy</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B65A89"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lang w:val="pl-PL"/>
              </w:rPr>
            </w:pPr>
            <w:proofErr w:type="spellStart"/>
            <w:r w:rsidRPr="007A3B4B">
              <w:rPr>
                <w:rFonts w:ascii="Times New Roman" w:eastAsia="Times New Roman" w:hAnsi="Times New Roman" w:cs="Times New Roman"/>
                <w:color w:val="000000"/>
                <w:sz w:val="18"/>
                <w:szCs w:val="18"/>
                <w:lang w:val="pl-PL"/>
              </w:rPr>
              <w:t>Important</w:t>
            </w:r>
            <w:proofErr w:type="spellEnd"/>
            <w:r w:rsidRPr="007A3B4B">
              <w:rPr>
                <w:rFonts w:ascii="Times New Roman" w:eastAsia="Times New Roman" w:hAnsi="Times New Roman" w:cs="Times New Roman"/>
                <w:color w:val="000000"/>
                <w:sz w:val="18"/>
                <w:szCs w:val="18"/>
                <w:lang w:val="pl-PL"/>
              </w:rPr>
              <w:t xml:space="preserve"> Project of </w:t>
            </w:r>
            <w:proofErr w:type="spellStart"/>
            <w:r w:rsidRPr="007A3B4B">
              <w:rPr>
                <w:rFonts w:ascii="Times New Roman" w:eastAsia="Times New Roman" w:hAnsi="Times New Roman" w:cs="Times New Roman"/>
                <w:color w:val="000000"/>
                <w:sz w:val="18"/>
                <w:szCs w:val="18"/>
                <w:lang w:val="pl-PL"/>
              </w:rPr>
              <w:t>Common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European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Interest</w:t>
            </w:r>
            <w:proofErr w:type="spellEnd"/>
            <w:r w:rsidRPr="007A3B4B">
              <w:rPr>
                <w:rFonts w:ascii="Times New Roman" w:eastAsia="Times New Roman" w:hAnsi="Times New Roman" w:cs="Times New Roman"/>
                <w:color w:val="000000"/>
                <w:sz w:val="18"/>
                <w:szCs w:val="18"/>
                <w:lang w:val="pl-PL"/>
              </w:rPr>
              <w:t xml:space="preserve"> (IPCEI): wybór projektów rozwiązań chmurowych nowej generacji i podpisanie umów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BC2AFD"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Podpisanie umów z wybranymi podmiotami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C9F0FF"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2F2C3F" w14:textId="77777777" w:rsidR="001052B5" w:rsidRPr="007A3B4B" w:rsidRDefault="001052B5" w:rsidP="00A20CA7">
            <w:pPr>
              <w:pStyle w:val="Normal0"/>
              <w:pBdr>
                <w:top w:val="nil"/>
                <w:left w:val="nil"/>
                <w:bottom w:val="nil"/>
                <w:right w:val="nil"/>
                <w:between w:val="nil"/>
              </w:pBdr>
              <w:spacing w:after="0"/>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C13CE9" w14:textId="77777777" w:rsidR="001052B5" w:rsidRPr="007A3B4B" w:rsidRDefault="001052B5" w:rsidP="00A20CA7">
            <w:pPr>
              <w:pStyle w:val="Normal0"/>
              <w:pBdr>
                <w:top w:val="nil"/>
                <w:left w:val="nil"/>
                <w:bottom w:val="nil"/>
                <w:right w:val="nil"/>
                <w:between w:val="nil"/>
              </w:pBdr>
              <w:spacing w:after="0"/>
              <w:jc w:val="right"/>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A902F" w14:textId="77777777" w:rsidR="001052B5" w:rsidRPr="007A3B4B" w:rsidRDefault="001052B5" w:rsidP="00A20CA7">
            <w:pPr>
              <w:pStyle w:val="Normal0"/>
              <w:pBdr>
                <w:top w:val="nil"/>
                <w:left w:val="nil"/>
                <w:bottom w:val="nil"/>
                <w:right w:val="nil"/>
                <w:between w:val="nil"/>
              </w:pBdr>
              <w:spacing w:after="0"/>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8A373C" w14:textId="77777777" w:rsidR="001052B5" w:rsidRPr="007A3B4B" w:rsidRDefault="001052B5" w:rsidP="00A20CA7">
            <w:pPr>
              <w:pStyle w:val="Normal0"/>
              <w:pBdr>
                <w:top w:val="nil"/>
                <w:left w:val="nil"/>
                <w:bottom w:val="nil"/>
                <w:right w:val="nil"/>
                <w:between w:val="nil"/>
              </w:pBdr>
              <w:spacing w:after="0"/>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75E2AB" w14:textId="77777777" w:rsidR="001052B5" w:rsidRPr="007A3B4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xml:space="preserve">Wybór projektów i podpisanie co najmniej pięciu umów po ogłoszeniu naboru wniosków projektowych ma na celu wsparcie rozwoju rozwiązań </w:t>
            </w:r>
            <w:proofErr w:type="spellStart"/>
            <w:r w:rsidRPr="007A3B4B">
              <w:rPr>
                <w:rFonts w:ascii="Times New Roman" w:eastAsia="Times New Roman" w:hAnsi="Times New Roman" w:cs="Times New Roman"/>
                <w:color w:val="000000"/>
                <w:sz w:val="18"/>
                <w:szCs w:val="18"/>
                <w:lang w:val="pl-PL"/>
              </w:rPr>
              <w:t>Next</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Generation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Cloud</w:t>
            </w:r>
            <w:proofErr w:type="spellEnd"/>
            <w:r w:rsidRPr="007A3B4B">
              <w:rPr>
                <w:rFonts w:ascii="Times New Roman" w:eastAsia="Times New Roman" w:hAnsi="Times New Roman" w:cs="Times New Roman"/>
                <w:color w:val="000000"/>
                <w:sz w:val="18"/>
                <w:szCs w:val="18"/>
                <w:lang w:val="pl-PL"/>
              </w:rPr>
              <w:t xml:space="preserve"> (chmury nowej generacji) w Polsce.</w:t>
            </w:r>
          </w:p>
        </w:tc>
      </w:tr>
      <w:tr w:rsidR="001052B5" w:rsidRPr="009D378C" w14:paraId="2736747A" w14:textId="77777777" w:rsidTr="00A20CA7">
        <w:trPr>
          <w:trHeight w:val="2588"/>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55AA53" w14:textId="77777777" w:rsidR="001052B5" w:rsidRPr="007A3B4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7A3B4B">
              <w:rPr>
                <w:rFonts w:ascii="Times New Roman" w:hAnsi="Times New Roman" w:cs="Times New Roman"/>
                <w:sz w:val="18"/>
                <w:szCs w:val="18"/>
              </w:rPr>
              <w:t>C28G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742610" w14:textId="21E87361"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7A3B4B">
              <w:rPr>
                <w:rFonts w:ascii="Times New Roman" w:eastAsia="Times New Roman" w:hAnsi="Times New Roman" w:cs="Times New Roman"/>
                <w:color w:val="000000" w:themeColor="text1"/>
                <w:sz w:val="18"/>
                <w:szCs w:val="18"/>
                <w:lang w:val="pl-PL"/>
              </w:rPr>
              <w:t xml:space="preserve">C3.1.1 </w:t>
            </w:r>
            <w:proofErr w:type="spellStart"/>
            <w:r w:rsidRPr="007A3B4B">
              <w:rPr>
                <w:rFonts w:ascii="Times New Roman" w:eastAsia="Times New Roman" w:hAnsi="Times New Roman" w:cs="Times New Roman"/>
                <w:color w:val="000000" w:themeColor="text1"/>
                <w:sz w:val="18"/>
                <w:szCs w:val="18"/>
                <w:lang w:val="pl-PL"/>
              </w:rPr>
              <w:t>Cyberbezpieczeństwo</w:t>
            </w:r>
            <w:proofErr w:type="spellEnd"/>
            <w:r w:rsidRPr="007A3B4B">
              <w:rPr>
                <w:rFonts w:ascii="Times New Roman" w:eastAsia="Times New Roman" w:hAnsi="Times New Roman" w:cs="Times New Roman"/>
                <w:color w:val="000000" w:themeColor="text1"/>
                <w:sz w:val="18"/>
                <w:szCs w:val="18"/>
                <w:lang w:val="pl-PL"/>
              </w:rPr>
              <w:t xml:space="preserve"> – </w:t>
            </w:r>
            <w:proofErr w:type="spellStart"/>
            <w:r w:rsidRPr="007A3B4B">
              <w:rPr>
                <w:rFonts w:ascii="Times New Roman" w:eastAsia="Times New Roman" w:hAnsi="Times New Roman" w:cs="Times New Roman"/>
                <w:color w:val="000000" w:themeColor="text1"/>
                <w:sz w:val="18"/>
                <w:szCs w:val="18"/>
                <w:lang w:val="pl-PL"/>
              </w:rPr>
              <w:t>CyberPL</w:t>
            </w:r>
            <w:proofErr w:type="spellEnd"/>
            <w:r w:rsidRPr="007A3B4B">
              <w:rPr>
                <w:rFonts w:ascii="Times New Roman" w:eastAsia="Times New Roman" w:hAnsi="Times New Roman" w:cs="Times New Roman"/>
                <w:color w:val="000000" w:themeColor="text1"/>
                <w:sz w:val="18"/>
                <w:szCs w:val="18"/>
                <w:lang w:val="pl-PL"/>
              </w:rPr>
              <w:t>,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E53403"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wskaźnik</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094F21"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roofErr w:type="spellStart"/>
            <w:r w:rsidRPr="007A3B4B">
              <w:rPr>
                <w:rFonts w:ascii="Times New Roman" w:eastAsia="Times New Roman" w:hAnsi="Times New Roman" w:cs="Times New Roman"/>
                <w:color w:val="000000"/>
                <w:sz w:val="18"/>
                <w:szCs w:val="18"/>
                <w:lang w:val="pl-PL"/>
              </w:rPr>
              <w:t>Important</w:t>
            </w:r>
            <w:proofErr w:type="spellEnd"/>
            <w:r w:rsidRPr="007A3B4B">
              <w:rPr>
                <w:rFonts w:ascii="Times New Roman" w:eastAsia="Times New Roman" w:hAnsi="Times New Roman" w:cs="Times New Roman"/>
                <w:color w:val="000000"/>
                <w:sz w:val="18"/>
                <w:szCs w:val="18"/>
                <w:lang w:val="pl-PL"/>
              </w:rPr>
              <w:t xml:space="preserve"> Project of </w:t>
            </w:r>
            <w:proofErr w:type="spellStart"/>
            <w:r w:rsidRPr="007A3B4B">
              <w:rPr>
                <w:rFonts w:ascii="Times New Roman" w:eastAsia="Times New Roman" w:hAnsi="Times New Roman" w:cs="Times New Roman"/>
                <w:color w:val="000000"/>
                <w:sz w:val="18"/>
                <w:szCs w:val="18"/>
                <w:lang w:val="pl-PL"/>
              </w:rPr>
              <w:t>Common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European</w:t>
            </w:r>
            <w:proofErr w:type="spellEnd"/>
            <w:r w:rsidRPr="007A3B4B">
              <w:rPr>
                <w:rFonts w:ascii="Times New Roman" w:eastAsia="Times New Roman" w:hAnsi="Times New Roman" w:cs="Times New Roman"/>
                <w:color w:val="000000"/>
                <w:sz w:val="18"/>
                <w:szCs w:val="18"/>
                <w:lang w:val="pl-PL"/>
              </w:rPr>
              <w:t xml:space="preserve"> </w:t>
            </w:r>
            <w:proofErr w:type="spellStart"/>
            <w:r w:rsidRPr="007A3B4B">
              <w:rPr>
                <w:rFonts w:ascii="Times New Roman" w:eastAsia="Times New Roman" w:hAnsi="Times New Roman" w:cs="Times New Roman"/>
                <w:color w:val="000000"/>
                <w:sz w:val="18"/>
                <w:szCs w:val="18"/>
                <w:lang w:val="pl-PL"/>
              </w:rPr>
              <w:t>Interest</w:t>
            </w:r>
            <w:proofErr w:type="spellEnd"/>
            <w:r w:rsidRPr="007A3B4B">
              <w:rPr>
                <w:rFonts w:ascii="Times New Roman" w:eastAsia="Times New Roman" w:hAnsi="Times New Roman" w:cs="Times New Roman"/>
                <w:color w:val="000000"/>
                <w:sz w:val="18"/>
                <w:szCs w:val="18"/>
                <w:lang w:val="pl-PL"/>
              </w:rPr>
              <w:t xml:space="preserve"> (IPCEI): opracowanie krajowych rozwiązań w zakresie przetwarzania danych dotyczących infrastruktury/usług</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2D582A"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C1F6C"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7A3B4B">
              <w:rPr>
                <w:rFonts w:ascii="Times New Roman" w:eastAsia="Times New Roman" w:hAnsi="Times New Roman" w:cs="Times New Roman"/>
                <w:color w:val="000000"/>
                <w:sz w:val="18"/>
                <w:szCs w:val="18"/>
              </w:rPr>
              <w:t>liczba</w:t>
            </w:r>
            <w:proofErr w:type="spellEnd"/>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6E35BF"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10AD1D" w14:textId="77777777" w:rsidR="001052B5" w:rsidRPr="007A3B4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5</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CE0B5F"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Q2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97338C" w14:textId="77777777" w:rsidR="001052B5" w:rsidRPr="007A3B4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7A3B4B">
              <w:rPr>
                <w:rFonts w:ascii="Times New Roman" w:eastAsia="Times New Roman" w:hAnsi="Times New Roman" w:cs="Times New Roman"/>
                <w:color w:val="000000"/>
                <w:sz w:val="18"/>
                <w:szCs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A15B3F" w14:textId="77777777" w:rsidR="001052B5" w:rsidRPr="007A3B4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7A3B4B">
              <w:rPr>
                <w:rFonts w:ascii="Times New Roman" w:eastAsia="Times New Roman" w:hAnsi="Times New Roman" w:cs="Times New Roman"/>
                <w:color w:val="000000"/>
                <w:sz w:val="18"/>
                <w:szCs w:val="18"/>
                <w:lang w:val="pl-PL"/>
              </w:rPr>
              <w:t>Co najmniej 5 nowych rozwiązań w zakresie przetwarzania danych o infrastrukturze/usługach krajowych opracowanych przez wybrane firmy.</w:t>
            </w:r>
          </w:p>
        </w:tc>
      </w:tr>
    </w:tbl>
    <w:p w14:paraId="4484E368" w14:textId="77777777" w:rsidR="001052B5"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p>
    <w:p w14:paraId="71255BD6" w14:textId="77777777" w:rsidR="001052B5"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p>
    <w:p w14:paraId="1A499DFC" w14:textId="3914E1C0" w:rsidR="001052B5" w:rsidRPr="00AF7348"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i/>
          <w:color w:val="4F81BD"/>
          <w:sz w:val="24"/>
          <w:szCs w:val="24"/>
          <w:lang w:val="pl-PL"/>
        </w:rPr>
        <w:sectPr w:rsidR="001052B5" w:rsidRPr="00AF7348" w:rsidSect="009B6BB9">
          <w:headerReference w:type="even" r:id="rId63"/>
          <w:headerReference w:type="default" r:id="rId64"/>
          <w:footerReference w:type="even" r:id="rId65"/>
          <w:footerReference w:type="default" r:id="rId66"/>
          <w:headerReference w:type="first" r:id="rId67"/>
          <w:footerReference w:type="first" r:id="rId68"/>
          <w:pgSz w:w="16839" w:h="11907" w:orient="landscape"/>
          <w:pgMar w:top="720" w:right="720" w:bottom="720" w:left="720" w:header="709" w:footer="709" w:gutter="0"/>
          <w:cols w:space="720"/>
          <w:docGrid w:linePitch="299"/>
        </w:sectPr>
      </w:pPr>
    </w:p>
    <w:p w14:paraId="51812062" w14:textId="6D9F0343" w:rsidR="007C4506" w:rsidRPr="00AF7348" w:rsidRDefault="00B31839" w:rsidP="48DECE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i/>
          <w:iCs/>
          <w:color w:val="4F81BD"/>
          <w:sz w:val="24"/>
          <w:szCs w:val="24"/>
          <w:lang w:val="pl-PL"/>
        </w:rPr>
      </w:pPr>
      <w:r w:rsidRPr="00AF7348">
        <w:rPr>
          <w:rFonts w:ascii="Times New Roman" w:hAnsi="Times New Roman"/>
          <w:b/>
          <w:bCs/>
          <w:color w:val="000000" w:themeColor="text1"/>
          <w:sz w:val="24"/>
          <w:szCs w:val="24"/>
          <w:lang w:val="pl-PL"/>
        </w:rPr>
        <w:lastRenderedPageBreak/>
        <w:t xml:space="preserve">C.3. </w:t>
      </w:r>
      <w:r w:rsidRPr="00AF7348">
        <w:rPr>
          <w:rFonts w:ascii="Times New Roman" w:hAnsi="Times New Roman"/>
          <w:color w:val="000000" w:themeColor="text1"/>
          <w:sz w:val="24"/>
          <w:szCs w:val="24"/>
          <w:lang w:val="pl-PL"/>
        </w:rPr>
        <w:tab/>
      </w:r>
      <w:r w:rsidRPr="00AF7348">
        <w:rPr>
          <w:rFonts w:ascii="Times New Roman" w:hAnsi="Times New Roman"/>
          <w:b/>
          <w:bCs/>
          <w:color w:val="000000" w:themeColor="text1"/>
          <w:sz w:val="24"/>
          <w:szCs w:val="24"/>
          <w:lang w:val="pl-PL"/>
        </w:rPr>
        <w:t xml:space="preserve">Opis reform i inwestycji </w:t>
      </w:r>
      <w:r w:rsidR="005427AE">
        <w:rPr>
          <w:rFonts w:ascii="Times New Roman" w:hAnsi="Times New Roman"/>
          <w:b/>
          <w:bCs/>
          <w:color w:val="000000" w:themeColor="text1"/>
          <w:sz w:val="24"/>
          <w:szCs w:val="24"/>
          <w:lang w:val="pl-PL"/>
        </w:rPr>
        <w:t>finansowanych w części pożyczkowej</w:t>
      </w:r>
    </w:p>
    <w:p w14:paraId="5E7E3C41"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44218F8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C1.2. Podniesienie poziomu dostępności i wykorzystania nowoczesnej łączności przewodowej i bezprzewodowej na potrzeby społeczne i gospodarcze</w:t>
      </w:r>
    </w:p>
    <w:p w14:paraId="0DB1BD9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ma poprawić otoczenie prawne związane z rozwojem sieci komórkowych poprzez usunięcie istniejących barier dla rozwiązań 5G w branżach wertykalnych oraz dostosowanie przepisów krajowych do unijnego zestawu narzędzi łączności (</w:t>
      </w:r>
      <w:r w:rsidRPr="00FD4F83">
        <w:rPr>
          <w:rFonts w:ascii="Times New Roman" w:eastAsia="Times New Roman" w:hAnsi="Times New Roman" w:cs="Times New Roman"/>
          <w:i/>
          <w:iCs/>
          <w:color w:val="000000"/>
          <w:sz w:val="24"/>
          <w:szCs w:val="24"/>
          <w:lang w:val="pl-PL"/>
        </w:rPr>
        <w:t xml:space="preserve">EU Connectivity </w:t>
      </w:r>
      <w:proofErr w:type="spellStart"/>
      <w:r w:rsidRPr="00FD4F83">
        <w:rPr>
          <w:rFonts w:ascii="Times New Roman" w:eastAsia="Times New Roman" w:hAnsi="Times New Roman" w:cs="Times New Roman"/>
          <w:i/>
          <w:iCs/>
          <w:color w:val="000000"/>
          <w:sz w:val="24"/>
          <w:szCs w:val="24"/>
          <w:lang w:val="pl-PL"/>
        </w:rPr>
        <w:t>Toolbox</w:t>
      </w:r>
      <w:proofErr w:type="spellEnd"/>
      <w:r w:rsidRPr="00AF7348">
        <w:rPr>
          <w:rFonts w:ascii="Times New Roman" w:eastAsia="Times New Roman" w:hAnsi="Times New Roman" w:cs="Times New Roman"/>
          <w:color w:val="000000"/>
          <w:sz w:val="24"/>
          <w:szCs w:val="24"/>
          <w:lang w:val="pl-PL"/>
        </w:rPr>
        <w:t>). Zmiany regulacyjne skupią się na temacie emisji pola elektromagnetycznego (EMF) oraz instalacji radiokomunikacyjnej, natomiast konkretne poprawki zostaną określone przez odpowiednie ministerstwa dla następujących sektorów wertykalnych: zdrowie, logistyka i transport, rolnictwo, przemysł, energetyka, inteligentne miasta, edukacja i ochrona środowiska.</w:t>
      </w:r>
    </w:p>
    <w:p w14:paraId="20821B8A" w14:textId="4A8A4D59"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31 grudnia 2023 roku. </w:t>
      </w:r>
    </w:p>
    <w:p w14:paraId="03F828E4"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34503796"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C1.2.1 Wzmocnienie potencjału komercyjnych inwestycji w nowoczesne sieci łączności elektronicznej</w:t>
      </w:r>
    </w:p>
    <w:p w14:paraId="53789E3E" w14:textId="084D15EF" w:rsidR="007C4506" w:rsidRPr="00AF7348" w:rsidRDefault="005427A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032F2FBA" w:rsidRPr="00AF7348">
        <w:rPr>
          <w:rFonts w:ascii="Times New Roman" w:eastAsia="Times New Roman" w:hAnsi="Times New Roman" w:cs="Times New Roman"/>
          <w:color w:val="000000" w:themeColor="text1"/>
          <w:sz w:val="24"/>
          <w:szCs w:val="24"/>
          <w:lang w:val="pl-PL"/>
        </w:rPr>
        <w:t xml:space="preserve"> tej inwestycji jest ułatwienie inwestorom z branży telekomunikacyjnej dostępu do zwrotnego wsparcia finansowego celem przyspieszenia wdrażania sieci 5G na obszarach kraju o małym popycie (słabo zaludnionych), w tym na obszarach oddalonych o niższej rentowności ekonomicznej. Aby zaspokoić potrzeby użytkowników końcowych, co najmniej 4200 stacji bazowych zostanie rozmieszczonych na obszarach wiejskich, gdzie rynek nie zapewnia i prawdopodobnie nie zapewni w najbliższej przyszłości wystarczającej jakości usług. Cel ten należy rozumieć jako dodatkowe pokrycie osiągnięte dzięki wsparciu z RRF, a zatem nie uwzględnia ono gospodarstw domowych, które zostaną objęte zasięgiem sieci w wyniku aukcji częstotliwości 5G. Ponadto zbudowany zostanie nowy stacjonarny system monitorowania, aby zapewnić publiczny dostęp do danych na temat poziomu emisji pól elektromagnetycznych pochodzących z instalacji radiokomunikacyjnych.</w:t>
      </w:r>
    </w:p>
    <w:p w14:paraId="5D6F9A9B" w14:textId="104F1737" w:rsidR="002973C8" w:rsidRPr="00AF7348" w:rsidRDefault="4894E9D4" w:rsidP="09B88D20">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W celu zapewnienia zgodności tej inwestycji z Wytycznymi Technicznymi Dotyczącymi Zasady DNSH - Nie Czyń </w:t>
      </w:r>
      <w:r w:rsidR="005427AE">
        <w:rPr>
          <w:rFonts w:ascii="Times New Roman" w:eastAsia="Times New Roman" w:hAnsi="Times New Roman" w:cs="Times New Roman"/>
          <w:color w:val="000000" w:themeColor="text1"/>
          <w:sz w:val="24"/>
          <w:szCs w:val="24"/>
          <w:lang w:val="pl-PL"/>
        </w:rPr>
        <w:t>Znaczącej Szkody</w:t>
      </w:r>
      <w:r w:rsidRPr="00AF7348">
        <w:rPr>
          <w:rFonts w:ascii="Times New Roman" w:eastAsia="Times New Roman" w:hAnsi="Times New Roman" w:cs="Times New Roman"/>
          <w:color w:val="000000" w:themeColor="text1"/>
          <w:sz w:val="24"/>
          <w:szCs w:val="24"/>
          <w:lang w:val="pl-PL"/>
        </w:rPr>
        <w:t xml:space="preserve"> (2021/C58/01), kryteria kwalifikowalności zawarte w zakresie wymagań i obowiązków dla przyszłych zaproszeń do składania projektów mają stanowić, że wybierane będą tylko te działania, które są zgodne z odpowiednimi przepisami unijnymi i krajowymi dotyczącymi ochrony środowiska.</w:t>
      </w:r>
    </w:p>
    <w:p w14:paraId="0E8FA9D4" w14:textId="453A64F5" w:rsidR="001F7B10" w:rsidRPr="00AF7348" w:rsidRDefault="18DA1551" w:rsidP="001F7B10">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hAnsi="Times New Roman" w:cs="Times New Roman"/>
          <w:color w:val="000000" w:themeColor="text1"/>
          <w:sz w:val="24"/>
          <w:szCs w:val="24"/>
          <w:lang w:val="pl-PL"/>
        </w:rPr>
        <w:t xml:space="preserve">Aby spełnić warunki DNSH, należy przeprowadzić ocenę ryzyka i podatności na zmiany klimatu, jeśli jest to wymagane przez odpowiednie przepisy, oraz wdrożyć wszelkie niezbędne rozwiązania adaptacyjne, zgodnie z tymi przepisami. </w:t>
      </w:r>
      <w:r w:rsidRPr="00AF7348">
        <w:rPr>
          <w:rFonts w:ascii="Times New Roman" w:hAnsi="Times New Roman" w:cs="Times New Roman"/>
          <w:sz w:val="24"/>
          <w:szCs w:val="24"/>
          <w:lang w:val="pl-PL"/>
        </w:rPr>
        <w:t>W przypadku wszystkich inwestycji w infrastrukturę co najmniej 70% odpadów z budowy i rozbiórki zostanie ponownie wykorzystane lub poddane recyklingowi, zgodnie z Wytycznymi Technicznymi Dotyczącymi Zasady DNSH - Nie Czyń</w:t>
      </w:r>
      <w:r w:rsidR="00A91C13">
        <w:rPr>
          <w:rFonts w:ascii="Times New Roman" w:hAnsi="Times New Roman" w:cs="Times New Roman"/>
          <w:sz w:val="24"/>
          <w:szCs w:val="24"/>
          <w:lang w:val="pl-PL"/>
        </w:rPr>
        <w:t xml:space="preserve"> </w:t>
      </w:r>
      <w:r w:rsidR="005427AE">
        <w:rPr>
          <w:rFonts w:ascii="Times New Roman" w:hAnsi="Times New Roman" w:cs="Times New Roman"/>
          <w:sz w:val="24"/>
          <w:szCs w:val="24"/>
          <w:lang w:val="pl-PL"/>
        </w:rPr>
        <w:t>Znaczącej Szkody</w:t>
      </w:r>
      <w:r w:rsidR="00A91C13">
        <w:rPr>
          <w:rFonts w:ascii="Times New Roman" w:hAnsi="Times New Roman" w:cs="Times New Roman"/>
          <w:sz w:val="24"/>
          <w:szCs w:val="24"/>
          <w:lang w:val="pl-PL"/>
        </w:rPr>
        <w:t xml:space="preserve"> (2021/C 58/01)</w:t>
      </w:r>
      <w:r w:rsidRPr="00AF7348">
        <w:rPr>
          <w:rStyle w:val="Odwoanieprzypisudolnego"/>
          <w:rFonts w:ascii="Times New Roman" w:hAnsi="Times New Roman" w:cs="Times New Roman"/>
          <w:sz w:val="24"/>
          <w:szCs w:val="24"/>
          <w:lang w:val="pl-PL"/>
        </w:rPr>
        <w:footnoteReference w:id="30"/>
      </w:r>
      <w:r w:rsidRPr="00AF7348">
        <w:rPr>
          <w:rFonts w:ascii="Times New Roman" w:hAnsi="Times New Roman" w:cs="Times New Roman"/>
          <w:sz w:val="24"/>
          <w:szCs w:val="24"/>
          <w:lang w:val="pl-PL"/>
        </w:rPr>
        <w:t>.</w:t>
      </w:r>
    </w:p>
    <w:p w14:paraId="1FEAFCF2" w14:textId="5A2C145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Wdrażanie inwestycji zostanie zakończone do 30 czerwca 2026 roku.</w:t>
      </w:r>
    </w:p>
    <w:p w14:paraId="2AC57CB0"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76C4F31" w14:textId="6C3FEBE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C2.2 Reforma podstaw cyfryzacji system</w:t>
      </w:r>
      <w:r w:rsidR="00AF20C9">
        <w:rPr>
          <w:rFonts w:ascii="Times New Roman" w:eastAsia="Times New Roman" w:hAnsi="Times New Roman" w:cs="Times New Roman"/>
          <w:b/>
          <w:bCs/>
          <w:color w:val="000000"/>
          <w:sz w:val="24"/>
          <w:szCs w:val="24"/>
          <w:u w:val="single"/>
          <w:lang w:val="pl-PL"/>
        </w:rPr>
        <w:t>ów</w:t>
      </w:r>
      <w:r w:rsidRPr="00AF7348">
        <w:rPr>
          <w:rFonts w:ascii="Times New Roman" w:eastAsia="Times New Roman" w:hAnsi="Times New Roman" w:cs="Times New Roman"/>
          <w:b/>
          <w:bCs/>
          <w:color w:val="000000"/>
          <w:sz w:val="24"/>
          <w:szCs w:val="24"/>
          <w:u w:val="single"/>
          <w:lang w:val="pl-PL"/>
        </w:rPr>
        <w:t xml:space="preserve"> oświaty i wychowania</w:t>
      </w:r>
    </w:p>
    <w:p w14:paraId="7AD8250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stworzy fundamenty cyfryzacji systemu edukacji poprzez przyjęcie polityki cyfryzacji w oświacie, aby przygotować dzieci i młodzież do życia w społeczeństwie informatycznym. Cele tego strategicznego dokumentu koncentrują się na skutecznym i znaczącym włączaniu nowych technologii do nauczania, uczenia się i oceniania, i są opracowywane z zastosowaniem podejścia partycypacyjnego (aktywnego uczestnictwa).</w:t>
      </w:r>
    </w:p>
    <w:p w14:paraId="13BD78F1" w14:textId="310DA99A"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30 września 2022 roku. </w:t>
      </w:r>
    </w:p>
    <w:p w14:paraId="5186B13D"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p>
    <w:p w14:paraId="427CC5C7" w14:textId="6B4937FB" w:rsidR="007C4506" w:rsidRPr="00AF7348" w:rsidRDefault="230FC803" w:rsidP="7A05A10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C2.2.1 Wyposażenie szkół/instytucji w odpowiedni sprzęt i infrastrukturę ICT celem poprawy ogólnej wydajności systemu </w:t>
      </w:r>
      <w:r w:rsidR="00F344E9">
        <w:rPr>
          <w:rFonts w:ascii="Times New Roman" w:eastAsia="Times New Roman" w:hAnsi="Times New Roman" w:cs="Times New Roman"/>
          <w:b/>
          <w:bCs/>
          <w:color w:val="000000" w:themeColor="text1"/>
          <w:sz w:val="24"/>
          <w:szCs w:val="24"/>
          <w:u w:val="single"/>
          <w:lang w:val="pl-PL"/>
        </w:rPr>
        <w:t>edukacji</w:t>
      </w:r>
    </w:p>
    <w:p w14:paraId="1339B4E9" w14:textId="72F59430" w:rsidR="007C4506" w:rsidRPr="00AF7348" w:rsidRDefault="005427AE" w:rsidP="749851A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Pr>
          <w:rFonts w:ascii="Times New Roman" w:eastAsia="Times New Roman" w:hAnsi="Times New Roman" w:cs="Times New Roman"/>
          <w:color w:val="000000" w:themeColor="text1"/>
          <w:sz w:val="24"/>
          <w:szCs w:val="24"/>
          <w:lang w:val="pl-PL"/>
        </w:rPr>
        <w:t>Celem</w:t>
      </w:r>
      <w:r w:rsidR="00E132C4" w:rsidRPr="00AF7348">
        <w:rPr>
          <w:rFonts w:ascii="Times New Roman" w:eastAsia="Times New Roman" w:hAnsi="Times New Roman" w:cs="Times New Roman"/>
          <w:color w:val="000000" w:themeColor="text1"/>
          <w:sz w:val="24"/>
          <w:szCs w:val="24"/>
          <w:lang w:val="pl-PL"/>
        </w:rPr>
        <w:t xml:space="preserve"> tej inwestycji jest poprawa poziomu wyposażenia szkół w sprzęt i infrastrukturę ICT ponad minimalnie wymagane standardy.</w:t>
      </w:r>
      <w:r w:rsidR="0099737E">
        <w:rPr>
          <w:rFonts w:ascii="Times New Roman" w:eastAsia="Times New Roman" w:hAnsi="Times New Roman" w:cs="Times New Roman"/>
          <w:color w:val="000000" w:themeColor="text1"/>
          <w:sz w:val="24"/>
          <w:szCs w:val="24"/>
          <w:lang w:val="pl-PL"/>
        </w:rPr>
        <w:t xml:space="preserve"> </w:t>
      </w:r>
    </w:p>
    <w:p w14:paraId="70DEFD52" w14:textId="77777777" w:rsidR="00FA44DC" w:rsidRPr="00AF7348" w:rsidRDefault="00FA44DC" w:rsidP="00FA44D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obejmuje: </w:t>
      </w:r>
    </w:p>
    <w:p w14:paraId="55830207" w14:textId="5242E6F4" w:rsidR="00E132C4" w:rsidRPr="00AF7348" w:rsidRDefault="4175631C" w:rsidP="00C77C57">
      <w:pPr>
        <w:pStyle w:val="Normal0"/>
        <w:numPr>
          <w:ilvl w:val="0"/>
          <w:numId w:val="3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budowę i/lub modernizację </w:t>
      </w:r>
      <w:r w:rsidRPr="00AF7348">
        <w:rPr>
          <w:rFonts w:ascii="Times New Roman" w:eastAsia="Times New Roman" w:hAnsi="Times New Roman" w:cs="Times New Roman"/>
          <w:color w:val="000000" w:themeColor="text1"/>
          <w:lang w:val="pl-PL"/>
        </w:rPr>
        <w:t>sieci lokalnej (LAN) w</w:t>
      </w:r>
      <w:r w:rsidRPr="00AF7348">
        <w:rPr>
          <w:rFonts w:ascii="Times New Roman" w:eastAsia="Times New Roman" w:hAnsi="Times New Roman" w:cs="Times New Roman"/>
          <w:color w:val="000000" w:themeColor="text1"/>
          <w:sz w:val="24"/>
          <w:szCs w:val="24"/>
          <w:lang w:val="pl-PL"/>
        </w:rPr>
        <w:t xml:space="preserve"> 100 000 </w:t>
      </w:r>
      <w:proofErr w:type="spellStart"/>
      <w:r w:rsidRPr="00AF7348">
        <w:rPr>
          <w:rFonts w:ascii="Times New Roman" w:eastAsia="Times New Roman" w:hAnsi="Times New Roman" w:cs="Times New Roman"/>
          <w:color w:val="000000" w:themeColor="text1"/>
          <w:sz w:val="24"/>
          <w:szCs w:val="24"/>
          <w:lang w:val="pl-PL"/>
        </w:rPr>
        <w:t>sal</w:t>
      </w:r>
      <w:proofErr w:type="spellEnd"/>
      <w:r w:rsidRPr="00AF7348">
        <w:rPr>
          <w:rFonts w:ascii="Times New Roman" w:eastAsia="Times New Roman" w:hAnsi="Times New Roman" w:cs="Times New Roman"/>
          <w:color w:val="000000" w:themeColor="text1"/>
          <w:sz w:val="24"/>
          <w:szCs w:val="24"/>
          <w:lang w:val="pl-PL"/>
        </w:rPr>
        <w:t xml:space="preserve"> lekcyjnych; </w:t>
      </w:r>
    </w:p>
    <w:p w14:paraId="52E145A4" w14:textId="6BA2FFAC" w:rsidR="00E132C4" w:rsidRPr="00AF7348" w:rsidRDefault="4175631C" w:rsidP="00C77C57">
      <w:pPr>
        <w:pStyle w:val="Normal0"/>
        <w:numPr>
          <w:ilvl w:val="0"/>
          <w:numId w:val="3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zapewnienie zestawu IT do zdalnego nauczania dla 100 000 </w:t>
      </w:r>
      <w:proofErr w:type="spellStart"/>
      <w:r w:rsidRPr="00AF7348">
        <w:rPr>
          <w:rFonts w:ascii="Times New Roman" w:eastAsia="Times New Roman" w:hAnsi="Times New Roman" w:cs="Times New Roman"/>
          <w:color w:val="000000" w:themeColor="text1"/>
          <w:sz w:val="24"/>
          <w:szCs w:val="24"/>
          <w:lang w:val="pl-PL"/>
        </w:rPr>
        <w:t>sal</w:t>
      </w:r>
      <w:proofErr w:type="spellEnd"/>
      <w:r w:rsidRPr="00AF7348">
        <w:rPr>
          <w:rFonts w:ascii="Times New Roman" w:eastAsia="Times New Roman" w:hAnsi="Times New Roman" w:cs="Times New Roman"/>
          <w:color w:val="000000" w:themeColor="text1"/>
          <w:sz w:val="24"/>
          <w:szCs w:val="24"/>
          <w:lang w:val="pl-PL"/>
        </w:rPr>
        <w:t xml:space="preserve"> lekcyjnych;</w:t>
      </w:r>
    </w:p>
    <w:p w14:paraId="6B59C00C" w14:textId="3587485D" w:rsidR="00BA7DD3" w:rsidRPr="00AF7348" w:rsidRDefault="32AF5A36" w:rsidP="00C77C57">
      <w:pPr>
        <w:pStyle w:val="Normal0"/>
        <w:numPr>
          <w:ilvl w:val="0"/>
          <w:numId w:val="3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wyposażenie 16 000 szkół podstawowych i ponadpodstawowych w laboratoria sztucznej inteligencji (AI) oraz laboratoria przyrodnicze, technologiczne, inżynieryjne i matematyczne (STEM);</w:t>
      </w:r>
    </w:p>
    <w:p w14:paraId="1E77C707" w14:textId="19326E0A" w:rsidR="00E132C4" w:rsidRPr="00AF7348" w:rsidRDefault="00671C0A">
      <w:pPr>
        <w:pStyle w:val="Normal0"/>
        <w:numPr>
          <w:ilvl w:val="0"/>
          <w:numId w:val="32"/>
        </w:num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cyfryzację systemu egzaminacyjnego, w szczególności reorganizację i modernizację centralnej i okręgowych komisji egzaminacyjnych oraz cyfryzację Informatycznego Centrum Edukacji i Nauki.</w:t>
      </w:r>
    </w:p>
    <w:p w14:paraId="6F868EE5" w14:textId="6036653D" w:rsidR="007C4506" w:rsidRPr="00AF7348" w:rsidRDefault="78ADD097" w:rsidP="004D3B28">
      <w:pPr>
        <w:pStyle w:val="Normal0"/>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Sieci LAN, zestawy IT do zdalnego nauczania oraz laboratoria AI i STEM zostaną równo rozdzielone pomiędzy szkoły, w zależności od gęstości zaludnienia oraz pokrycia geograficznego danej szkoły. Zostanie przeprowadzona otwarta, sprawiedliwa i przejrzysta procedura wyboru podmiotów dostarczających infrastrukturę sieciową lub sprzęt ITC. </w:t>
      </w:r>
    </w:p>
    <w:p w14:paraId="452B9DD9" w14:textId="5336A495" w:rsidR="007C4506" w:rsidRPr="00AF7348" w:rsidRDefault="64AACCA7"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Aby spełnić warunki DNSH, sprzęt ICT powinien odpowiadać wymaganiom dotyczącym zużycia energii i efektywności materiałowej określonym zgodnie z Dyrektywą 2009/125/WE dla serwerów i przechowywania danych, komputerów i serwerów komputerowych, lub wyświetlaczy elektronicznych. Ponadto sprzęt ICT nie może zawierać substancji podlegających ograniczeniom wymienionych w załączniku II do Dyrektywy 2011/65/UE. </w:t>
      </w:r>
    </w:p>
    <w:p w14:paraId="3170CF85" w14:textId="77777777" w:rsidR="007C4506" w:rsidRPr="00AF7348" w:rsidRDefault="5168B16E" w:rsidP="09B88D2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Należy opracować plan gospodarowania odpadami, aby uzyskać maksymalny poziom recyklingu sprzętu elektrycznego i elektronicznego po zakończeniu jego eksploatacji, w tym poprzez umowy z partnerami zajmującymi się recyklingiem, uwzględnione w projekcjach finansowych lub oficjalnej dokumentacji projektu. Po zakończeniu eksploatacji sprzęt należy przygotować do ponownego użycia, odzysku, recyklingu lub odpowiedniego przetworzenia, w tym usunięcia wszystkich cieczy, a także selektywnego przetworzenia zgodnie z załącznikiem VII do Dyrektywy 2012/19/UE. </w:t>
      </w:r>
    </w:p>
    <w:p w14:paraId="0E62D955"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2025 roku.</w:t>
      </w:r>
    </w:p>
    <w:p w14:paraId="3D404BC9"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color w:val="000000"/>
          <w:sz w:val="24"/>
          <w:szCs w:val="24"/>
          <w:lang w:val="pl-PL"/>
        </w:rPr>
        <w:sectPr w:rsidR="00212550" w:rsidRPr="00AF7348">
          <w:headerReference w:type="even" r:id="rId69"/>
          <w:headerReference w:type="default" r:id="rId70"/>
          <w:footerReference w:type="even" r:id="rId71"/>
          <w:footerReference w:type="default" r:id="rId72"/>
          <w:headerReference w:type="first" r:id="rId73"/>
          <w:footerReference w:type="first" r:id="rId74"/>
          <w:pgSz w:w="11907" w:h="16839"/>
          <w:pgMar w:top="1134" w:right="1417" w:bottom="1134" w:left="1417" w:header="709" w:footer="709" w:gutter="0"/>
          <w:cols w:space="720"/>
        </w:sectPr>
      </w:pP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6"/>
        <w:gridCol w:w="2126"/>
        <w:gridCol w:w="1134"/>
        <w:gridCol w:w="2415"/>
        <w:gridCol w:w="1559"/>
        <w:gridCol w:w="992"/>
        <w:gridCol w:w="993"/>
        <w:gridCol w:w="1134"/>
        <w:gridCol w:w="567"/>
        <w:gridCol w:w="708"/>
        <w:gridCol w:w="3119"/>
      </w:tblGrid>
      <w:tr w:rsidR="00A146FB" w:rsidRPr="009D378C" w14:paraId="7287D41E" w14:textId="77777777" w:rsidTr="5C2B26C0">
        <w:trPr>
          <w:trHeight w:val="454"/>
          <w:jc w:val="center"/>
        </w:trPr>
        <w:tc>
          <w:tcPr>
            <w:tcW w:w="15593" w:type="dxa"/>
            <w:gridSpan w:val="11"/>
            <w:tcBorders>
              <w:top w:val="nil"/>
              <w:left w:val="nil"/>
              <w:right w:val="nil"/>
            </w:tcBorders>
            <w:shd w:val="clear" w:color="auto" w:fill="auto"/>
            <w:vAlign w:val="center"/>
          </w:tcPr>
          <w:p w14:paraId="0B8B1A97" w14:textId="67374BF0" w:rsidR="00A146FB" w:rsidRPr="00AF7348" w:rsidRDefault="00A146FB" w:rsidP="48DECE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hAnsi="Times New Roman"/>
                <w:b/>
                <w:bCs/>
                <w:color w:val="000000" w:themeColor="text1"/>
                <w:sz w:val="24"/>
                <w:szCs w:val="24"/>
                <w:lang w:val="pl-PL"/>
              </w:rPr>
              <w:lastRenderedPageBreak/>
              <w:t xml:space="preserve">C.4. </w:t>
            </w:r>
            <w:r w:rsidRPr="00AF7348">
              <w:rPr>
                <w:rFonts w:ascii="Times New Roman" w:hAnsi="Times New Roman"/>
                <w:color w:val="000000" w:themeColor="text1"/>
                <w:sz w:val="24"/>
                <w:szCs w:val="24"/>
                <w:lang w:val="pl-PL"/>
              </w:rPr>
              <w:tab/>
            </w:r>
            <w:r w:rsidRPr="00AF7348">
              <w:rPr>
                <w:rFonts w:ascii="Times New Roman" w:hAnsi="Times New Roman"/>
                <w:b/>
                <w:bCs/>
                <w:color w:val="000000" w:themeColor="text1"/>
                <w:sz w:val="24"/>
                <w:szCs w:val="24"/>
                <w:lang w:val="pl-PL"/>
              </w:rPr>
              <w:t xml:space="preserve">Kamienie milowe, </w:t>
            </w:r>
            <w:r w:rsidR="005427AE">
              <w:rPr>
                <w:rFonts w:ascii="Times New Roman" w:hAnsi="Times New Roman"/>
                <w:b/>
                <w:bCs/>
                <w:color w:val="000000" w:themeColor="text1"/>
                <w:sz w:val="24"/>
                <w:szCs w:val="24"/>
                <w:lang w:val="pl-PL"/>
              </w:rPr>
              <w:t>cele</w:t>
            </w:r>
            <w:r w:rsidRPr="00AF7348">
              <w:rPr>
                <w:rFonts w:ascii="Times New Roman" w:hAnsi="Times New Roman"/>
                <w:b/>
                <w:bCs/>
                <w:color w:val="000000" w:themeColor="text1"/>
                <w:sz w:val="24"/>
                <w:szCs w:val="24"/>
                <w:lang w:val="pl-PL"/>
              </w:rPr>
              <w:t>, wskaźniki i harmonogram monitorowania i realizacji na potrzeby wsparcia finansowego w formie pożyczki</w:t>
            </w:r>
          </w:p>
        </w:tc>
      </w:tr>
      <w:tr w:rsidR="001052B5" w:rsidRPr="00F07CEA" w14:paraId="709F0C6A"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9"/>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DD3302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9EBFA7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CF4E2C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24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9ACB89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2318F6E"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Qualitative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milestones)</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258595C"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Quantitative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targets)</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268F59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FA178A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07CEA" w14:paraId="4E4BF504"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7"/>
          <w:jc w:val="center"/>
        </w:trPr>
        <w:tc>
          <w:tcPr>
            <w:tcW w:w="846" w:type="dxa"/>
            <w:vMerge/>
            <w:vAlign w:val="center"/>
          </w:tcPr>
          <w:p w14:paraId="20AC25B0"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126" w:type="dxa"/>
            <w:vMerge/>
            <w:vAlign w:val="center"/>
          </w:tcPr>
          <w:p w14:paraId="072E8910"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134" w:type="dxa"/>
            <w:vMerge/>
            <w:vAlign w:val="center"/>
          </w:tcPr>
          <w:p w14:paraId="1F4CE02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415" w:type="dxa"/>
            <w:vMerge/>
            <w:vAlign w:val="center"/>
          </w:tcPr>
          <w:p w14:paraId="63406B5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59" w:type="dxa"/>
            <w:vMerge/>
            <w:vAlign w:val="center"/>
          </w:tcPr>
          <w:p w14:paraId="39620E3E"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1C9381E"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F7A975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D0CA02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869B85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AD19AD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3119" w:type="dxa"/>
            <w:vMerge/>
            <w:vAlign w:val="center"/>
          </w:tcPr>
          <w:p w14:paraId="562E6E57"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9D378C" w14:paraId="3E1B8997"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038C7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bookmarkStart w:id="6" w:name="RANGE!A50"/>
            <w:r w:rsidRPr="00EB62AB">
              <w:rPr>
                <w:rFonts w:ascii="Times New Roman" w:hAnsi="Times New Roman" w:cs="Times New Roman"/>
                <w:sz w:val="18"/>
                <w:szCs w:val="18"/>
              </w:rPr>
              <w:t>C1L</w:t>
            </w:r>
            <w:bookmarkEnd w:id="6"/>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31A92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 Podniesienie poziomu dostępności i wykorzystania nowoczesnej łączności przewodowej i bezprzewodowej na potrzeby społeczne i gospodarcze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32D57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334A8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Zmiana rozporządzenia Ministra Klimatu z dnia 17 lutego 2020 r. w sprawie monitorowania emisji pól elektromagnetycznych w środowisku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C02930" w14:textId="4F692A1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Przepis w </w:t>
            </w:r>
            <w:r w:rsidR="00B114F2">
              <w:rPr>
                <w:rFonts w:ascii="Times New Roman" w:eastAsia="Times New Roman" w:hAnsi="Times New Roman" w:cs="Times New Roman"/>
                <w:color w:val="000000"/>
                <w:sz w:val="18"/>
                <w:szCs w:val="18"/>
                <w:lang w:val="pl-PL"/>
              </w:rPr>
              <w:t xml:space="preserve">nowelizacji </w:t>
            </w:r>
            <w:r w:rsidRPr="00EB62AB">
              <w:rPr>
                <w:rFonts w:ascii="Times New Roman" w:eastAsia="Times New Roman" w:hAnsi="Times New Roman" w:cs="Times New Roman"/>
                <w:color w:val="000000"/>
                <w:sz w:val="18"/>
                <w:szCs w:val="18"/>
                <w:lang w:val="pl-PL"/>
              </w:rPr>
              <w:t>rozporządzeni</w:t>
            </w:r>
            <w:r w:rsidR="00B114F2">
              <w:rPr>
                <w:rFonts w:ascii="Times New Roman" w:eastAsia="Times New Roman" w:hAnsi="Times New Roman" w:cs="Times New Roman"/>
                <w:color w:val="000000"/>
                <w:sz w:val="18"/>
                <w:szCs w:val="18"/>
                <w:lang w:val="pl-PL"/>
              </w:rPr>
              <w:t>a</w:t>
            </w:r>
            <w:r w:rsidRPr="00EB62AB">
              <w:rPr>
                <w:rFonts w:ascii="Times New Roman" w:eastAsia="Times New Roman" w:hAnsi="Times New Roman" w:cs="Times New Roman"/>
                <w:color w:val="000000"/>
                <w:sz w:val="18"/>
                <w:szCs w:val="18"/>
                <w:lang w:val="pl-PL"/>
              </w:rPr>
              <w:t xml:space="preserve"> wskazujące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F8FD1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122F5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AF5AE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3FF7A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0CE5C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D73BBC" w14:textId="7D420A4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Wejście w życie zmian</w:t>
            </w:r>
            <w:r w:rsidR="00B114F2">
              <w:rPr>
                <w:rFonts w:ascii="Times New Roman" w:eastAsia="Times New Roman" w:hAnsi="Times New Roman" w:cs="Times New Roman"/>
                <w:color w:val="000000"/>
                <w:sz w:val="18"/>
                <w:szCs w:val="18"/>
                <w:lang w:val="pl-PL"/>
              </w:rPr>
              <w:t>y</w:t>
            </w:r>
            <w:r w:rsidRPr="00EB62AB">
              <w:rPr>
                <w:rFonts w:ascii="Times New Roman" w:eastAsia="Times New Roman" w:hAnsi="Times New Roman" w:cs="Times New Roman"/>
                <w:color w:val="000000"/>
                <w:sz w:val="18"/>
                <w:szCs w:val="18"/>
                <w:lang w:val="pl-PL"/>
              </w:rPr>
              <w:t xml:space="preserve"> </w:t>
            </w:r>
            <w:r w:rsidR="00B114F2">
              <w:rPr>
                <w:rFonts w:ascii="Times New Roman" w:eastAsia="Times New Roman" w:hAnsi="Times New Roman" w:cs="Times New Roman"/>
                <w:color w:val="000000"/>
                <w:sz w:val="18"/>
                <w:szCs w:val="18"/>
                <w:lang w:val="pl-PL"/>
              </w:rPr>
              <w:t>w</w:t>
            </w:r>
            <w:r w:rsidRPr="00EB62AB">
              <w:rPr>
                <w:rFonts w:ascii="Times New Roman" w:eastAsia="Times New Roman" w:hAnsi="Times New Roman" w:cs="Times New Roman"/>
                <w:color w:val="000000"/>
                <w:sz w:val="18"/>
                <w:szCs w:val="18"/>
                <w:lang w:val="pl-PL"/>
              </w:rPr>
              <w:t xml:space="preserve"> </w:t>
            </w:r>
            <w:r w:rsidR="00B114F2">
              <w:rPr>
                <w:rFonts w:ascii="Times New Roman" w:eastAsia="Times New Roman" w:hAnsi="Times New Roman" w:cs="Times New Roman"/>
                <w:color w:val="000000"/>
                <w:sz w:val="18"/>
                <w:szCs w:val="18"/>
                <w:lang w:val="pl-PL"/>
              </w:rPr>
              <w:t>r</w:t>
            </w:r>
            <w:r w:rsidRPr="00EB62AB">
              <w:rPr>
                <w:rFonts w:ascii="Times New Roman" w:eastAsia="Times New Roman" w:hAnsi="Times New Roman" w:cs="Times New Roman"/>
                <w:color w:val="000000"/>
                <w:sz w:val="18"/>
                <w:szCs w:val="18"/>
                <w:lang w:val="pl-PL"/>
              </w:rPr>
              <w:t>ozporządzeni</w:t>
            </w:r>
            <w:r w:rsidR="00B114F2">
              <w:rPr>
                <w:rFonts w:ascii="Times New Roman" w:eastAsia="Times New Roman" w:hAnsi="Times New Roman" w:cs="Times New Roman"/>
                <w:color w:val="000000"/>
                <w:sz w:val="18"/>
                <w:szCs w:val="18"/>
                <w:lang w:val="pl-PL"/>
              </w:rPr>
              <w:t>u</w:t>
            </w:r>
            <w:r w:rsidRPr="00EB62AB">
              <w:rPr>
                <w:rFonts w:ascii="Times New Roman" w:eastAsia="Times New Roman" w:hAnsi="Times New Roman" w:cs="Times New Roman"/>
                <w:color w:val="000000"/>
                <w:sz w:val="18"/>
                <w:szCs w:val="18"/>
                <w:lang w:val="pl-PL"/>
              </w:rPr>
              <w:t xml:space="preserve"> z dnia 17 lutego 2020 r. dotyczących metodologii pomiarów emisji pól elektromagnetycznych w środowisku.</w:t>
            </w:r>
          </w:p>
        </w:tc>
      </w:tr>
      <w:tr w:rsidR="001052B5" w:rsidRPr="009D378C" w14:paraId="3BEADB26"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7A4E1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C2L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12488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 Podniesienie poziomu dostępności i wykorzystania nowoczesnej łączności przewodowej i bezprzewodowej na potrzeby społeczne i gospodarcze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7464A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5B10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Nowelizacja rozporządzenia Rady Ministrów z dnia 10 września 2019 r. w sprawie oceny oddziaływania na środowisko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A473DE" w14:textId="6991F9D2"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Przepis w </w:t>
            </w:r>
            <w:r w:rsidR="00B114F2">
              <w:rPr>
                <w:rFonts w:ascii="Times New Roman" w:eastAsia="Times New Roman" w:hAnsi="Times New Roman" w:cs="Times New Roman"/>
                <w:color w:val="000000"/>
                <w:sz w:val="18"/>
                <w:szCs w:val="18"/>
                <w:lang w:val="pl-PL"/>
              </w:rPr>
              <w:t xml:space="preserve">nowelizacji </w:t>
            </w:r>
            <w:r w:rsidRPr="00EB62AB">
              <w:rPr>
                <w:rFonts w:ascii="Times New Roman" w:eastAsia="Times New Roman" w:hAnsi="Times New Roman" w:cs="Times New Roman"/>
                <w:color w:val="000000"/>
                <w:sz w:val="18"/>
                <w:szCs w:val="18"/>
                <w:lang w:val="pl-PL"/>
              </w:rPr>
              <w:t>rozporządzeni</w:t>
            </w:r>
            <w:r w:rsidR="00B114F2">
              <w:rPr>
                <w:rFonts w:ascii="Times New Roman" w:eastAsia="Times New Roman" w:hAnsi="Times New Roman" w:cs="Times New Roman"/>
                <w:color w:val="000000"/>
                <w:sz w:val="18"/>
                <w:szCs w:val="18"/>
                <w:lang w:val="pl-PL"/>
              </w:rPr>
              <w:t>a</w:t>
            </w:r>
            <w:r w:rsidRPr="00EB62AB">
              <w:rPr>
                <w:rFonts w:ascii="Times New Roman" w:eastAsia="Times New Roman" w:hAnsi="Times New Roman" w:cs="Times New Roman"/>
                <w:color w:val="000000"/>
                <w:sz w:val="18"/>
                <w:szCs w:val="18"/>
                <w:lang w:val="pl-PL"/>
              </w:rPr>
              <w:t xml:space="preserve"> wskazujące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FDD2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90DE2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A7702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85ACC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41513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D664EF" w14:textId="6558CA2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Wejście w życie zmian</w:t>
            </w:r>
            <w:r w:rsidR="00B114F2">
              <w:rPr>
                <w:rFonts w:ascii="Times New Roman" w:eastAsia="Times New Roman" w:hAnsi="Times New Roman" w:cs="Times New Roman"/>
                <w:color w:val="000000"/>
                <w:sz w:val="18"/>
                <w:szCs w:val="18"/>
                <w:lang w:val="pl-PL"/>
              </w:rPr>
              <w:t>y</w:t>
            </w:r>
            <w:r w:rsidRPr="00EB62AB">
              <w:rPr>
                <w:rFonts w:ascii="Times New Roman" w:eastAsia="Times New Roman" w:hAnsi="Times New Roman" w:cs="Times New Roman"/>
                <w:color w:val="000000"/>
                <w:sz w:val="18"/>
                <w:szCs w:val="18"/>
                <w:lang w:val="pl-PL"/>
              </w:rPr>
              <w:t xml:space="preserve"> w rozporządzeniu dotyczących przedsięwzięć mogących znacząco oddziaływać na środowisko, które wyłączają inwestycje radiokomunikacyjne z katalogu przedsięwzięć wymagających oceny oddziaływania na środowisko.</w:t>
            </w:r>
          </w:p>
        </w:tc>
      </w:tr>
      <w:tr w:rsidR="001052B5" w:rsidRPr="009D378C" w14:paraId="4D1FF695"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E60EB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C3L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CFFDA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 Podniesienie poziomu dostępności i wykorzystania nowoczesnej łączności przewodowej i bezprzewodowej na potrzeby społeczne i gospodarcze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42510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2B21D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Nowy akt prawny likwidujący bariery we wdrażaniu sieci 5G przez branże wertykalne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BE9DC3" w14:textId="5DBF5C21"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Przepis w ustawie wskazujący na wejście </w:t>
            </w:r>
            <w:r w:rsidR="00B114F2">
              <w:rPr>
                <w:rFonts w:ascii="Times New Roman" w:eastAsia="Times New Roman" w:hAnsi="Times New Roman" w:cs="Times New Roman"/>
                <w:color w:val="000000"/>
                <w:sz w:val="18"/>
                <w:szCs w:val="18"/>
                <w:lang w:val="pl-PL"/>
              </w:rPr>
              <w:t xml:space="preserve">jej </w:t>
            </w:r>
            <w:r w:rsidRPr="00EB62AB">
              <w:rPr>
                <w:rFonts w:ascii="Times New Roman" w:eastAsia="Times New Roman" w:hAnsi="Times New Roman" w:cs="Times New Roman"/>
                <w:color w:val="000000"/>
                <w:sz w:val="18"/>
                <w:szCs w:val="18"/>
                <w:lang w:val="pl-PL"/>
              </w:rPr>
              <w:t>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B6F51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E5567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33B8C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455D9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23A6C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C2A42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Wejście w życie ustawy likwidującej bariery we wdrażaniu rozwiązań w gospodarce wykorzystujących łączność w sieciach 5G.</w:t>
            </w:r>
          </w:p>
        </w:tc>
      </w:tr>
      <w:tr w:rsidR="001052B5" w:rsidRPr="009D378C" w14:paraId="1E3FED5C"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3957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C4L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CA8A57" w14:textId="2029E301" w:rsidR="001052B5" w:rsidRPr="00EB62AB" w:rsidRDefault="00B114F2"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114F2">
              <w:rPr>
                <w:rFonts w:ascii="Times New Roman" w:eastAsia="Times New Roman" w:hAnsi="Times New Roman" w:cs="Times New Roman"/>
                <w:color w:val="000000"/>
                <w:sz w:val="18"/>
                <w:szCs w:val="18"/>
                <w:lang w:val="pl-PL"/>
              </w:rPr>
              <w:t>C1.2.1 Wzmocnienie potencjału komercyjnych inwestycji w nowoczesne sieci łączności elektronicznej</w:t>
            </w:r>
            <w:r w:rsidRPr="00B114F2" w:rsidDel="00B114F2">
              <w:rPr>
                <w:rFonts w:ascii="Times New Roman" w:eastAsia="Times New Roman" w:hAnsi="Times New Roman" w:cs="Times New Roman"/>
                <w:color w:val="000000"/>
                <w:sz w:val="18"/>
                <w:szCs w:val="18"/>
                <w:lang w:val="pl-PL"/>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2A12B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1C813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Ramy dla produktów finansowych w celu wzmocnienia inwestycji komercyjnych w nowoczesną sieć komunikacji elektronicznej</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95340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Publikacja ram na stronach internetowych Kancelarii Prezesa Rady Ministrów, Centrum Projektów Polska Cyfrowa, Banku Gospodarstwa Krajowego oraz Polskiego Funduszu Rozwoju, wskazująca na wejście ram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F9DAB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48871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72F9F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ED0BB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E75D2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ED436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Przyjęcie ram stanowiących podstawę prowadzenia otwartego naboru wniosków o udzielenie kredytu inwestycyjnego. Za przygotowanie i przyjęcie tych ram odpowiedzialna jest Kancelaria Prezesa Rady Ministrów.</w:t>
            </w:r>
            <w:r w:rsidRPr="00EB62AB">
              <w:rPr>
                <w:rFonts w:ascii="Times New Roman" w:eastAsia="Times New Roman" w:hAnsi="Times New Roman" w:cs="Times New Roman"/>
                <w:color w:val="000000"/>
                <w:sz w:val="18"/>
                <w:szCs w:val="18"/>
                <w:lang w:val="pl-PL"/>
              </w:rPr>
              <w:br/>
              <w:t>W celu zapewnienia, że ​​środek jest zgodny z wytycznymi technicznymi DNSH (2021/C58/01), kryteria kwalifikowalności w zakresie zadań odnoszące się do zaproszeń do składania wniosków wymagają tego, aby wybierane były wyłącznie przedsięwzięcia, które są zgodne z odpowiednimi unijnymi i krajowymi przepisy dotyczącymi ochrony środowiska.</w:t>
            </w:r>
          </w:p>
        </w:tc>
      </w:tr>
      <w:tr w:rsidR="001052B5" w:rsidRPr="00EB62AB" w14:paraId="2201448B"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81B09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C5L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5FBC30" w14:textId="6396221C" w:rsidR="001052B5" w:rsidRPr="00EB62AB" w:rsidRDefault="00B114F2"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114F2">
              <w:rPr>
                <w:rFonts w:ascii="Times New Roman" w:eastAsia="Times New Roman" w:hAnsi="Times New Roman" w:cs="Times New Roman"/>
                <w:color w:val="000000"/>
                <w:sz w:val="18"/>
                <w:szCs w:val="18"/>
                <w:lang w:val="pl-PL"/>
              </w:rPr>
              <w:t>C1.2.1 Wzmocnienie potencjału komercyjnych inwestycji w nowoczesne sieci łączności elektronicznej</w:t>
            </w:r>
            <w:r w:rsidRPr="00B114F2" w:rsidDel="00B114F2">
              <w:rPr>
                <w:rFonts w:ascii="Times New Roman" w:eastAsia="Times New Roman" w:hAnsi="Times New Roman" w:cs="Times New Roman"/>
                <w:color w:val="000000"/>
                <w:sz w:val="18"/>
                <w:szCs w:val="18"/>
                <w:lang w:val="pl-PL"/>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C34D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82614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Kontrakty przyznane na budowę stacji bazowych 5G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AB8D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F1ADA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9EC2B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9FEBE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29AA1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6F6F3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0ADE5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r>
      <w:tr w:rsidR="001052B5" w:rsidRPr="009D378C" w14:paraId="2F3EBB12"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AF4929"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C6L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967A5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C1.2.1 Wzmocnienie potencjału komercyjnych inwestycji w nowoczesne sieci łączności elektronicznej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E1452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2613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Budowa stacji bazowych 5G na terenach wiejskich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B984E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D560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4B4EB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18D24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4200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48907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DA090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984FE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Co najmniej 4200 stacji bazowych zostanie wdrożonych na obszarach wiejskich, dostarczając tym samym usługi 5G lub usługi 4G o podwyższonej wydajności. Cel ten należy rozumieć jako zapewnienie dodatkowego zasięgu osiągniętego przy wsparciu RRF względem zasięgu nałożonego na operatorów telekomunikacyjnych w wyniku aukcji widma 5G.</w:t>
            </w:r>
            <w:r w:rsidRPr="00EB62AB">
              <w:rPr>
                <w:rFonts w:ascii="Times New Roman" w:eastAsia="Times New Roman" w:hAnsi="Times New Roman" w:cs="Times New Roman"/>
                <w:color w:val="000000"/>
                <w:sz w:val="18"/>
                <w:szCs w:val="18"/>
                <w:lang w:val="pl-PL"/>
              </w:rPr>
              <w:br/>
              <w:t xml:space="preserve">Inwestycja będzie realizowana w pełnej zgodności z Wytycznymi Technicznymi DNSH (2021/C 58/01), w szczególności z uwzględnieniem </w:t>
            </w:r>
            <w:r w:rsidRPr="00EB62AB">
              <w:rPr>
                <w:rFonts w:ascii="Times New Roman" w:eastAsia="Times New Roman" w:hAnsi="Times New Roman" w:cs="Times New Roman"/>
                <w:color w:val="000000"/>
                <w:sz w:val="18"/>
                <w:szCs w:val="18"/>
                <w:lang w:val="pl-PL"/>
              </w:rPr>
              <w:lastRenderedPageBreak/>
              <w:t>wymagań związanych z charakterystyką energetyczną, gospodarką odpadami i oceną ryzyka środowiskowego.</w:t>
            </w:r>
          </w:p>
        </w:tc>
      </w:tr>
      <w:tr w:rsidR="001052B5" w:rsidRPr="009D378C" w14:paraId="771DC948"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9B6D12"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C7L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B4029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C1.2.1 Wzmocnienie potencjału komercyjnych inwestycji w nowoczesne sieci łączności elektronicznej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D507E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9D95C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Miasta objęte nowym stacjonarnym systemem monitorowania emisji pól elektromagnetycznych z instalacji radiokomunikacyjnych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87607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8D5EA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73D0F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24F12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43E89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xml:space="preserve">Q2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3FCD8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xml:space="preserve">2024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BC0BC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Liczba miast, w których zostaną wybudowane instalacje do ciągłego monitorowania emisji pól elektromagnetycznych, włączone do stacjonarnego systemu monitorowania emisji pól elektromagnetycznych emitowanych z instalacji radiokomunikacyjnych. Przewiduje się, że system monitorowania pól elektromagnetycznych będzie finansowany wyłącznie w formie bezzwrotnej.</w:t>
            </w:r>
            <w:r w:rsidRPr="00EB62AB">
              <w:rPr>
                <w:rFonts w:ascii="Times New Roman" w:eastAsia="Times New Roman" w:hAnsi="Times New Roman" w:cs="Times New Roman"/>
                <w:color w:val="000000"/>
                <w:sz w:val="18"/>
                <w:szCs w:val="18"/>
                <w:lang w:val="pl-PL"/>
              </w:rPr>
              <w:br/>
              <w:t>Inwestycja będzie realizowana w pełnej zgodności z Wytycznymi Technicznymi DNSH (2021/C 58/01), w szczególności z uwzględnieniem wymagań związanych z charakterystyką energetyczną, gospodarką odpadami i oceną ryzyka środowiskowego.</w:t>
            </w:r>
          </w:p>
        </w:tc>
      </w:tr>
      <w:tr w:rsidR="001052B5" w:rsidRPr="009D378C" w14:paraId="621DF4FD"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BFBB21"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C8L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AB115" w14:textId="11A772A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 Reforma podstaw cyfryzacji system</w:t>
            </w:r>
            <w:r w:rsidR="00AF20C9">
              <w:rPr>
                <w:rFonts w:ascii="Times New Roman" w:eastAsia="Times New Roman" w:hAnsi="Times New Roman" w:cs="Times New Roman"/>
                <w:color w:val="000000"/>
                <w:sz w:val="18"/>
                <w:szCs w:val="18"/>
                <w:lang w:val="pl-PL"/>
              </w:rPr>
              <w:t>ów</w:t>
            </w:r>
            <w:r w:rsidRPr="00EB62AB">
              <w:rPr>
                <w:rFonts w:ascii="Times New Roman" w:eastAsia="Times New Roman" w:hAnsi="Times New Roman" w:cs="Times New Roman"/>
                <w:color w:val="000000"/>
                <w:sz w:val="18"/>
                <w:szCs w:val="18"/>
                <w:lang w:val="pl-PL"/>
              </w:rPr>
              <w:t xml:space="preserve"> oświaty i wychowania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E8797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89FB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Przyjęcie nowej polityki cyfryzacji edukacji, stanowiącej podstawę zmian w systemie edukacji i realizacji inwestycji w ICT oraz określającej kierunki procesu cyfryzacji  systemu edukacji w perspektywie krótko- i długoterminowej</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83C76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Przyjęcie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polityki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84C3C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58A17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35F2D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B31CC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64720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77986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Przyjęcie przez Radę Ministrów uchwały w sprawie polityki cyfryzacji obszaru edukacji, mającej charakter dokumentu programowo-strategicznego, wyznaczającego ramy dla polityki państwa i działań podejmowanych w obszarze cyfryzacji edukacji w perspektywie krótko-, średnio- i długoterminowej. Dokument ten stanowi podstawę działań interesariuszy i podmiotów-uczestników oraz definiuje narzędzia służące osiągnięciu w pełni cyfrowego </w:t>
            </w:r>
            <w:r w:rsidRPr="00EB62AB">
              <w:rPr>
                <w:rFonts w:ascii="Times New Roman" w:eastAsia="Times New Roman" w:hAnsi="Times New Roman" w:cs="Times New Roman"/>
                <w:color w:val="000000"/>
                <w:sz w:val="18"/>
                <w:szCs w:val="18"/>
                <w:lang w:val="pl-PL"/>
              </w:rPr>
              <w:lastRenderedPageBreak/>
              <w:t>systemu edukacji, dostosowanego do współczesnych wyzwań środowiska edukacji przedszkolnej i edukacji ogólnokształcącej. Polityka ta obejmuje plan wdrażania, środki oceny i monitorowania oraz jest opracowywana z zastosowaniem podejścia partycypacyjnego.</w:t>
            </w:r>
          </w:p>
        </w:tc>
      </w:tr>
      <w:tr w:rsidR="001052B5" w:rsidRPr="009D378C" w14:paraId="02D1FC2A"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4C84B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C9L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8D706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1CD65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5680D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Konsultacje społeczne w sprawie ram określających procedury dystrybucji urządzeń teleinformatycznych oraz udostępniania infrastruktury szkołom i innym placówkom oświatowym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98D64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Raport podsumowujący wyniki konsultacji społecznych wraz opisem uwzględnienia ich wyniku przez </w:t>
            </w:r>
            <w:proofErr w:type="spellStart"/>
            <w:r w:rsidRPr="00EB62AB">
              <w:rPr>
                <w:rFonts w:ascii="Times New Roman" w:eastAsia="Times New Roman" w:hAnsi="Times New Roman" w:cs="Times New Roman"/>
                <w:color w:val="000000"/>
                <w:sz w:val="18"/>
                <w:szCs w:val="18"/>
                <w:lang w:val="pl-PL"/>
              </w:rPr>
              <w:t>MEiN</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60268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B3BCC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5DD1B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42645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1147A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F6EC3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Konsultacje społeczne z udziałem różnych zainteresowanych stron i partnerów społecznych na temat ram dystrybucji sprzętu teleinformatycznego (zestaw informatyczny do zdalnego nauczania) oraz zapewnienia infrastruktury (połączenia LAN, laboratoria STEM i AI) szkołom i innym jednostkom edukacyjnym. Wyniki konsultacji zostaną podsumowane w raporcie zawierającym główne uwagi zainteresowanych stron i partnerów społecznych oraz działania podjęte przez rząd w związku z tymi uwagami.</w:t>
            </w:r>
          </w:p>
        </w:tc>
      </w:tr>
      <w:tr w:rsidR="001052B5" w:rsidRPr="009D378C" w14:paraId="2DB5CE1B"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C3917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C10L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B0D45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CE97A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9C7BD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Ramy określające procedury dystrybucji urządzeń teleinformatycznych i udostępniania infrastruktury szkołom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6E9E6" w14:textId="5FE733E8"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Przyjęcie ram przez Ministerstwo Edukacji i Nauki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8808D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C7728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82544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8057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60EE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17877D" w14:textId="43BF3C0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Ramy określają minimalne warunki dystrybucji sprzętu teleinformatycznego i udostępniania infrastruktury podmiotom będącymi beneficjentami, wynikające z uprzednich konsultacji publicznych ram z różnymi zainteresowanymi stronami.</w:t>
            </w:r>
            <w:r w:rsidRPr="00EB62AB">
              <w:rPr>
                <w:rFonts w:ascii="Times New Roman" w:eastAsia="Times New Roman" w:hAnsi="Times New Roman" w:cs="Times New Roman"/>
                <w:color w:val="000000"/>
                <w:sz w:val="18"/>
                <w:szCs w:val="18"/>
                <w:lang w:val="pl-PL"/>
              </w:rPr>
              <w:br/>
              <w:t>Ramy określają jasne kryteria wyboru podmiotów będących beneficjentami, odzwierciedlające zapotrzebowanie na sprzęt i infrastrukturę teleinformatyczną, taką jak połączenia LAN i laboratoria, oraz ich potencjalny wpływ na wyniki edukacyjne instytucji.</w:t>
            </w:r>
            <w:r w:rsidRPr="00EB62AB">
              <w:rPr>
                <w:rFonts w:ascii="Times New Roman" w:eastAsia="Times New Roman" w:hAnsi="Times New Roman" w:cs="Times New Roman"/>
                <w:color w:val="000000"/>
                <w:sz w:val="18"/>
                <w:szCs w:val="18"/>
                <w:lang w:val="pl-PL"/>
              </w:rPr>
              <w:br/>
            </w:r>
            <w:r w:rsidRPr="00EB62AB">
              <w:rPr>
                <w:rFonts w:ascii="Times New Roman" w:eastAsia="Times New Roman" w:hAnsi="Times New Roman" w:cs="Times New Roman"/>
                <w:color w:val="000000"/>
                <w:sz w:val="18"/>
                <w:szCs w:val="18"/>
                <w:lang w:val="pl-PL"/>
              </w:rPr>
              <w:lastRenderedPageBreak/>
              <w:t xml:space="preserve">Biorąc pod uwagę potrzeby różnych beneficjentów, zaproszenie do składania ofert na dostawę infrastruktury i dystrybucję sprzętu teleinformatycznego powinno być równe, otwarte, przejrzyste i sprawiedliwe oraz zapewniać zrównoważoną dystrybucję pomiędzy </w:t>
            </w:r>
            <w:r w:rsidR="00B114F2">
              <w:rPr>
                <w:rFonts w:ascii="Times New Roman" w:eastAsia="Times New Roman" w:hAnsi="Times New Roman" w:cs="Times New Roman"/>
                <w:color w:val="000000"/>
                <w:sz w:val="18"/>
                <w:szCs w:val="18"/>
                <w:lang w:val="pl-PL"/>
              </w:rPr>
              <w:t>szkołami</w:t>
            </w:r>
            <w:r w:rsidRPr="00EB62AB">
              <w:rPr>
                <w:rFonts w:ascii="Times New Roman" w:eastAsia="Times New Roman" w:hAnsi="Times New Roman" w:cs="Times New Roman"/>
                <w:color w:val="000000"/>
                <w:sz w:val="18"/>
                <w:szCs w:val="18"/>
                <w:lang w:val="pl-PL"/>
              </w:rPr>
              <w:t xml:space="preserve"> w całym kraju, w oparciu o zarówno zasięg populacyjny i geograficzny.</w:t>
            </w:r>
          </w:p>
        </w:tc>
      </w:tr>
      <w:tr w:rsidR="001052B5" w:rsidRPr="009D378C" w14:paraId="4615B610"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B0B9D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C11L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D6A41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6182D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E510F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Sale lekcyjne w szkołach i innych placówkach edukacyjnych wyposażone w połączenie z siecią lokalną (LAN)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C91A5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054FE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D837B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DF95F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882C9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24A32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9415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Liczba </w:t>
            </w:r>
            <w:proofErr w:type="spellStart"/>
            <w:r w:rsidRPr="00EB62AB">
              <w:rPr>
                <w:rFonts w:ascii="Times New Roman" w:eastAsia="Times New Roman" w:hAnsi="Times New Roman" w:cs="Times New Roman"/>
                <w:color w:val="000000"/>
                <w:sz w:val="18"/>
                <w:szCs w:val="18"/>
                <w:lang w:val="pl-PL"/>
              </w:rPr>
              <w:t>sal</w:t>
            </w:r>
            <w:proofErr w:type="spellEnd"/>
            <w:r w:rsidRPr="00EB62AB">
              <w:rPr>
                <w:rFonts w:ascii="Times New Roman" w:eastAsia="Times New Roman" w:hAnsi="Times New Roman" w:cs="Times New Roman"/>
                <w:color w:val="000000"/>
                <w:sz w:val="18"/>
                <w:szCs w:val="18"/>
                <w:lang w:val="pl-PL"/>
              </w:rPr>
              <w:t xml:space="preserve"> lekcyjnych, które będą wyposażone w połączenia LAN, z dostępem do Internetu przekraczającym minimalne standardy 100Mbps.</w:t>
            </w:r>
            <w:r w:rsidRPr="00EB62AB">
              <w:rPr>
                <w:rFonts w:ascii="Times New Roman" w:eastAsia="Times New Roman" w:hAnsi="Times New Roman" w:cs="Times New Roman"/>
                <w:color w:val="000000"/>
                <w:sz w:val="18"/>
                <w:szCs w:val="18"/>
                <w:lang w:val="pl-PL"/>
              </w:rPr>
              <w:br/>
              <w:t>Wyboru podmiotów dostarczających infrastrukturę sieciową dokonuje się w sposób uczciwy, konkurencyjny i przejrzysty, zgodnie z ramami określającymi minimalne warunki udostępniania infrastruktury.</w:t>
            </w:r>
            <w:r w:rsidRPr="00EB62AB">
              <w:rPr>
                <w:rFonts w:ascii="Times New Roman" w:eastAsia="Times New Roman" w:hAnsi="Times New Roman" w:cs="Times New Roman"/>
                <w:color w:val="000000"/>
                <w:sz w:val="18"/>
                <w:szCs w:val="18"/>
                <w:lang w:val="pl-PL"/>
              </w:rPr>
              <w:br/>
              <w:t>Fundusze lub dostawy bezpośrednie są przyznawane w sprawiedliwy i przejrzysty sposób uzgodniony z samorządami lokalnymi i nie są zwracane w żadnej formie przez odbiorców końcowych lub samorządy lokalne.</w:t>
            </w:r>
          </w:p>
        </w:tc>
      </w:tr>
      <w:tr w:rsidR="001052B5" w:rsidRPr="009D378C" w14:paraId="1BF6A2D0"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F6540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C12L: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03B1E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CC6DF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A46D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Sale lekcyjne w szkołach zawodowych i ogólnokształcących wyposażone w narzędzia informatyczne umożliwiające zdalne nauczanie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1945C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97D89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5CC9C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B605F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0F24A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FCF6F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9AA69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Co najmniej 100 000 </w:t>
            </w:r>
            <w:proofErr w:type="spellStart"/>
            <w:r w:rsidRPr="00EB62AB">
              <w:rPr>
                <w:rFonts w:ascii="Times New Roman" w:eastAsia="Times New Roman" w:hAnsi="Times New Roman" w:cs="Times New Roman"/>
                <w:color w:val="000000"/>
                <w:sz w:val="18"/>
                <w:szCs w:val="18"/>
                <w:lang w:val="pl-PL"/>
              </w:rPr>
              <w:t>sal</w:t>
            </w:r>
            <w:proofErr w:type="spellEnd"/>
            <w:r w:rsidRPr="00EB62AB">
              <w:rPr>
                <w:rFonts w:ascii="Times New Roman" w:eastAsia="Times New Roman" w:hAnsi="Times New Roman" w:cs="Times New Roman"/>
                <w:color w:val="000000"/>
                <w:sz w:val="18"/>
                <w:szCs w:val="18"/>
                <w:lang w:val="pl-PL"/>
              </w:rPr>
              <w:t xml:space="preserve"> lekcyjnych w szkołach zawodowych i ogólnokształcących zostanie wyposażonych w szereg narzędzi informatycznych, tak aby nauczyciele mogli prowadzić lekcje zdalne z pomieszczeń szkolnych. Obejmuje to słuchawki, kamery, tablety, stacje dokujące USB, ale nie obejmuje </w:t>
            </w:r>
            <w:r w:rsidRPr="00EB62AB">
              <w:rPr>
                <w:rFonts w:ascii="Times New Roman" w:eastAsia="Times New Roman" w:hAnsi="Times New Roman" w:cs="Times New Roman"/>
                <w:color w:val="000000"/>
                <w:sz w:val="18"/>
                <w:szCs w:val="18"/>
                <w:lang w:val="pl-PL"/>
              </w:rPr>
              <w:lastRenderedPageBreak/>
              <w:t>laptopów. Fundusze lub dostawy bezpośrednie są przyznawane w sprawiedliwy i przejrzysty sposób uzgodniony z samorządami lokalnymi i nie są zwracane w żadnej formie przez odbiorców końcowych lub samorządy lokalne.</w:t>
            </w:r>
          </w:p>
        </w:tc>
      </w:tr>
      <w:tr w:rsidR="001052B5" w:rsidRPr="009D378C" w14:paraId="48607DFF"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D0CDD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C13L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76A25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3F355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EDC12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Utworzenie laboratoriów sztucznej inteligencji (AI) oraz nauki, technologii, inżynierii i matematyki (STEM) w szkołach i innych instytucjach edukacyjnych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1846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53434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47E52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2F39D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16000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CB1F8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84AAB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9655A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Liczba szkół i innych instytucji edukacyjnych wyposażonych w laboratoria sztucznej inteligencji (AI) oraz laboratoria naukowe, technologiczne, inżynieryjne i matematyczne (STEM).</w:t>
            </w:r>
            <w:r w:rsidRPr="00EB62AB">
              <w:rPr>
                <w:rFonts w:ascii="Times New Roman" w:eastAsia="Times New Roman" w:hAnsi="Times New Roman" w:cs="Times New Roman"/>
                <w:color w:val="000000"/>
                <w:sz w:val="18"/>
                <w:szCs w:val="18"/>
                <w:lang w:val="pl-PL"/>
              </w:rPr>
              <w:br/>
              <w:t>W szczególności 4000 szkół średnich zostanie wyposażonych w laboratoria STEM, a 12000 szkół zostanie wyposażonych w laboratoria AI, w tym 8000 szkół podstawowych i 4000 szkół średnich.</w:t>
            </w:r>
            <w:r w:rsidRPr="00EB62AB">
              <w:rPr>
                <w:rFonts w:ascii="Times New Roman" w:eastAsia="Times New Roman" w:hAnsi="Times New Roman" w:cs="Times New Roman"/>
                <w:color w:val="000000"/>
                <w:sz w:val="18"/>
                <w:szCs w:val="18"/>
                <w:lang w:val="pl-PL"/>
              </w:rPr>
              <w:br/>
              <w:t xml:space="preserve">Do prowadzenia takich zajęć powinna być zapewniona odpowiednia liczba wykwalifikowanych nauczycieli informatyki.     Fundusze lub dostawy bezpośrednie są przyznawane w sprawiedliwy i przejrzysty sposób uzgodniony z samorządami lokalnymi i nie są zwracane w żadnej formie przez odbiorców końcowych lub samorządy lokalne.                                                                  </w:t>
            </w:r>
          </w:p>
        </w:tc>
      </w:tr>
      <w:tr w:rsidR="001052B5" w:rsidRPr="009D378C" w14:paraId="1FC70714" w14:textId="77777777" w:rsidTr="00A20C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CE7E6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C14L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D4C67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C2.2.1 Wyposażenie szkół/instytucji w odpowiednie urządzenia i infrastrukturę ICT w celu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CE4C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57985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Cyfryzacja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systemu</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egzaminacyjnego</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7D17A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Raport na temat udanego zakończenia cyfryzacji systemu egzaminacyjnego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0142D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6E6F3A"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ADC93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0DA90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19A3F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B5213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System egzaminacyjny zostanie zreorganizowany i zmodernizowany, aby umożliwić przeprowadzanie egzaminów w trybie zdalnym. Cyfryzacja obecnego systemu egzaminacyjnego obejmie reorganizację i modernizację centralnej i </w:t>
            </w:r>
            <w:proofErr w:type="spellStart"/>
            <w:r w:rsidRPr="00EB62AB">
              <w:rPr>
                <w:rFonts w:ascii="Times New Roman" w:eastAsia="Times New Roman" w:hAnsi="Times New Roman" w:cs="Times New Roman"/>
                <w:color w:val="000000"/>
                <w:sz w:val="18"/>
                <w:szCs w:val="18"/>
                <w:lang w:val="pl-PL"/>
              </w:rPr>
              <w:t>okręgowyc</w:t>
            </w:r>
            <w:proofErr w:type="spellEnd"/>
            <w:r w:rsidRPr="00EB62AB">
              <w:rPr>
                <w:rFonts w:ascii="Times New Roman" w:eastAsia="Times New Roman" w:hAnsi="Times New Roman" w:cs="Times New Roman"/>
                <w:color w:val="000000"/>
                <w:sz w:val="18"/>
                <w:szCs w:val="18"/>
                <w:lang w:val="pl-PL"/>
              </w:rPr>
              <w:t xml:space="preserve"> h komisji </w:t>
            </w:r>
            <w:r w:rsidRPr="00EB62AB">
              <w:rPr>
                <w:rFonts w:ascii="Times New Roman" w:eastAsia="Times New Roman" w:hAnsi="Times New Roman" w:cs="Times New Roman"/>
                <w:color w:val="000000"/>
                <w:sz w:val="18"/>
                <w:szCs w:val="18"/>
                <w:lang w:val="pl-PL"/>
              </w:rPr>
              <w:lastRenderedPageBreak/>
              <w:t>egzaminacyjnych oraz Centrum Informatycznego Edukacji.</w:t>
            </w:r>
          </w:p>
        </w:tc>
      </w:tr>
    </w:tbl>
    <w:p w14:paraId="293382F5" w14:textId="77777777" w:rsidR="001052B5"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7BD58BA2" w14:textId="1E25BF95" w:rsidR="001052B5" w:rsidRPr="00AF7348" w:rsidRDefault="001052B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sectPr w:rsidR="001052B5" w:rsidRPr="00AF7348" w:rsidSect="009B6BB9">
          <w:headerReference w:type="even" r:id="rId75"/>
          <w:headerReference w:type="default" r:id="rId76"/>
          <w:footerReference w:type="even" r:id="rId77"/>
          <w:footerReference w:type="default" r:id="rId78"/>
          <w:headerReference w:type="first" r:id="rId79"/>
          <w:footerReference w:type="first" r:id="rId80"/>
          <w:pgSz w:w="16839" w:h="11907" w:orient="landscape"/>
          <w:pgMar w:top="720" w:right="720" w:bottom="720" w:left="720" w:header="709" w:footer="709" w:gutter="0"/>
          <w:cols w:space="720"/>
          <w:docGrid w:linePitch="299"/>
        </w:sectPr>
      </w:pPr>
    </w:p>
    <w:p w14:paraId="53144A02"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D. KO</w:t>
      </w:r>
      <w:r w:rsidRPr="00AF7348">
        <w:rPr>
          <w:rFonts w:ascii="Times New Roman" w:eastAsia="Times New Roman" w:hAnsi="Times New Roman" w:cs="Times New Roman"/>
          <w:b/>
          <w:bCs/>
          <w:smallCaps/>
          <w:color w:val="000000"/>
          <w:sz w:val="24"/>
          <w:szCs w:val="24"/>
          <w:lang w:val="pl-PL"/>
        </w:rPr>
        <w:t>MPONENT D: EFEKTYWNOŚĆ, DOSTĘPNOŚĆ I JAKOŚĆ SYSTEMU OCHRONY ZDROWIA</w:t>
      </w:r>
    </w:p>
    <w:p w14:paraId="1BC08902" w14:textId="5BBDC939"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Komponent ten odnosi się do kilku wyzwań, przed którymi stoi obecnie polski system opieki zdrowotnej. Szczególne znaczenie ma przestawienie się na opiekę podstawową i ambulatoryjną, ponieważ w perspektywie średnio- i długoterminowej spodziewany jest znaczny wzrost wydatków na opiekę zdrowotną, co zwiększy obciążenie finansów publicznych. Sektor szpitalny wymaga pilnej reformy uzupełnionej o ukierunkowane inwestycje. Niektóre szpitale są znacznie zadłużone i mają niskie wskaźniki obłożenia, a wiele procedur medycznych wykonywanych w nich obecnie można by przeprowadzać na niższych poziomach opieki i po niższych kosztach. System podstawowej opieki zdrowotnej jest niedofinansowany, ma zbyt mało personelu i nadmiernie rozbudowany zakres świadczonych usług. Jednocześnie system szpitalny cierpi na chroniczne niedofinansowanie, zwłaszcza jeśli chodzi o zasoby ludzkie. Ze względu na niekorzystne warunki pracy, takie jak niskie płace, zawody medyczne nie cieszą się popularnością, a ponadto obserwuje się znaczny "drenaż mózgów". Niedobór zasobów ludzkich plasuje Polskę na najniższych pozycjach w porównaniu z innymi państwami członkowskimi i powoduje konieczność zatrzymywania specjalistów w pracy po przekroczeniu przez nich wieku emerytalnego. Dostęp do opieki zdrowotnej różni się w zależności od regionu. E-zdrowie oraz nowoczesne praktyki zarządzania nie są w pełni wykorzystywane.</w:t>
      </w:r>
    </w:p>
    <w:p w14:paraId="7CEB1380" w14:textId="77777777" w:rsidR="007C4506" w:rsidRPr="00AF7348"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Cele komponentu są wielowymiarowe: zreformowanie i wsparcie inwestycyjne sektora szpitalnego zgodnie z potrzebą racjonalizacji piramidy opieki zdrowotnej, przyspieszenie transformacji cyfrowej w ochronie zdrowia, stworzenie warunków wspierających wzrost liczby personelu medycznego, wsparcie rozwoju badań w dziedzinie nauk medycznych i nauk o zdrowiu oraz stworzenie warunków sprzyjających rozwojowi produkcji leków w Polsce.</w:t>
      </w:r>
    </w:p>
    <w:p w14:paraId="00F55A1C" w14:textId="5EF284EB" w:rsidR="008577B9" w:rsidRPr="00AF7348" w:rsidRDefault="008577B9" w:rsidP="008577B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Komponent przyczynia się do realizacji </w:t>
      </w:r>
      <w:r>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alece</w:t>
      </w:r>
      <w:r>
        <w:rPr>
          <w:rFonts w:ascii="Times New Roman" w:eastAsia="Times New Roman" w:hAnsi="Times New Roman" w:cs="Times New Roman"/>
          <w:color w:val="000000" w:themeColor="text1"/>
          <w:sz w:val="24"/>
          <w:szCs w:val="24"/>
          <w:lang w:val="pl-PL"/>
        </w:rPr>
        <w:t>ń</w:t>
      </w:r>
      <w:r w:rsidRPr="00AF7348">
        <w:rPr>
          <w:rFonts w:ascii="Times New Roman" w:eastAsia="Times New Roman" w:hAnsi="Times New Roman" w:cs="Times New Roman"/>
          <w:color w:val="000000" w:themeColor="text1"/>
          <w:sz w:val="24"/>
          <w:szCs w:val="24"/>
          <w:lang w:val="pl-PL"/>
        </w:rPr>
        <w:t xml:space="preserve"> dla poszczególnych krajów </w:t>
      </w:r>
      <w:r>
        <w:rPr>
          <w:rFonts w:ascii="Times New Roman" w:eastAsia="Times New Roman" w:hAnsi="Times New Roman" w:cs="Times New Roman"/>
          <w:color w:val="000000" w:themeColor="text1"/>
          <w:sz w:val="24"/>
          <w:szCs w:val="24"/>
          <w:lang w:val="pl-PL"/>
        </w:rPr>
        <w:t xml:space="preserve">UE </w:t>
      </w:r>
      <w:r w:rsidRPr="00AF7348">
        <w:rPr>
          <w:rFonts w:ascii="Times New Roman" w:eastAsia="Times New Roman" w:hAnsi="Times New Roman" w:cs="Times New Roman"/>
          <w:color w:val="000000" w:themeColor="text1"/>
          <w:sz w:val="24"/>
          <w:szCs w:val="24"/>
          <w:lang w:val="pl-PL"/>
        </w:rPr>
        <w:t xml:space="preserve">dotyczącego </w:t>
      </w:r>
      <w:r>
        <w:rPr>
          <w:rFonts w:ascii="Times New Roman" w:eastAsia="Times New Roman" w:hAnsi="Times New Roman" w:cs="Times New Roman"/>
          <w:color w:val="000000" w:themeColor="text1"/>
          <w:sz w:val="24"/>
          <w:szCs w:val="24"/>
          <w:lang w:val="pl-PL"/>
        </w:rPr>
        <w:t>p</w:t>
      </w:r>
      <w:r w:rsidRPr="00F23F40">
        <w:rPr>
          <w:rFonts w:ascii="Times New Roman" w:eastAsia="Times New Roman" w:hAnsi="Times New Roman" w:cs="Times New Roman"/>
          <w:color w:val="000000" w:themeColor="text1"/>
          <w:sz w:val="24"/>
          <w:szCs w:val="24"/>
          <w:lang w:val="pl-PL"/>
        </w:rPr>
        <w:t>opraw</w:t>
      </w:r>
      <w:r>
        <w:rPr>
          <w:rFonts w:ascii="Times New Roman" w:eastAsia="Times New Roman" w:hAnsi="Times New Roman" w:cs="Times New Roman"/>
          <w:color w:val="000000" w:themeColor="text1"/>
          <w:sz w:val="24"/>
          <w:szCs w:val="24"/>
          <w:lang w:val="pl-PL"/>
        </w:rPr>
        <w:t>y</w:t>
      </w:r>
      <w:r w:rsidRPr="00F23F40">
        <w:rPr>
          <w:rFonts w:ascii="Times New Roman" w:eastAsia="Times New Roman" w:hAnsi="Times New Roman" w:cs="Times New Roman"/>
          <w:color w:val="000000" w:themeColor="text1"/>
          <w:sz w:val="24"/>
          <w:szCs w:val="24"/>
          <w:lang w:val="pl-PL"/>
        </w:rPr>
        <w:t xml:space="preserve"> dostępności, odporności i skuteczności systemu ochrony zdrowia, m.in. przez zapewnienie wystarczających zasobów i przyspieszenie wdrażania usług e-zdrowia. </w:t>
      </w:r>
      <w:r w:rsidRPr="00AF7348">
        <w:rPr>
          <w:rFonts w:ascii="Times New Roman" w:eastAsia="Times New Roman" w:hAnsi="Times New Roman" w:cs="Times New Roman"/>
          <w:color w:val="000000" w:themeColor="text1"/>
          <w:sz w:val="24"/>
          <w:szCs w:val="24"/>
          <w:lang w:val="pl-PL"/>
        </w:rPr>
        <w:t xml:space="preserve"> (CSR 1, 2020). </w:t>
      </w:r>
    </w:p>
    <w:p w14:paraId="0394D839" w14:textId="77777777" w:rsidR="007C4506" w:rsidRPr="00AF7348" w:rsidRDefault="0916BEA7" w:rsidP="00FD5556">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Oczekuje się, że żaden środek przewidziany w tym komponencie nie spowoduje znaczącej szkody dla celów środowiskowych w rozumieniu art. 17 Rozporządzenia (UE) 2020/852, biorąc pod uwagę opis środków i działań ograniczających określonych w krajowym planie odbudowy i zwiększania odporności zgodnie z Wytycznymi Technicznymi Dotyczącymi Zasady DNSH - Nie Czyń Poważnych Szkód (</w:t>
      </w:r>
      <w:r w:rsidRPr="00675E63">
        <w:rPr>
          <w:rFonts w:ascii="Times New Roman" w:eastAsia="Times New Roman" w:hAnsi="Times New Roman" w:cs="Times New Roman"/>
          <w:i/>
          <w:iCs/>
          <w:color w:val="000000" w:themeColor="text1"/>
          <w:sz w:val="24"/>
          <w:szCs w:val="24"/>
          <w:lang w:val="pl-PL"/>
        </w:rPr>
        <w:t xml:space="preserve">DNSH Technical </w:t>
      </w:r>
      <w:proofErr w:type="spellStart"/>
      <w:r w:rsidRPr="00675E63">
        <w:rPr>
          <w:rFonts w:ascii="Times New Roman" w:eastAsia="Times New Roman" w:hAnsi="Times New Roman" w:cs="Times New Roman"/>
          <w:i/>
          <w:iCs/>
          <w:color w:val="000000" w:themeColor="text1"/>
          <w:sz w:val="24"/>
          <w:szCs w:val="24"/>
          <w:lang w:val="pl-PL"/>
        </w:rPr>
        <w:t>Guidance</w:t>
      </w:r>
      <w:proofErr w:type="spellEnd"/>
      <w:r w:rsidRPr="00675E63">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w:t>
      </w:r>
    </w:p>
    <w:p w14:paraId="4357A966" w14:textId="77777777" w:rsidR="00D74DEB" w:rsidRPr="00AF7348" w:rsidRDefault="00D74DEB" w:rsidP="00FD5556">
      <w:pPr>
        <w:pStyle w:val="Normal0"/>
        <w:pBdr>
          <w:top w:val="nil"/>
          <w:left w:val="nil"/>
          <w:bottom w:val="nil"/>
          <w:right w:val="nil"/>
          <w:between w:val="nil"/>
        </w:pBdr>
        <w:spacing w:before="120" w:after="120" w:line="240" w:lineRule="auto"/>
        <w:ind w:left="720"/>
        <w:jc w:val="both"/>
        <w:rPr>
          <w:rFonts w:ascii="Times New Roman" w:eastAsia="Times New Roman" w:hAnsi="Times New Roman" w:cs="Times New Roman"/>
          <w:color w:val="000000"/>
          <w:sz w:val="24"/>
          <w:szCs w:val="24"/>
          <w:lang w:val="pl-PL"/>
        </w:rPr>
      </w:pPr>
    </w:p>
    <w:p w14:paraId="75A2EEF8" w14:textId="1D7B9BDB" w:rsidR="00C05DFD" w:rsidRPr="00AF7348" w:rsidRDefault="67AB9BF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r w:rsidRPr="00AF7348">
        <w:rPr>
          <w:rFonts w:ascii="Times New Roman" w:hAnsi="Times New Roman" w:cs="Times New Roman"/>
          <w:b/>
          <w:bCs/>
          <w:color w:val="000000" w:themeColor="text1"/>
          <w:sz w:val="24"/>
          <w:szCs w:val="24"/>
          <w:lang w:val="pl-PL"/>
        </w:rPr>
        <w:t xml:space="preserve">D.1. </w:t>
      </w:r>
      <w:r w:rsidRPr="00AF7348">
        <w:rPr>
          <w:rFonts w:ascii="Times New Roman" w:hAnsi="Times New Roman" w:cs="Times New Roman"/>
          <w:color w:val="000000" w:themeColor="text1"/>
          <w:sz w:val="24"/>
          <w:szCs w:val="24"/>
          <w:lang w:val="pl-PL"/>
        </w:rPr>
        <w:tab/>
      </w:r>
      <w:r w:rsidRPr="00AF7348">
        <w:rPr>
          <w:rFonts w:ascii="Times New Roman" w:hAnsi="Times New Roman" w:cs="Times New Roman"/>
          <w:b/>
          <w:bCs/>
          <w:color w:val="000000" w:themeColor="text1"/>
          <w:sz w:val="24"/>
          <w:szCs w:val="24"/>
          <w:lang w:val="pl-PL"/>
        </w:rPr>
        <w:t>Opis reform i inwestycji, które mają być finansowane z bezzwrotnego wsparcia finansowego</w:t>
      </w:r>
    </w:p>
    <w:p w14:paraId="44690661" w14:textId="77777777" w:rsidR="007C4506" w:rsidRPr="00AF7348" w:rsidRDefault="007C4506" w:rsidP="1B11766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p>
    <w:p w14:paraId="16440E8E"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D1.1 Zwiększenie efektywności, dostępności i jakości świadczeń zdrowotnych</w:t>
      </w:r>
    </w:p>
    <w:p w14:paraId="3EE4104E" w14:textId="40BD9CA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wprowadzenie kompleksowych działań polegających na restrukturyzacji szpitali publicznych. Reforma ma zapewnić trwałą poprawę odporności, efektywności, jakości i dostępności świadczeń opieki zdrowotnej i opieki długoterminowej, </w:t>
      </w:r>
      <w:r w:rsidR="00675E63">
        <w:rPr>
          <w:rFonts w:ascii="Times New Roman" w:eastAsia="Times New Roman" w:hAnsi="Times New Roman" w:cs="Times New Roman"/>
          <w:color w:val="000000" w:themeColor="text1"/>
          <w:sz w:val="24"/>
          <w:szCs w:val="24"/>
          <w:lang w:val="pl-PL"/>
        </w:rPr>
        <w:t>kondycji</w:t>
      </w:r>
      <w:r w:rsidRPr="00AF7348">
        <w:rPr>
          <w:rFonts w:ascii="Times New Roman" w:eastAsia="Times New Roman" w:hAnsi="Times New Roman" w:cs="Times New Roman"/>
          <w:color w:val="000000" w:themeColor="text1"/>
          <w:sz w:val="24"/>
          <w:szCs w:val="24"/>
          <w:lang w:val="pl-PL"/>
        </w:rPr>
        <w:t xml:space="preserve"> finansowej szpitali publicznych oraz procesów nadzoru i zarządzania tymi podmiotami. Dotyczy całego sektora szpitali udzielających świadczeń zdrowotnych finansowanych ze źródeł publicznych.</w:t>
      </w:r>
    </w:p>
    <w:p w14:paraId="72D401FD"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da też podstawy do działań na rzecz racjonalizacji piramidy opieki zdrowotnej, m.in. poprzez wprowadzenie nowych zapisów w ustawie o podstawowej opiece zdrowotnej.</w:t>
      </w:r>
    </w:p>
    <w:p w14:paraId="7834828A" w14:textId="7272CC1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Reforma sektora szpitalnego zostanie wprowadzona jedną nową ustawą, która jednak może wprowadzić zmiany w ustawach już istniejących, takich jak ustawa o działalności leczniczej czy ustawa o świadczeniach opieki zdrowotnej finansowanych ze środków publicznych. Główne założenia reformy to: </w:t>
      </w:r>
    </w:p>
    <w:p w14:paraId="450F2053" w14:textId="33926769"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 restrukturyzacja szpitali poprzez konsolidację, zmianę profilu oraz zakresu i struktury świadczeń zdrowotnych </w:t>
      </w:r>
      <w:r>
        <w:rPr>
          <w:rFonts w:ascii="Times New Roman" w:eastAsia="Times New Roman" w:hAnsi="Times New Roman" w:cs="Times New Roman"/>
          <w:color w:val="000000" w:themeColor="text1"/>
          <w:sz w:val="24"/>
          <w:szCs w:val="24"/>
          <w:lang w:val="pl-PL"/>
        </w:rPr>
        <w:t xml:space="preserve">przez </w:t>
      </w:r>
      <w:r w:rsidRPr="00AF7348">
        <w:rPr>
          <w:rFonts w:ascii="Times New Roman" w:eastAsia="Times New Roman" w:hAnsi="Times New Roman" w:cs="Times New Roman"/>
          <w:color w:val="000000" w:themeColor="text1"/>
          <w:sz w:val="24"/>
          <w:szCs w:val="24"/>
          <w:lang w:val="pl-PL"/>
        </w:rPr>
        <w:t>nie udzielanych, na podstawie krajow</w:t>
      </w:r>
      <w:r>
        <w:rPr>
          <w:rFonts w:ascii="Times New Roman" w:eastAsia="Times New Roman" w:hAnsi="Times New Roman" w:cs="Times New Roman"/>
          <w:color w:val="000000" w:themeColor="text1"/>
          <w:sz w:val="24"/>
          <w:szCs w:val="24"/>
          <w:lang w:val="pl-PL"/>
        </w:rPr>
        <w:t>ego</w:t>
      </w:r>
      <w:r w:rsidRPr="00AF7348">
        <w:rPr>
          <w:rFonts w:ascii="Times New Roman" w:eastAsia="Times New Roman" w:hAnsi="Times New Roman" w:cs="Times New Roman"/>
          <w:color w:val="000000" w:themeColor="text1"/>
          <w:sz w:val="24"/>
          <w:szCs w:val="24"/>
          <w:lang w:val="pl-PL"/>
        </w:rPr>
        <w:t xml:space="preserve"> i regionalnych planów </w:t>
      </w:r>
      <w:r>
        <w:rPr>
          <w:rFonts w:ascii="Times New Roman" w:eastAsia="Times New Roman" w:hAnsi="Times New Roman" w:cs="Times New Roman"/>
          <w:color w:val="000000" w:themeColor="text1"/>
          <w:sz w:val="24"/>
          <w:szCs w:val="24"/>
          <w:lang w:val="pl-PL"/>
        </w:rPr>
        <w:t>transformacji</w:t>
      </w:r>
      <w:r w:rsidRPr="00AF7348">
        <w:rPr>
          <w:rFonts w:ascii="Times New Roman" w:eastAsia="Times New Roman" w:hAnsi="Times New Roman" w:cs="Times New Roman"/>
          <w:color w:val="000000" w:themeColor="text1"/>
          <w:sz w:val="24"/>
          <w:szCs w:val="24"/>
          <w:lang w:val="pl-PL"/>
        </w:rPr>
        <w:t xml:space="preserve"> oraz mapy potrzeb zdrowotnych, a także odpowiednia aktualizacja sieci szpitali;</w:t>
      </w:r>
    </w:p>
    <w:p w14:paraId="7057E6B1" w14:textId="1295E650"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podstaw</w:t>
      </w:r>
      <w:r>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dla działań na rzecz racjonalizacji piramidy opieki zdrowotnej poprzez przesunięcie niektórych świadczeń zdrowotnych ze szpitali na niższe poziomy opieki (opieka podstawowa, opieka ambulatoryjna) wraz z odpowiednio zmienionymi przepisami dotyczącymi rocznych planów finansowych NFZ; oraz</w:t>
      </w:r>
    </w:p>
    <w:p w14:paraId="773A0CA2" w14:textId="2D050112"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 xml:space="preserve">- </w:t>
      </w:r>
      <w:r w:rsidRPr="00AF7348">
        <w:rPr>
          <w:rFonts w:ascii="Times New Roman" w:eastAsia="Times New Roman" w:hAnsi="Times New Roman" w:cs="Times New Roman"/>
          <w:color w:val="000000"/>
          <w:sz w:val="24"/>
          <w:szCs w:val="24"/>
          <w:lang w:val="pl-PL"/>
        </w:rPr>
        <w:t xml:space="preserve">zmiany w systemie finansowania szpitali zapewniające ich skuteczną i trwałą restrukturyzację, w tym rozwiązanie problemu </w:t>
      </w:r>
      <w:r>
        <w:rPr>
          <w:rFonts w:ascii="Times New Roman" w:eastAsia="Times New Roman" w:hAnsi="Times New Roman" w:cs="Times New Roman"/>
          <w:color w:val="000000"/>
          <w:sz w:val="24"/>
          <w:szCs w:val="24"/>
          <w:lang w:val="pl-PL"/>
        </w:rPr>
        <w:t>umarzania długów</w:t>
      </w:r>
      <w:r w:rsidRPr="00AF7348">
        <w:rPr>
          <w:rFonts w:ascii="Times New Roman" w:eastAsia="Times New Roman" w:hAnsi="Times New Roman" w:cs="Times New Roman"/>
          <w:color w:val="000000"/>
          <w:sz w:val="24"/>
          <w:szCs w:val="24"/>
          <w:lang w:val="pl-PL"/>
        </w:rPr>
        <w:t xml:space="preserve"> szpitali w sposób wyważony, w oparciu o przejrzyste i oparte na dowodach kryteria oraz solidny system finansowania, </w:t>
      </w:r>
      <w:r>
        <w:rPr>
          <w:rFonts w:ascii="Times New Roman" w:eastAsia="Times New Roman" w:hAnsi="Times New Roman" w:cs="Times New Roman"/>
          <w:color w:val="000000"/>
          <w:sz w:val="24"/>
          <w:szCs w:val="24"/>
          <w:lang w:val="pl-PL"/>
        </w:rPr>
        <w:t>z</w:t>
      </w:r>
      <w:r w:rsidRPr="00E452D0">
        <w:rPr>
          <w:rFonts w:ascii="Times New Roman" w:eastAsia="Times New Roman" w:hAnsi="Times New Roman" w:cs="Times New Roman"/>
          <w:color w:val="000000"/>
          <w:sz w:val="24"/>
          <w:szCs w:val="24"/>
          <w:lang w:val="pl-PL"/>
        </w:rPr>
        <w:t>achęcający do właściwego świadczenia opieki oraz zwiększający efektywność i jakość opieki</w:t>
      </w:r>
      <w:r w:rsidRPr="00AF7348">
        <w:rPr>
          <w:rFonts w:ascii="Times New Roman" w:eastAsia="Times New Roman" w:hAnsi="Times New Roman" w:cs="Times New Roman"/>
          <w:color w:val="000000"/>
          <w:sz w:val="24"/>
          <w:szCs w:val="24"/>
          <w:lang w:val="pl-PL"/>
        </w:rPr>
        <w:t xml:space="preserve">; a także stworzenie profesjonalnego systemu nadzoru nad szpitalami, wzmocnienie kadry zarządzającej oraz </w:t>
      </w:r>
      <w:r w:rsidR="00471FB8">
        <w:rPr>
          <w:rFonts w:ascii="Times New Roman" w:eastAsia="Times New Roman" w:hAnsi="Times New Roman" w:cs="Times New Roman"/>
          <w:color w:val="000000"/>
          <w:sz w:val="24"/>
          <w:szCs w:val="24"/>
          <w:lang w:val="pl-PL"/>
        </w:rPr>
        <w:t>zachęcanie do używania</w:t>
      </w:r>
      <w:r w:rsidRPr="00AF7348">
        <w:rPr>
          <w:rFonts w:ascii="Times New Roman" w:eastAsia="Times New Roman" w:hAnsi="Times New Roman" w:cs="Times New Roman"/>
          <w:color w:val="000000"/>
          <w:sz w:val="24"/>
          <w:szCs w:val="24"/>
          <w:lang w:val="pl-PL"/>
        </w:rPr>
        <w:t xml:space="preserve"> nowoczesnych systemów, narzędzi i metod zarządzania w ochronie zdrowia.</w:t>
      </w:r>
    </w:p>
    <w:p w14:paraId="09039845" w14:textId="5DB762EA" w:rsidR="008577B9"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Uzupełnieniem reformy sektora szpitalnego mają być reformy Krajowej Sieci Onkologicznej i Krajowej Sieci Kardiologicznej, a także reformy dotyczące jakości </w:t>
      </w:r>
      <w:r w:rsidRPr="008F0867">
        <w:rPr>
          <w:rFonts w:ascii="Times New Roman" w:eastAsia="Times New Roman" w:hAnsi="Times New Roman" w:cs="Times New Roman"/>
          <w:color w:val="000000"/>
          <w:sz w:val="24"/>
          <w:szCs w:val="24"/>
          <w:lang w:val="pl-PL"/>
        </w:rPr>
        <w:t>w ochronie zdrowia</w:t>
      </w:r>
      <w:r w:rsidRPr="00AF7348">
        <w:rPr>
          <w:rFonts w:ascii="Times New Roman" w:eastAsia="Times New Roman" w:hAnsi="Times New Roman" w:cs="Times New Roman"/>
          <w:color w:val="000000"/>
          <w:sz w:val="24"/>
          <w:szCs w:val="24"/>
          <w:lang w:val="pl-PL"/>
        </w:rPr>
        <w:t xml:space="preserve"> i bezpieczeństw</w:t>
      </w:r>
      <w:r>
        <w:rPr>
          <w:rFonts w:ascii="Times New Roman" w:eastAsia="Times New Roman" w:hAnsi="Times New Roman" w:cs="Times New Roman"/>
          <w:color w:val="000000"/>
          <w:sz w:val="24"/>
          <w:szCs w:val="24"/>
          <w:lang w:val="pl-PL"/>
        </w:rPr>
        <w:t>ie</w:t>
      </w:r>
      <w:r w:rsidRPr="00AF7348">
        <w:rPr>
          <w:rFonts w:ascii="Times New Roman" w:eastAsia="Times New Roman" w:hAnsi="Times New Roman" w:cs="Times New Roman"/>
          <w:color w:val="000000"/>
          <w:sz w:val="24"/>
          <w:szCs w:val="24"/>
          <w:lang w:val="pl-PL"/>
        </w:rPr>
        <w:t xml:space="preserve"> pacjent</w:t>
      </w:r>
      <w:r>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Celem tych reform jest poprawa dostępu i jakości świadczonych usług w zakresie opieki onkologicznej i kardiologicznej. Zadaniem reformy jakości </w:t>
      </w:r>
      <w:r>
        <w:rPr>
          <w:rFonts w:ascii="Times New Roman" w:eastAsia="Times New Roman" w:hAnsi="Times New Roman" w:cs="Times New Roman"/>
          <w:color w:val="000000"/>
          <w:sz w:val="24"/>
          <w:szCs w:val="24"/>
          <w:lang w:val="pl-PL"/>
        </w:rPr>
        <w:t>w ochronie zdrowia</w:t>
      </w:r>
      <w:r w:rsidRPr="00AF7348">
        <w:rPr>
          <w:rFonts w:ascii="Times New Roman" w:eastAsia="Times New Roman" w:hAnsi="Times New Roman" w:cs="Times New Roman"/>
          <w:color w:val="000000"/>
          <w:sz w:val="24"/>
          <w:szCs w:val="24"/>
          <w:lang w:val="pl-PL"/>
        </w:rPr>
        <w:t xml:space="preserve"> i bezpieczeństw</w:t>
      </w:r>
      <w:r>
        <w:rPr>
          <w:rFonts w:ascii="Times New Roman" w:eastAsia="Times New Roman" w:hAnsi="Times New Roman" w:cs="Times New Roman"/>
          <w:color w:val="000000"/>
          <w:sz w:val="24"/>
          <w:szCs w:val="24"/>
          <w:lang w:val="pl-PL"/>
        </w:rPr>
        <w:t>ie</w:t>
      </w:r>
      <w:r w:rsidRPr="00AF7348">
        <w:rPr>
          <w:rFonts w:ascii="Times New Roman" w:eastAsia="Times New Roman" w:hAnsi="Times New Roman" w:cs="Times New Roman"/>
          <w:color w:val="000000"/>
          <w:sz w:val="24"/>
          <w:szCs w:val="24"/>
          <w:lang w:val="pl-PL"/>
        </w:rPr>
        <w:t xml:space="preserve"> pacjent</w:t>
      </w:r>
      <w:r>
        <w:rPr>
          <w:rFonts w:ascii="Times New Roman" w:eastAsia="Times New Roman" w:hAnsi="Times New Roman" w:cs="Times New Roman"/>
          <w:color w:val="000000"/>
          <w:sz w:val="24"/>
          <w:szCs w:val="24"/>
          <w:lang w:val="pl-PL"/>
        </w:rPr>
        <w:t>a</w:t>
      </w:r>
      <w:r w:rsidRPr="00AF7348">
        <w:rPr>
          <w:rFonts w:ascii="Times New Roman" w:eastAsia="Times New Roman" w:hAnsi="Times New Roman" w:cs="Times New Roman"/>
          <w:color w:val="000000"/>
          <w:sz w:val="24"/>
          <w:szCs w:val="24"/>
          <w:lang w:val="pl-PL"/>
        </w:rPr>
        <w:t xml:space="preserve"> jest także wprowadzenie systemowych rozwiązań w zakresie standardów jakości świadczeń zdrowotnych, a następnie monitorowanie trwałych efektów reformy.</w:t>
      </w:r>
    </w:p>
    <w:p w14:paraId="00FBB45A" w14:textId="4D46FD17" w:rsidR="00C22E75" w:rsidRPr="00AF7348" w:rsidRDefault="00C22E75"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 xml:space="preserve">Reforma obejmuje również </w:t>
      </w:r>
      <w:r w:rsidRPr="00C22E75">
        <w:rPr>
          <w:rFonts w:ascii="Times New Roman" w:eastAsia="Times New Roman" w:hAnsi="Times New Roman" w:cs="Times New Roman"/>
          <w:color w:val="000000"/>
          <w:sz w:val="24"/>
          <w:szCs w:val="24"/>
          <w:lang w:val="pl-PL"/>
        </w:rPr>
        <w:t>pakiet legislacyjn</w:t>
      </w:r>
      <w:r>
        <w:rPr>
          <w:rFonts w:ascii="Times New Roman" w:eastAsia="Times New Roman" w:hAnsi="Times New Roman" w:cs="Times New Roman"/>
          <w:color w:val="000000"/>
          <w:sz w:val="24"/>
          <w:szCs w:val="24"/>
          <w:lang w:val="pl-PL"/>
        </w:rPr>
        <w:t>y</w:t>
      </w:r>
      <w:r w:rsidRPr="00C22E75">
        <w:rPr>
          <w:rFonts w:ascii="Times New Roman" w:eastAsia="Times New Roman" w:hAnsi="Times New Roman" w:cs="Times New Roman"/>
          <w:color w:val="000000"/>
          <w:sz w:val="24"/>
          <w:szCs w:val="24"/>
          <w:lang w:val="pl-PL"/>
        </w:rPr>
        <w:t xml:space="preserve"> dotycząc</w:t>
      </w:r>
      <w:r>
        <w:rPr>
          <w:rFonts w:ascii="Times New Roman" w:eastAsia="Times New Roman" w:hAnsi="Times New Roman" w:cs="Times New Roman"/>
          <w:color w:val="000000"/>
          <w:sz w:val="24"/>
          <w:szCs w:val="24"/>
          <w:lang w:val="pl-PL"/>
        </w:rPr>
        <w:t>y</w:t>
      </w:r>
      <w:r w:rsidRPr="00C22E75">
        <w:rPr>
          <w:rFonts w:ascii="Times New Roman" w:eastAsia="Times New Roman" w:hAnsi="Times New Roman" w:cs="Times New Roman"/>
          <w:color w:val="000000"/>
          <w:sz w:val="24"/>
          <w:szCs w:val="24"/>
          <w:lang w:val="pl-PL"/>
        </w:rPr>
        <w:t xml:space="preserve"> uruchomienia krajowych usług e-zdrowia oraz ich integracji z istniejącymi/dostępnymi systemami e-zdrowia na poziomie krajowym i regionalnym</w:t>
      </w:r>
      <w:r>
        <w:rPr>
          <w:rFonts w:ascii="Times New Roman" w:eastAsia="Times New Roman" w:hAnsi="Times New Roman" w:cs="Times New Roman"/>
          <w:color w:val="000000"/>
          <w:sz w:val="24"/>
          <w:szCs w:val="24"/>
          <w:lang w:val="pl-PL"/>
        </w:rPr>
        <w:t>.</w:t>
      </w:r>
    </w:p>
    <w:p w14:paraId="5DA92445" w14:textId="11E22CBC"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31 marca 2026 roku.</w:t>
      </w:r>
    </w:p>
    <w:p w14:paraId="74539910" w14:textId="77777777" w:rsidR="007C4506" w:rsidRPr="00AF7348"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p>
    <w:p w14:paraId="76C2A75C"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D1.1.1 Rozwój i modernizacja infrastruktury centrów opieki wysokospecjalistycznej i innych podmiotów leczniczych</w:t>
      </w:r>
    </w:p>
    <w:p w14:paraId="5AF2CB1D" w14:textId="445483D8"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Zadaniem inwestycji jest wsparcie szpitali, które mają potrzeby inwestycyjne wynikające z procesów reform, w tym </w:t>
      </w:r>
      <w:r>
        <w:rPr>
          <w:rFonts w:ascii="Times New Roman" w:eastAsia="Times New Roman" w:hAnsi="Times New Roman" w:cs="Times New Roman"/>
          <w:color w:val="000000" w:themeColor="text1"/>
          <w:sz w:val="24"/>
          <w:szCs w:val="24"/>
          <w:lang w:val="pl-PL"/>
        </w:rPr>
        <w:t>konsolida</w:t>
      </w:r>
      <w:r w:rsidRPr="00AF7348">
        <w:rPr>
          <w:rFonts w:ascii="Times New Roman" w:eastAsia="Times New Roman" w:hAnsi="Times New Roman" w:cs="Times New Roman"/>
          <w:color w:val="000000" w:themeColor="text1"/>
          <w:sz w:val="24"/>
          <w:szCs w:val="24"/>
          <w:lang w:val="pl-PL"/>
        </w:rPr>
        <w:t xml:space="preserve">cji i przekształcenia w </w:t>
      </w:r>
      <w:r>
        <w:rPr>
          <w:rFonts w:ascii="Times New Roman" w:eastAsia="Times New Roman" w:hAnsi="Times New Roman" w:cs="Times New Roman"/>
          <w:color w:val="000000" w:themeColor="text1"/>
          <w:sz w:val="24"/>
          <w:szCs w:val="24"/>
          <w:lang w:val="pl-PL"/>
        </w:rPr>
        <w:t>podmioty</w:t>
      </w:r>
      <w:r w:rsidRPr="00AF7348">
        <w:rPr>
          <w:rFonts w:ascii="Times New Roman" w:eastAsia="Times New Roman" w:hAnsi="Times New Roman" w:cs="Times New Roman"/>
          <w:color w:val="000000" w:themeColor="text1"/>
          <w:sz w:val="24"/>
          <w:szCs w:val="24"/>
          <w:lang w:val="pl-PL"/>
        </w:rPr>
        <w:t xml:space="preserve"> opieki długoterminowej. Interwencja inwestycyjna w ramach Instrumentu na rzecz Odbudowy i Zwiększania Odporności (RRF) ma na celu wsparcie szpitali wyłącznie w przypadku, gdy potrzeby inwestycyjne zostały zidentyfikowane i wynikają z procesów objętych reformą D.1.1. Podmiotami leczniczymi kwalifikującymi się do wsparcia są szpitale w rozumieniu przepisów ustawy z dnia 15 kwietnia 2011 r. o działalności leczniczej. Wsparcie obejmuje wyłącznie zakres działalności związanej z udzielaniem świadczeń zdrowotnych finansowanych przez Narodowy Fundusz Zdrowia, nie obejmuje natomiast działalności komercyjnej. Kryteria wsparcia finansowego są dostosowane do kluczowych obszarów interwencji reformy, w tym jej: i) zasięgu (np. populacja objęta wsparciem, świadczenia objęte wsparciem, terminowość dostępu do świadczeń), ii) </w:t>
      </w:r>
      <w:r>
        <w:rPr>
          <w:rFonts w:ascii="Times New Roman" w:eastAsia="Times New Roman" w:hAnsi="Times New Roman" w:cs="Times New Roman"/>
          <w:color w:val="000000" w:themeColor="text1"/>
          <w:sz w:val="24"/>
          <w:szCs w:val="24"/>
          <w:lang w:val="pl-PL"/>
        </w:rPr>
        <w:t>słuszności</w:t>
      </w:r>
      <w:r w:rsidRPr="00AF7348">
        <w:rPr>
          <w:rFonts w:ascii="Times New Roman" w:eastAsia="Times New Roman" w:hAnsi="Times New Roman" w:cs="Times New Roman"/>
          <w:color w:val="000000" w:themeColor="text1"/>
          <w:sz w:val="24"/>
          <w:szCs w:val="24"/>
          <w:lang w:val="pl-PL"/>
        </w:rPr>
        <w:t xml:space="preserve"> (np. </w:t>
      </w:r>
      <w:r>
        <w:rPr>
          <w:rFonts w:ascii="Times New Roman" w:eastAsia="Times New Roman" w:hAnsi="Times New Roman" w:cs="Times New Roman"/>
          <w:color w:val="000000" w:themeColor="text1"/>
          <w:sz w:val="24"/>
          <w:szCs w:val="24"/>
          <w:lang w:val="pl-PL"/>
        </w:rPr>
        <w:t>słuszność</w:t>
      </w:r>
      <w:r w:rsidRPr="00AF7348">
        <w:rPr>
          <w:rFonts w:ascii="Times New Roman" w:eastAsia="Times New Roman" w:hAnsi="Times New Roman" w:cs="Times New Roman"/>
          <w:color w:val="000000" w:themeColor="text1"/>
          <w:sz w:val="24"/>
          <w:szCs w:val="24"/>
          <w:lang w:val="pl-PL"/>
        </w:rPr>
        <w:t xml:space="preserve"> w finansowaniu, </w:t>
      </w:r>
      <w:r w:rsidRPr="00900260">
        <w:rPr>
          <w:rFonts w:ascii="Times New Roman" w:eastAsia="Times New Roman" w:hAnsi="Times New Roman" w:cs="Times New Roman"/>
          <w:color w:val="000000" w:themeColor="text1"/>
          <w:sz w:val="24"/>
          <w:szCs w:val="24"/>
          <w:lang w:val="pl-PL"/>
        </w:rPr>
        <w:t>słuszność w dostarczaniu i korzystaniu, słuszność w wynikach leczenia);</w:t>
      </w:r>
      <w:r w:rsidRPr="00AF7348">
        <w:rPr>
          <w:rFonts w:ascii="Times New Roman" w:eastAsia="Times New Roman" w:hAnsi="Times New Roman" w:cs="Times New Roman"/>
          <w:color w:val="000000" w:themeColor="text1"/>
          <w:sz w:val="24"/>
          <w:szCs w:val="24"/>
          <w:lang w:val="pl-PL"/>
        </w:rPr>
        <w:t>), iii) skuteczności, w tym działalności operacyjnej (skuteczność w osiąganiu wyników, skuteczność w gromadzeniu środków), iv) jakości opieki</w:t>
      </w:r>
      <w:r>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oraz v) dostępności zasobów (np. zasobów ludzkich i finansowych).</w:t>
      </w:r>
    </w:p>
    <w:p w14:paraId="2F66F4BF" w14:textId="7952BF92"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lastRenderedPageBreak/>
        <w:t xml:space="preserve">Główne kategorie projektów obejmują inwestycje w nowy sprzęt medyczny oraz </w:t>
      </w:r>
      <w:r w:rsidRPr="00900260">
        <w:rPr>
          <w:rFonts w:ascii="Times New Roman" w:eastAsia="Times New Roman" w:hAnsi="Times New Roman" w:cs="Times New Roman"/>
          <w:color w:val="000000" w:themeColor="text1"/>
          <w:sz w:val="24"/>
          <w:szCs w:val="24"/>
          <w:lang w:val="pl-PL"/>
        </w:rPr>
        <w:t>prace infrastrukturalne i budowlane.</w:t>
      </w:r>
      <w:r w:rsidRPr="00AF7348">
        <w:rPr>
          <w:rFonts w:ascii="Times New Roman" w:eastAsia="Times New Roman" w:hAnsi="Times New Roman" w:cs="Times New Roman"/>
          <w:color w:val="000000" w:themeColor="text1"/>
          <w:sz w:val="24"/>
          <w:szCs w:val="24"/>
          <w:lang w:val="pl-PL"/>
        </w:rPr>
        <w:t xml:space="preserve">. </w:t>
      </w:r>
    </w:p>
    <w:p w14:paraId="1BC81BBB" w14:textId="77777777"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5A7E0CF2"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16EA372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D1.1.2 Przyspieszenie procesów transformacji cyfrowej ochrony zdrowia poprzez dalszy rozwój usług cyfrowych w ochronie zdrowia</w:t>
      </w:r>
    </w:p>
    <w:p w14:paraId="6A6C4F7E" w14:textId="77777777" w:rsidR="008577B9" w:rsidRPr="00AF7348" w:rsidRDefault="008577B9" w:rsidP="008577B9">
      <w:pPr>
        <w:pStyle w:val="Normal0"/>
        <w:pBdr>
          <w:top w:val="nil"/>
          <w:left w:val="nil"/>
          <w:bottom w:val="nil"/>
          <w:right w:val="nil"/>
          <w:between w:val="nil"/>
        </w:pBdr>
        <w:spacing w:line="257" w:lineRule="auto"/>
        <w:jc w:val="both"/>
        <w:rPr>
          <w:rFonts w:ascii="Times New Roman" w:eastAsia="Times New Roman" w:hAnsi="Times New Roman" w:cs="Times New Roman"/>
          <w:color w:val="000000"/>
          <w:sz w:val="24"/>
          <w:szCs w:val="24"/>
          <w:lang w:val="pl-PL"/>
        </w:rPr>
      </w:pPr>
      <w:r w:rsidRPr="00AF7348">
        <w:rPr>
          <w:rFonts w:ascii="Times New Roman" w:hAnsi="Times New Roman" w:cs="Times New Roman"/>
          <w:color w:val="000000" w:themeColor="text1"/>
          <w:sz w:val="24"/>
          <w:szCs w:val="24"/>
          <w:lang w:val="pl-PL"/>
        </w:rPr>
        <w:t>Zadaniem inwestycji jest przyspieszenie transformacji cyfrowej w ochronie zdrowia poprzez</w:t>
      </w:r>
      <w:r w:rsidRPr="00AF7348">
        <w:rPr>
          <w:rFonts w:ascii="Times New Roman" w:hAnsi="Times New Roman" w:cs="Times New Roman"/>
          <w:color w:val="000000" w:themeColor="text1"/>
          <w:lang w:val="pl-PL"/>
        </w:rPr>
        <w:t xml:space="preserve"> </w:t>
      </w:r>
      <w:r w:rsidRPr="00AF7348">
        <w:rPr>
          <w:rFonts w:ascii="Times New Roman" w:hAnsi="Times New Roman" w:cs="Times New Roman"/>
          <w:color w:val="000000" w:themeColor="text1"/>
          <w:sz w:val="24"/>
          <w:szCs w:val="24"/>
          <w:lang w:val="pl-PL"/>
        </w:rPr>
        <w:t xml:space="preserve">wprowadzenie nowych, cyfrowych usług zdrowotnych oraz dalszy rozwój istniejących usług cyfrowych. Inwestycja polegać będzie na uruchomieniu nowych usług, w tym: </w:t>
      </w:r>
    </w:p>
    <w:p w14:paraId="58327A73" w14:textId="005C4C8E" w:rsidR="008577B9" w:rsidRPr="00AF7348" w:rsidRDefault="008577B9" w:rsidP="008577B9">
      <w:pPr>
        <w:pStyle w:val="Normal0"/>
        <w:numPr>
          <w:ilvl w:val="0"/>
          <w:numId w:val="9"/>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narzędzia </w:t>
      </w:r>
      <w:r>
        <w:rPr>
          <w:rFonts w:ascii="Times New Roman" w:eastAsia="Times New Roman" w:hAnsi="Times New Roman" w:cs="Times New Roman"/>
          <w:color w:val="000000" w:themeColor="text1"/>
          <w:sz w:val="24"/>
          <w:szCs w:val="24"/>
          <w:lang w:val="pl-PL"/>
        </w:rPr>
        <w:t>A</w:t>
      </w:r>
      <w:r w:rsidRPr="00AF7348">
        <w:rPr>
          <w:rFonts w:ascii="Times New Roman" w:eastAsia="Times New Roman" w:hAnsi="Times New Roman" w:cs="Times New Roman"/>
          <w:color w:val="000000" w:themeColor="text1"/>
          <w:sz w:val="24"/>
          <w:szCs w:val="24"/>
          <w:lang w:val="pl-PL"/>
        </w:rPr>
        <w:t>naliz</w:t>
      </w:r>
      <w:r>
        <w:rPr>
          <w:rFonts w:ascii="Times New Roman" w:eastAsia="Times New Roman" w:hAnsi="Times New Roman" w:cs="Times New Roman"/>
          <w:color w:val="000000" w:themeColor="text1"/>
          <w:sz w:val="24"/>
          <w:szCs w:val="24"/>
          <w:lang w:val="pl-PL"/>
        </w:rPr>
        <w:t>y</w:t>
      </w:r>
      <w:r w:rsidRPr="00AF7348">
        <w:rPr>
          <w:rFonts w:ascii="Times New Roman" w:eastAsia="Times New Roman" w:hAnsi="Times New Roman" w:cs="Times New Roman"/>
          <w:color w:val="000000" w:themeColor="text1"/>
          <w:sz w:val="24"/>
          <w:szCs w:val="24"/>
          <w:lang w:val="pl-PL"/>
        </w:rPr>
        <w:t xml:space="preserve"> </w:t>
      </w:r>
      <w:r>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drowia </w:t>
      </w:r>
      <w:r>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acjenta, wspomagającego proces oceny stanu zdrowia pacjenta,</w:t>
      </w:r>
    </w:p>
    <w:p w14:paraId="23907A47" w14:textId="77777777" w:rsidR="008577B9" w:rsidRPr="00AF7348" w:rsidRDefault="008577B9" w:rsidP="008577B9">
      <w:pPr>
        <w:pStyle w:val="Normal0"/>
        <w:numPr>
          <w:ilvl w:val="0"/>
          <w:numId w:val="9"/>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narzędzia wspomagającego podejmowanie decyzji przez lekarzy w oparciu o algorytmy sztucznej inteligencji (AI), oraz</w:t>
      </w:r>
    </w:p>
    <w:p w14:paraId="78AFA9DD" w14:textId="77777777" w:rsidR="008577B9" w:rsidRPr="00AF7348" w:rsidRDefault="008577B9" w:rsidP="008577B9">
      <w:pPr>
        <w:pStyle w:val="Normal0"/>
        <w:numPr>
          <w:ilvl w:val="0"/>
          <w:numId w:val="9"/>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centralnego repozytorium elektronicznej dokumentacji medycznej zintegrowanego z innymi kluczowymi systemami opieki zdrowotnej.</w:t>
      </w:r>
    </w:p>
    <w:p w14:paraId="06148CB5" w14:textId="77777777" w:rsidR="008577B9" w:rsidRPr="00AF7348" w:rsidRDefault="008577B9" w:rsidP="008577B9">
      <w:pPr>
        <w:pStyle w:val="Normal0"/>
        <w:pBdr>
          <w:top w:val="nil"/>
          <w:left w:val="nil"/>
          <w:bottom w:val="nil"/>
          <w:right w:val="nil"/>
          <w:between w:val="nil"/>
        </w:pBdr>
        <w:spacing w:after="0" w:line="259" w:lineRule="auto"/>
        <w:ind w:left="720"/>
        <w:jc w:val="both"/>
        <w:rPr>
          <w:rFonts w:ascii="Times New Roman" w:eastAsia="Times New Roman" w:hAnsi="Times New Roman" w:cs="Times New Roman"/>
          <w:color w:val="000000"/>
          <w:sz w:val="24"/>
          <w:szCs w:val="24"/>
          <w:lang w:val="pl-PL"/>
        </w:rPr>
      </w:pPr>
    </w:p>
    <w:p w14:paraId="5D66B453" w14:textId="6FF1909E" w:rsidR="008577B9" w:rsidRPr="00AF7348" w:rsidRDefault="008577B9" w:rsidP="008577B9">
      <w:pPr>
        <w:pStyle w:val="Normal0"/>
        <w:pBdr>
          <w:top w:val="nil"/>
          <w:left w:val="nil"/>
          <w:bottom w:val="nil"/>
          <w:right w:val="nil"/>
          <w:between w:val="nil"/>
        </w:pBdr>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 Centrum e-Zdrowia zostanie również utworzone Centrum Operacji Bezpieczeństwa (</w:t>
      </w:r>
      <w:r w:rsidRPr="00DB2970">
        <w:rPr>
          <w:rFonts w:ascii="Times New Roman" w:eastAsia="Times New Roman" w:hAnsi="Times New Roman" w:cs="Times New Roman"/>
          <w:i/>
          <w:iCs/>
          <w:color w:val="000000" w:themeColor="text1"/>
          <w:sz w:val="24"/>
          <w:szCs w:val="24"/>
          <w:lang w:val="pl-PL"/>
        </w:rPr>
        <w:t>Security Operations Centre - SOC</w:t>
      </w:r>
      <w:r w:rsidRPr="00AF7348">
        <w:rPr>
          <w:rFonts w:ascii="Times New Roman" w:eastAsia="Times New Roman" w:hAnsi="Times New Roman" w:cs="Times New Roman"/>
          <w:color w:val="000000" w:themeColor="text1"/>
          <w:sz w:val="24"/>
          <w:szCs w:val="24"/>
          <w:lang w:val="pl-PL"/>
        </w:rPr>
        <w:t xml:space="preserve">). Centrum przyczyni się do </w:t>
      </w:r>
      <w:r>
        <w:rPr>
          <w:rFonts w:ascii="Times New Roman" w:eastAsia="Times New Roman" w:hAnsi="Times New Roman" w:cs="Times New Roman"/>
          <w:color w:val="000000" w:themeColor="text1"/>
          <w:sz w:val="24"/>
          <w:szCs w:val="24"/>
          <w:lang w:val="pl-PL"/>
        </w:rPr>
        <w:t>wzmocnienia</w:t>
      </w:r>
      <w:r w:rsidRPr="00AF7348">
        <w:rPr>
          <w:rFonts w:ascii="Times New Roman" w:eastAsia="Times New Roman" w:hAnsi="Times New Roman" w:cs="Times New Roman"/>
          <w:color w:val="000000" w:themeColor="text1"/>
          <w:sz w:val="24"/>
          <w:szCs w:val="24"/>
          <w:lang w:val="pl-PL"/>
        </w:rPr>
        <w:t xml:space="preserve"> zasobów informatycznych Centrum e-Zdrowia oraz dostosowania ich do rosnących potrzeb w dziedzinie </w:t>
      </w:r>
      <w:proofErr w:type="spellStart"/>
      <w:r w:rsidRPr="00AF7348">
        <w:rPr>
          <w:rFonts w:ascii="Times New Roman" w:eastAsia="Times New Roman" w:hAnsi="Times New Roman" w:cs="Times New Roman"/>
          <w:color w:val="000000" w:themeColor="text1"/>
          <w:sz w:val="24"/>
          <w:szCs w:val="24"/>
          <w:lang w:val="pl-PL"/>
        </w:rPr>
        <w:t>cyberbezpieczeństwa</w:t>
      </w:r>
      <w:proofErr w:type="spellEnd"/>
      <w:r w:rsidRPr="00AF7348">
        <w:rPr>
          <w:rFonts w:ascii="Times New Roman" w:eastAsia="Times New Roman" w:hAnsi="Times New Roman" w:cs="Times New Roman"/>
          <w:color w:val="000000" w:themeColor="text1"/>
          <w:sz w:val="24"/>
          <w:szCs w:val="24"/>
          <w:lang w:val="pl-PL"/>
        </w:rPr>
        <w:t xml:space="preserve">. </w:t>
      </w:r>
    </w:p>
    <w:p w14:paraId="4820B350" w14:textId="77777777" w:rsidR="008577B9" w:rsidRPr="00AF7348" w:rsidRDefault="008577B9" w:rsidP="008577B9">
      <w:pPr>
        <w:pStyle w:val="Normal0"/>
        <w:pBdr>
          <w:top w:val="nil"/>
          <w:left w:val="nil"/>
          <w:bottom w:val="nil"/>
          <w:right w:val="nil"/>
          <w:between w:val="nil"/>
        </w:pBdr>
        <w:spacing w:before="6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31 marca 2026 roku.</w:t>
      </w:r>
    </w:p>
    <w:p w14:paraId="1AC5CDBE"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u w:val="single"/>
          <w:lang w:val="pl-PL"/>
        </w:rPr>
      </w:pPr>
    </w:p>
    <w:p w14:paraId="6DD3C851" w14:textId="2145DD9C"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D2.1 Stworzenie odpowiednich warunków d</w:t>
      </w:r>
      <w:r>
        <w:rPr>
          <w:rFonts w:ascii="Times New Roman" w:eastAsia="Times New Roman" w:hAnsi="Times New Roman" w:cs="Times New Roman"/>
          <w:b/>
          <w:bCs/>
          <w:color w:val="000000"/>
          <w:sz w:val="24"/>
          <w:szCs w:val="24"/>
          <w:u w:val="single"/>
          <w:lang w:val="pl-PL"/>
        </w:rPr>
        <w:t>la</w:t>
      </w:r>
      <w:r w:rsidRPr="00AF7348">
        <w:rPr>
          <w:rFonts w:ascii="Times New Roman" w:eastAsia="Times New Roman" w:hAnsi="Times New Roman" w:cs="Times New Roman"/>
          <w:b/>
          <w:bCs/>
          <w:color w:val="000000"/>
          <w:sz w:val="24"/>
          <w:szCs w:val="24"/>
          <w:u w:val="single"/>
          <w:lang w:val="pl-PL"/>
        </w:rPr>
        <w:t xml:space="preserve"> zwiększenia liczebności kadry medycznej</w:t>
      </w:r>
    </w:p>
    <w:p w14:paraId="70B8CD0D" w14:textId="77777777"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przyczynienie się do poprawy dopasowania potrzeb do dostępności pracowników medycznych w Polsce. </w:t>
      </w:r>
    </w:p>
    <w:p w14:paraId="7C9F4ED9" w14:textId="6C9EA4A4"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składa się z inicjatyw mających na celu zachęcenie młodych ludzi do podejmowania i kontynuowania studiów medycznych, a następnie wykonywania zawodu lekarza w Polsce. Obejmie: (i) wprowadzenie systemu udzielania pożyczek dla studentów medycyny, w tym zachęt finansowych do wykonywania zawodu w Polsce po zakończeniu studiów; oraz (ii) utworzenie studiów drugiego stopnia dla </w:t>
      </w:r>
      <w:r>
        <w:rPr>
          <w:rFonts w:ascii="Times New Roman" w:eastAsia="Times New Roman" w:hAnsi="Times New Roman" w:cs="Times New Roman"/>
          <w:color w:val="000000" w:themeColor="text1"/>
          <w:sz w:val="24"/>
          <w:szCs w:val="24"/>
          <w:lang w:val="pl-PL"/>
        </w:rPr>
        <w:t>ratowników medycznych</w:t>
      </w:r>
      <w:r w:rsidRPr="00AF7348">
        <w:rPr>
          <w:rFonts w:ascii="Times New Roman" w:eastAsia="Times New Roman" w:hAnsi="Times New Roman" w:cs="Times New Roman"/>
          <w:color w:val="000000" w:themeColor="text1"/>
          <w:sz w:val="24"/>
          <w:szCs w:val="24"/>
          <w:lang w:val="pl-PL"/>
        </w:rPr>
        <w:t>, co przełoży się na wzrost kwalifikacji i dochodów zainteresowanych specjalistów.</w:t>
      </w:r>
    </w:p>
    <w:p w14:paraId="06A0E707" w14:textId="4023A23E"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Reforma zakłada również wprowadzenie </w:t>
      </w:r>
      <w:r>
        <w:rPr>
          <w:rFonts w:ascii="Times New Roman" w:eastAsia="Times New Roman" w:hAnsi="Times New Roman" w:cs="Times New Roman"/>
          <w:color w:val="000000"/>
          <w:sz w:val="24"/>
          <w:szCs w:val="24"/>
          <w:lang w:val="pl-PL"/>
        </w:rPr>
        <w:t>przepisów</w:t>
      </w:r>
      <w:r w:rsidRPr="00AF7348">
        <w:rPr>
          <w:rFonts w:ascii="Times New Roman" w:eastAsia="Times New Roman" w:hAnsi="Times New Roman" w:cs="Times New Roman"/>
          <w:color w:val="000000"/>
          <w:sz w:val="24"/>
          <w:szCs w:val="24"/>
          <w:lang w:val="pl-PL"/>
        </w:rPr>
        <w:t xml:space="preserve"> mając</w:t>
      </w:r>
      <w:r>
        <w:rPr>
          <w:rFonts w:ascii="Times New Roman" w:eastAsia="Times New Roman" w:hAnsi="Times New Roman" w:cs="Times New Roman"/>
          <w:color w:val="000000"/>
          <w:sz w:val="24"/>
          <w:szCs w:val="24"/>
          <w:lang w:val="pl-PL"/>
        </w:rPr>
        <w:t>ych</w:t>
      </w:r>
      <w:r w:rsidRPr="00AF7348">
        <w:rPr>
          <w:rFonts w:ascii="Times New Roman" w:eastAsia="Times New Roman" w:hAnsi="Times New Roman" w:cs="Times New Roman"/>
          <w:color w:val="000000"/>
          <w:sz w:val="24"/>
          <w:szCs w:val="24"/>
          <w:lang w:val="pl-PL"/>
        </w:rPr>
        <w:t xml:space="preserve"> na celu poprawę atrakcyjności zawodów medycznych i warunków pracy pracowników medycznych. Przepisy te zwiększą elastyczność kształcenia podyplomowego, między innymi poprzez umożliwienie lekarzom uzyskania nowego certyfikatu kompetencji zawodowych w różnych specjalistycznych dziedzinach. Podni</w:t>
      </w:r>
      <w:r>
        <w:rPr>
          <w:rFonts w:ascii="Times New Roman" w:eastAsia="Times New Roman" w:hAnsi="Times New Roman" w:cs="Times New Roman"/>
          <w:color w:val="000000"/>
          <w:sz w:val="24"/>
          <w:szCs w:val="24"/>
          <w:lang w:val="pl-PL"/>
        </w:rPr>
        <w:t>osą</w:t>
      </w:r>
      <w:r w:rsidRPr="00AF7348">
        <w:rPr>
          <w:rFonts w:ascii="Times New Roman" w:eastAsia="Times New Roman" w:hAnsi="Times New Roman" w:cs="Times New Roman"/>
          <w:color w:val="000000"/>
          <w:sz w:val="24"/>
          <w:szCs w:val="24"/>
          <w:lang w:val="pl-PL"/>
        </w:rPr>
        <w:t xml:space="preserve"> także najniższe wynagrodzenie podstawowe dla szerokiego grona pracowników medycznych a także zreorganizuje zasady podziału niektórych kompetencji pomiędzy lekarzy a wyspecjalizowanych pracowników medycznych, pracowników służb ratownictwa medycznego, pielęgniarki i innych opiekunów medycznych, po przeprowadzeniu odpowiednich szkoleń. </w:t>
      </w:r>
    </w:p>
    <w:p w14:paraId="4675729F" w14:textId="273AAB4A" w:rsidR="007C4506" w:rsidRPr="00AF7348" w:rsidRDefault="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30 czerwca 2026 roku.</w:t>
      </w:r>
    </w:p>
    <w:p w14:paraId="342D4C27" w14:textId="77777777" w:rsidR="007C4506" w:rsidRPr="00AF7348"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p>
    <w:p w14:paraId="534B504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lastRenderedPageBreak/>
        <w:t>D2.1.1 Inwestycje związane z modernizacją i doposażeniem obiektów dydaktycznych w związku ze zwiększeniem limitów przyjęć na studia medyczne</w:t>
      </w:r>
    </w:p>
    <w:p w14:paraId="308B17BF" w14:textId="32140243"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Zadaniem inwestycji jest wzrost potencjału zaplecza </w:t>
      </w:r>
      <w:r>
        <w:rPr>
          <w:rFonts w:ascii="Times New Roman" w:eastAsia="Times New Roman" w:hAnsi="Times New Roman" w:cs="Times New Roman"/>
          <w:color w:val="000000"/>
          <w:sz w:val="24"/>
          <w:szCs w:val="24"/>
          <w:lang w:val="pl-PL"/>
        </w:rPr>
        <w:t>medycznych placówek dydaktycznych</w:t>
      </w:r>
      <w:r w:rsidRPr="00AF7348">
        <w:rPr>
          <w:rFonts w:ascii="Times New Roman" w:eastAsia="Times New Roman" w:hAnsi="Times New Roman" w:cs="Times New Roman"/>
          <w:color w:val="000000"/>
          <w:sz w:val="24"/>
          <w:szCs w:val="24"/>
          <w:lang w:val="pl-PL"/>
        </w:rPr>
        <w:t xml:space="preserve"> oraz wsparcie studentów kształcących się na kierunkach medycznych. </w:t>
      </w:r>
    </w:p>
    <w:p w14:paraId="1305FD10" w14:textId="5A035E09"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Będzie się składała z uzupełniających się </w:t>
      </w:r>
      <w:proofErr w:type="spellStart"/>
      <w:r w:rsidRPr="00AF7348">
        <w:rPr>
          <w:rFonts w:ascii="Times New Roman" w:eastAsia="Times New Roman" w:hAnsi="Times New Roman" w:cs="Times New Roman"/>
          <w:color w:val="000000" w:themeColor="text1"/>
          <w:sz w:val="24"/>
          <w:szCs w:val="24"/>
          <w:lang w:val="pl-PL"/>
        </w:rPr>
        <w:t>podinwestycji</w:t>
      </w:r>
      <w:proofErr w:type="spellEnd"/>
      <w:r w:rsidRPr="00AF7348">
        <w:rPr>
          <w:rFonts w:ascii="Times New Roman" w:eastAsia="Times New Roman" w:hAnsi="Times New Roman" w:cs="Times New Roman"/>
          <w:color w:val="000000" w:themeColor="text1"/>
          <w:sz w:val="24"/>
          <w:szCs w:val="24"/>
          <w:lang w:val="pl-PL"/>
        </w:rPr>
        <w:t xml:space="preserve"> mających na celu: (i) stworzenie tymczasowego systemu zachęt do podjęcia i kontynuacji studiów na wybranych kierunkach medycznych</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(ii) modernizację bazy dydaktycznej dla kształcenia przedklinicznego</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(iii) wdrożenie nowych rozwiązań w zakresie nauczania opartych na technologiach cyfrowych</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(iv) dostosowanie i udoskonalenie bazy klinicznej dla potrzeb nauczania w centralnych szpitalach klinicznych</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(v) wdrożenie programów szkoleniowych oraz systemów zachęt dla kadry dydaktycznej</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(vi) modernizację bibliotek uczelni medycznych, bazy lokalowej dla studentów oraz systemów informatycznych</w:t>
      </w:r>
      <w:r w:rsidR="00DB2970">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a także (vii) cyfryzację procesów administracyjnych związanych z zarządzaniem uczelniami medycznymi.</w:t>
      </w:r>
    </w:p>
    <w:p w14:paraId="4D8B9E12" w14:textId="77777777"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3572E399" w14:textId="77777777" w:rsidR="007C4506" w:rsidRPr="00AF7348"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p>
    <w:p w14:paraId="62D82DC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D3.1 Podniesienie efektywności i jakości systemu ochrony zdrowia poprzez wsparcie polskiego potencjału badawczo-rozwojowego w dziedzinie nauk medycznych i nauk o zdrowiu</w:t>
      </w:r>
    </w:p>
    <w:p w14:paraId="64D219FC" w14:textId="44A780BB"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przyczynienie się do poprawy jakości i </w:t>
      </w:r>
      <w:r>
        <w:rPr>
          <w:rFonts w:ascii="Times New Roman" w:eastAsia="Times New Roman" w:hAnsi="Times New Roman" w:cs="Times New Roman"/>
          <w:color w:val="000000"/>
          <w:sz w:val="24"/>
          <w:szCs w:val="24"/>
          <w:lang w:val="pl-PL"/>
        </w:rPr>
        <w:t>efektywności</w:t>
      </w:r>
      <w:r w:rsidRPr="00AF7348">
        <w:rPr>
          <w:rFonts w:ascii="Times New Roman" w:eastAsia="Times New Roman" w:hAnsi="Times New Roman" w:cs="Times New Roman"/>
          <w:color w:val="000000"/>
          <w:sz w:val="24"/>
          <w:szCs w:val="24"/>
          <w:lang w:val="pl-PL"/>
        </w:rPr>
        <w:t xml:space="preserve"> systemu opieki zdrowotnej poprzez wspieranie badań i rozwoju w dziedzinie medycyny i zdrowia.</w:t>
      </w:r>
    </w:p>
    <w:p w14:paraId="23380319" w14:textId="77777777"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Reforma ma polegać na wprowadzeniu nowych przepisów w zakresie badań klinicznych produktów leczniczych stosowanych u ludzi, w tym przejrzystego systemu oraz ograniczenia barier administracyjnych i prawnych. Obejmie również opracowanie i wdrożenie strategicznego planu rozwoju sektora biomedycznego w Polsce, opartego na ocenie jego potrzeb, istniejących barier rozwoju oraz obszarów o potencjalnej przewadze konkurencyjnej.</w:t>
      </w:r>
    </w:p>
    <w:p w14:paraId="5E8F5EC1" w14:textId="77777777" w:rsidR="007C4506" w:rsidRPr="00AF7348"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Wdrażanie reformy zostanie zakończone do 31 grudnia 2022 roku. </w:t>
      </w:r>
    </w:p>
    <w:p w14:paraId="6CEB15CE" w14:textId="77777777" w:rsidR="007C4506" w:rsidRPr="00AF7348"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p>
    <w:p w14:paraId="4B9FF784" w14:textId="69026F35" w:rsidR="008577B9" w:rsidRPr="00AF7348" w:rsidRDefault="008577B9" w:rsidP="008577B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D3.1.1. Kompleksowy rozwój badań w </w:t>
      </w:r>
      <w:r>
        <w:rPr>
          <w:rFonts w:ascii="Times New Roman" w:eastAsia="Times New Roman" w:hAnsi="Times New Roman" w:cs="Times New Roman"/>
          <w:b/>
          <w:bCs/>
          <w:color w:val="000000"/>
          <w:sz w:val="24"/>
          <w:szCs w:val="24"/>
          <w:u w:val="single"/>
          <w:lang w:val="pl-PL"/>
        </w:rPr>
        <w:t>zakresie</w:t>
      </w:r>
      <w:r w:rsidRPr="00AF7348">
        <w:rPr>
          <w:rFonts w:ascii="Times New Roman" w:eastAsia="Times New Roman" w:hAnsi="Times New Roman" w:cs="Times New Roman"/>
          <w:b/>
          <w:bCs/>
          <w:color w:val="000000"/>
          <w:sz w:val="24"/>
          <w:szCs w:val="24"/>
          <w:u w:val="single"/>
          <w:lang w:val="pl-PL"/>
        </w:rPr>
        <w:t xml:space="preserve"> nauk medycznych i nauk o zdrowiu</w:t>
      </w:r>
    </w:p>
    <w:p w14:paraId="52E75C1E" w14:textId="77777777"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Zadaniem tej inwestycji jest wzmocnienie odporności systemu opieki zdrowotnej poprzez wspieranie badań i rozwoju w dziedzinie medycyny i zdrowia.</w:t>
      </w:r>
    </w:p>
    <w:p w14:paraId="10C5CA96" w14:textId="77777777"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Inwestycje obejmą następujące działania:</w:t>
      </w:r>
    </w:p>
    <w:p w14:paraId="0EF98E3F" w14:textId="18CA22D0" w:rsidR="008577B9" w:rsidRPr="00AF7348" w:rsidRDefault="008577B9" w:rsidP="008577B9">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konkursy </w:t>
      </w:r>
      <w:r>
        <w:rPr>
          <w:rFonts w:ascii="Times New Roman" w:eastAsia="Times New Roman" w:hAnsi="Times New Roman" w:cs="Times New Roman"/>
          <w:color w:val="000000" w:themeColor="text1"/>
          <w:sz w:val="24"/>
          <w:szCs w:val="24"/>
          <w:lang w:val="pl-PL"/>
        </w:rPr>
        <w:t>grantowe</w:t>
      </w:r>
      <w:r w:rsidRPr="00AF7348">
        <w:rPr>
          <w:rFonts w:ascii="Times New Roman" w:eastAsia="Times New Roman" w:hAnsi="Times New Roman" w:cs="Times New Roman"/>
          <w:color w:val="000000" w:themeColor="text1"/>
          <w:sz w:val="24"/>
          <w:szCs w:val="24"/>
          <w:lang w:val="pl-PL"/>
        </w:rPr>
        <w:t xml:space="preserve"> na finansowanie działalności badawczo-rozwojowej ze szczególnym uwzględnieniem innowacyjnych produktów, takich jak leki, rozwój urządzeń medycznych, zwłaszcza do użytku mobilnego, a także tworzenie i wdrażanie narzędzi </w:t>
      </w:r>
      <w:r>
        <w:rPr>
          <w:rFonts w:ascii="Times New Roman" w:eastAsia="Times New Roman" w:hAnsi="Times New Roman" w:cs="Times New Roman"/>
          <w:color w:val="000000" w:themeColor="text1"/>
          <w:sz w:val="24"/>
          <w:szCs w:val="24"/>
          <w:lang w:val="pl-PL"/>
        </w:rPr>
        <w:t>teleinformatycznych</w:t>
      </w:r>
      <w:r w:rsidRPr="00AF7348">
        <w:rPr>
          <w:rFonts w:ascii="Times New Roman" w:eastAsia="Times New Roman" w:hAnsi="Times New Roman" w:cs="Times New Roman"/>
          <w:color w:val="000000" w:themeColor="text1"/>
          <w:sz w:val="24"/>
          <w:szCs w:val="24"/>
          <w:lang w:val="pl-PL"/>
        </w:rPr>
        <w:t xml:space="preserve"> do celów medycznych i zdrowotnych,</w:t>
      </w:r>
    </w:p>
    <w:p w14:paraId="16D2D1BE" w14:textId="10FA775D" w:rsidR="008577B9" w:rsidRPr="00AF7348" w:rsidRDefault="008577B9" w:rsidP="008577B9">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rozwój dodatkowych Ośrodków Wsparcia Badań Klinicznych, których zadaniem będzie prowadzenie działalności badawczej w zakresie badań klinicznych, stworzenie elektronicznej platformy komunikacyjnej dla Polskiej Sieci Badań Klinicznych oraz wyszukiwarki badań klinicznych, a także działania uświadamiające w tym zakresie,</w:t>
      </w:r>
    </w:p>
    <w:p w14:paraId="30C52B1C" w14:textId="77777777" w:rsidR="008577B9" w:rsidRPr="00AF7348" w:rsidRDefault="008577B9" w:rsidP="008577B9">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inne działania wspierające sektor biomedyczny, w tym badania oraz wsparcie dla uniwersytetów i inkubatorów technologicznych, oraz</w:t>
      </w:r>
    </w:p>
    <w:p w14:paraId="171396C8" w14:textId="59F1DA3F" w:rsidR="008577B9" w:rsidRPr="00AF7348" w:rsidRDefault="008577B9" w:rsidP="008577B9">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stworzenie Centrum Badawczo-Analitycznego w ramach Narodowego Instytutu Zdrowia Publicznego </w:t>
      </w:r>
      <w:r>
        <w:rPr>
          <w:rFonts w:ascii="Times New Roman" w:eastAsia="Times New Roman" w:hAnsi="Times New Roman" w:cs="Times New Roman"/>
          <w:color w:val="000000" w:themeColor="text1"/>
          <w:sz w:val="24"/>
          <w:szCs w:val="24"/>
          <w:lang w:val="pl-PL"/>
        </w:rPr>
        <w:t>PZH - P</w:t>
      </w:r>
      <w:r w:rsidRPr="00AF7348">
        <w:rPr>
          <w:rFonts w:ascii="Times New Roman" w:eastAsia="Times New Roman" w:hAnsi="Times New Roman" w:cs="Times New Roman"/>
          <w:color w:val="000000" w:themeColor="text1"/>
          <w:sz w:val="24"/>
          <w:szCs w:val="24"/>
          <w:lang w:val="pl-PL"/>
        </w:rPr>
        <w:t xml:space="preserve">aństwowego </w:t>
      </w:r>
      <w:r>
        <w:rPr>
          <w:rFonts w:ascii="Times New Roman" w:eastAsia="Times New Roman" w:hAnsi="Times New Roman" w:cs="Times New Roman"/>
          <w:color w:val="000000" w:themeColor="text1"/>
          <w:sz w:val="24"/>
          <w:szCs w:val="24"/>
          <w:lang w:val="pl-PL"/>
        </w:rPr>
        <w:t>I</w:t>
      </w:r>
      <w:r w:rsidRPr="00AF7348">
        <w:rPr>
          <w:rFonts w:ascii="Times New Roman" w:eastAsia="Times New Roman" w:hAnsi="Times New Roman" w:cs="Times New Roman"/>
          <w:color w:val="000000" w:themeColor="text1"/>
          <w:sz w:val="24"/>
          <w:szCs w:val="24"/>
          <w:lang w:val="pl-PL"/>
        </w:rPr>
        <w:t xml:space="preserve">nstytutu </w:t>
      </w:r>
      <w:r>
        <w:rPr>
          <w:rFonts w:ascii="Times New Roman" w:eastAsia="Times New Roman" w:hAnsi="Times New Roman" w:cs="Times New Roman"/>
          <w:color w:val="000000" w:themeColor="text1"/>
          <w:sz w:val="24"/>
          <w:szCs w:val="24"/>
          <w:lang w:val="pl-PL"/>
        </w:rPr>
        <w:t>B</w:t>
      </w:r>
      <w:r w:rsidRPr="00AF7348">
        <w:rPr>
          <w:rFonts w:ascii="Times New Roman" w:eastAsia="Times New Roman" w:hAnsi="Times New Roman" w:cs="Times New Roman"/>
          <w:color w:val="000000" w:themeColor="text1"/>
          <w:sz w:val="24"/>
          <w:szCs w:val="24"/>
          <w:lang w:val="pl-PL"/>
        </w:rPr>
        <w:t xml:space="preserve">adawczego, którego głównym zadaniem będzie monitorowanie szerokiego zakresu zagrożeń dla zdrowia ludzkiego, a także sytuacji zdrowotnej i potrzeb ludności. Związana z tym infrastruktura będzie się </w:t>
      </w:r>
      <w:r w:rsidRPr="00AF7348">
        <w:rPr>
          <w:rFonts w:ascii="Times New Roman" w:eastAsia="Times New Roman" w:hAnsi="Times New Roman" w:cs="Times New Roman"/>
          <w:color w:val="000000" w:themeColor="text1"/>
          <w:sz w:val="24"/>
          <w:szCs w:val="24"/>
          <w:lang w:val="pl-PL"/>
        </w:rPr>
        <w:lastRenderedPageBreak/>
        <w:t>składać m.in. z laboratoriów o szerokim zakresie stopni bezpieczeństwa biologicznego, aż do poziomu BSL-3+, a także z kampusu, który będzie wykorzystywany do działań szkoleniowych i edukacyjnych.</w:t>
      </w:r>
    </w:p>
    <w:p w14:paraId="658C46AD" w14:textId="77777777" w:rsidR="008577B9" w:rsidRPr="00AF7348" w:rsidRDefault="008577B9" w:rsidP="008577B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inwestycji zostanie zakończone do 30 czerwca 2026 roku.</w:t>
      </w:r>
    </w:p>
    <w:p w14:paraId="66518E39" w14:textId="77777777" w:rsidR="00212550" w:rsidRPr="00AF7348" w:rsidRDefault="00212550">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color w:val="000000"/>
          <w:sz w:val="24"/>
          <w:szCs w:val="24"/>
          <w:lang w:val="pl-PL"/>
        </w:rPr>
        <w:sectPr w:rsidR="00212550" w:rsidRPr="00AF7348">
          <w:headerReference w:type="even" r:id="rId81"/>
          <w:headerReference w:type="default" r:id="rId82"/>
          <w:footerReference w:type="even" r:id="rId83"/>
          <w:footerReference w:type="default" r:id="rId84"/>
          <w:headerReference w:type="first" r:id="rId85"/>
          <w:footerReference w:type="first" r:id="rId86"/>
          <w:pgSz w:w="11907" w:h="16839"/>
          <w:pgMar w:top="1134" w:right="1417" w:bottom="1134" w:left="1417" w:header="709" w:footer="709" w:gutter="0"/>
          <w:cols w:space="720"/>
        </w:sectPr>
      </w:pPr>
    </w:p>
    <w:p w14:paraId="7478CBD1" w14:textId="77777777" w:rsidR="007C4506" w:rsidRDefault="0033239E"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D.2.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Kamienie milowe, wartości docelowe, wskaźniki i harmonogram monitorowania i realizacji na potrzeby bezzwrotnego wsparcia finansowego</w:t>
      </w:r>
    </w:p>
    <w:tbl>
      <w:tblPr>
        <w:tblW w:w="154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1"/>
        <w:gridCol w:w="2126"/>
        <w:gridCol w:w="1134"/>
        <w:gridCol w:w="1985"/>
        <w:gridCol w:w="1701"/>
        <w:gridCol w:w="992"/>
        <w:gridCol w:w="709"/>
        <w:gridCol w:w="850"/>
        <w:gridCol w:w="567"/>
        <w:gridCol w:w="709"/>
        <w:gridCol w:w="3827"/>
      </w:tblGrid>
      <w:tr w:rsidR="001052B5" w:rsidRPr="00F07CEA" w14:paraId="7017DF99" w14:textId="77777777" w:rsidTr="00A20CA7">
        <w:trPr>
          <w:trHeight w:val="939"/>
        </w:trPr>
        <w:tc>
          <w:tcPr>
            <w:tcW w:w="851" w:type="dxa"/>
            <w:vMerge w:val="restart"/>
            <w:shd w:val="clear" w:color="auto" w:fill="BDD7EE"/>
            <w:vAlign w:val="center"/>
          </w:tcPr>
          <w:p w14:paraId="77F3FB93"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2126" w:type="dxa"/>
            <w:vMerge w:val="restart"/>
            <w:shd w:val="clear" w:color="auto" w:fill="BDD7EE"/>
            <w:vAlign w:val="center"/>
          </w:tcPr>
          <w:p w14:paraId="660720B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1134" w:type="dxa"/>
            <w:vMerge w:val="restart"/>
            <w:shd w:val="clear" w:color="auto" w:fill="BDD7EE"/>
            <w:vAlign w:val="center"/>
          </w:tcPr>
          <w:p w14:paraId="3A7F4FD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1985" w:type="dxa"/>
            <w:vMerge w:val="restart"/>
            <w:shd w:val="clear" w:color="auto" w:fill="BDD7EE"/>
            <w:vAlign w:val="center"/>
          </w:tcPr>
          <w:p w14:paraId="4125F35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701" w:type="dxa"/>
            <w:vMerge w:val="restart"/>
            <w:shd w:val="clear" w:color="auto" w:fill="BDD7EE"/>
            <w:vAlign w:val="center"/>
          </w:tcPr>
          <w:p w14:paraId="67F6534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Qualitative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milestones)</w:t>
            </w:r>
          </w:p>
        </w:tc>
        <w:tc>
          <w:tcPr>
            <w:tcW w:w="2551" w:type="dxa"/>
            <w:gridSpan w:val="3"/>
            <w:shd w:val="clear" w:color="auto" w:fill="BDD7EE"/>
            <w:vAlign w:val="center"/>
          </w:tcPr>
          <w:p w14:paraId="6FE6E8B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Quantitative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targets)</w:t>
            </w:r>
          </w:p>
        </w:tc>
        <w:tc>
          <w:tcPr>
            <w:tcW w:w="1276" w:type="dxa"/>
            <w:gridSpan w:val="2"/>
            <w:shd w:val="clear" w:color="auto" w:fill="BDD7EE"/>
            <w:vAlign w:val="center"/>
          </w:tcPr>
          <w:p w14:paraId="0879DD3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3827" w:type="dxa"/>
            <w:vMerge w:val="restart"/>
            <w:shd w:val="clear" w:color="auto" w:fill="BDD7EE"/>
            <w:vAlign w:val="center"/>
          </w:tcPr>
          <w:p w14:paraId="46276343"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07CEA" w14:paraId="6D3513FB" w14:textId="77777777" w:rsidTr="00A20CA7">
        <w:trPr>
          <w:trHeight w:val="1027"/>
        </w:trPr>
        <w:tc>
          <w:tcPr>
            <w:tcW w:w="851" w:type="dxa"/>
            <w:vMerge/>
            <w:vAlign w:val="center"/>
          </w:tcPr>
          <w:p w14:paraId="5EE9DDC0"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2126" w:type="dxa"/>
            <w:vMerge/>
            <w:vAlign w:val="center"/>
          </w:tcPr>
          <w:p w14:paraId="4CED019D"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134" w:type="dxa"/>
            <w:vMerge/>
            <w:vAlign w:val="center"/>
          </w:tcPr>
          <w:p w14:paraId="3B63CF55"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5" w:type="dxa"/>
            <w:vMerge/>
            <w:vAlign w:val="center"/>
          </w:tcPr>
          <w:p w14:paraId="7F15CDE9"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701" w:type="dxa"/>
            <w:vMerge/>
            <w:vAlign w:val="center"/>
          </w:tcPr>
          <w:p w14:paraId="02896247"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shd w:val="clear" w:color="auto" w:fill="BDD7EE"/>
            <w:vAlign w:val="center"/>
          </w:tcPr>
          <w:p w14:paraId="6B8BF05E"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709" w:type="dxa"/>
            <w:shd w:val="clear" w:color="auto" w:fill="BDD7EE"/>
            <w:vAlign w:val="center"/>
          </w:tcPr>
          <w:p w14:paraId="7291374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850" w:type="dxa"/>
            <w:shd w:val="clear" w:color="auto" w:fill="BDD7EE"/>
            <w:vAlign w:val="center"/>
          </w:tcPr>
          <w:p w14:paraId="48030D7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7" w:type="dxa"/>
            <w:shd w:val="clear" w:color="auto" w:fill="BDD7EE"/>
            <w:vAlign w:val="center"/>
          </w:tcPr>
          <w:p w14:paraId="38276FC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709" w:type="dxa"/>
            <w:shd w:val="clear" w:color="auto" w:fill="BDD7EE"/>
            <w:vAlign w:val="center"/>
          </w:tcPr>
          <w:p w14:paraId="5BF738CC"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3827" w:type="dxa"/>
            <w:vMerge/>
            <w:vAlign w:val="center"/>
          </w:tcPr>
          <w:p w14:paraId="364AC35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9D378C" w14:paraId="6F2B04D9"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4C7E8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9F65C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11320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B8239D"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modernizacji i poprawie efektywności szpitali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3AE9F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2DAD5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5F1CC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DFA6A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0A376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FB59E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B3FE2F" w14:textId="4D99C9A3"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Wejście w życie ustawy</w:t>
            </w:r>
            <w:r w:rsidR="00723AE2">
              <w:rPr>
                <w:color w:val="000000" w:themeColor="text1"/>
                <w:sz w:val="18"/>
                <w:szCs w:val="18"/>
                <w:lang w:val="pl-PL"/>
              </w:rPr>
              <w:t xml:space="preserve"> </w:t>
            </w:r>
            <w:r w:rsidR="00723AE2" w:rsidRPr="00EB62AB">
              <w:rPr>
                <w:color w:val="000000"/>
                <w:sz w:val="18"/>
                <w:szCs w:val="18"/>
                <w:lang w:val="pl-PL"/>
              </w:rPr>
              <w:t>o modernizacji i poprawie efektywności szpitali</w:t>
            </w:r>
            <w:r w:rsidRPr="00EB62AB">
              <w:rPr>
                <w:color w:val="000000" w:themeColor="text1"/>
                <w:sz w:val="18"/>
                <w:szCs w:val="18"/>
                <w:lang w:val="pl-PL"/>
              </w:rPr>
              <w:t>, która przewiduje:</w:t>
            </w:r>
            <w:r w:rsidRPr="00EB62AB">
              <w:rPr>
                <w:color w:val="000000" w:themeColor="text1"/>
                <w:sz w:val="18"/>
                <w:szCs w:val="18"/>
                <w:lang w:val="pl-PL"/>
              </w:rPr>
              <w:br/>
              <w:t xml:space="preserve">- restrukturyzację szpitali poprzez konsolidację, zmianę profilu oraz zakresu i struktury świadczeń zdrowotnych udzielanych przez szpitale, na podstawie krajowego i regionalnych planów transformacji oraz mapy potrzeb zdrowotnych, a także odpowiednią aktualizację sieci szpitali; </w:t>
            </w:r>
            <w:r w:rsidRPr="00EB62AB">
              <w:rPr>
                <w:color w:val="000000" w:themeColor="text1"/>
                <w:sz w:val="18"/>
                <w:szCs w:val="18"/>
                <w:lang w:val="pl-PL"/>
              </w:rPr>
              <w:br/>
              <w:t xml:space="preserve">- </w:t>
            </w:r>
            <w:r w:rsidR="00723AE2" w:rsidRPr="00723AE2">
              <w:rPr>
                <w:color w:val="000000" w:themeColor="text1"/>
                <w:sz w:val="18"/>
                <w:szCs w:val="18"/>
                <w:lang w:val="pl-PL"/>
              </w:rPr>
              <w:t xml:space="preserve">podstawa dla działań na rzecz racjonalizacji piramidy opieki zdrowotnej poprzez </w:t>
            </w:r>
            <w:r w:rsidRPr="00EB62AB">
              <w:rPr>
                <w:color w:val="000000" w:themeColor="text1"/>
                <w:sz w:val="18"/>
                <w:szCs w:val="18"/>
                <w:lang w:val="pl-PL"/>
              </w:rPr>
              <w:t>przesunięcie niektórych świadczeń zdrowotnych ze szpitali na niższe poziomy opieki (opieka podstawowa, opieka ambulatoryjna) z odpowiednio zmienionymi zapisami w rocznych planach finansowych NFZ;</w:t>
            </w:r>
            <w:r w:rsidRPr="00EB62AB">
              <w:rPr>
                <w:color w:val="000000" w:themeColor="text1"/>
                <w:sz w:val="18"/>
                <w:szCs w:val="18"/>
                <w:lang w:val="pl-PL"/>
              </w:rPr>
              <w:br/>
              <w:t>- reformę systemu finansowania szpitali zapewniającą skuteczną i trwałą restrukturyzację, w tym rozwiązanie kwestii umarzania długów szpitali w sposób zrównoważony, w oparciu o przejrzyste i oparte na dowodach kryteria oraz solidny system finansowania szpitali, zachęcający do właściwego świadczenia opieki oraz zwiększający efektywność i jakość opieki</w:t>
            </w:r>
            <w:r w:rsidRPr="00EB62AB">
              <w:rPr>
                <w:color w:val="000000" w:themeColor="text1"/>
                <w:sz w:val="18"/>
                <w:szCs w:val="18"/>
                <w:lang w:val="pl-PL"/>
              </w:rPr>
              <w:br/>
              <w:t>- stworzenie profesjonalnego systemu nadzoru nad szpitalami, wzmocnienie kadry zarządzającej oraz upowszechnienie nowoczesnych systemów, narzędzi i metod zarządzania w ochronie zdrowia.</w:t>
            </w:r>
          </w:p>
        </w:tc>
      </w:tr>
      <w:tr w:rsidR="001052B5" w:rsidRPr="009D378C" w14:paraId="21AF8993"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65E660"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43E04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007A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77F212"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Zarządzenia Prezesa NFZ o wzmocnieniu podstawowej opieki zdrowotnej i opieki koordynowanej, a następnie przepisów finansowych (w tym zmian w umowach), pozwalających na wdrożenie w całym kraju.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8E6392" w14:textId="2E4E7C0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Przepis </w:t>
            </w:r>
            <w:r w:rsidR="00BE56BE">
              <w:rPr>
                <w:rFonts w:ascii="Times New Roman" w:eastAsia="Times New Roman" w:hAnsi="Times New Roman" w:cs="Times New Roman"/>
                <w:color w:val="000000"/>
                <w:sz w:val="18"/>
                <w:szCs w:val="18"/>
                <w:lang w:val="pl-PL"/>
              </w:rPr>
              <w:t>zarządzeniu</w:t>
            </w:r>
            <w:r w:rsidRPr="00EB62AB">
              <w:rPr>
                <w:rFonts w:ascii="Times New Roman" w:eastAsia="Times New Roman" w:hAnsi="Times New Roman" w:cs="Times New Roman"/>
                <w:color w:val="000000"/>
                <w:sz w:val="18"/>
                <w:szCs w:val="18"/>
                <w:lang w:val="pl-PL"/>
              </w:rPr>
              <w:t xml:space="preserve"> wskazujący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8EB95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6A498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94907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773B2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257F7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98D852" w14:textId="13F9DE69"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Wejście w życie Zarządzenia Prezesa NFZ wzmacniającego podstawową opiekę zdrowotną i opiekę koordynowaną, pozwalających na wdrożenie ogólnokrajowe i obejmujących:</w:t>
            </w:r>
            <w:r w:rsidRPr="00EB62AB">
              <w:rPr>
                <w:color w:val="000000" w:themeColor="text1"/>
                <w:sz w:val="18"/>
                <w:szCs w:val="18"/>
                <w:lang w:val="pl-PL"/>
              </w:rPr>
              <w:br/>
              <w:t>- profilaktyczna opieka zdrowotna (opłata zadaniowa);</w:t>
            </w:r>
            <w:r w:rsidRPr="00EB62AB">
              <w:rPr>
                <w:color w:val="000000" w:themeColor="text1"/>
                <w:sz w:val="18"/>
                <w:szCs w:val="18"/>
                <w:lang w:val="pl-PL"/>
              </w:rPr>
              <w:br/>
              <w:t>- oczekiwane wyniki zdrowotne i jakość opieki (wprowadzenie zachęt); oraz</w:t>
            </w:r>
            <w:r w:rsidRPr="00EB62AB">
              <w:rPr>
                <w:color w:val="000000" w:themeColor="text1"/>
                <w:sz w:val="18"/>
                <w:szCs w:val="18"/>
                <w:lang w:val="pl-PL"/>
              </w:rPr>
              <w:br/>
              <w:t>- program zarządzania chorobami przewlekłymi i koordynator opieki.</w:t>
            </w:r>
            <w:r w:rsidRPr="00EB62AB">
              <w:rPr>
                <w:color w:val="000000" w:themeColor="text1"/>
                <w:sz w:val="18"/>
                <w:szCs w:val="18"/>
                <w:lang w:val="pl-PL"/>
              </w:rPr>
              <w:br/>
            </w:r>
            <w:r w:rsidR="007D7DFB">
              <w:rPr>
                <w:color w:val="000000" w:themeColor="text1"/>
                <w:sz w:val="18"/>
                <w:szCs w:val="18"/>
                <w:lang w:val="pl-PL"/>
              </w:rPr>
              <w:t>Zarządzenie</w:t>
            </w:r>
            <w:r w:rsidRPr="00EB62AB">
              <w:rPr>
                <w:color w:val="000000" w:themeColor="text1"/>
                <w:sz w:val="18"/>
                <w:szCs w:val="18"/>
                <w:lang w:val="pl-PL"/>
              </w:rPr>
              <w:t xml:space="preserve"> wprowadzi rozwiązania finansowe przewidujące dodatkowe środki finansowe na kontrakty podstawowej opieki zdrowotnej, z wyłączeniem nocnej i świątecznej opieki zdrowotnej.</w:t>
            </w:r>
          </w:p>
        </w:tc>
      </w:tr>
      <w:tr w:rsidR="001052B5" w:rsidRPr="009D378C" w14:paraId="1FAF04ED"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3D805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70EBA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0C8CE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856436"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jakości w ochronie zdrowia i bezpieczeństwie pacjenta, wraz z niezbędnymi przepisami wykonawczymi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62489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8825B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1CD62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50277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074B9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B926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5D771A" w14:textId="76C62968" w:rsidR="001052B5" w:rsidRPr="00EB62AB" w:rsidRDefault="004D1CD2" w:rsidP="00A20CA7">
            <w:pPr>
              <w:pStyle w:val="paragraph"/>
              <w:textAlignment w:val="baseline"/>
              <w:rPr>
                <w:color w:val="000000" w:themeColor="text1"/>
                <w:sz w:val="18"/>
                <w:szCs w:val="18"/>
                <w:lang w:val="pl-PL"/>
              </w:rPr>
            </w:pPr>
            <w:r w:rsidRPr="004D1CD2">
              <w:rPr>
                <w:color w:val="000000" w:themeColor="text1"/>
                <w:sz w:val="18"/>
                <w:szCs w:val="18"/>
                <w:lang w:val="pl-PL"/>
              </w:rPr>
              <w:t>Wejście w życie ustawy o jakości w ochronie zdrowia i bezpieczeństwie pacjenta, która wprowadza rozwiązania w następujących obszarach:</w:t>
            </w:r>
            <w:r w:rsidR="001052B5" w:rsidRPr="00EB62AB">
              <w:rPr>
                <w:color w:val="000000" w:themeColor="text1"/>
                <w:sz w:val="18"/>
                <w:szCs w:val="18"/>
                <w:lang w:val="pl-PL"/>
              </w:rPr>
              <w:br/>
              <w:t>1) autoryzacja - system oceny podmiotów wykonujących działalność leczniczą  jak świadczenia szpitalne, na zgodność z wymaganiami Ministerstwa Zdrowia i Narodowego Funduszu Zdrowia (tzw. wymaganiami koszykowymi);</w:t>
            </w:r>
            <w:r w:rsidR="001052B5" w:rsidRPr="00EB62AB">
              <w:rPr>
                <w:color w:val="000000" w:themeColor="text1"/>
                <w:sz w:val="18"/>
                <w:szCs w:val="18"/>
                <w:lang w:val="pl-PL"/>
              </w:rPr>
              <w:br/>
              <w:t>2) akredytacja - ramy zewnętrznej oceny jakości opieki zdrowotnej i bezpieczeństwa pacjenta;</w:t>
            </w:r>
            <w:r w:rsidR="001052B5" w:rsidRPr="00EB62AB">
              <w:rPr>
                <w:color w:val="000000" w:themeColor="text1"/>
                <w:sz w:val="18"/>
                <w:szCs w:val="18"/>
                <w:lang w:val="pl-PL"/>
              </w:rPr>
              <w:br/>
              <w:t>3) monitorowanie zdarzeń niepożądanych - ramy działalności podmiotów leczniczych, polegające w szczególności na zgłaszaniu zdarzeń niepożądanych, prowadzeniu ich systematycznej analizy i wdrażaniu wniosków z takiej analizy, w celu zapobiegania wystąpieniu podobnych zdarzeń niepożądanych w przyszłości.</w:t>
            </w:r>
            <w:r w:rsidR="001052B5" w:rsidRPr="00EB62AB">
              <w:rPr>
                <w:color w:val="000000" w:themeColor="text1"/>
                <w:sz w:val="18"/>
                <w:szCs w:val="18"/>
                <w:lang w:val="pl-PL"/>
              </w:rPr>
              <w:br/>
              <w:t>4) rejestry medyczne - wzmocnienie nadzoru nad prowadzeniem rejestrów medycznych oraz określenie zasad ich tworzenia i finansowania.</w:t>
            </w:r>
            <w:r w:rsidR="001052B5" w:rsidRPr="00EB62AB">
              <w:rPr>
                <w:color w:val="000000" w:themeColor="text1"/>
                <w:sz w:val="18"/>
                <w:szCs w:val="18"/>
                <w:lang w:val="pl-PL"/>
              </w:rPr>
              <w:br/>
              <w:t>5) doświadczenie pacjentów - ustalenie ram pomiaru doświadczenia pacjentów związanego z zapisami kontraktowania w NFZ.</w:t>
            </w:r>
            <w:r w:rsidR="001052B5" w:rsidRPr="00EB62AB">
              <w:rPr>
                <w:color w:val="000000" w:themeColor="text1"/>
                <w:sz w:val="18"/>
                <w:szCs w:val="18"/>
                <w:lang w:val="pl-PL"/>
              </w:rPr>
              <w:br/>
              <w:t xml:space="preserve">6) </w:t>
            </w:r>
            <w:proofErr w:type="spellStart"/>
            <w:r w:rsidR="001052B5" w:rsidRPr="00EB62AB">
              <w:rPr>
                <w:color w:val="000000" w:themeColor="text1"/>
                <w:sz w:val="18"/>
                <w:szCs w:val="18"/>
                <w:lang w:val="pl-PL"/>
              </w:rPr>
              <w:t>rehospitalizacja</w:t>
            </w:r>
            <w:proofErr w:type="spellEnd"/>
            <w:r w:rsidR="001052B5" w:rsidRPr="00EB62AB">
              <w:rPr>
                <w:color w:val="000000" w:themeColor="text1"/>
                <w:sz w:val="18"/>
                <w:szCs w:val="18"/>
                <w:lang w:val="pl-PL"/>
              </w:rPr>
              <w:t>: ramy śledzenia i analizy 30-dniowych stawek readmisji związane z zapisami kontraktowymi NFZ (poprzez rozporządzenie wykonawcze).</w:t>
            </w:r>
          </w:p>
        </w:tc>
      </w:tr>
      <w:tr w:rsidR="001052B5" w:rsidRPr="009D378C" w14:paraId="2C46A749"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5CC1D4"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84B1A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A0A3D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B979B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Krajowej Sieci Onkologicznej ustanawiającej zasady funkcjonowania sieci poprzez wprowadzenie nowej struktury i nowego modelu zarządzania opieką onkologiczną w Polsce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7E634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B45F4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B9277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2C471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B01A0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3E5E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F864FA" w14:textId="54748AFD" w:rsidR="001052B5" w:rsidRPr="00EB62AB" w:rsidRDefault="004D1CD2" w:rsidP="00A20CA7">
            <w:pPr>
              <w:pStyle w:val="paragraph"/>
              <w:textAlignment w:val="baseline"/>
              <w:rPr>
                <w:color w:val="000000" w:themeColor="text1"/>
                <w:sz w:val="18"/>
                <w:szCs w:val="18"/>
                <w:lang w:val="pl-PL"/>
              </w:rPr>
            </w:pPr>
            <w:r w:rsidRPr="004D1CD2">
              <w:rPr>
                <w:color w:val="000000" w:themeColor="text1"/>
                <w:sz w:val="18"/>
                <w:szCs w:val="18"/>
                <w:lang w:val="pl-PL"/>
              </w:rPr>
              <w:t>Wejście w życie ustawy o Krajowej Sieci Onkologicznej, która zapewni wszystkim pacjentom, niezależnie od miejsca zamieszkania, opiekę onkologiczną w oparciu o te same standardy diagnostyczne i terapeutyczne.</w:t>
            </w:r>
            <w:r w:rsidR="001052B5" w:rsidRPr="00EB62AB">
              <w:rPr>
                <w:color w:val="000000" w:themeColor="text1"/>
                <w:sz w:val="18"/>
                <w:szCs w:val="18"/>
                <w:lang w:val="pl-PL"/>
              </w:rPr>
              <w:br/>
            </w:r>
            <w:r w:rsidR="00F743D0">
              <w:rPr>
                <w:color w:val="000000" w:themeColor="text1"/>
                <w:sz w:val="18"/>
                <w:szCs w:val="18"/>
                <w:lang w:val="pl-PL"/>
              </w:rPr>
              <w:t>Ustawa</w:t>
            </w:r>
            <w:r w:rsidR="00F743D0" w:rsidRPr="00EB62AB">
              <w:rPr>
                <w:color w:val="000000" w:themeColor="text1"/>
                <w:sz w:val="18"/>
                <w:szCs w:val="18"/>
                <w:lang w:val="pl-PL"/>
              </w:rPr>
              <w:t xml:space="preserve"> </w:t>
            </w:r>
            <w:r w:rsidR="001052B5" w:rsidRPr="00EB62AB">
              <w:rPr>
                <w:color w:val="000000" w:themeColor="text1"/>
                <w:sz w:val="18"/>
                <w:szCs w:val="18"/>
                <w:lang w:val="pl-PL"/>
              </w:rPr>
              <w:t xml:space="preserve">skupi się na: </w:t>
            </w:r>
            <w:r w:rsidR="001052B5" w:rsidRPr="00EB62AB">
              <w:rPr>
                <w:color w:val="000000" w:themeColor="text1"/>
                <w:sz w:val="18"/>
                <w:szCs w:val="18"/>
                <w:lang w:val="pl-PL"/>
              </w:rPr>
              <w:br/>
              <w:t xml:space="preserve">- uprawnieniniu organizacji systemu opieki onkologicznej poprzez zapewnienie pacjentom dostępu do najwyższej jakości procesów diagnostycznych i terapeutycznych oraz kompleksowej opieki na całej „ścieżce pacjenta” w obszarach podstawowej opieki zdrowotnej, ambulatoryjnej opieki specjalistycznej (AOS), leczenia szpitalnego i rehabilitacji; </w:t>
            </w:r>
            <w:r w:rsidR="001052B5" w:rsidRPr="00EB62AB">
              <w:rPr>
                <w:color w:val="000000" w:themeColor="text1"/>
                <w:sz w:val="18"/>
                <w:szCs w:val="18"/>
                <w:lang w:val="pl-PL"/>
              </w:rPr>
              <w:br/>
              <w:t xml:space="preserve">- stworzenie nowej struktury organizacyjnej i nowego modelu zarządzania opieką onkologiczną, w tym ośrodków monitorujących; </w:t>
            </w:r>
            <w:r w:rsidR="001052B5" w:rsidRPr="00EB62AB">
              <w:rPr>
                <w:color w:val="000000" w:themeColor="text1"/>
                <w:sz w:val="18"/>
                <w:szCs w:val="18"/>
                <w:lang w:val="pl-PL"/>
              </w:rPr>
              <w:br/>
              <w:t>- poprawa jakości życia pacjentów w trakcie i po leczeniu onkologicznym.</w:t>
            </w:r>
          </w:p>
        </w:tc>
      </w:tr>
      <w:tr w:rsidR="001052B5" w:rsidRPr="009D378C" w14:paraId="7B88BF1B"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8C548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9414B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EC71F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DE2DA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Krajowej Sieci Kardiologicznej określającej zasady funkcjonowania sieci poprzez wprowadzenie nowej struktury i nowego modelu zarządzania opieką kardiologiczną w Polsce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8A872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6EFBE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C334D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CE3CF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04F5E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5A0DE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D47492" w14:textId="53E37473" w:rsidR="001052B5" w:rsidRPr="00EB62AB" w:rsidRDefault="00F65102" w:rsidP="00A20CA7">
            <w:pPr>
              <w:pStyle w:val="paragraph"/>
              <w:textAlignment w:val="baseline"/>
              <w:rPr>
                <w:color w:val="000000" w:themeColor="text1"/>
                <w:sz w:val="18"/>
                <w:szCs w:val="18"/>
                <w:lang w:val="pl-PL"/>
              </w:rPr>
            </w:pPr>
            <w:r w:rsidRPr="00F65102">
              <w:rPr>
                <w:color w:val="000000" w:themeColor="text1"/>
                <w:sz w:val="18"/>
                <w:szCs w:val="18"/>
                <w:lang w:val="pl-PL"/>
              </w:rPr>
              <w:t>Wejście w życie ustawy o Krajowej Sieci Kardiologicznej, która zapewni wszystkim pacjentom, niezależnie od miejsca zamieszkania, opiekę kardiologiczną w oparciu o te same standardy diagnostyczne i terapeutyczne, tj. jednolicie określone ścieżki oraz to, że system elastycznie odpowiada na ich potrzeby.</w:t>
            </w:r>
            <w:r w:rsidR="001052B5" w:rsidRPr="00EB62AB">
              <w:rPr>
                <w:color w:val="000000" w:themeColor="text1"/>
                <w:sz w:val="18"/>
                <w:szCs w:val="18"/>
                <w:lang w:val="pl-PL"/>
              </w:rPr>
              <w:t xml:space="preserve">. </w:t>
            </w:r>
            <w:r w:rsidR="001052B5" w:rsidRPr="00EB62AB">
              <w:rPr>
                <w:color w:val="000000" w:themeColor="text1"/>
                <w:sz w:val="18"/>
                <w:szCs w:val="18"/>
                <w:lang w:val="pl-PL"/>
              </w:rPr>
              <w:br/>
              <w:t xml:space="preserve">Reforma skupi się na: </w:t>
            </w:r>
            <w:r w:rsidR="001052B5" w:rsidRPr="00EB62AB">
              <w:rPr>
                <w:color w:val="000000" w:themeColor="text1"/>
                <w:sz w:val="18"/>
                <w:szCs w:val="18"/>
                <w:lang w:val="pl-PL"/>
              </w:rPr>
              <w:br/>
              <w:t>- uprawnieniniu organizacji systemu opieki kardiologicznej poprzez zapewnienie pacjentom dostępu do najwyższej jakości procesów diagnostycznych i terapeutycznych oraz kompleksowej opieki na całej „ścieżce pacjenta” w obszarach podstawowej opieki zdrowotnej, ambulatoryjnej opieki specjalistycznej (AOS), leczenia szpitalnego i rehabilitacji;</w:t>
            </w:r>
            <w:r w:rsidR="001052B5" w:rsidRPr="00EB62AB">
              <w:rPr>
                <w:color w:val="000000" w:themeColor="text1"/>
                <w:sz w:val="18"/>
                <w:szCs w:val="18"/>
                <w:lang w:val="pl-PL"/>
              </w:rPr>
              <w:br/>
              <w:t>- stworzeniu nowej struktury organizacyjnej i nowego modelu zarządzania opieką kardiologiczną;</w:t>
            </w:r>
            <w:r w:rsidR="001052B5" w:rsidRPr="00EB62AB">
              <w:rPr>
                <w:color w:val="000000" w:themeColor="text1"/>
                <w:sz w:val="18"/>
                <w:szCs w:val="18"/>
                <w:lang w:val="pl-PL"/>
              </w:rPr>
              <w:br/>
              <w:t xml:space="preserve"> - poprawie jakości życia pacjentów w trakcie i po leczeniu kardiologicznym.</w:t>
            </w:r>
          </w:p>
        </w:tc>
      </w:tr>
      <w:tr w:rsidR="001052B5" w:rsidRPr="009D378C" w14:paraId="0391A64F"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18663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17470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0D47C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86EADE"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pakietu legislacyjnego dotyczącego uruchomienia krajowych usług e-zdrowia oraz ich integracji z istniejącymi/dostępnymi systemami e-zdrowia na poziomie krajowym i regionalnym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ED173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pakiecie legislacyjnym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9FBD1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270DB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466CA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C2A1C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C50CB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86770B"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Wejście w życie pakietu legislacyjnego, który zapewni odpowiednie otoczenie prawne i administracyjne dla uruchomienia krajowych usług e-zdrowia (Narzędzia Analizy Zdrowia Pacjenta, narzędzie wspierające podejmowanie decyzji dla lekarzy oparte na algorytmach AI, centralne repozytorium danych medycznych) oraz ich integrację z istniejącymi/dostępnymi systemami e-Zdrowia na poziomie krajowym i regionalnym.</w:t>
            </w:r>
          </w:p>
        </w:tc>
      </w:tr>
      <w:tr w:rsidR="001052B5" w:rsidRPr="009D378C" w14:paraId="34A26EC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A5D8D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7CE6D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B13A3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136E4D"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rozporządzenia w sprawie wykazu wojewódzkich ośrodków monitorujących dla sieci onkologicznej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7B78C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rozporządzeniu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47CD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C5760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4DE06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A6C4F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DFAAE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AB171C"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Rozporządzenie wejdzie w życie i zapewni utworzenie wojewódzkich ośrodków monitorujących, którymi będą podmioty lecznicze wyselekcjonowane z sieci onkologicznej w każdym z 16 województw, specjalizujące się w opiece onkologicznej oraz zapewniające kompleksowe leczenie i monitoring onkologiczny.</w:t>
            </w:r>
          </w:p>
        </w:tc>
      </w:tr>
      <w:tr w:rsidR="001052B5" w:rsidRPr="009D378C" w14:paraId="703ED8B0" w14:textId="77777777" w:rsidTr="00A20CA7">
        <w:trPr>
          <w:trHeight w:val="99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81A26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3F89B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 Zwiększenie efektywności, dostępności i jakości świadczeń zdrowotnych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9395A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E06BBA"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rPr>
            </w:pPr>
            <w:proofErr w:type="spellStart"/>
            <w:r w:rsidRPr="00EB62AB">
              <w:rPr>
                <w:rFonts w:ascii="Times New Roman" w:hAnsi="Times New Roman" w:cs="Times New Roman"/>
                <w:color w:val="000000"/>
                <w:sz w:val="18"/>
                <w:szCs w:val="18"/>
              </w:rPr>
              <w:t>Ocena</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sieci</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opieki</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onkologicznej</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918C6D" w14:textId="26C010AB"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r w:rsidR="00BD1013">
              <w:rPr>
                <w:rFonts w:ascii="Times New Roman" w:eastAsia="Times New Roman" w:hAnsi="Times New Roman" w:cs="Times New Roman"/>
                <w:color w:val="000000"/>
                <w:sz w:val="18"/>
                <w:szCs w:val="18"/>
              </w:rPr>
              <w:t xml:space="preserve"> </w:t>
            </w:r>
            <w:proofErr w:type="spellStart"/>
            <w:r w:rsidR="00BD1013">
              <w:rPr>
                <w:rFonts w:ascii="Times New Roman" w:eastAsia="Times New Roman" w:hAnsi="Times New Roman" w:cs="Times New Roman"/>
                <w:color w:val="000000"/>
                <w:sz w:val="18"/>
                <w:szCs w:val="18"/>
              </w:rPr>
              <w:t>raportu</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C4DA8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FF8DC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F01D4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0404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CDC31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C171FD"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Raport z oceny sieci opieki onkologicznej, zawierający:</w:t>
            </w:r>
            <w:r w:rsidRPr="00EB62AB">
              <w:rPr>
                <w:color w:val="000000" w:themeColor="text1"/>
                <w:sz w:val="18"/>
                <w:szCs w:val="18"/>
                <w:lang w:val="pl-PL"/>
              </w:rPr>
              <w:br/>
              <w:t>(i) mierniki oceny opieki onkologicznej</w:t>
            </w:r>
            <w:r w:rsidRPr="00EB62AB">
              <w:rPr>
                <w:color w:val="000000" w:themeColor="text1"/>
                <w:sz w:val="18"/>
                <w:szCs w:val="18"/>
                <w:lang w:val="pl-PL"/>
              </w:rPr>
              <w:br/>
              <w:t>(ii) wskaźniki jakości</w:t>
            </w:r>
          </w:p>
        </w:tc>
      </w:tr>
      <w:tr w:rsidR="001052B5" w:rsidRPr="009D378C" w14:paraId="3F37E777"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0BD9B7"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AC0C0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5684D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3328B6" w14:textId="424A957E" w:rsidR="001052B5" w:rsidRPr="00EB62AB" w:rsidRDefault="00235CDC"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235CDC">
              <w:rPr>
                <w:rFonts w:ascii="Times New Roman" w:hAnsi="Times New Roman" w:cs="Times New Roman"/>
                <w:color w:val="000000"/>
                <w:sz w:val="18"/>
                <w:szCs w:val="18"/>
                <w:lang w:val="pl-PL"/>
              </w:rPr>
              <w:t>Wejście w życie aktu prawnego w sprawie wykazu dokładnych kryteriów kwalifikujących szpitale do poszczególnych kategorii, aby pomóc w określeniu potrzeb inwestycyjnych wynikających z reformy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ADAA9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5CF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98C76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26E27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CB72A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984B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648465" w14:textId="73F75974" w:rsidR="001052B5" w:rsidRPr="00EB62AB" w:rsidRDefault="00235CDC" w:rsidP="00A20CA7">
            <w:pPr>
              <w:pStyle w:val="paragraph"/>
              <w:textAlignment w:val="baseline"/>
              <w:rPr>
                <w:color w:val="000000" w:themeColor="text1"/>
                <w:sz w:val="18"/>
                <w:szCs w:val="18"/>
                <w:lang w:val="pl-PL"/>
              </w:rPr>
            </w:pPr>
            <w:r w:rsidRPr="00235CDC">
              <w:rPr>
                <w:color w:val="000000" w:themeColor="text1"/>
                <w:sz w:val="18"/>
                <w:szCs w:val="18"/>
                <w:lang w:val="pl-PL"/>
              </w:rPr>
              <w:t>Wejście w życie aktu prawnego ustalającego listę kryteriów, na podstawie których szpitale będą przydzielane do poszczególnych kategorii, co pozwoli określić potrzeby inwestycyjne wynikające z reformy modernizacji i poprawy efektywności szpitali.</w:t>
            </w:r>
            <w:r w:rsidR="001052B5" w:rsidRPr="00EB62AB">
              <w:rPr>
                <w:color w:val="000000" w:themeColor="text1"/>
                <w:sz w:val="18"/>
                <w:szCs w:val="18"/>
                <w:lang w:val="pl-PL"/>
              </w:rPr>
              <w:br/>
              <w:t xml:space="preserve">Kryteria kategoryzacji opierają się na: </w:t>
            </w:r>
            <w:r w:rsidR="001052B5" w:rsidRPr="00EB62AB">
              <w:rPr>
                <w:color w:val="000000" w:themeColor="text1"/>
                <w:sz w:val="18"/>
                <w:szCs w:val="18"/>
                <w:lang w:val="pl-PL"/>
              </w:rPr>
              <w:br/>
              <w:t>- zasięgu ( jak objęta populacja, objęte świadczenia, terminowość dostępu do opieki);</w:t>
            </w:r>
            <w:r w:rsidR="001052B5" w:rsidRPr="00EB62AB">
              <w:rPr>
                <w:color w:val="000000" w:themeColor="text1"/>
                <w:sz w:val="18"/>
                <w:szCs w:val="18"/>
                <w:lang w:val="pl-PL"/>
              </w:rPr>
              <w:br/>
              <w:t>- słuszności (np. słuszność w finansowaniu, słuszność w dostarczaniu i korzystaniu, słuszność w wynikach leczenia);</w:t>
            </w:r>
            <w:r w:rsidR="001052B5" w:rsidRPr="00EB62AB">
              <w:rPr>
                <w:color w:val="000000" w:themeColor="text1"/>
                <w:sz w:val="18"/>
                <w:szCs w:val="18"/>
                <w:lang w:val="pl-PL"/>
              </w:rPr>
              <w:br/>
              <w:t>- skuteczności, w tym działalność operacyjna (skuteczność w osiąganiu wyników; skuteczność w gromadzeniu środków);</w:t>
            </w:r>
            <w:r w:rsidR="001052B5" w:rsidRPr="00EB62AB">
              <w:rPr>
                <w:color w:val="000000" w:themeColor="text1"/>
                <w:sz w:val="18"/>
                <w:szCs w:val="18"/>
                <w:lang w:val="pl-PL"/>
              </w:rPr>
              <w:br/>
              <w:t xml:space="preserve">- jakości opieki; </w:t>
            </w:r>
            <w:r w:rsidR="001052B5" w:rsidRPr="00EB62AB">
              <w:rPr>
                <w:color w:val="000000" w:themeColor="text1"/>
                <w:sz w:val="18"/>
                <w:szCs w:val="18"/>
                <w:lang w:val="pl-PL"/>
              </w:rPr>
              <w:br/>
            </w:r>
            <w:r w:rsidR="001052B5" w:rsidRPr="00EB62AB">
              <w:rPr>
                <w:color w:val="000000" w:themeColor="text1"/>
                <w:sz w:val="18"/>
                <w:szCs w:val="18"/>
                <w:lang w:val="pl-PL"/>
              </w:rPr>
              <w:lastRenderedPageBreak/>
              <w:t>- dostępności zasobów (takich jak: zasoby ludzkie; zasoby finansowe).</w:t>
            </w:r>
          </w:p>
        </w:tc>
      </w:tr>
      <w:tr w:rsidR="001052B5" w:rsidRPr="009D378C" w14:paraId="79B25802" w14:textId="77777777" w:rsidTr="00A20CA7">
        <w:trPr>
          <w:trHeight w:val="130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B792B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D10G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4C2E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545B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C09A15" w14:textId="77777777" w:rsidR="001052B5" w:rsidRPr="00EB62AB" w:rsidRDefault="001052B5" w:rsidP="00A20CA7">
            <w:pPr>
              <w:pStyle w:val="Normal0"/>
              <w:pBdr>
                <w:top w:val="nil"/>
                <w:left w:val="nil"/>
                <w:bottom w:val="nil"/>
                <w:right w:val="nil"/>
                <w:between w:val="nil"/>
              </w:pBdr>
              <w:spacing w:after="0"/>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Pierwszy nabór wniosków dla szpitali ubiegających się o dofinansowanie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E3E33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pierwszego</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naboru</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wniosków</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132D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5824D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8B2C7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36C16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A762E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8A8F8F"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Uruchomiony zostanie pierwszy nabór wniosków dla szpitali na zakup lub modernizację sprzętu lub infrastruktury. To zaproszenie i wszystkie kolejne zaproszenia opierają się na kryteriach kategoryzacji oraz jasnych i przejrzystych procedurach.</w:t>
            </w:r>
            <w:r w:rsidRPr="00EB62AB">
              <w:rPr>
                <w:color w:val="000000" w:themeColor="text1"/>
                <w:sz w:val="18"/>
                <w:szCs w:val="18"/>
                <w:lang w:val="pl-PL"/>
              </w:rPr>
              <w:br/>
              <w:t xml:space="preserve"> </w:t>
            </w:r>
            <w:r w:rsidRPr="00EB62AB">
              <w:rPr>
                <w:color w:val="000000" w:themeColor="text1"/>
                <w:sz w:val="18"/>
                <w:szCs w:val="18"/>
                <w:lang w:val="pl-PL"/>
              </w:rPr>
              <w:br/>
              <w:t>Rozbudowa sprzętu i infrastruktury medycznej przyczyni się do poprawy jakości opieki, dostępności zasobów oraz zapewnienia terminowego i kompleksowego dostępu do opieki szpitalnej.</w:t>
            </w:r>
            <w:r w:rsidRPr="00EB62AB">
              <w:rPr>
                <w:color w:val="000000" w:themeColor="text1"/>
                <w:sz w:val="18"/>
                <w:szCs w:val="18"/>
                <w:lang w:val="pl-PL"/>
              </w:rPr>
              <w:br/>
              <w:t xml:space="preserve"> </w:t>
            </w:r>
            <w:r w:rsidRPr="00EB62AB">
              <w:rPr>
                <w:color w:val="000000" w:themeColor="text1"/>
                <w:sz w:val="18"/>
                <w:szCs w:val="18"/>
                <w:lang w:val="pl-PL"/>
              </w:rPr>
              <w:br/>
              <w:t>Wsparcie obejmie wyłącznie zakres działalności związanej ze udzielaniem świadczeń zdrowotnych finansowanych przez Narodowy Fundusz Zdrowia i nie obejmie działalności komercyjnej.</w:t>
            </w:r>
          </w:p>
        </w:tc>
      </w:tr>
      <w:tr w:rsidR="001052B5" w:rsidRPr="009D378C" w14:paraId="2AE20B8A"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E7369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2728D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5660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C5AD8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W1 - Umowy podpisane pomiędzy szpitalami a Ministerstwem Zdrowia na zakup sprzętu medycznego lub wsparcie inwestycji infrastrukturalnych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EA78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8DA23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94C60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7F227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81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5AE4C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06CE0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1ABD6E"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podpisanych umów pomiędzy szpitalami a Ministerstwem Zdrowia (lub inną instytucją wskazaną przez Ministerstwo) na zakup sprzętu medycznego lub na infrastrukturę.</w:t>
            </w:r>
            <w:r w:rsidRPr="00EB62AB">
              <w:rPr>
                <w:color w:val="000000" w:themeColor="text1"/>
                <w:sz w:val="18"/>
                <w:szCs w:val="18"/>
                <w:lang w:val="pl-PL"/>
              </w:rPr>
              <w:br/>
              <w:t>Sprzęt medyczny przyczyni się do poprawy jakości opieki, dostępności zasobów oraz zapewnienia terminowego i kompleksowego dostępu do opieki szpitalnej.</w:t>
            </w:r>
            <w:r w:rsidRPr="00EB62AB">
              <w:rPr>
                <w:color w:val="000000" w:themeColor="text1"/>
                <w:sz w:val="18"/>
                <w:szCs w:val="18"/>
                <w:lang w:val="pl-PL"/>
              </w:rPr>
              <w:br/>
              <w:t>Rozbudowa infrastruktury przyczyni się do poprawy jakości opieki, dostępności zasobów oraz zapewnienia terminowego i kompleksowego dostępu do opieki szpitalnej.</w:t>
            </w:r>
            <w:r w:rsidRPr="00EB62AB">
              <w:rPr>
                <w:color w:val="000000" w:themeColor="text1"/>
                <w:sz w:val="18"/>
                <w:szCs w:val="18"/>
                <w:lang w:val="pl-PL"/>
              </w:rPr>
              <w:br/>
              <w:t>Wsparcie obejmie wyłącznie zakres działalności związanej ze udzielaniem świadczeń zdrowotnych finansowanych przez Narodowy Fundusz Zdrowia i nie obejmie działalności komercyjnej.</w:t>
            </w:r>
          </w:p>
        </w:tc>
      </w:tr>
      <w:tr w:rsidR="001052B5" w:rsidRPr="009D378C" w14:paraId="050BDDD4"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E17A29"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D12G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18463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4BA01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48D3CA"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W2 - Umowy podpisane pomiędzy szpitalami a Ministerstwem Zdrowia na zakup sprzętu medycznego lub wsparcie inwestycji infrastrukturalnych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F1D2E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34148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042C2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1E952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4BFF5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8F52B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662E52"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podpisanych umów pomiędzy szpitalem a Ministerstwem Zdrowia (lub inną instytucją wskazaną przez Ministerstwo) na zakup sprzętu medycznego lub rozbudowę infrastruktury.</w:t>
            </w:r>
            <w:r w:rsidRPr="00EB62AB">
              <w:rPr>
                <w:color w:val="000000" w:themeColor="text1"/>
                <w:sz w:val="18"/>
                <w:szCs w:val="18"/>
                <w:lang w:val="pl-PL"/>
              </w:rPr>
              <w:br/>
              <w:t>Sprzęt medyczny przyczyni się do poprawy jakości opieki, dostępności zasobów oraz zapewnienia terminowego i kompleksowego dostępu do opieki zdrowotnej.</w:t>
            </w:r>
            <w:r w:rsidRPr="00EB62AB">
              <w:rPr>
                <w:color w:val="000000" w:themeColor="text1"/>
                <w:sz w:val="18"/>
                <w:szCs w:val="18"/>
                <w:lang w:val="pl-PL"/>
              </w:rPr>
              <w:br/>
              <w:t>Rozbudowa infrastruktury przyczyni się do poprawy jakości opieki, dostępności zasobów oraz zapewnienia terminowego i kompleksowego dostępu do opieki zdrowotnej.</w:t>
            </w:r>
            <w:r w:rsidRPr="00EB62AB">
              <w:rPr>
                <w:color w:val="000000" w:themeColor="text1"/>
                <w:sz w:val="18"/>
                <w:szCs w:val="18"/>
                <w:lang w:val="pl-PL"/>
              </w:rPr>
              <w:br/>
              <w:t>Wsparcie obejmuje wyłącznie zakres działalności związanej ze udzielaniem świadczeń zdrowotnych finansowanych przez Narodowy Fundusz Zdrowia i nie obejmuje działalności komercyjnej.</w:t>
            </w:r>
          </w:p>
        </w:tc>
      </w:tr>
      <w:tr w:rsidR="001052B5" w:rsidRPr="009D378C" w14:paraId="692968D7"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49BFE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54732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D2CF1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5FDECE"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Szpitale z nowym sprzętem medycznym zakupionym w związku z ich restrukturyzacją lub ich wprowadzeniem do Krajowej Sieci Onkologicznej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F34DD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FD21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FF8A4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69BF5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DEEAF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E9B91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E5E6E"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szpitali, w których zakupiono nowy sprzęt medyczny w związku z ich restrukturyzacją lub ich wprowadzeniem do Krajowej Sieci Onkologicznej.</w:t>
            </w:r>
            <w:r w:rsidRPr="00EB62AB">
              <w:rPr>
                <w:color w:val="000000" w:themeColor="text1"/>
                <w:sz w:val="18"/>
                <w:szCs w:val="18"/>
                <w:lang w:val="pl-PL"/>
              </w:rPr>
              <w:br/>
              <w:t>Zakupiony sprzęt medyczny przyczyni się do poprawy jakości opieki, dostępności zasobów oraz zapewnienia terminowego i kompleksowego dostępu do opieki zdrowotnej.</w:t>
            </w:r>
            <w:r w:rsidRPr="00EB62AB">
              <w:rPr>
                <w:color w:val="000000" w:themeColor="text1"/>
                <w:sz w:val="18"/>
                <w:szCs w:val="18"/>
                <w:lang w:val="pl-PL"/>
              </w:rPr>
              <w:br/>
              <w:t>Wsparcie obejmuje wyłącznie zakres działalności związanej ze udzielaniem świadczeń zdrowotnych finansowanych przez Narodowy Fundusz Zdrowia i nie obejmuje działalności komercyjnej.</w:t>
            </w:r>
          </w:p>
        </w:tc>
      </w:tr>
      <w:tr w:rsidR="001052B5" w:rsidRPr="009D378C" w14:paraId="6A9FE047"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A7F9D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29737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D1.1.1 Rozwój i modernizacja infrastruktury centrów opieki wysokospecjalistycznej i innych podmiotów leczniczych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408B4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2D03C8"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Szpitale z rozbudowaną infrastrukturą w związku z ich restrukturyzacją lub ich wprowadzeniem do Krajowej Sieci Onkologicznej</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F6DE5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C321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DA02E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AD54D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DAE6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38728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8E2EA1"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szpitali ze zwiększonymi inwestycjami infrastrukturalnymi w związku z ich restrukturyzacją lub ich wprowadzeniem do Krajowej Sieci Onkologicznej.</w:t>
            </w:r>
            <w:r w:rsidRPr="00EB62AB">
              <w:rPr>
                <w:color w:val="000000" w:themeColor="text1"/>
                <w:sz w:val="18"/>
                <w:szCs w:val="18"/>
                <w:lang w:val="pl-PL"/>
              </w:rPr>
              <w:br/>
              <w:t>Rozbudowana infrastruktura przyczyni się do poprawy jakości opieki, dostępności zasobów oraz zapewnienia terminowego i kompleksowego dostępu do opieki zdrowotnej.</w:t>
            </w:r>
            <w:r w:rsidRPr="00EB62AB">
              <w:rPr>
                <w:color w:val="000000" w:themeColor="text1"/>
                <w:sz w:val="18"/>
                <w:szCs w:val="18"/>
                <w:lang w:val="pl-PL"/>
              </w:rPr>
              <w:br/>
              <w:t xml:space="preserve"> Wsparcie obejmuje wyłącznie zakres działalności związanej ze udzielaniem świadczeń zdrowotnych finansowanych przez Narodowy Fundusz Zdrowia i nie obejmuje działalności komercyjnej.</w:t>
            </w:r>
          </w:p>
        </w:tc>
      </w:tr>
      <w:tr w:rsidR="001052B5" w:rsidRPr="009D378C" w14:paraId="0FC0BE8E" w14:textId="77777777" w:rsidTr="00A20CA7">
        <w:trPr>
          <w:trHeight w:val="88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6C057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D15G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1B9CB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5838E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8BCBA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Uruchomienie nowych e-usług, w tym:</w:t>
            </w:r>
            <w:r w:rsidRPr="00EB62AB">
              <w:rPr>
                <w:rFonts w:ascii="Times New Roman" w:hAnsi="Times New Roman" w:cs="Times New Roman"/>
                <w:color w:val="000000"/>
                <w:sz w:val="18"/>
                <w:szCs w:val="18"/>
                <w:lang w:val="pl-PL"/>
              </w:rPr>
              <w:br/>
              <w:t>- Narzędzi Analizy Zdrowia Pacjenta</w:t>
            </w:r>
            <w:r w:rsidRPr="00EB62AB">
              <w:rPr>
                <w:rFonts w:ascii="Times New Roman" w:hAnsi="Times New Roman" w:cs="Times New Roman"/>
                <w:color w:val="000000"/>
                <w:sz w:val="18"/>
                <w:szCs w:val="18"/>
                <w:lang w:val="pl-PL"/>
              </w:rPr>
              <w:br/>
              <w:t>- narzędzia wspomagającego podejmowanie decyzji dla lekarzy w oparciu o algorytmy AI</w:t>
            </w:r>
            <w:r w:rsidRPr="00EB62AB">
              <w:rPr>
                <w:rFonts w:ascii="Times New Roman" w:hAnsi="Times New Roman" w:cs="Times New Roman"/>
                <w:color w:val="000000"/>
                <w:sz w:val="18"/>
                <w:szCs w:val="18"/>
                <w:lang w:val="pl-PL"/>
              </w:rPr>
              <w:br/>
              <w:t>- centralnego repozytorium danych medycznych zintegrowanego z innymi kluczowymi systemami ochrony zdrowia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0FFE4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Rozpoczęcie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działalności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9A263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B89F3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C1B4C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4163C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9CA9B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26EF8D"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Zwiększenie wykorzystania nowoczesnych technologii i dalszy rozwój e-zdrowia zostanie osiągnięty poprzez uruchomione i działające usługi.  Należą do nich:</w:t>
            </w:r>
            <w:r w:rsidRPr="00EB62AB">
              <w:rPr>
                <w:color w:val="000000" w:themeColor="text1"/>
                <w:sz w:val="18"/>
                <w:szCs w:val="18"/>
                <w:lang w:val="pl-PL"/>
              </w:rPr>
              <w:br/>
              <w:t xml:space="preserve">- narzędzia wspomagające analizę stanu zdrowia pacjenta </w:t>
            </w:r>
            <w:r w:rsidRPr="00EB62AB">
              <w:rPr>
                <w:color w:val="000000" w:themeColor="text1"/>
                <w:sz w:val="18"/>
                <w:szCs w:val="18"/>
                <w:lang w:val="pl-PL"/>
              </w:rPr>
              <w:br/>
              <w:t xml:space="preserve">- narzędzia służące do agregacji danych z różnych urządzeń dokonujących pomiarów medycznych lub pomiarów związanych ze stylem życia pacjenta, które następnie będą przekazywane na Internetowe Konto Pacjenta (IKP), a także poprzez realizację projektu mającego na celu rozwój algorytmów sztucznej inteligencji </w:t>
            </w:r>
            <w:r w:rsidRPr="00EB62AB">
              <w:rPr>
                <w:color w:val="000000" w:themeColor="text1"/>
                <w:sz w:val="18"/>
                <w:szCs w:val="18"/>
                <w:lang w:val="pl-PL"/>
              </w:rPr>
              <w:br/>
              <w:t xml:space="preserve">- wsparcie w procesie podejmowania decyzji przez lekarza. </w:t>
            </w:r>
            <w:r w:rsidRPr="00EB62AB">
              <w:rPr>
                <w:color w:val="000000" w:themeColor="text1"/>
                <w:sz w:val="18"/>
                <w:szCs w:val="18"/>
                <w:lang w:val="pl-PL"/>
              </w:rPr>
              <w:br/>
            </w:r>
            <w:r w:rsidRPr="00EB62AB">
              <w:rPr>
                <w:color w:val="000000" w:themeColor="text1"/>
                <w:sz w:val="18"/>
                <w:szCs w:val="18"/>
                <w:lang w:val="pl-PL"/>
              </w:rPr>
              <w:br/>
              <w:t>Kamień milowy zostanie osiągnięty również poprzez realizację projektu mającego na celu budowę centralnego repozytorium danych medycznych oraz stworzenie i udostępnienie elektronicznego banku (repozytorium) danych medycznych (dokumentacji medycznej).</w:t>
            </w:r>
          </w:p>
        </w:tc>
      </w:tr>
      <w:tr w:rsidR="001052B5" w:rsidRPr="009D378C" w14:paraId="5C7FEB15"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5B0841"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58881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68E81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C943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Powołanie Centrum Operacji Bezpieczeństwa (COB) w Centrum e-Zdrowia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EE13D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Rozpoczęcie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działalności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7BD24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3EF06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991D2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00E99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0E201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F120B1"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Działanie będzie miało na celu wzmocnienie zasobów informatycznych Centrum e-Zdrowia i dostosowanie ich do rosnących potrzeb w zakresie </w:t>
            </w:r>
            <w:proofErr w:type="spellStart"/>
            <w:r w:rsidRPr="00EB62AB">
              <w:rPr>
                <w:color w:val="000000" w:themeColor="text1"/>
                <w:sz w:val="18"/>
                <w:szCs w:val="18"/>
                <w:lang w:val="pl-PL"/>
              </w:rPr>
              <w:t>cyberbezpieczeństwa</w:t>
            </w:r>
            <w:proofErr w:type="spellEnd"/>
            <w:r w:rsidRPr="00EB62AB">
              <w:rPr>
                <w:color w:val="000000" w:themeColor="text1"/>
                <w:sz w:val="18"/>
                <w:szCs w:val="18"/>
                <w:lang w:val="pl-PL"/>
              </w:rPr>
              <w:t xml:space="preserve"> poprzez: wdrożenie Zintegrowanego Systemu Zarządzania, rozbudowę systemów bezpieczeństwa, wdrożenie programu bezpieczeństwa dla prac projektowych i rozwojowych w obszarze systemów informatycznych, budowę Centrum Operacji Bezpieczeństwa w Centrum e-Zdrowia.</w:t>
            </w:r>
          </w:p>
        </w:tc>
      </w:tr>
      <w:tr w:rsidR="001052B5" w:rsidRPr="009D378C" w14:paraId="1A04B9E5"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6A7B17"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0101D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B1535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D68166"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rPr>
            </w:pPr>
            <w:r w:rsidRPr="00EB62AB">
              <w:rPr>
                <w:rFonts w:ascii="Times New Roman" w:hAnsi="Times New Roman" w:cs="Times New Roman"/>
                <w:color w:val="000000"/>
                <w:sz w:val="18"/>
                <w:szCs w:val="18"/>
              </w:rPr>
              <w:t xml:space="preserve">Centrum </w:t>
            </w:r>
            <w:proofErr w:type="spellStart"/>
            <w:r w:rsidRPr="00EB62AB">
              <w:rPr>
                <w:rFonts w:ascii="Times New Roman" w:hAnsi="Times New Roman" w:cs="Times New Roman"/>
                <w:color w:val="000000"/>
                <w:sz w:val="18"/>
                <w:szCs w:val="18"/>
              </w:rPr>
              <w:t>Cyfryzacji</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Dokumentacji</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Medycznej</w:t>
            </w:r>
            <w:proofErr w:type="spellEnd"/>
            <w:r w:rsidRPr="00EB62AB">
              <w:rPr>
                <w:rFonts w:ascii="Times New Roman" w:hAnsi="Times New Roman" w:cs="Times New Roman"/>
                <w:color w:val="000000"/>
                <w:sz w:val="18"/>
                <w:szCs w:val="1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2F15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Rozpoczęcie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działalności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5D605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467CF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34FDE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FC54A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48D2E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CEC266"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Powstanie Centrum Cyfryzacji Dokumentacji Medycznej, którego głównym zadaniem będzie uporządkowanie i przeniesienie dokumentacji medycznej do użytkowej Elektronicznej Dokumentacji Medycznej (EDM).</w:t>
            </w:r>
          </w:p>
        </w:tc>
      </w:tr>
      <w:tr w:rsidR="001052B5" w:rsidRPr="009D378C" w14:paraId="38DB5B3D"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5C3CD0"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D18G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95E15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F372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7E1C75"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Cyfryzacja historii kontaktów pacjentów z opieką zdrowotną przechowywanej w placówkach medycznych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1685F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1DA62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7AF43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F7AC9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A5B33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D916F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25D89"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Udział </w:t>
            </w:r>
            <w:proofErr w:type="spellStart"/>
            <w:r w:rsidRPr="00EB62AB">
              <w:rPr>
                <w:color w:val="000000" w:themeColor="text1"/>
                <w:sz w:val="18"/>
                <w:szCs w:val="18"/>
                <w:lang w:val="pl-PL"/>
              </w:rPr>
              <w:t>ucyfrowionych</w:t>
            </w:r>
            <w:proofErr w:type="spellEnd"/>
            <w:r w:rsidRPr="00EB62AB">
              <w:rPr>
                <w:color w:val="000000" w:themeColor="text1"/>
                <w:sz w:val="18"/>
                <w:szCs w:val="18"/>
                <w:lang w:val="pl-PL"/>
              </w:rPr>
              <w:t xml:space="preserve"> historii interakcji pacjenta z systemem ochrony zdrowia. </w:t>
            </w:r>
            <w:r w:rsidRPr="00EB62AB">
              <w:rPr>
                <w:color w:val="000000" w:themeColor="text1"/>
                <w:sz w:val="18"/>
                <w:szCs w:val="18"/>
                <w:lang w:val="pl-PL"/>
              </w:rPr>
              <w:br/>
              <w:t xml:space="preserve">Indywidualny EDM z dodaną historią służy lepszej diagnostyce i leczeniu, zwłaszcza tych pacjentów, którzy mają obszerną historię kontaktów z opieką zdrowotną. </w:t>
            </w:r>
            <w:r w:rsidRPr="00EB62AB">
              <w:rPr>
                <w:color w:val="000000" w:themeColor="text1"/>
                <w:sz w:val="18"/>
                <w:szCs w:val="18"/>
                <w:lang w:val="pl-PL"/>
              </w:rPr>
              <w:br/>
              <w:t>Celem jest nie tylko dostarczenie cyfrowej reprezentacji tych dokumentów, ale także ustrukturyzowanej prezentacji danych, które następnie mogą być przetwarzane i wykorzystywane do wskazanych celów.</w:t>
            </w:r>
            <w:r w:rsidRPr="00EB62AB">
              <w:rPr>
                <w:color w:val="000000" w:themeColor="text1"/>
                <w:sz w:val="18"/>
                <w:szCs w:val="18"/>
                <w:lang w:val="pl-PL"/>
              </w:rPr>
              <w:br/>
              <w:t xml:space="preserve">Dotyczy to dokumentacji papierowej przechowywanej przez placówki służby zdrowia dla celów rozszerzonego zakresu indywidualnego EDM. </w:t>
            </w:r>
          </w:p>
        </w:tc>
      </w:tr>
      <w:tr w:rsidR="001052B5" w:rsidRPr="009D378C" w14:paraId="54A4656F"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480069"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44A06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CA443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A8DA8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rPr>
            </w:pPr>
            <w:r w:rsidRPr="00EB62AB">
              <w:rPr>
                <w:rFonts w:ascii="Times New Roman" w:hAnsi="Times New Roman" w:cs="Times New Roman"/>
                <w:color w:val="000000"/>
                <w:sz w:val="18"/>
                <w:szCs w:val="18"/>
              </w:rPr>
              <w:t xml:space="preserve">W1 -  </w:t>
            </w:r>
            <w:proofErr w:type="spellStart"/>
            <w:r w:rsidRPr="00EB62AB">
              <w:rPr>
                <w:rFonts w:ascii="Times New Roman" w:hAnsi="Times New Roman" w:cs="Times New Roman"/>
                <w:color w:val="000000"/>
                <w:sz w:val="18"/>
                <w:szCs w:val="18"/>
              </w:rPr>
              <w:t>Cyfryzacja</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dokumentów</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medycznych</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D495B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8015B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CE334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92C354"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5C236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C67DC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D536CD" w14:textId="77777777" w:rsidR="001052B5" w:rsidRPr="00EB62AB" w:rsidRDefault="001052B5" w:rsidP="00A20CA7">
            <w:pPr>
              <w:pStyle w:val="paragraph"/>
              <w:textAlignment w:val="baseline"/>
              <w:rPr>
                <w:color w:val="000000" w:themeColor="text1"/>
                <w:sz w:val="18"/>
                <w:szCs w:val="18"/>
                <w:lang w:val="pl-PL"/>
              </w:rPr>
            </w:pPr>
            <w:proofErr w:type="spellStart"/>
            <w:r w:rsidRPr="00EB62AB">
              <w:rPr>
                <w:color w:val="000000" w:themeColor="text1"/>
                <w:sz w:val="18"/>
                <w:szCs w:val="18"/>
                <w:lang w:val="pl-PL"/>
              </w:rPr>
              <w:t>Ucyfrowionych</w:t>
            </w:r>
            <w:proofErr w:type="spellEnd"/>
            <w:r w:rsidRPr="00EB62AB">
              <w:rPr>
                <w:color w:val="000000" w:themeColor="text1"/>
                <w:sz w:val="18"/>
                <w:szCs w:val="18"/>
                <w:lang w:val="pl-PL"/>
              </w:rPr>
              <w:t xml:space="preserve"> zostanie 30% ogólnej liczby rodzajów dokumentów medycznych.</w:t>
            </w:r>
          </w:p>
        </w:tc>
      </w:tr>
      <w:tr w:rsidR="001052B5" w:rsidRPr="009D378C" w14:paraId="20671EE1"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D4430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1CD02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ACCE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4468A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rPr>
            </w:pPr>
            <w:r w:rsidRPr="00EB62AB">
              <w:rPr>
                <w:rFonts w:ascii="Times New Roman" w:hAnsi="Times New Roman" w:cs="Times New Roman"/>
                <w:color w:val="000000"/>
                <w:sz w:val="18"/>
                <w:szCs w:val="18"/>
              </w:rPr>
              <w:t xml:space="preserve">W2 - </w:t>
            </w:r>
            <w:proofErr w:type="spellStart"/>
            <w:r w:rsidRPr="00EB62AB">
              <w:rPr>
                <w:rFonts w:ascii="Times New Roman" w:hAnsi="Times New Roman" w:cs="Times New Roman"/>
                <w:color w:val="000000"/>
                <w:sz w:val="18"/>
                <w:szCs w:val="18"/>
              </w:rPr>
              <w:t>Cyfryzacja</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dokumentów</w:t>
            </w:r>
            <w:proofErr w:type="spellEnd"/>
            <w:r w:rsidRPr="00EB62AB">
              <w:rPr>
                <w:rFonts w:ascii="Times New Roman" w:hAnsi="Times New Roman" w:cs="Times New Roman"/>
                <w:color w:val="000000"/>
                <w:sz w:val="18"/>
                <w:szCs w:val="18"/>
              </w:rPr>
              <w:t xml:space="preserve"> </w:t>
            </w:r>
            <w:proofErr w:type="spellStart"/>
            <w:r w:rsidRPr="00EB62AB">
              <w:rPr>
                <w:rFonts w:ascii="Times New Roman" w:hAnsi="Times New Roman" w:cs="Times New Roman"/>
                <w:color w:val="000000"/>
                <w:sz w:val="18"/>
                <w:szCs w:val="18"/>
              </w:rPr>
              <w:t>medycznych</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6EBBB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4ED9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BABE9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2ED524"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B38C9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252D6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BE398" w14:textId="77777777" w:rsidR="001052B5" w:rsidRPr="00EB62AB" w:rsidRDefault="001052B5" w:rsidP="00A20CA7">
            <w:pPr>
              <w:pStyle w:val="paragraph"/>
              <w:textAlignment w:val="baseline"/>
              <w:rPr>
                <w:color w:val="000000" w:themeColor="text1"/>
                <w:sz w:val="18"/>
                <w:szCs w:val="18"/>
                <w:lang w:val="pl-PL"/>
              </w:rPr>
            </w:pPr>
            <w:proofErr w:type="spellStart"/>
            <w:r w:rsidRPr="00EB62AB">
              <w:rPr>
                <w:color w:val="000000" w:themeColor="text1"/>
                <w:sz w:val="18"/>
                <w:szCs w:val="18"/>
                <w:lang w:val="pl-PL"/>
              </w:rPr>
              <w:t>Ucyfrowionych</w:t>
            </w:r>
            <w:proofErr w:type="spellEnd"/>
            <w:r w:rsidRPr="00EB62AB">
              <w:rPr>
                <w:color w:val="000000" w:themeColor="text1"/>
                <w:sz w:val="18"/>
                <w:szCs w:val="18"/>
                <w:lang w:val="pl-PL"/>
              </w:rPr>
              <w:t xml:space="preserve"> zostanie 60% ogólnej liczby rodzajów dokumentów medycznych.</w:t>
            </w:r>
          </w:p>
        </w:tc>
      </w:tr>
      <w:tr w:rsidR="001052B5" w:rsidRPr="009D378C" w14:paraId="43FECB2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185D5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C227B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79EE5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B98A85" w14:textId="068B7450" w:rsidR="001052B5" w:rsidRPr="00EB62AB" w:rsidRDefault="004A0E1D"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4A0E1D">
              <w:rPr>
                <w:rFonts w:ascii="Times New Roman" w:hAnsi="Times New Roman" w:cs="Times New Roman"/>
                <w:color w:val="000000"/>
                <w:sz w:val="18"/>
                <w:szCs w:val="18"/>
                <w:lang w:val="pl-PL"/>
              </w:rPr>
              <w:t xml:space="preserve">Podmioty lecznicze o znaczeniu ogólnokrajowym/regionalnym podłączone do centralnego repozytorium danych medycznych i wyposażone w oparte na sztucznej inteligencji narzędzie </w:t>
            </w:r>
            <w:r w:rsidRPr="004A0E1D">
              <w:rPr>
                <w:rFonts w:ascii="Times New Roman" w:hAnsi="Times New Roman" w:cs="Times New Roman"/>
                <w:color w:val="000000"/>
                <w:sz w:val="18"/>
                <w:szCs w:val="18"/>
                <w:lang w:val="pl-PL"/>
              </w:rPr>
              <w:lastRenderedPageBreak/>
              <w:t>wspomagające podejmowanie decyzji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04076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lastRenderedPageBreak/>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9BDFC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E43FA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6A3D7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C4AB6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F0C94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6F62B" w14:textId="3F561B15"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30% </w:t>
            </w:r>
            <w:r w:rsidR="004A0E1D">
              <w:rPr>
                <w:color w:val="000000" w:themeColor="text1"/>
                <w:sz w:val="18"/>
                <w:szCs w:val="18"/>
                <w:lang w:val="pl-PL"/>
              </w:rPr>
              <w:t>p</w:t>
            </w:r>
            <w:r w:rsidR="004A0E1D" w:rsidRPr="004A0E1D">
              <w:rPr>
                <w:color w:val="000000" w:themeColor="text1"/>
                <w:sz w:val="18"/>
                <w:szCs w:val="18"/>
                <w:lang w:val="pl-PL"/>
              </w:rPr>
              <w:t>odmiot</w:t>
            </w:r>
            <w:r w:rsidR="004A0E1D">
              <w:rPr>
                <w:color w:val="000000" w:themeColor="text1"/>
                <w:sz w:val="18"/>
                <w:szCs w:val="18"/>
                <w:lang w:val="pl-PL"/>
              </w:rPr>
              <w:t>ów</w:t>
            </w:r>
            <w:r w:rsidR="004A0E1D" w:rsidRPr="004A0E1D">
              <w:rPr>
                <w:color w:val="000000" w:themeColor="text1"/>
                <w:sz w:val="18"/>
                <w:szCs w:val="18"/>
                <w:lang w:val="pl-PL"/>
              </w:rPr>
              <w:t xml:space="preserve"> lecznicze o znaczeniu ogólnokrajowym/regionalnym </w:t>
            </w:r>
            <w:r w:rsidRPr="00EB62AB">
              <w:rPr>
                <w:color w:val="000000" w:themeColor="text1"/>
                <w:sz w:val="18"/>
                <w:szCs w:val="18"/>
                <w:lang w:val="pl-PL"/>
              </w:rPr>
              <w:t>podłączonych do centralnego elektronicznego repozytorium danych medycznych, w tym m.in.</w:t>
            </w:r>
            <w:r w:rsidRPr="00EB62AB">
              <w:rPr>
                <w:color w:val="000000" w:themeColor="text1"/>
                <w:sz w:val="18"/>
                <w:szCs w:val="18"/>
                <w:lang w:val="pl-PL"/>
              </w:rPr>
              <w:br/>
              <w:t xml:space="preserve">30% </w:t>
            </w:r>
            <w:r w:rsidR="004A0E1D">
              <w:rPr>
                <w:color w:val="000000" w:themeColor="text1"/>
                <w:sz w:val="18"/>
                <w:szCs w:val="18"/>
                <w:lang w:val="pl-PL"/>
              </w:rPr>
              <w:t>p</w:t>
            </w:r>
            <w:r w:rsidR="004A0E1D" w:rsidRPr="004A0E1D">
              <w:rPr>
                <w:color w:val="000000" w:themeColor="text1"/>
                <w:sz w:val="18"/>
                <w:szCs w:val="18"/>
                <w:lang w:val="pl-PL"/>
              </w:rPr>
              <w:t>odmiot</w:t>
            </w:r>
            <w:r w:rsidR="004A0E1D">
              <w:rPr>
                <w:color w:val="000000" w:themeColor="text1"/>
                <w:sz w:val="18"/>
                <w:szCs w:val="18"/>
                <w:lang w:val="pl-PL"/>
              </w:rPr>
              <w:t>ów</w:t>
            </w:r>
            <w:r w:rsidR="004A0E1D" w:rsidRPr="004A0E1D">
              <w:rPr>
                <w:color w:val="000000" w:themeColor="text1"/>
                <w:sz w:val="18"/>
                <w:szCs w:val="18"/>
                <w:lang w:val="pl-PL"/>
              </w:rPr>
              <w:t xml:space="preserve"> lecznicze o znaczeniu ogólnokrajowym/regionalnym</w:t>
            </w:r>
            <w:r w:rsidRPr="00EB62AB">
              <w:rPr>
                <w:color w:val="000000" w:themeColor="text1"/>
                <w:sz w:val="18"/>
                <w:szCs w:val="18"/>
                <w:lang w:val="pl-PL"/>
              </w:rPr>
              <w:t>) będzie wyposażone w narzędzie wspomagania podejmowania decyzji oparte na sztucznej inteligencji.</w:t>
            </w:r>
          </w:p>
        </w:tc>
      </w:tr>
      <w:tr w:rsidR="001052B5" w:rsidRPr="009D378C" w14:paraId="43B61852"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C56B6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B6BB3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D1.1.2 Przyspieszenie procesów transformacji cyfrowej ochrony zdrowia poprzez dalszy rozwój usług cyfrowych w ochronie zdrowia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38200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32064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Dorośli pacjenci objęci Narzędziem Analizy Stanu Zdrowia Pacjenta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27F28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8F7D2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C235A4"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9085A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6456E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66795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4ACD63"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70% dorosłych pacjentów zostanie objętych narzędziem analizy stanu zdrowia pacjenta.</w:t>
            </w:r>
          </w:p>
        </w:tc>
      </w:tr>
      <w:tr w:rsidR="001052B5" w:rsidRPr="009D378C" w14:paraId="60590632"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CFD4F6"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29ACA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D20B0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FD6BB3"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Nowelizacja ustawy Prawo o szkolnictwie wyższym i nauce oraz o zawodach lekarza i lekarza dentysty w celu stworzenia podstawy prawnej do wsparcia finansowego od roku akademickiego 2021/2022 dla studentów kierunków medycznych w Polsce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19846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nowelizacji ustawy Prawo o szkolnictwie wyższym i nauce oraz o zawodach lekarza i lekarza dentysty w celu zapewnienia podstawy prawnej do wsparcia finansowego od roku akademickiego 2021/2022 dla studentów kierunków medycznych w Polsce (w tym studentów rozpoczynających studia przed rokiem akademickim 2021/2022) ze wskazaniem jego wejścia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F8224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6E71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1D12A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61B00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AB56F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33E15B"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Ustawa wejdzie w życie i wprowadzi możliwość korzystania ze wsparcia materialnego w postaci pożyczki dla studentów odpłatnych studiów na kierunku lekarskim na poziomie uniwersyteckim. Student ma możliwość ubiegania się o wcześniejszą spłatę </w:t>
            </w:r>
            <w:proofErr w:type="spellStart"/>
            <w:r w:rsidRPr="00EB62AB">
              <w:rPr>
                <w:color w:val="000000" w:themeColor="text1"/>
                <w:sz w:val="18"/>
                <w:szCs w:val="18"/>
                <w:lang w:val="pl-PL"/>
              </w:rPr>
              <w:t>pozyczki</w:t>
            </w:r>
            <w:proofErr w:type="spellEnd"/>
            <w:r w:rsidRPr="00EB62AB">
              <w:rPr>
                <w:color w:val="000000" w:themeColor="text1"/>
                <w:sz w:val="18"/>
                <w:szCs w:val="18"/>
                <w:lang w:val="pl-PL"/>
              </w:rPr>
              <w:t xml:space="preserve"> lub o przedłużenie okresu spłaty. </w:t>
            </w:r>
            <w:r w:rsidRPr="00EB62AB">
              <w:rPr>
                <w:color w:val="000000" w:themeColor="text1"/>
                <w:sz w:val="18"/>
                <w:szCs w:val="18"/>
                <w:lang w:val="pl-PL"/>
              </w:rPr>
              <w:br/>
            </w:r>
            <w:r w:rsidRPr="00EB62AB">
              <w:rPr>
                <w:color w:val="000000" w:themeColor="text1"/>
                <w:sz w:val="18"/>
                <w:szCs w:val="18"/>
                <w:lang w:val="pl-PL"/>
              </w:rPr>
              <w:br/>
              <w:t xml:space="preserve">Po spełnieniu określonych w ustawie warunków, student będzie mógł ubiegać się o częściowe lub całkowite umorzenie pożyczki na studia medyczne. </w:t>
            </w:r>
            <w:r w:rsidRPr="00EB62AB">
              <w:rPr>
                <w:color w:val="000000" w:themeColor="text1"/>
                <w:sz w:val="18"/>
                <w:szCs w:val="18"/>
                <w:lang w:val="pl-PL"/>
              </w:rPr>
              <w:br/>
              <w:t>Studenci, którzy skorzystają ze wsparcia będą mogli ubiegać się o całkowite umorzenie pożyczki po spełnieniu następujących warunków:</w:t>
            </w:r>
            <w:r w:rsidRPr="00EB62AB">
              <w:rPr>
                <w:color w:val="000000" w:themeColor="text1"/>
                <w:sz w:val="18"/>
                <w:szCs w:val="18"/>
                <w:lang w:val="pl-PL"/>
              </w:rPr>
              <w:br/>
              <w:t>- praca po ukończeniu studiów przez okres nie krótszy niż 10 lat w ciągu 12 kolejnych lat liczonych od dnia ukończenia studiów, w podmiotach wykonujących działalność leczniczą na terytorium Rzeczypospolitej Polskiej, udzielających świadczeń zdrowotnych finansowanych ze środków publicznych, oraz</w:t>
            </w:r>
            <w:r w:rsidRPr="00EB62AB">
              <w:rPr>
                <w:color w:val="000000" w:themeColor="text1"/>
                <w:sz w:val="18"/>
                <w:szCs w:val="18"/>
                <w:lang w:val="pl-PL"/>
              </w:rPr>
              <w:br/>
              <w:t>- uzyskanie tytułu specjalisty w wyżej wymienionym terminie, w dziedzinie medycyny uznanej za priorytetową w dniu rozpoczęcia przez lekarza szkolenia specjalizacyjnego.</w:t>
            </w:r>
            <w:r w:rsidRPr="00EB62AB">
              <w:rPr>
                <w:color w:val="000000" w:themeColor="text1"/>
                <w:sz w:val="18"/>
                <w:szCs w:val="18"/>
                <w:lang w:val="pl-PL"/>
              </w:rPr>
              <w:br/>
              <w:t xml:space="preserve">Osoba, która spełnia te dwa warunki nie musi zwracać pożyczki na studia medyczne. Szczegółowe warunki i procedura anulowania </w:t>
            </w:r>
            <w:r w:rsidRPr="00EB62AB">
              <w:rPr>
                <w:color w:val="000000" w:themeColor="text1"/>
                <w:sz w:val="18"/>
                <w:szCs w:val="18"/>
                <w:lang w:val="pl-PL"/>
              </w:rPr>
              <w:lastRenderedPageBreak/>
              <w:t>pożyczki w przypadku schorzeń związanych ze studiami są określone w akcie prawnym.</w:t>
            </w:r>
          </w:p>
        </w:tc>
      </w:tr>
      <w:tr w:rsidR="001052B5" w:rsidRPr="009D378C" w14:paraId="6BE6776B"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4F9776"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D24G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7267E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08E13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B3A0DE"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Liczba studentów medycyny, którzy otrzymali wsparcie finansowe zgodnie z ustawą o szkolnictwie wyższym i nauce oraz o zawodach lekarza i lekarza dentysty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F217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24A52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DFD25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94DD9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9947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0509F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5B75F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C836AE"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9947 studentów otrzyma wsparcie finansowe w formie pożyczki dla studentów studiów płatnych w języku polskim na kierunku lekarskim, na podstawie nowelizacji ustaw Prawo o szkolnictwie wyższym i nauce oraz o zawodach lekarza i lekarza dentysty. </w:t>
            </w:r>
          </w:p>
        </w:tc>
      </w:tr>
      <w:tr w:rsidR="001052B5" w:rsidRPr="009D378C" w14:paraId="514E95B3" w14:textId="77777777" w:rsidTr="00A20CA7">
        <w:trPr>
          <w:trHeight w:val="45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802548"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22F3B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D05B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01A4A2"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Wejście w życie ustawy o zawodzie ratownika medycznego i samorządzie ratowników medycznych, która wprowadzi możliwość tworzenia studiów II stopnia w zakresie przygotowania do zawodu ratownika medycznego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15C28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w ustawie o zawodzie ratownika medycznego i samorządzie ratowników medycznych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D5840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379E9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CD009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9BAD7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5A929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55A1C"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W celu podniesienia kompetencji ratowników medycznych wejdzie w życie ustawa umożliwiająca tworzenie studiów drugiego stopnia na kierunku ratownik medyczny, określonych jako dwuletnie studia kończące się uzyskaniem tytułu magistra. Uzyskanie tytułu specjalisty pozwoli ratownikom medycznym na zdobycie dodatkowych kwalifikacji, co przełoży się na rangę w kategorii wynagrodzenia.</w:t>
            </w:r>
          </w:p>
        </w:tc>
      </w:tr>
      <w:tr w:rsidR="001052B5" w:rsidRPr="009D378C" w14:paraId="6A22E9E7" w14:textId="77777777" w:rsidTr="00A20CA7">
        <w:trPr>
          <w:trHeight w:val="133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D1D057"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326B0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41BC9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EC07A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Liczba ratowników medycznych, którzy ukończyli studia magisterskie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ED761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D933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97480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B2DD14"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2500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D82C5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2B05C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88EE18"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2500 ratowników medycznych ukończy studia drugiego stopnia w zakresie ratownictwa medycznego.</w:t>
            </w:r>
          </w:p>
        </w:tc>
      </w:tr>
      <w:tr w:rsidR="001052B5" w:rsidRPr="009D378C" w14:paraId="607325A0"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74454B"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D27G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932A2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C6220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14D93D" w14:textId="432FCDCC" w:rsidR="001052B5" w:rsidRPr="00EB62AB" w:rsidRDefault="004A0E1D"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4A0E1D">
              <w:rPr>
                <w:rFonts w:ascii="Times New Roman" w:hAnsi="Times New Roman" w:cs="Times New Roman"/>
                <w:color w:val="000000"/>
                <w:sz w:val="18"/>
                <w:szCs w:val="18"/>
                <w:lang w:val="pl-PL"/>
              </w:rPr>
              <w:t>Wejście w życie aktów prawnych mających na celu poprawę atrakcyjności zawodów medycznych i warunków pracy pracowników medycznych.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DEB97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Przepisy pakietu legislacyjnego wskazujące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D44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C42B2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B8857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E4B0E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622CE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61AE94" w14:textId="1803CDEC" w:rsidR="001052B5" w:rsidRPr="00EB62AB" w:rsidRDefault="004A0E1D" w:rsidP="00A20CA7">
            <w:pPr>
              <w:pStyle w:val="paragraph"/>
              <w:textAlignment w:val="baseline"/>
              <w:rPr>
                <w:color w:val="000000" w:themeColor="text1"/>
                <w:sz w:val="18"/>
                <w:szCs w:val="18"/>
                <w:lang w:val="pl-PL"/>
              </w:rPr>
            </w:pPr>
            <w:r w:rsidRPr="004A0E1D">
              <w:rPr>
                <w:color w:val="000000" w:themeColor="text1"/>
                <w:sz w:val="18"/>
                <w:szCs w:val="18"/>
                <w:lang w:val="pl-PL"/>
              </w:rPr>
              <w:t>Pakiet aktów prawnych wchodzi w życie i składa się z rozporządzenia w sprawie kompetencji zawodowych lekarzy i lekarzy dentystów, zmiany rozporządzenia w sprawie stażu podyplomowego lekarzy i lekarzy dentystów, rozporządzenia w sprawie podstawy programowej kształcenia w zawodach szkolnictwa zawodowego, zmiany ustawy o sposobie ustalania najniższego wynagrodzenia zasadniczego niektórych pracowników zatrudnionych w podmiotach leczniczych, w tym przepisów dotyczących:</w:t>
            </w:r>
            <w:r w:rsidR="001052B5" w:rsidRPr="00EB62AB">
              <w:rPr>
                <w:color w:val="000000" w:themeColor="text1"/>
                <w:sz w:val="18"/>
                <w:szCs w:val="18"/>
                <w:lang w:val="pl-PL"/>
              </w:rPr>
              <w:br/>
              <w:t>1) zwiększenia elastyczności procesu kształcenia podyplomowego lekarzy poprzez zmniejszenie liczby specjalizacji na rzecz certyfikowanych kompetencji medycznych oraz zmianę programu stażu podyplomowego,</w:t>
            </w:r>
            <w:r w:rsidR="001052B5" w:rsidRPr="00EB62AB">
              <w:rPr>
                <w:color w:val="000000" w:themeColor="text1"/>
                <w:sz w:val="18"/>
                <w:szCs w:val="18"/>
                <w:lang w:val="pl-PL"/>
              </w:rPr>
              <w:br/>
              <w:t>2) wprowadzenia centralnego systemu kwalifikowania i przyznawania miejsc specjalizacyjnych,</w:t>
            </w:r>
            <w:r w:rsidR="001052B5" w:rsidRPr="00EB62AB">
              <w:rPr>
                <w:color w:val="000000" w:themeColor="text1"/>
                <w:sz w:val="18"/>
                <w:szCs w:val="18"/>
                <w:lang w:val="pl-PL"/>
              </w:rPr>
              <w:br/>
              <w:t>3) odciążenia lekarzy poprzez uruchomienie specjalistycznych szkoleń z zakresu pomocy operacyjnej dla pielęgniarek i ratowników medycznych,</w:t>
            </w:r>
            <w:r w:rsidR="001052B5" w:rsidRPr="00EB62AB">
              <w:rPr>
                <w:color w:val="000000" w:themeColor="text1"/>
                <w:sz w:val="18"/>
                <w:szCs w:val="18"/>
                <w:lang w:val="pl-PL"/>
              </w:rPr>
              <w:br/>
              <w:t>4) aktualizacji najniższego wynagrodzenia zasadniczego pracowników zatrudnionych w podmiotach leczniczych poprzez podwyższenie stawek roboczych dla wszystkich grup zawodowych, o których mowa w ustawie z dnia 8 czerwca 2017 r. oraz przyspieszenie o pół roku wymogu spełnienia przez wszystkie zakłady lecznicze ustawowo zagwarantowanych poziomów wynagrodzeń zasadniczych pracowników medycznych: lekarzy, lekarzy dentystów, stażystów - lekarzy i dentystów, pielęgniarek, położnych, diagnostów laboratoryjnych, fizjoterapeutów, farmaceutów i innych pracowników medycznych oraz</w:t>
            </w:r>
            <w:r w:rsidR="001052B5" w:rsidRPr="00EB62AB">
              <w:rPr>
                <w:color w:val="000000" w:themeColor="text1"/>
                <w:sz w:val="18"/>
                <w:szCs w:val="18"/>
                <w:lang w:val="pl-PL"/>
              </w:rPr>
              <w:br/>
              <w:t>5) przeniesienie części kompetencji z pielęgniarek na opiekunów medycznych.</w:t>
            </w:r>
          </w:p>
        </w:tc>
      </w:tr>
      <w:tr w:rsidR="001052B5" w:rsidRPr="009D378C" w14:paraId="6FD59EE9"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775E5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D28G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6BFD8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D2.1Stworzenie odpowiednich warunków dla zwiększenia liczebności kadry medycznej</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EB46B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05C12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Liczba lekarzy i lekarzy dentystów, którzy uzyskali certyfikat potwierdzający zawodowe kompetencje medyczne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D02F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B8CB1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54A87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CFDF6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54000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B979A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7C1D2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786C0A"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54000 lekarzy i lekarzy dentystów otrzyma certyfikat potwierdzający dodatkowe medyczne kompetencje zawodowe. Świadectwo kwalifikacji zawodowych jest wydawane przez właściwe dla danej umiejętności zawodowej krajowe towarzystwo naukowe lub państwowy instytut badawczy i wpisywane do rejestru prowadzonego przez dyrektora Centrum Medycznego Kształcenia Podyplomowego. </w:t>
            </w:r>
          </w:p>
        </w:tc>
      </w:tr>
      <w:tr w:rsidR="001052B5" w:rsidRPr="009D378C" w14:paraId="6D02D3DF"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3E445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D05C1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D2.1.1 Inwestycje związane z modernizacją i doposażeniem obiektów dydaktycznych w związku ze zwiększeniem limitów przyjęć na studia medyczne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6A289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A3E5EC" w14:textId="64FF9C91"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Wejście w życie </w:t>
            </w:r>
            <w:r w:rsidR="00C60712">
              <w:rPr>
                <w:rFonts w:ascii="Times New Roman" w:hAnsi="Times New Roman" w:cs="Times New Roman"/>
                <w:color w:val="000000"/>
                <w:sz w:val="18"/>
                <w:szCs w:val="18"/>
                <w:lang w:val="pl-PL"/>
              </w:rPr>
              <w:t xml:space="preserve">aktu prawnego ustanawiającego </w:t>
            </w:r>
            <w:r w:rsidRPr="00EB62AB">
              <w:rPr>
                <w:rFonts w:ascii="Times New Roman" w:hAnsi="Times New Roman" w:cs="Times New Roman"/>
                <w:color w:val="000000"/>
                <w:sz w:val="18"/>
                <w:szCs w:val="18"/>
                <w:lang w:val="pl-PL"/>
              </w:rPr>
              <w:t>system zachęt do podejmowania i kontynuowania studiów na wybranych kierunkach medycznych poprzez stypendia, finansowanie studiów i opiekę mentorską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B86A0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Zapis w dokumencie wskazujący na wejście w życie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C73E9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BA0B3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4D125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C4CFB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1B05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B5F19C" w14:textId="012F467D" w:rsidR="001052B5" w:rsidRPr="00EB62AB" w:rsidRDefault="00C60712" w:rsidP="00A20CA7">
            <w:pPr>
              <w:pStyle w:val="paragraph"/>
              <w:textAlignment w:val="baseline"/>
              <w:rPr>
                <w:color w:val="000000" w:themeColor="text1"/>
                <w:sz w:val="18"/>
                <w:szCs w:val="18"/>
                <w:lang w:val="pl-PL"/>
              </w:rPr>
            </w:pPr>
            <w:r w:rsidRPr="00C60712">
              <w:rPr>
                <w:color w:val="000000" w:themeColor="text1"/>
                <w:sz w:val="18"/>
                <w:szCs w:val="18"/>
                <w:lang w:val="pl-PL"/>
              </w:rPr>
              <w:t>Akt prawny wprowadzający</w:t>
            </w:r>
            <w:r w:rsidRPr="00C60712" w:rsidDel="00C60712">
              <w:rPr>
                <w:color w:val="000000" w:themeColor="text1"/>
                <w:sz w:val="18"/>
                <w:szCs w:val="18"/>
                <w:lang w:val="pl-PL"/>
              </w:rPr>
              <w:t xml:space="preserve"> </w:t>
            </w:r>
            <w:r>
              <w:rPr>
                <w:color w:val="000000" w:themeColor="text1"/>
                <w:sz w:val="18"/>
                <w:szCs w:val="18"/>
                <w:lang w:val="pl-PL"/>
              </w:rPr>
              <w:t xml:space="preserve"> t</w:t>
            </w:r>
            <w:r w:rsidR="001052B5" w:rsidRPr="00EB62AB">
              <w:rPr>
                <w:color w:val="000000" w:themeColor="text1"/>
                <w:sz w:val="18"/>
                <w:szCs w:val="18"/>
                <w:lang w:val="pl-PL"/>
              </w:rPr>
              <w:t>ymczasowy system zachęt mających na celu zwiększenie atrakcyjności studiów medycznych obejmuje możliwość:</w:t>
            </w:r>
            <w:r w:rsidR="001052B5" w:rsidRPr="00EB62AB">
              <w:rPr>
                <w:color w:val="000000" w:themeColor="text1"/>
                <w:sz w:val="18"/>
                <w:szCs w:val="18"/>
                <w:lang w:val="pl-PL"/>
              </w:rPr>
              <w:br/>
              <w:t>- przyznawania stypendiów, dofinansowania studiów płatnych oraz finansowania opieki mentorskiej nad studentami pielęgniarstwa, położnictwa i ratownictwa medycznego;</w:t>
            </w:r>
            <w:r w:rsidR="001052B5" w:rsidRPr="00EB62AB">
              <w:rPr>
                <w:color w:val="000000" w:themeColor="text1"/>
                <w:sz w:val="18"/>
                <w:szCs w:val="18"/>
                <w:lang w:val="pl-PL"/>
              </w:rPr>
              <w:br/>
              <w:t>- przyznawania stypendiów dla studentów kierunków lekarskich, lekarsko-dentystycznych, analityki medycznej, a także farmacji i fizjoterapii.</w:t>
            </w:r>
            <w:r w:rsidR="001052B5" w:rsidRPr="00EB62AB">
              <w:rPr>
                <w:color w:val="000000" w:themeColor="text1"/>
                <w:sz w:val="18"/>
                <w:szCs w:val="18"/>
                <w:lang w:val="pl-PL"/>
              </w:rPr>
              <w:br/>
            </w:r>
            <w:r>
              <w:rPr>
                <w:color w:val="000000" w:themeColor="text1"/>
                <w:sz w:val="18"/>
                <w:szCs w:val="18"/>
                <w:lang w:val="pl-PL"/>
              </w:rPr>
              <w:t>Akt prawny</w:t>
            </w:r>
            <w:r w:rsidRPr="00EB62AB">
              <w:rPr>
                <w:color w:val="000000" w:themeColor="text1"/>
                <w:sz w:val="18"/>
                <w:szCs w:val="18"/>
                <w:lang w:val="pl-PL"/>
              </w:rPr>
              <w:t xml:space="preserve"> </w:t>
            </w:r>
            <w:r w:rsidR="001052B5" w:rsidRPr="00EB62AB">
              <w:rPr>
                <w:color w:val="000000" w:themeColor="text1"/>
                <w:sz w:val="18"/>
                <w:szCs w:val="18"/>
                <w:lang w:val="pl-PL"/>
              </w:rPr>
              <w:t>wprowadzający system zawiera obowiązek dokonania przeglądu funkcjonowania systemu na koniec okresu RRF oraz analizy wpływu wdrożonego systemu zachęt na liczbę studentów objętych kształceniem w celu podjęcia decyzji o jego ewentualnym wznowieniu.</w:t>
            </w:r>
          </w:p>
        </w:tc>
      </w:tr>
      <w:tr w:rsidR="001052B5" w:rsidRPr="00EB62AB" w14:paraId="2F3C3BB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8708ED"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E29C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D2.1.1 Inwestycje związane z modernizacją i doposażeniem obiektów dydaktycznych w związku ze zwiększeniem limitów przyjęć na studia medyczne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450A7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B01F92"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 xml:space="preserve">Liczba studentów pielęgniarstwa, położnictwa, ratownictwa medycznego, medycyny, stomatologii, analityki medycznej, fizjoterapii i farmacji, którzy otrzymali stypendium oraz studentów pielęgniarstwa, położnictwa, ratownictwa medycznego objętych stypendium, </w:t>
            </w:r>
            <w:r w:rsidRPr="00EB62AB">
              <w:rPr>
                <w:rFonts w:ascii="Times New Roman" w:hAnsi="Times New Roman" w:cs="Times New Roman"/>
                <w:color w:val="000000"/>
                <w:sz w:val="18"/>
                <w:szCs w:val="18"/>
                <w:lang w:val="pl-PL"/>
              </w:rPr>
              <w:lastRenderedPageBreak/>
              <w:t>dofinansowaniem studiów lub mentoringiem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B80CC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lastRenderedPageBreak/>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CF78D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5B0F8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6F252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25400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0253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D0EB6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E487D7" w14:textId="77777777" w:rsidR="001052B5" w:rsidRPr="00EB62AB" w:rsidRDefault="001052B5" w:rsidP="00A20CA7">
            <w:pPr>
              <w:pStyle w:val="paragraph"/>
              <w:textAlignment w:val="baseline"/>
              <w:rPr>
                <w:color w:val="000000" w:themeColor="text1"/>
                <w:sz w:val="18"/>
                <w:szCs w:val="18"/>
                <w:lang w:val="en-GB"/>
              </w:rPr>
            </w:pPr>
            <w:r w:rsidRPr="00EB62AB">
              <w:rPr>
                <w:color w:val="000000" w:themeColor="text1"/>
                <w:sz w:val="18"/>
                <w:szCs w:val="18"/>
                <w:lang w:val="pl-PL"/>
              </w:rPr>
              <w:t>25 400 studentów otrzyma wsparcie w ramach „Systemu zachęt do podejmowania i kontynuacji studiów na wybranych kierunkach medycznych poprzez stypendia, finansowanie studiów i opiekę mentorską”, w formie co najmniej jednego z poniższych:</w:t>
            </w:r>
            <w:r w:rsidRPr="00EB62AB">
              <w:rPr>
                <w:color w:val="000000" w:themeColor="text1"/>
                <w:sz w:val="18"/>
                <w:szCs w:val="18"/>
                <w:lang w:val="pl-PL"/>
              </w:rPr>
              <w:br/>
              <w:t>- stypendium na ukończony trzyletni cykl kształcenia, dofinansowanie ukończonego pierwszego stopnia studiów lub przydział opiekuna dla studentów pielęgniarstwa, położnictwa i ratownictwa medycznego, lub</w:t>
            </w:r>
            <w:r w:rsidRPr="00EB62AB">
              <w:rPr>
                <w:color w:val="000000" w:themeColor="text1"/>
                <w:sz w:val="18"/>
                <w:szCs w:val="18"/>
                <w:lang w:val="pl-PL"/>
              </w:rPr>
              <w:br/>
              <w:t>- stypendium na ukończony okres 3 lat studiów dla studentów kierunków lekarskich, stomatologii, analityka medycznego, fizjoterapii i farmacji.</w:t>
            </w:r>
            <w:r w:rsidRPr="00EB62AB">
              <w:rPr>
                <w:color w:val="000000" w:themeColor="text1"/>
                <w:sz w:val="18"/>
                <w:szCs w:val="18"/>
                <w:lang w:val="pl-PL"/>
              </w:rPr>
              <w:br/>
              <w:t xml:space="preserve"> </w:t>
            </w:r>
            <w:r w:rsidRPr="00EB62AB">
              <w:rPr>
                <w:color w:val="000000" w:themeColor="text1"/>
                <w:sz w:val="18"/>
                <w:szCs w:val="18"/>
                <w:lang w:val="pl-PL"/>
              </w:rPr>
              <w:br/>
              <w:t>Z dofinansowania studiów zgodnie z ww. skorzysta 4 400 studentów.</w:t>
            </w:r>
            <w:r w:rsidRPr="00EB62AB">
              <w:rPr>
                <w:color w:val="000000" w:themeColor="text1"/>
                <w:sz w:val="18"/>
                <w:szCs w:val="18"/>
                <w:lang w:val="pl-PL"/>
              </w:rPr>
              <w:br/>
            </w:r>
            <w:r w:rsidRPr="00EB62AB">
              <w:rPr>
                <w:color w:val="000000" w:themeColor="text1"/>
                <w:sz w:val="18"/>
                <w:szCs w:val="18"/>
                <w:lang w:val="pl-PL"/>
              </w:rPr>
              <w:lastRenderedPageBreak/>
              <w:t>Zgodnie z powyższym stypendium przysługuje 6 000 studentów.</w:t>
            </w:r>
            <w:r w:rsidRPr="00EB62AB">
              <w:rPr>
                <w:color w:val="000000" w:themeColor="text1"/>
                <w:sz w:val="18"/>
                <w:szCs w:val="18"/>
                <w:lang w:val="pl-PL"/>
              </w:rPr>
              <w:br/>
            </w:r>
            <w:proofErr w:type="spellStart"/>
            <w:r w:rsidRPr="00EB62AB">
              <w:rPr>
                <w:color w:val="000000" w:themeColor="text1"/>
                <w:sz w:val="18"/>
                <w:szCs w:val="18"/>
                <w:lang w:val="en-GB"/>
              </w:rPr>
              <w:t>Zgodnie</w:t>
            </w:r>
            <w:proofErr w:type="spellEnd"/>
            <w:r w:rsidRPr="00EB62AB">
              <w:rPr>
                <w:color w:val="000000" w:themeColor="text1"/>
                <w:sz w:val="18"/>
                <w:szCs w:val="18"/>
                <w:lang w:val="en-GB"/>
              </w:rPr>
              <w:t xml:space="preserve"> z </w:t>
            </w:r>
            <w:proofErr w:type="spellStart"/>
            <w:r w:rsidRPr="00EB62AB">
              <w:rPr>
                <w:color w:val="000000" w:themeColor="text1"/>
                <w:sz w:val="18"/>
                <w:szCs w:val="18"/>
                <w:lang w:val="en-GB"/>
              </w:rPr>
              <w:t>powyższym</w:t>
            </w:r>
            <w:proofErr w:type="spellEnd"/>
            <w:r w:rsidRPr="00EB62AB">
              <w:rPr>
                <w:color w:val="000000" w:themeColor="text1"/>
                <w:sz w:val="18"/>
                <w:szCs w:val="18"/>
                <w:lang w:val="en-GB"/>
              </w:rPr>
              <w:t xml:space="preserve"> co </w:t>
            </w:r>
            <w:proofErr w:type="spellStart"/>
            <w:r w:rsidRPr="00EB62AB">
              <w:rPr>
                <w:color w:val="000000" w:themeColor="text1"/>
                <w:sz w:val="18"/>
                <w:szCs w:val="18"/>
                <w:lang w:val="en-GB"/>
              </w:rPr>
              <w:t>najmniej</w:t>
            </w:r>
            <w:proofErr w:type="spellEnd"/>
            <w:r w:rsidRPr="00EB62AB">
              <w:rPr>
                <w:color w:val="000000" w:themeColor="text1"/>
                <w:sz w:val="18"/>
                <w:szCs w:val="18"/>
                <w:lang w:val="en-GB"/>
              </w:rPr>
              <w:t xml:space="preserve"> 15 000 </w:t>
            </w:r>
            <w:proofErr w:type="spellStart"/>
            <w:r w:rsidRPr="00EB62AB">
              <w:rPr>
                <w:color w:val="000000" w:themeColor="text1"/>
                <w:sz w:val="18"/>
                <w:szCs w:val="18"/>
                <w:lang w:val="en-GB"/>
              </w:rPr>
              <w:t>studentów</w:t>
            </w:r>
            <w:proofErr w:type="spellEnd"/>
            <w:r w:rsidRPr="00EB62AB">
              <w:rPr>
                <w:color w:val="000000" w:themeColor="text1"/>
                <w:sz w:val="18"/>
                <w:szCs w:val="18"/>
                <w:lang w:val="en-GB"/>
              </w:rPr>
              <w:t xml:space="preserve"> </w:t>
            </w:r>
            <w:proofErr w:type="spellStart"/>
            <w:r w:rsidRPr="00EB62AB">
              <w:rPr>
                <w:color w:val="000000" w:themeColor="text1"/>
                <w:sz w:val="18"/>
                <w:szCs w:val="18"/>
                <w:lang w:val="en-GB"/>
              </w:rPr>
              <w:t>otrzyma</w:t>
            </w:r>
            <w:proofErr w:type="spellEnd"/>
            <w:r w:rsidRPr="00EB62AB">
              <w:rPr>
                <w:color w:val="000000" w:themeColor="text1"/>
                <w:sz w:val="18"/>
                <w:szCs w:val="18"/>
                <w:lang w:val="en-GB"/>
              </w:rPr>
              <w:t xml:space="preserve"> </w:t>
            </w:r>
            <w:proofErr w:type="spellStart"/>
            <w:r w:rsidRPr="00EB62AB">
              <w:rPr>
                <w:color w:val="000000" w:themeColor="text1"/>
                <w:sz w:val="18"/>
                <w:szCs w:val="18"/>
                <w:lang w:val="en-GB"/>
              </w:rPr>
              <w:t>mentora</w:t>
            </w:r>
            <w:proofErr w:type="spellEnd"/>
            <w:r w:rsidRPr="00EB62AB">
              <w:rPr>
                <w:color w:val="000000" w:themeColor="text1"/>
                <w:sz w:val="18"/>
                <w:szCs w:val="18"/>
                <w:lang w:val="en-GB"/>
              </w:rPr>
              <w:t>.</w:t>
            </w:r>
          </w:p>
        </w:tc>
      </w:tr>
      <w:tr w:rsidR="001052B5" w:rsidRPr="009D378C" w14:paraId="217A168E" w14:textId="77777777" w:rsidTr="00A20CA7">
        <w:trPr>
          <w:trHeight w:val="59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CCAC6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D31G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FFF1F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D2.1.1 Inwestycje związane z modernizacją i doposażeniem obiektów dydaktycznych w związku ze zwiększeniem limitów przyjęć na studia medyczne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F19FA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8712ED"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Liczba zmodernizowanych obiektów dydaktycznych edukacji przedklinicznej (w tym Centrów Symulacji Medycznych) oraz zaadaptowanych obiektów bazy klinicznej wykorzystywanej w nauczaniu w centralnych szpitalach klinicznych oraz infrastruktury bibliotecznej i domów studenckich na uczelniach medycznych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EDE39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40FB5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F7DAA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8C1787"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212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6F6E3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E4C59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7E25BA"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Zrealizowanych zostanie 212 projektów, w tym:</w:t>
            </w:r>
            <w:r w:rsidRPr="00EB62AB">
              <w:rPr>
                <w:color w:val="000000" w:themeColor="text1"/>
                <w:sz w:val="18"/>
                <w:szCs w:val="18"/>
                <w:lang w:val="pl-PL"/>
              </w:rPr>
              <w:br/>
              <w:t>- remont, doposażenie bazy dydaktycznej wykorzystywanej do edukacji przedklinicznej oraz tworzenie nowych obiektów (w tym Centrów Symulacji Medycznych). Wsparcie otrzyma 140 obiektów (w tym budowa nowych);</w:t>
            </w:r>
            <w:r w:rsidRPr="00EB62AB">
              <w:rPr>
                <w:color w:val="000000" w:themeColor="text1"/>
                <w:sz w:val="18"/>
                <w:szCs w:val="18"/>
                <w:lang w:val="pl-PL"/>
              </w:rPr>
              <w:br/>
              <w:t>- modernizacja lub stworzenie bazy klinicznej służącej do kształcenia studentów w centralnych szpitalach klinicznych (dostosowanie funkcjonowania tej bazy do stanów zagrożenia epidemiologicznego, łączenie przychodni w innych podmiotach medycznych z centralnymi szpitalami klinicznymi, rozwój potrzebnych poradni w obszarach deficytowych, np. zakaźnych chorób i onkologii). wsparcie otrzymają 42 obiekty;</w:t>
            </w:r>
            <w:r w:rsidRPr="00EB62AB">
              <w:rPr>
                <w:color w:val="000000" w:themeColor="text1"/>
                <w:sz w:val="18"/>
                <w:szCs w:val="18"/>
                <w:lang w:val="pl-PL"/>
              </w:rPr>
              <w:br/>
              <w:t>- remont bibliotek na uczelniach medycznych w celu zapewnienia bezkontaktowego korzystania z zasobów bibliotecznych i bezpiecznych miejsc do samodzielnej nauki. wspieranych będzie 27 projektów dotyczących renowacji bibliotek; oraz</w:t>
            </w:r>
            <w:r w:rsidRPr="00EB62AB">
              <w:rPr>
                <w:color w:val="000000" w:themeColor="text1"/>
                <w:sz w:val="18"/>
                <w:szCs w:val="18"/>
                <w:lang w:val="pl-PL"/>
              </w:rPr>
              <w:br/>
              <w:t>- remonty domów studenckich na uczelniach medycznych w celu dostosowania do potrzeb wynikających z wymogów sanitarnych. Dofinansowane zostaną 3 projekty dotyczące remontu domów studenckich.</w:t>
            </w:r>
            <w:r w:rsidRPr="00EB62AB">
              <w:rPr>
                <w:color w:val="000000" w:themeColor="text1"/>
                <w:sz w:val="18"/>
                <w:szCs w:val="18"/>
                <w:lang w:val="pl-PL"/>
              </w:rPr>
              <w:br/>
              <w:t xml:space="preserve"> </w:t>
            </w:r>
            <w:r w:rsidRPr="00EB62AB">
              <w:rPr>
                <w:color w:val="000000" w:themeColor="text1"/>
                <w:sz w:val="18"/>
                <w:szCs w:val="18"/>
                <w:lang w:val="pl-PL"/>
              </w:rPr>
              <w:br/>
              <w:t>Nie obejmuje zakupu ziemi. Projekty będą realizowane na podstawie przetargów lub otwartych konkursów grantowych. Wybór odbiorców dokonywany jest w sposób przejrzysty i obiektywny.</w:t>
            </w:r>
            <w:r w:rsidRPr="00EB62AB">
              <w:rPr>
                <w:color w:val="000000" w:themeColor="text1"/>
                <w:sz w:val="18"/>
                <w:szCs w:val="18"/>
                <w:lang w:val="pl-PL"/>
              </w:rPr>
              <w:br/>
              <w:t xml:space="preserve"> </w:t>
            </w:r>
            <w:r w:rsidRPr="00EB62AB">
              <w:rPr>
                <w:color w:val="000000" w:themeColor="text1"/>
                <w:sz w:val="18"/>
                <w:szCs w:val="18"/>
                <w:lang w:val="pl-PL"/>
              </w:rPr>
              <w:br/>
              <w:t>Każda umowa o dotację zawiera otrzymaną kwotę finansową oraz szczegóły projektu.</w:t>
            </w:r>
          </w:p>
        </w:tc>
      </w:tr>
      <w:tr w:rsidR="001052B5" w:rsidRPr="009D378C" w14:paraId="66FC51D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C01216"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D32G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82C14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D3.1 Podniesienie efektywności i jakości systemu ochrony zdrowia poprzez wsparcie polskiego potencjału badawczo-rozwojowego w dziedzinie nauk medycznych i nauk o zdrowiu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3E11E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423CA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ustawy o badaniach klinicznych produktów leczniczych stosowanych u ludzi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1D120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Przepis ustawy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48939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520E6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FF281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B297D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77A22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E7A068" w14:textId="77777777" w:rsidR="00471764" w:rsidRPr="00471764" w:rsidRDefault="00471764" w:rsidP="00471764">
            <w:pPr>
              <w:pStyle w:val="paragraph"/>
              <w:textAlignment w:val="baseline"/>
              <w:rPr>
                <w:color w:val="000000" w:themeColor="text1"/>
                <w:sz w:val="18"/>
                <w:szCs w:val="18"/>
                <w:lang w:val="pl-PL"/>
              </w:rPr>
            </w:pPr>
            <w:r w:rsidRPr="00471764">
              <w:rPr>
                <w:color w:val="000000" w:themeColor="text1"/>
                <w:sz w:val="18"/>
                <w:szCs w:val="18"/>
                <w:lang w:val="pl-PL"/>
              </w:rPr>
              <w:t xml:space="preserve">Wejście w życie ustawy o badaniach klinicznych produktów leczniczych stosowanych u ludzi, która obejmuje: </w:t>
            </w:r>
          </w:p>
          <w:p w14:paraId="7501BA1A" w14:textId="77777777" w:rsidR="00471764" w:rsidRPr="00471764" w:rsidRDefault="00471764" w:rsidP="00471764">
            <w:pPr>
              <w:pStyle w:val="paragraph"/>
              <w:textAlignment w:val="baseline"/>
              <w:rPr>
                <w:color w:val="000000" w:themeColor="text1"/>
                <w:sz w:val="18"/>
                <w:szCs w:val="18"/>
                <w:lang w:val="pl-PL"/>
              </w:rPr>
            </w:pPr>
            <w:r w:rsidRPr="00471764">
              <w:rPr>
                <w:color w:val="000000" w:themeColor="text1"/>
                <w:sz w:val="18"/>
                <w:szCs w:val="18"/>
                <w:lang w:val="pl-PL"/>
              </w:rPr>
              <w:t xml:space="preserve">- przejrzyste zasady,  </w:t>
            </w:r>
          </w:p>
          <w:p w14:paraId="5E4D6F41" w14:textId="77777777" w:rsidR="00471764" w:rsidRPr="00471764" w:rsidRDefault="00471764" w:rsidP="00471764">
            <w:pPr>
              <w:pStyle w:val="paragraph"/>
              <w:textAlignment w:val="baseline"/>
              <w:rPr>
                <w:color w:val="000000" w:themeColor="text1"/>
                <w:sz w:val="18"/>
                <w:szCs w:val="18"/>
                <w:lang w:val="pl-PL"/>
              </w:rPr>
            </w:pPr>
            <w:r w:rsidRPr="00471764">
              <w:rPr>
                <w:color w:val="000000" w:themeColor="text1"/>
                <w:sz w:val="18"/>
                <w:szCs w:val="18"/>
                <w:lang w:val="pl-PL"/>
              </w:rPr>
              <w:t xml:space="preserve">- dodatkowe udogodnienia i mechanizmy zachęcające do prowadzenia badań klinicznych w Polsce oraz poprawiające jakość i usprawniające prowadzenie badań klinicznych w Polsce. </w:t>
            </w:r>
          </w:p>
          <w:p w14:paraId="799512BA" w14:textId="7800A493" w:rsidR="001052B5" w:rsidRPr="00EB62AB" w:rsidRDefault="00471764" w:rsidP="00471764">
            <w:pPr>
              <w:pStyle w:val="paragraph"/>
              <w:textAlignment w:val="baseline"/>
              <w:rPr>
                <w:color w:val="000000" w:themeColor="text1"/>
                <w:sz w:val="18"/>
                <w:szCs w:val="18"/>
                <w:lang w:val="pl-PL"/>
              </w:rPr>
            </w:pPr>
            <w:r w:rsidRPr="00471764">
              <w:rPr>
                <w:color w:val="000000" w:themeColor="text1"/>
                <w:sz w:val="18"/>
                <w:szCs w:val="18"/>
                <w:lang w:val="pl-PL"/>
              </w:rPr>
              <w:t>Niniejsza ustawa aktualizuje również ramy prawne regulujące ogólnie sektor biomedyczny w Polsce, w tym B+R, w zakresie, w jakim taka aktualizacja zostanie uznana za konieczną w rządowym Strategicznym Planie Rozwoju Sektora Biomedycznego w Polsce.</w:t>
            </w:r>
          </w:p>
        </w:tc>
      </w:tr>
      <w:tr w:rsidR="001052B5" w:rsidRPr="009D378C" w14:paraId="71062B39"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DDABDA"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16D43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D3.1 Podniesienie efektywności i jakości systemu ochrony zdrowia poprzez wsparcie polskiego potencjału badawczo-rozwojowego w dziedzinie nauk medycznych i nauk o zdrowiu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D80BE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4EB47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Wejście w życie lub realizacja kluczowych działań określonych w Rządowym Planie Strategicznym Rozwoju Sektora Biomedycznego zgodnie z harmonogramem określonym w Planie Strategicznym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6D9DC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Zapisy w dokumentach podstawowych wskazujące na ich wejście w życie lub realizację w zależności od rodzaju działań kluczowych zidentyfikowanych w Planie Strategicznym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4BD59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4E791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895DA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D981E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59D01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90D348"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Działania określone w Planie Strategicznym jako „działania kluczowe" wchodzą w życie lub są realizowane zgodnie z harmonogramem zawartym w Planie Strategicznym i w zakresie określonym w Planie Strategicznym. Przyjęcie samego Planu Strategicznego w formie uchwały Rady Ministrów ma nastąpić w 2022 roku. Kluczowe działania mają obejmować zaprojektowanie systemu zarządzania rozwojem sektora, pierwsze konkursy grantowe w obszarach priorytetowych, stały monitoring polskiego rynku biomedycznego.</w:t>
            </w:r>
          </w:p>
        </w:tc>
      </w:tr>
      <w:tr w:rsidR="001052B5" w:rsidRPr="009D378C" w14:paraId="3CB327D3"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B5212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C5509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D3.1.1 Kompleksowy rozwój badań w zakresie nauk medycznych i nauk o zdrowiu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B1D45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2C4136"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Uruchomienie elektronicznej platformy dla Polskiej Sieci Centrów Badań Klinicznych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CE772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Uruchomienie platformy dla Polskiej Sieci Centrów Badań Klinicznych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BDF86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EF23D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3DDCB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48755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CACB9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F26902"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Platforma elektroniczna zostaje uruchomiona w celu ułatwienia komunikacji między członkami sieci, w tym komercyjnymi i niekomercyjnymi ośrodkami badań klinicznych. Platforma będzie zawierać narzędzia koordynujące działanie sieci, centralny rejestr badań klinicznych prowadzonych w Polsce, wyszukiwarkę umożliwiającą identyfikację badań klinicznych, stronę internetową wykorzystującą ww. wyszukiwarkę dedykowaną dla pacjentów poszukujących możliwości wzięcia udziału w badaniach klinicznych oraz wyszukiwarkę dla </w:t>
            </w:r>
            <w:r w:rsidRPr="00EB62AB">
              <w:rPr>
                <w:color w:val="000000" w:themeColor="text1"/>
                <w:sz w:val="18"/>
                <w:szCs w:val="18"/>
                <w:lang w:val="pl-PL"/>
              </w:rPr>
              <w:lastRenderedPageBreak/>
              <w:t>profesjonalistów zaangażowanych w rozwój lub prowadzenie badań klinicznych.</w:t>
            </w:r>
          </w:p>
        </w:tc>
      </w:tr>
      <w:tr w:rsidR="001052B5" w:rsidRPr="009D378C" w14:paraId="109E3653"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0BA909"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D35G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60A0E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D3.1.1 Kompleksowy rozwój badań w zakresie nauk medycznych i nauk o zdrowiu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088CB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0B0C1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Utworzenie specjalistycznego Centrum Badawczo-Analitycznego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DABBE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Sprawozdanie końcowe z zakończenia budowy Centrum Badawczo-Analitycznego, obejmującego co najmniej 41 laboratoriów bezpieczeństwa biologicznego oraz terenu szkoleniowego z kampusem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662FB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41EAF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E08C0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69CC0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C410D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C5DC39"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Zakończona zostanie budowa infrastruktury Centrum Badawczo-Analitycznego. Zakończenie następuje po stwierdzeniu zgodności ze specyfikacjami technicznymi i zobowiązaniami umownymi projektu prowadzonego zgodnie z ustawą o zamówieniach publicznych. Dostarczona infrastruktura obejmuje: </w:t>
            </w:r>
            <w:r w:rsidRPr="00EB62AB">
              <w:rPr>
                <w:color w:val="000000" w:themeColor="text1"/>
                <w:sz w:val="18"/>
                <w:szCs w:val="18"/>
                <w:lang w:val="pl-PL"/>
              </w:rPr>
              <w:br/>
              <w:t xml:space="preserve">- Centrum Badawczo-Analityczne, mający status Państwowego Instytutu Badawczego klasy A, na nieruchomości będącej własnością Narodowego Instytutu Zdrowia Publicznego PZH – Państwowego Instytutu Badawczego przy ul. Powsińskiej 61/63 w Warszawie, </w:t>
            </w:r>
            <w:r w:rsidRPr="00EB62AB">
              <w:rPr>
                <w:color w:val="000000" w:themeColor="text1"/>
                <w:sz w:val="18"/>
                <w:szCs w:val="18"/>
                <w:lang w:val="pl-PL"/>
              </w:rPr>
              <w:br/>
              <w:t xml:space="preserve">- co najmniej 41 laboratoriów o poziomie bezpieczeństwa biologicznego, w tym 20 laboratoriów BSL-1, 19 laboratoriów BSL-2, jedno laboratorium BSL-3 do badań środowiskowych i jedno laboratorium BSL-3+ do badań na materiale ludzkim, w tym laboratoria do celów diagnostycznych. Zostanie zawarta umowa o współpracy z europejskim laboratorium bezpieczeństwa biologicznego w celu budowania zdolności krajowych ekspertów z laboratoriów technicznych, oraz </w:t>
            </w:r>
            <w:r w:rsidRPr="00EB62AB">
              <w:rPr>
                <w:color w:val="000000" w:themeColor="text1"/>
                <w:sz w:val="18"/>
                <w:szCs w:val="18"/>
                <w:lang w:val="pl-PL"/>
              </w:rPr>
              <w:br/>
              <w:t>- Kampus o powierzchni około 3000 m2 przeznaczony na szkolenia.</w:t>
            </w:r>
          </w:p>
        </w:tc>
      </w:tr>
      <w:tr w:rsidR="001052B5" w:rsidRPr="009D378C" w14:paraId="4BD29234"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96C9C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D36G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C8611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D3.1.1 Kompleksowy rozwój badań w zakresie nauk medycznych i nauk o zdrowiu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40875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95F1D9"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Liczba dofinansowanych projektów dla jednostek naukowych i przedsiębiorców z sektora biomedycznego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6BDD5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17EFD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5991CE"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3B5F3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C13AA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F3881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B96E8B" w14:textId="77777777"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Zatwierdzane będą raporty końcowe z realizacji 80 wspieranych projektów. Wsparcie zostanie udzielone jednostkom naukowym i przedsiębiorcom w zakresie innowacji farmaceutycznych, wyrobów medycznych i rozwiązań informatycznych, zgodnie ze Strategicznym Planem Rozwoju Sektora Biomedycznego w Polsce.</w:t>
            </w:r>
            <w:r w:rsidRPr="00EB62AB">
              <w:rPr>
                <w:color w:val="000000" w:themeColor="text1"/>
                <w:sz w:val="18"/>
                <w:szCs w:val="18"/>
                <w:lang w:val="pl-PL"/>
              </w:rPr>
              <w:br/>
              <w:t xml:space="preserve">Tematyka konkursów będzie koncentrować się na innowacjach produktowych, takich jak leki, rozwój urządzeń medycznych, w szczególności </w:t>
            </w:r>
            <w:r w:rsidRPr="00EB62AB">
              <w:rPr>
                <w:color w:val="000000" w:themeColor="text1"/>
                <w:sz w:val="18"/>
                <w:szCs w:val="18"/>
                <w:lang w:val="pl-PL"/>
              </w:rPr>
              <w:lastRenderedPageBreak/>
              <w:t>do zastosowań mobilnych, a także rozwój i wdrażanie narzędzi teleinformatycznych do celów medycznych i zdrowotnych.</w:t>
            </w:r>
            <w:r w:rsidRPr="00EB62AB">
              <w:rPr>
                <w:color w:val="000000" w:themeColor="text1"/>
                <w:sz w:val="18"/>
                <w:szCs w:val="18"/>
                <w:lang w:val="pl-PL"/>
              </w:rPr>
              <w:br/>
              <w:t>Projekty wyłaniane będą w drodze otwartych i zlecanych konkursów grantowych.</w:t>
            </w:r>
            <w:r w:rsidRPr="00EB62AB">
              <w:rPr>
                <w:color w:val="000000" w:themeColor="text1"/>
                <w:sz w:val="18"/>
                <w:szCs w:val="18"/>
                <w:lang w:val="pl-PL"/>
              </w:rPr>
              <w:br/>
              <w:t>Każda umowa o dotację zawiera otrzymaną kwotę finansową oraz szczegóły projektu.</w:t>
            </w:r>
          </w:p>
        </w:tc>
      </w:tr>
      <w:tr w:rsidR="001052B5" w:rsidRPr="009D378C" w14:paraId="712EAE5E" w14:textId="77777777" w:rsidTr="00A20CA7">
        <w:trPr>
          <w:trHeight w:val="15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3FA83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D37G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24F8D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D3.1.1 Kompleksowy rozwój badań w zakresie nauk medycznych i nauk o zdrowiu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6BD03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1F7BC3"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sz w:val="18"/>
                <w:szCs w:val="18"/>
                <w:lang w:val="pl-PL"/>
              </w:rPr>
            </w:pPr>
            <w:r w:rsidRPr="00EB62AB">
              <w:rPr>
                <w:rFonts w:ascii="Times New Roman" w:hAnsi="Times New Roman" w:cs="Times New Roman"/>
                <w:color w:val="000000"/>
                <w:sz w:val="18"/>
                <w:szCs w:val="18"/>
                <w:lang w:val="pl-PL"/>
              </w:rPr>
              <w:t>Liczba utworzonych Ośrodków Wsparcia Badań Klinicznych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DBC10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88230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B55B7A"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83222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C2DD6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B5B0E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5190D9" w14:textId="77777777"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 xml:space="preserve">Zostanie </w:t>
            </w:r>
            <w:proofErr w:type="spellStart"/>
            <w:r w:rsidRPr="00EB62AB">
              <w:rPr>
                <w:color w:val="000000" w:themeColor="text1"/>
                <w:sz w:val="18"/>
                <w:szCs w:val="18"/>
                <w:lang w:val="pl-PL"/>
              </w:rPr>
              <w:t>utworzene</w:t>
            </w:r>
            <w:proofErr w:type="spellEnd"/>
            <w:r w:rsidRPr="00EB62AB">
              <w:rPr>
                <w:color w:val="000000" w:themeColor="text1"/>
                <w:sz w:val="18"/>
                <w:szCs w:val="18"/>
                <w:lang w:val="pl-PL"/>
              </w:rPr>
              <w:t xml:space="preserve"> 40 dodatkowych Ośrodków Wsparcia Badań Klinicznych (CTSC). Zlokalizowane będą w strukturze mniejszych i lokalnych podmiotów opieki zdrowotnej, pełniąc kluczową rolę w zapewnieniu profesjonalnego wsparcia (od strony szpitalnej) organizacjom prowadzącym badania kliniczne i sponsorom badań klinicznych (firmom farmaceutycznym) sprzyjającym negocjacjom, kontraktowaniu i rozpoczynaniu badań klinicznych (CT).</w:t>
            </w:r>
            <w:r w:rsidRPr="00EB62AB">
              <w:rPr>
                <w:color w:val="000000" w:themeColor="text1"/>
                <w:sz w:val="18"/>
                <w:szCs w:val="18"/>
                <w:lang w:val="pl-PL"/>
              </w:rPr>
              <w:br/>
              <w:t>CTSC pozyska środki na inwestycje i rozwój instytucjonalny. Zobowiązani są do prowadzenia szkoleń dla personelu medycznego oraz działań mających na celu podniesienie świadomości pacjentów w zakresie tomografii komputerowych.</w:t>
            </w:r>
            <w:r w:rsidRPr="00EB62AB">
              <w:rPr>
                <w:color w:val="000000" w:themeColor="text1"/>
                <w:sz w:val="18"/>
                <w:szCs w:val="18"/>
                <w:lang w:val="pl-PL"/>
              </w:rPr>
              <w:br/>
              <w:t xml:space="preserve"> </w:t>
            </w:r>
            <w:r w:rsidRPr="00EB62AB">
              <w:rPr>
                <w:color w:val="000000" w:themeColor="text1"/>
                <w:sz w:val="18"/>
                <w:szCs w:val="18"/>
                <w:lang w:val="pl-PL"/>
              </w:rPr>
              <w:br/>
              <w:t>Każda umowa o dotację zawiera otrzymaną kwotę finansową oraz szczegóły projektu.</w:t>
            </w:r>
          </w:p>
        </w:tc>
      </w:tr>
    </w:tbl>
    <w:p w14:paraId="3C75380C" w14:textId="77777777" w:rsidR="001052B5"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b/>
          <w:bCs/>
          <w:color w:val="000000"/>
          <w:sz w:val="24"/>
          <w:szCs w:val="24"/>
          <w:lang w:val="pl-PL"/>
        </w:rPr>
      </w:pPr>
    </w:p>
    <w:p w14:paraId="74E797DC" w14:textId="37EA8ECE" w:rsidR="001052B5" w:rsidRPr="00AF7348"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i/>
          <w:color w:val="4F81BD"/>
          <w:sz w:val="24"/>
          <w:szCs w:val="24"/>
          <w:lang w:val="pl-PL"/>
        </w:rPr>
        <w:sectPr w:rsidR="001052B5" w:rsidRPr="00AF7348" w:rsidSect="009B6BB9">
          <w:headerReference w:type="even" r:id="rId87"/>
          <w:headerReference w:type="default" r:id="rId88"/>
          <w:footerReference w:type="even" r:id="rId89"/>
          <w:footerReference w:type="default" r:id="rId90"/>
          <w:headerReference w:type="first" r:id="rId91"/>
          <w:footerReference w:type="first" r:id="rId92"/>
          <w:pgSz w:w="16839" w:h="11907" w:orient="landscape"/>
          <w:pgMar w:top="720" w:right="720" w:bottom="720" w:left="720" w:header="709" w:footer="709" w:gutter="0"/>
          <w:cols w:space="720"/>
          <w:docGrid w:linePitch="299"/>
        </w:sectPr>
      </w:pPr>
    </w:p>
    <w:p w14:paraId="187F72A2" w14:textId="35541E12" w:rsidR="00C05DFD" w:rsidRPr="00AF7348" w:rsidRDefault="3DB27761"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iCs/>
          <w:color w:val="000000"/>
          <w:sz w:val="24"/>
          <w:szCs w:val="24"/>
          <w:lang w:val="pl-PL"/>
        </w:rPr>
      </w:pPr>
      <w:r w:rsidRPr="00AF7348">
        <w:rPr>
          <w:rFonts w:ascii="Times New Roman" w:hAnsi="Times New Roman"/>
          <w:b/>
          <w:bCs/>
          <w:color w:val="000000" w:themeColor="text1"/>
          <w:sz w:val="24"/>
          <w:szCs w:val="24"/>
          <w:lang w:val="pl-PL"/>
        </w:rPr>
        <w:lastRenderedPageBreak/>
        <w:t xml:space="preserve">D.3. </w:t>
      </w:r>
      <w:r w:rsidRPr="00AF7348">
        <w:rPr>
          <w:rFonts w:ascii="Times New Roman" w:hAnsi="Times New Roman"/>
          <w:color w:val="000000" w:themeColor="text1"/>
          <w:sz w:val="24"/>
          <w:szCs w:val="24"/>
          <w:lang w:val="pl-PL"/>
        </w:rPr>
        <w:tab/>
      </w:r>
      <w:r w:rsidRPr="00AF7348">
        <w:rPr>
          <w:rFonts w:ascii="Times New Roman" w:hAnsi="Times New Roman"/>
          <w:b/>
          <w:bCs/>
          <w:color w:val="000000" w:themeColor="text1"/>
          <w:sz w:val="24"/>
          <w:szCs w:val="24"/>
          <w:lang w:val="pl-PL"/>
        </w:rPr>
        <w:t>Opis reform i inwestycji związanych z kredytem</w:t>
      </w:r>
    </w:p>
    <w:p w14:paraId="25AF7EAE" w14:textId="77777777" w:rsidR="007C4506" w:rsidRPr="00AF7348" w:rsidRDefault="007C4506"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iCs/>
          <w:color w:val="000000"/>
          <w:sz w:val="24"/>
          <w:szCs w:val="24"/>
          <w:lang w:val="pl-PL"/>
        </w:rPr>
      </w:pPr>
    </w:p>
    <w:p w14:paraId="75ED834C" w14:textId="59B5E99A"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bookmarkStart w:id="7" w:name="_Hlk100922461"/>
      <w:r w:rsidRPr="00AF7348">
        <w:rPr>
          <w:rFonts w:ascii="Times New Roman" w:eastAsia="Times New Roman" w:hAnsi="Times New Roman" w:cs="Times New Roman"/>
          <w:b/>
          <w:bCs/>
          <w:color w:val="000000" w:themeColor="text1"/>
          <w:sz w:val="24"/>
          <w:szCs w:val="24"/>
          <w:u w:val="single"/>
          <w:lang w:val="pl-PL"/>
        </w:rPr>
        <w:t xml:space="preserve">D1.2 Zwiększenie </w:t>
      </w:r>
      <w:r>
        <w:rPr>
          <w:rFonts w:ascii="Times New Roman" w:eastAsia="Times New Roman" w:hAnsi="Times New Roman" w:cs="Times New Roman"/>
          <w:b/>
          <w:bCs/>
          <w:color w:val="000000" w:themeColor="text1"/>
          <w:sz w:val="24"/>
          <w:szCs w:val="24"/>
          <w:u w:val="single"/>
          <w:lang w:val="pl-PL"/>
        </w:rPr>
        <w:t>efektywności</w:t>
      </w:r>
      <w:r w:rsidRPr="00AF7348">
        <w:rPr>
          <w:rFonts w:ascii="Times New Roman" w:eastAsia="Times New Roman" w:hAnsi="Times New Roman" w:cs="Times New Roman"/>
          <w:b/>
          <w:bCs/>
          <w:color w:val="000000" w:themeColor="text1"/>
          <w:sz w:val="24"/>
          <w:szCs w:val="24"/>
          <w:u w:val="single"/>
          <w:lang w:val="pl-PL"/>
        </w:rPr>
        <w:t>, dostępności i jakości usług opieki długoterminowej świadcz</w:t>
      </w:r>
      <w:r>
        <w:rPr>
          <w:rFonts w:ascii="Times New Roman" w:eastAsia="Times New Roman" w:hAnsi="Times New Roman" w:cs="Times New Roman"/>
          <w:b/>
          <w:bCs/>
          <w:color w:val="000000" w:themeColor="text1"/>
          <w:sz w:val="24"/>
          <w:szCs w:val="24"/>
          <w:u w:val="single"/>
          <w:lang w:val="pl-PL"/>
        </w:rPr>
        <w:t xml:space="preserve">eniodawców </w:t>
      </w:r>
      <w:r w:rsidRPr="00AF7348">
        <w:rPr>
          <w:rFonts w:ascii="Times New Roman" w:eastAsia="Times New Roman" w:hAnsi="Times New Roman" w:cs="Times New Roman"/>
          <w:b/>
          <w:bCs/>
          <w:color w:val="000000" w:themeColor="text1"/>
          <w:sz w:val="24"/>
          <w:szCs w:val="24"/>
          <w:u w:val="single"/>
          <w:lang w:val="pl-PL"/>
        </w:rPr>
        <w:t xml:space="preserve"> </w:t>
      </w:r>
      <w:r>
        <w:rPr>
          <w:rFonts w:ascii="Times New Roman" w:eastAsia="Times New Roman" w:hAnsi="Times New Roman" w:cs="Times New Roman"/>
          <w:b/>
          <w:bCs/>
          <w:color w:val="000000" w:themeColor="text1"/>
          <w:sz w:val="24"/>
          <w:szCs w:val="24"/>
          <w:u w:val="single"/>
          <w:lang w:val="pl-PL"/>
        </w:rPr>
        <w:t xml:space="preserve">opieki zdrowotnej </w:t>
      </w:r>
      <w:r w:rsidRPr="00AF7348">
        <w:rPr>
          <w:rFonts w:ascii="Times New Roman" w:eastAsia="Times New Roman" w:hAnsi="Times New Roman" w:cs="Times New Roman"/>
          <w:b/>
          <w:bCs/>
          <w:color w:val="000000" w:themeColor="text1"/>
          <w:sz w:val="24"/>
          <w:szCs w:val="24"/>
          <w:u w:val="single"/>
          <w:lang w:val="pl-PL"/>
        </w:rPr>
        <w:t>na poziomie powiat</w:t>
      </w:r>
      <w:r>
        <w:rPr>
          <w:rFonts w:ascii="Times New Roman" w:eastAsia="Times New Roman" w:hAnsi="Times New Roman" w:cs="Times New Roman"/>
          <w:b/>
          <w:bCs/>
          <w:color w:val="000000" w:themeColor="text1"/>
          <w:sz w:val="24"/>
          <w:szCs w:val="24"/>
          <w:u w:val="single"/>
          <w:lang w:val="pl-PL"/>
        </w:rPr>
        <w:t>owym</w:t>
      </w:r>
    </w:p>
    <w:p w14:paraId="33D3005C" w14:textId="64E22547" w:rsidR="00AB0369" w:rsidRPr="00AF7348" w:rsidRDefault="00AB0369" w:rsidP="00AB0369">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Celem reformy jest wsparcie procesu przekształcania szpitali powiatowych w</w:t>
      </w:r>
      <w:r>
        <w:rPr>
          <w:rFonts w:ascii="Times New Roman" w:eastAsia="Times New Roman" w:hAnsi="Times New Roman" w:cs="Times New Roman"/>
          <w:color w:val="000000" w:themeColor="text1"/>
          <w:sz w:val="24"/>
          <w:szCs w:val="24"/>
          <w:lang w:val="pl-PL"/>
        </w:rPr>
        <w:t xml:space="preserve"> oddziały</w:t>
      </w:r>
      <w:r w:rsidRPr="00AF7348">
        <w:rPr>
          <w:rFonts w:ascii="Times New Roman" w:eastAsia="Times New Roman" w:hAnsi="Times New Roman" w:cs="Times New Roman"/>
          <w:color w:val="000000" w:themeColor="text1"/>
          <w:sz w:val="24"/>
          <w:szCs w:val="24"/>
          <w:lang w:val="pl-PL"/>
        </w:rPr>
        <w:t xml:space="preserve"> lub ośrodki opieki długoterminowej i geriatrycznej. Reforma będzie miała podstawę prawną w specjalnym akcie prawnym opartym na wnioskach z przeglądu możliwości tworzenia oddziałów/ośrodków opieki długoterminowej i geriatrycznej w szpitalach powiatowych w Polsce. </w:t>
      </w:r>
      <w:r>
        <w:rPr>
          <w:rFonts w:ascii="Times New Roman" w:eastAsia="Times New Roman" w:hAnsi="Times New Roman" w:cs="Times New Roman"/>
          <w:color w:val="000000" w:themeColor="text1"/>
          <w:sz w:val="24"/>
          <w:szCs w:val="24"/>
          <w:lang w:val="pl-PL"/>
        </w:rPr>
        <w:t>Reforma b</w:t>
      </w:r>
      <w:r w:rsidRPr="00AF7348">
        <w:rPr>
          <w:rFonts w:ascii="Times New Roman" w:eastAsia="Times New Roman" w:hAnsi="Times New Roman" w:cs="Times New Roman"/>
          <w:color w:val="000000" w:themeColor="text1"/>
          <w:sz w:val="24"/>
          <w:szCs w:val="24"/>
          <w:lang w:val="pl-PL"/>
        </w:rPr>
        <w:t xml:space="preserve">ędzie także zgodna ze Strategią </w:t>
      </w:r>
      <w:proofErr w:type="spellStart"/>
      <w:r w:rsidRPr="00AF7348">
        <w:rPr>
          <w:rFonts w:ascii="Times New Roman" w:eastAsia="Times New Roman" w:hAnsi="Times New Roman" w:cs="Times New Roman"/>
          <w:color w:val="000000" w:themeColor="text1"/>
          <w:sz w:val="24"/>
          <w:szCs w:val="24"/>
          <w:lang w:val="pl-PL"/>
        </w:rPr>
        <w:t>Deinstytucjonalizacji</w:t>
      </w:r>
      <w:proofErr w:type="spellEnd"/>
      <w:r w:rsidRPr="00AF7348">
        <w:rPr>
          <w:rFonts w:ascii="Times New Roman" w:eastAsia="Times New Roman" w:hAnsi="Times New Roman" w:cs="Times New Roman"/>
          <w:color w:val="000000" w:themeColor="text1"/>
          <w:sz w:val="24"/>
          <w:szCs w:val="24"/>
          <w:lang w:val="pl-PL"/>
        </w:rPr>
        <w:t xml:space="preserve"> przygotowaną przez Ministerstwo Zdrowia (załącznik do dokumentu "</w:t>
      </w:r>
      <w:r w:rsidRPr="006E09F4">
        <w:rPr>
          <w:rFonts w:ascii="Times New Roman" w:eastAsia="Times New Roman" w:hAnsi="Times New Roman" w:cs="Times New Roman"/>
          <w:i/>
          <w:iCs/>
          <w:color w:val="000000" w:themeColor="text1"/>
          <w:sz w:val="24"/>
          <w:szCs w:val="24"/>
          <w:lang w:val="pl-PL"/>
        </w:rPr>
        <w:t>Zdrowa Przyszłość. Ramy strategiczne rozwoju systemu ochrony zdrowia na lata 2021-27</w:t>
      </w:r>
      <w:r w:rsidRPr="00AF7348">
        <w:rPr>
          <w:rFonts w:ascii="Times New Roman" w:eastAsia="Times New Roman" w:hAnsi="Times New Roman" w:cs="Times New Roman"/>
          <w:color w:val="000000" w:themeColor="text1"/>
          <w:sz w:val="24"/>
          <w:szCs w:val="24"/>
          <w:lang w:val="pl-PL"/>
        </w:rPr>
        <w:t>").</w:t>
      </w:r>
    </w:p>
    <w:p w14:paraId="40C185BD" w14:textId="77777777" w:rsidR="00AB0369" w:rsidRPr="00AF7348" w:rsidRDefault="00AB0369" w:rsidP="00AB0369">
      <w:pPr>
        <w:pStyle w:val="Normal0"/>
        <w:pBdr>
          <w:top w:val="nil"/>
          <w:left w:val="nil"/>
          <w:bottom w:val="nil"/>
          <w:right w:val="nil"/>
          <w:between w:val="nil"/>
        </w:pBdr>
        <w:spacing w:before="120" w:after="120" w:line="240" w:lineRule="auto"/>
        <w:jc w:val="both"/>
        <w:rPr>
          <w:rStyle w:val="normaltextrun"/>
          <w:color w:val="000000"/>
          <w:sz w:val="18"/>
          <w:szCs w:val="18"/>
          <w:lang w:val="pl-PL"/>
        </w:rPr>
      </w:pPr>
      <w:r w:rsidRPr="00AF7348">
        <w:rPr>
          <w:rFonts w:ascii="Times New Roman" w:eastAsia="Times New Roman" w:hAnsi="Times New Roman" w:cs="Times New Roman"/>
          <w:color w:val="000000" w:themeColor="text1"/>
          <w:sz w:val="24"/>
          <w:szCs w:val="24"/>
          <w:lang w:val="pl-PL"/>
        </w:rPr>
        <w:t>Wdrażanie reformy zostanie zakończone do 30 września 2022 roku.</w:t>
      </w:r>
    </w:p>
    <w:bookmarkEnd w:id="7"/>
    <w:p w14:paraId="2633CEB9" w14:textId="77777777" w:rsidR="007C4506" w:rsidRPr="00AF7348"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p>
    <w:p w14:paraId="27020553"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themeColor="text1"/>
          <w:sz w:val="24"/>
          <w:szCs w:val="24"/>
          <w:u w:val="single"/>
          <w:lang w:val="pl-PL"/>
        </w:rPr>
        <w:t>D1.2.1 Rozwój opieki długoterminowej poprzez modernizację infrastruktury podmiotów leczniczych na poziomie powiatowym</w:t>
      </w:r>
    </w:p>
    <w:p w14:paraId="4FC9F4CC" w14:textId="46A7A043" w:rsidR="00AA4217" w:rsidRPr="00AF7348" w:rsidRDefault="5F427A5E" w:rsidP="46A2410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Inwestycje będą wspierać projekty dotyczące niezbędnych prac budowlanych lub remontowych oraz zakupu wyposażenia dla szpitali powiatowych tworzących, w ramach planów przekształceń, oddziały lub ośrodki opieki długoterminowej i geriatrycznej. Umowy inwestycyjne będą zawierane na podstawie przejrzystych i jasnych przepisów oraz zgodnie z celami reformy D.1.2. Będą realizowane w oparciu o mechanizmy gwarantujące odpowiednią jakość zintegrowanych usług opieki, z uwzględnieniem kwestii ich dostępności i przystępności cenowej. </w:t>
      </w:r>
    </w:p>
    <w:p w14:paraId="4B1D477B" w14:textId="77777777" w:rsidR="46A24104" w:rsidRPr="00AF7348" w:rsidRDefault="46A24104" w:rsidP="46A24104">
      <w:pPr>
        <w:pStyle w:val="Normal0"/>
        <w:spacing w:after="0" w:line="240" w:lineRule="auto"/>
        <w:jc w:val="both"/>
        <w:rPr>
          <w:rFonts w:ascii="Times New Roman" w:eastAsia="Times New Roman" w:hAnsi="Times New Roman" w:cs="Times New Roman"/>
          <w:color w:val="000000" w:themeColor="text1"/>
          <w:sz w:val="24"/>
          <w:szCs w:val="24"/>
          <w:lang w:val="pl-PL"/>
        </w:rPr>
      </w:pPr>
    </w:p>
    <w:p w14:paraId="4B4CFCCF" w14:textId="77777777" w:rsidR="007C4506" w:rsidRPr="00AF7348" w:rsidRDefault="110E162E" w:rsidP="46A24104">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65BE1F1D"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45063786" w14:textId="31274D24"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D3.2 </w:t>
      </w:r>
      <w:r>
        <w:rPr>
          <w:rFonts w:ascii="Times New Roman" w:eastAsia="Times New Roman" w:hAnsi="Times New Roman" w:cs="Times New Roman"/>
          <w:b/>
          <w:bCs/>
          <w:color w:val="000000" w:themeColor="text1"/>
          <w:sz w:val="24"/>
          <w:szCs w:val="24"/>
          <w:u w:val="single"/>
          <w:lang w:val="pl-PL"/>
        </w:rPr>
        <w:t>St</w:t>
      </w:r>
      <w:r w:rsidRPr="00AF7348">
        <w:rPr>
          <w:rFonts w:ascii="Times New Roman" w:eastAsia="Times New Roman" w:hAnsi="Times New Roman" w:cs="Times New Roman"/>
          <w:b/>
          <w:bCs/>
          <w:color w:val="000000" w:themeColor="text1"/>
          <w:sz w:val="24"/>
          <w:szCs w:val="24"/>
          <w:u w:val="single"/>
          <w:lang w:val="pl-PL"/>
        </w:rPr>
        <w:t xml:space="preserve">worzenie sprzyjających warunków dla rozwoju sektora leków i wyrobów medycznych </w:t>
      </w:r>
    </w:p>
    <w:p w14:paraId="1A8CD866" w14:textId="4BC73A04"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wdrożenie ram regulacyjnych ułatwiających przyciągnięcie producentów oraz zwiększenie produkcji leków i </w:t>
      </w:r>
      <w:r>
        <w:rPr>
          <w:rFonts w:ascii="Times New Roman" w:eastAsia="Times New Roman" w:hAnsi="Times New Roman" w:cs="Times New Roman"/>
          <w:color w:val="000000" w:themeColor="text1"/>
          <w:sz w:val="24"/>
          <w:szCs w:val="24"/>
          <w:lang w:val="pl-PL"/>
        </w:rPr>
        <w:t>aktywnych substancji farmaceutycznych</w:t>
      </w:r>
      <w:r w:rsidRPr="00AF7348">
        <w:rPr>
          <w:rFonts w:ascii="Times New Roman" w:eastAsia="Times New Roman" w:hAnsi="Times New Roman" w:cs="Times New Roman"/>
          <w:color w:val="000000" w:themeColor="text1"/>
          <w:sz w:val="24"/>
          <w:szCs w:val="24"/>
          <w:lang w:val="pl-PL"/>
        </w:rPr>
        <w:t xml:space="preserve"> (API) w Polsce. Przyczyni się to do zwiększenia bezpieczeństwa zaopatrzenia Polski w leki. Nowe ramy prawne wzmocnią ramy analityczne służące identyfikacji luk i słabych punktów w zakresie podaży API w Polsce. Będą również wspierać przedsiębiorców decydujących się na produkcję leków, których niedobory mogą w Polsce występować.</w:t>
      </w:r>
    </w:p>
    <w:p w14:paraId="28569294" w14:textId="77777777"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Reforma powinna być powiązana z realizacją</w:t>
      </w:r>
      <w:r>
        <w:rPr>
          <w:rFonts w:ascii="Times New Roman" w:eastAsia="Times New Roman" w:hAnsi="Times New Roman" w:cs="Times New Roman"/>
          <w:color w:val="000000" w:themeColor="text1"/>
          <w:sz w:val="24"/>
          <w:szCs w:val="24"/>
          <w:lang w:val="pl-PL"/>
        </w:rPr>
        <w:t>,</w:t>
      </w:r>
      <w:r w:rsidRPr="00AF7348">
        <w:rPr>
          <w:rFonts w:ascii="Times New Roman" w:eastAsia="Times New Roman" w:hAnsi="Times New Roman" w:cs="Times New Roman"/>
          <w:color w:val="000000" w:themeColor="text1"/>
          <w:sz w:val="24"/>
          <w:szCs w:val="24"/>
          <w:lang w:val="pl-PL"/>
        </w:rPr>
        <w:t xml:space="preserve"> </w:t>
      </w:r>
      <w:r>
        <w:rPr>
          <w:rFonts w:ascii="Times New Roman" w:eastAsia="Times New Roman" w:hAnsi="Times New Roman" w:cs="Times New Roman"/>
          <w:color w:val="000000" w:themeColor="text1"/>
          <w:sz w:val="24"/>
          <w:szCs w:val="24"/>
          <w:lang w:val="pl-PL"/>
        </w:rPr>
        <w:t xml:space="preserve">na poziomie unijnym, </w:t>
      </w:r>
      <w:r w:rsidRPr="00AF7348">
        <w:rPr>
          <w:rFonts w:ascii="Times New Roman" w:eastAsia="Times New Roman" w:hAnsi="Times New Roman" w:cs="Times New Roman"/>
          <w:color w:val="000000" w:themeColor="text1"/>
          <w:sz w:val="24"/>
          <w:szCs w:val="24"/>
          <w:lang w:val="pl-PL"/>
        </w:rPr>
        <w:t xml:space="preserve">Strategii Farmaceutycznej dla Europy. </w:t>
      </w:r>
    </w:p>
    <w:p w14:paraId="1C420339" w14:textId="77777777"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2023 roku.</w:t>
      </w:r>
    </w:p>
    <w:p w14:paraId="6AFAB436" w14:textId="77777777" w:rsidR="007C4506" w:rsidRPr="00AF7348" w:rsidRDefault="007C4506">
      <w:pPr>
        <w:pStyle w:val="Normal0"/>
        <w:pBdr>
          <w:top w:val="nil"/>
          <w:left w:val="nil"/>
          <w:bottom w:val="nil"/>
          <w:right w:val="nil"/>
          <w:between w:val="nil"/>
        </w:pBdr>
        <w:spacing w:before="120" w:after="120" w:line="240" w:lineRule="auto"/>
        <w:ind w:left="284" w:hanging="284"/>
        <w:jc w:val="both"/>
        <w:rPr>
          <w:rFonts w:ascii="Times New Roman" w:eastAsia="Times New Roman" w:hAnsi="Times New Roman" w:cs="Times New Roman"/>
          <w:color w:val="000000"/>
          <w:sz w:val="24"/>
          <w:szCs w:val="24"/>
          <w:u w:val="single"/>
          <w:lang w:val="pl-PL"/>
        </w:rPr>
      </w:pPr>
    </w:p>
    <w:p w14:paraId="45C4AB64" w14:textId="20EE2A57" w:rsidR="007C4506" w:rsidRPr="00AF7348" w:rsidRDefault="1D7EA089" w:rsidP="1B11766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highlight w:val="yellow"/>
          <w:u w:val="single"/>
          <w:lang w:val="pl-PL"/>
        </w:rPr>
      </w:pPr>
      <w:r w:rsidRPr="00AF7348">
        <w:rPr>
          <w:rFonts w:ascii="Times New Roman" w:eastAsia="Times New Roman" w:hAnsi="Times New Roman" w:cs="Times New Roman"/>
          <w:b/>
          <w:bCs/>
          <w:color w:val="000000" w:themeColor="text1"/>
          <w:sz w:val="24"/>
          <w:szCs w:val="24"/>
          <w:u w:val="single"/>
          <w:lang w:val="pl-PL"/>
        </w:rPr>
        <w:t xml:space="preserve">D3.2.1 Rozwój potencjału sektora leków i wyrobów medycznych - inwestycje związane z produkcją w Polsce API </w:t>
      </w:r>
    </w:p>
    <w:p w14:paraId="57988464" w14:textId="48908853" w:rsidR="00AB0369" w:rsidRPr="00AF7348" w:rsidRDefault="00AB0369" w:rsidP="00AB0369">
      <w:pPr>
        <w:pStyle w:val="Normal0"/>
        <w:pBdr>
          <w:top w:val="nil"/>
          <w:left w:val="nil"/>
          <w:bottom w:val="nil"/>
          <w:right w:val="nil"/>
          <w:between w:val="nil"/>
        </w:pBdr>
        <w:spacing w:before="120" w:after="120" w:line="240" w:lineRule="auto"/>
        <w:jc w:val="both"/>
        <w:rPr>
          <w:rFonts w:ascii="Times New Roman" w:hAnsi="Times New Roman" w:cs="Times New Roman"/>
          <w:color w:val="000000"/>
          <w:sz w:val="24"/>
          <w:szCs w:val="24"/>
          <w:lang w:val="pl-PL"/>
        </w:rPr>
      </w:pPr>
      <w:r>
        <w:rPr>
          <w:rFonts w:ascii="Times New Roman" w:eastAsia="Times New Roman" w:hAnsi="Times New Roman" w:cs="Times New Roman"/>
          <w:color w:val="000000" w:themeColor="text1"/>
          <w:sz w:val="24"/>
          <w:szCs w:val="24"/>
          <w:lang w:val="pl-PL"/>
        </w:rPr>
        <w:t>Celem</w:t>
      </w:r>
      <w:r w:rsidRPr="00AF7348">
        <w:rPr>
          <w:rFonts w:ascii="Times New Roman" w:eastAsia="Times New Roman" w:hAnsi="Times New Roman" w:cs="Times New Roman"/>
          <w:color w:val="000000" w:themeColor="text1"/>
          <w:sz w:val="24"/>
          <w:szCs w:val="24"/>
          <w:lang w:val="pl-PL"/>
        </w:rPr>
        <w:t xml:space="preserve"> inwestycji jest wsparcie dla projektów związanych z rozwojem API. Wsparcie ma pomóc w </w:t>
      </w:r>
      <w:r w:rsidR="00D044F0">
        <w:rPr>
          <w:rFonts w:ascii="Times New Roman" w:eastAsia="Times New Roman" w:hAnsi="Times New Roman" w:cs="Times New Roman"/>
          <w:color w:val="000000" w:themeColor="text1"/>
          <w:sz w:val="24"/>
          <w:szCs w:val="24"/>
          <w:lang w:val="pl-PL"/>
        </w:rPr>
        <w:t xml:space="preserve">rozwoju </w:t>
      </w:r>
      <w:r w:rsidR="00D044F0" w:rsidRPr="00D044F0">
        <w:rPr>
          <w:rFonts w:ascii="Times New Roman" w:eastAsia="Times New Roman" w:hAnsi="Times New Roman" w:cs="Times New Roman"/>
          <w:color w:val="000000" w:themeColor="text1"/>
          <w:sz w:val="24"/>
          <w:szCs w:val="24"/>
          <w:lang w:val="pl-PL"/>
        </w:rPr>
        <w:t xml:space="preserve"> API (w tym API własnościowych, </w:t>
      </w:r>
      <w:proofErr w:type="spellStart"/>
      <w:r w:rsidR="00D044F0" w:rsidRPr="00D044F0">
        <w:rPr>
          <w:rFonts w:ascii="Times New Roman" w:eastAsia="Times New Roman" w:hAnsi="Times New Roman" w:cs="Times New Roman"/>
          <w:color w:val="000000" w:themeColor="text1"/>
          <w:sz w:val="24"/>
          <w:szCs w:val="24"/>
          <w:lang w:val="pl-PL"/>
        </w:rPr>
        <w:t>biopodobnych</w:t>
      </w:r>
      <w:proofErr w:type="spellEnd"/>
      <w:r w:rsidR="00D044F0" w:rsidRPr="00D044F0">
        <w:rPr>
          <w:rFonts w:ascii="Times New Roman" w:eastAsia="Times New Roman" w:hAnsi="Times New Roman" w:cs="Times New Roman"/>
          <w:color w:val="000000" w:themeColor="text1"/>
          <w:sz w:val="24"/>
          <w:szCs w:val="24"/>
          <w:lang w:val="pl-PL"/>
        </w:rPr>
        <w:t xml:space="preserve"> i generycznych)</w:t>
      </w:r>
      <w:r w:rsidRPr="00AF7348">
        <w:rPr>
          <w:rFonts w:ascii="Times New Roman" w:eastAsia="Times New Roman" w:hAnsi="Times New Roman" w:cs="Times New Roman"/>
          <w:color w:val="000000" w:themeColor="text1"/>
          <w:sz w:val="24"/>
          <w:szCs w:val="24"/>
          <w:lang w:val="pl-PL"/>
        </w:rPr>
        <w:t xml:space="preserve"> oraz powiązanych wyrobów medycznych, w tym w budowie/rozbudowie niezbędnej infrastruktury. Wsparciem zostanie objętych co najmniej 11 projektów z tej dziedziny.</w:t>
      </w:r>
    </w:p>
    <w:p w14:paraId="02FA8E39" w14:textId="2161799E"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31 grudnia 2023 roku.</w:t>
      </w:r>
    </w:p>
    <w:p w14:paraId="042C5D41" w14:textId="77777777" w:rsidR="00212550" w:rsidRPr="00AF7348" w:rsidRDefault="0021255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sectPr w:rsidR="00212550" w:rsidRPr="00AF7348">
          <w:headerReference w:type="even" r:id="rId93"/>
          <w:headerReference w:type="default" r:id="rId94"/>
          <w:footerReference w:type="even" r:id="rId95"/>
          <w:footerReference w:type="default" r:id="rId96"/>
          <w:headerReference w:type="first" r:id="rId97"/>
          <w:footerReference w:type="first" r:id="rId98"/>
          <w:pgSz w:w="11907" w:h="16839"/>
          <w:pgMar w:top="1134" w:right="1417" w:bottom="1134" w:left="1417" w:header="709" w:footer="709" w:gutter="0"/>
          <w:cols w:space="720"/>
        </w:sectPr>
      </w:pPr>
    </w:p>
    <w:p w14:paraId="37C18F18" w14:textId="77777777" w:rsidR="007C4506" w:rsidRDefault="0033239E" w:rsidP="0033239E">
      <w:pPr>
        <w:pStyle w:val="Normal0"/>
        <w:pBdr>
          <w:top w:val="nil"/>
          <w:left w:val="nil"/>
          <w:bottom w:val="nil"/>
          <w:right w:val="nil"/>
          <w:between w:val="nil"/>
        </w:pBdr>
        <w:spacing w:before="120" w:after="120" w:line="240" w:lineRule="auto"/>
        <w:rPr>
          <w:rFonts w:ascii="Times New Roman" w:hAnsi="Times New Roman"/>
          <w:b/>
          <w:bCs/>
          <w:color w:val="000000" w:themeColor="text1"/>
          <w:sz w:val="24"/>
          <w:szCs w:val="24"/>
          <w:lang w:val="pl-PL"/>
        </w:rPr>
      </w:pPr>
      <w:r w:rsidRPr="00AF7348">
        <w:rPr>
          <w:rFonts w:ascii="Times New Roman" w:hAnsi="Times New Roman"/>
          <w:b/>
          <w:bCs/>
          <w:color w:val="000000" w:themeColor="text1"/>
          <w:sz w:val="24"/>
          <w:szCs w:val="24"/>
          <w:lang w:val="pl-PL"/>
        </w:rPr>
        <w:lastRenderedPageBreak/>
        <w:t xml:space="preserve">D.4. </w:t>
      </w:r>
      <w:r w:rsidRPr="00AF7348">
        <w:rPr>
          <w:rFonts w:ascii="Times New Roman" w:hAnsi="Times New Roman"/>
          <w:color w:val="000000" w:themeColor="text1"/>
          <w:sz w:val="24"/>
          <w:szCs w:val="24"/>
          <w:lang w:val="pl-PL"/>
        </w:rPr>
        <w:tab/>
      </w:r>
      <w:r w:rsidRPr="00AF7348">
        <w:rPr>
          <w:rFonts w:ascii="Times New Roman" w:hAnsi="Times New Roman"/>
          <w:b/>
          <w:bCs/>
          <w:color w:val="000000" w:themeColor="text1"/>
          <w:sz w:val="24"/>
          <w:szCs w:val="24"/>
          <w:lang w:val="pl-PL"/>
        </w:rPr>
        <w:t>Kamienie milowe, wartości docelowe, wskaźniki i harmonogram monitorowania i realizacji na potrzeby wsparcia finansowego w formie pożyczki</w:t>
      </w:r>
    </w:p>
    <w:tbl>
      <w:tblPr>
        <w:tblW w:w="153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51"/>
        <w:gridCol w:w="1985"/>
        <w:gridCol w:w="992"/>
        <w:gridCol w:w="1984"/>
        <w:gridCol w:w="1276"/>
        <w:gridCol w:w="992"/>
        <w:gridCol w:w="992"/>
        <w:gridCol w:w="709"/>
        <w:gridCol w:w="567"/>
        <w:gridCol w:w="709"/>
        <w:gridCol w:w="4252"/>
      </w:tblGrid>
      <w:tr w:rsidR="001052B5" w:rsidRPr="0042028C" w14:paraId="6F673BAE" w14:textId="77777777" w:rsidTr="00A20CA7">
        <w:trPr>
          <w:trHeight w:val="939"/>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961E5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817A3C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DF3333C"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0136C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79F29B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Qualitative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milestones)</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00F2405"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Quantitative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targets)</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FE5C0EA"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4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C26967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42028C" w14:paraId="0361080C" w14:textId="77777777" w:rsidTr="00A20CA7">
        <w:trPr>
          <w:trHeight w:val="1027"/>
        </w:trPr>
        <w:tc>
          <w:tcPr>
            <w:tcW w:w="851" w:type="dxa"/>
            <w:vMerge/>
            <w:vAlign w:val="center"/>
          </w:tcPr>
          <w:p w14:paraId="66696424"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5" w:type="dxa"/>
            <w:vMerge/>
            <w:vAlign w:val="center"/>
          </w:tcPr>
          <w:p w14:paraId="7433A280"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vMerge/>
            <w:vAlign w:val="center"/>
          </w:tcPr>
          <w:p w14:paraId="7BEDF824"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4" w:type="dxa"/>
            <w:vMerge/>
            <w:vAlign w:val="center"/>
          </w:tcPr>
          <w:p w14:paraId="73556FC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276" w:type="dxa"/>
            <w:vMerge/>
            <w:vAlign w:val="center"/>
          </w:tcPr>
          <w:p w14:paraId="2FAE9C2F"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8AA7E0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FB1D34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402DA2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C77ED12"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FCEC2C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4252" w:type="dxa"/>
            <w:vMerge/>
            <w:vAlign w:val="center"/>
          </w:tcPr>
          <w:p w14:paraId="5A12194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9D378C" w14:paraId="258B2775"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7E77D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D1L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C972B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 Zwiększenie efektywności, dostępności i jakości usług opieki długoterminowej świadczeniodawców opieki zdrowotnej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43967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F17E2D"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Przegląd możliwości tworzenia oddziałów/ośrodków opieki długoterminowej i geriatrycznej w szpitalach powiatowych w Polsce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82378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98EBD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9C80F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0CE9E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76697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B9A2B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A46389"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Publikacja przeglądu w ramach całościowej analizy strategicznej opieki długoterminowej w Polsce przewidzianej w komponencie A, na temat możliwości tworzenia oddziałów/ośrodków opieki długoterminowej i geriatrycznej w szpitalach powiatowych (w tym przekształcanie części szpitali powiatowych). Przegląd powinien w szczególności zbadać możliwe sposoby: </w:t>
            </w:r>
            <w:r w:rsidRPr="00EB62AB">
              <w:rPr>
                <w:color w:val="000000" w:themeColor="text1"/>
                <w:sz w:val="18"/>
                <w:szCs w:val="18"/>
                <w:lang w:val="pl-PL"/>
              </w:rPr>
              <w:br/>
              <w:t>- zwiększenia dostępności usług w zakresie długoterminowej opieki zdrowotnej poprzez zajęcie się stwierdzonymi brakami w świadczeniu opieki długoterminowej, w szczególności na poziomie powiatu;</w:t>
            </w:r>
            <w:r w:rsidRPr="00EB62AB">
              <w:rPr>
                <w:color w:val="000000" w:themeColor="text1"/>
                <w:sz w:val="18"/>
                <w:szCs w:val="18"/>
                <w:lang w:val="pl-PL"/>
              </w:rPr>
              <w:br/>
              <w:t>- eliminowania nierówności w dostępie do usług w zakresie długoterminowej opieki zdrowotnej</w:t>
            </w:r>
            <w:r w:rsidRPr="00EB62AB">
              <w:rPr>
                <w:color w:val="000000" w:themeColor="text1"/>
                <w:sz w:val="18"/>
                <w:szCs w:val="18"/>
                <w:lang w:val="pl-PL"/>
              </w:rPr>
              <w:br/>
              <w:t>- poprawy warunków pracy personelu medycznego</w:t>
            </w:r>
            <w:r w:rsidRPr="00EB62AB">
              <w:rPr>
                <w:color w:val="000000" w:themeColor="text1"/>
                <w:sz w:val="18"/>
                <w:szCs w:val="18"/>
                <w:lang w:val="pl-PL"/>
              </w:rPr>
              <w:br/>
              <w:t>- poprawy jakości opieki długoterminowej.</w:t>
            </w:r>
          </w:p>
        </w:tc>
      </w:tr>
      <w:tr w:rsidR="001052B5" w:rsidRPr="009D378C" w14:paraId="6B402E5A"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57F2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D2L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9CF31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 Zwiększenie efektywności, dostępności i jakości usług opieki długoterminowej świadczeniodawców opieki zdrowotnej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2651A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1687FF"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Wejście w życie aktu prawnego dotyczącego wsparcia dla tworzenia w szpitalach powiatowych oddziałów/ośrodków opieki długoterminowej i geriatrycznej, w oparciu o wyniki przeglądu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6C1ACD" w14:textId="6BCAB0DD" w:rsidR="001052B5" w:rsidRPr="00EB62AB" w:rsidRDefault="00E5768F"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5768F">
              <w:rPr>
                <w:rFonts w:ascii="Times New Roman" w:eastAsia="Times New Roman" w:hAnsi="Times New Roman" w:cs="Times New Roman"/>
                <w:color w:val="000000"/>
                <w:sz w:val="18"/>
                <w:szCs w:val="18"/>
                <w:lang w:val="pl-PL"/>
              </w:rPr>
              <w:t>Przepis aktu prawnego wskazujący 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4D0A2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8B78A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A0432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3D57F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651B1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CD1235"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Wejście w życie aktu prawnego, na podstawie wyników przeglądu możliwości tworzenia oddziałów/ośrodków opieki długoterminowej i geriatrycznej w szpitalach powiatowych w Polsce. Akt prawny określi, w jaki sposób wsparcie tworzenia oddziałów opieki długoterminowej oraz oddziałów i/lub ośrodków geriatrycznych w szpitalach powiatowych poprawi opiekę m.in. nad seniorami na poziomie lokalnym. </w:t>
            </w:r>
            <w:r w:rsidRPr="00EB62AB">
              <w:rPr>
                <w:color w:val="000000" w:themeColor="text1"/>
                <w:sz w:val="18"/>
                <w:szCs w:val="18"/>
                <w:lang w:val="pl-PL"/>
              </w:rPr>
              <w:br/>
              <w:t>Akt prawny będzie zgodny z dokumentem Zdrowa przyszłość. Ramy strategiczne dla systemu ochrony zdrowia na lata 2021-2027.</w:t>
            </w:r>
          </w:p>
        </w:tc>
      </w:tr>
      <w:tr w:rsidR="001052B5" w:rsidRPr="009D378C" w14:paraId="4C3BBB94"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3F2E41"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D3L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DE3B5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D1.2.1 Rozwój opieki długoterminowej poprzez modernizację infrastruktury podmiotów leczniczych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968C1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89E76A"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Lista szpitali powiatowych wybranych do dodatkowego wsparcia tworzenia łóżek długoterminowych i geriatrycznych, na podstawie określonych kryteriów wyboru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7F8DC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listy</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wybranych</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szpitali</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6F9F1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379A0A"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1D333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41DC8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B61F7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E17B16"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Ustalenie listy szpitali powiatowych kwalifikujących się do dodatkowego wsparcia na utworzenie łóżek opieki długoterminowej i geriatrycznej. Wybór szpitali powiatowych odbywa się na podstawie zestawu szczegółowych kryteriów. Kryteria te obejmują lokalne warunki:</w:t>
            </w:r>
            <w:r w:rsidRPr="00EB62AB">
              <w:rPr>
                <w:color w:val="000000" w:themeColor="text1"/>
                <w:sz w:val="18"/>
                <w:szCs w:val="18"/>
                <w:lang w:val="pl-PL"/>
              </w:rPr>
              <w:br/>
              <w:t>- tendencje demograficzne</w:t>
            </w:r>
            <w:r w:rsidRPr="00EB62AB">
              <w:rPr>
                <w:color w:val="000000" w:themeColor="text1"/>
                <w:sz w:val="18"/>
                <w:szCs w:val="18"/>
                <w:lang w:val="pl-PL"/>
              </w:rPr>
              <w:br/>
              <w:t>- gęstość zaludnienia</w:t>
            </w:r>
            <w:r w:rsidRPr="00EB62AB">
              <w:rPr>
                <w:color w:val="000000" w:themeColor="text1"/>
                <w:sz w:val="18"/>
                <w:szCs w:val="18"/>
                <w:lang w:val="pl-PL"/>
              </w:rPr>
              <w:br/>
              <w:t>- potrzeby w zakresie opieki długoterminowej</w:t>
            </w:r>
            <w:r w:rsidRPr="00EB62AB">
              <w:rPr>
                <w:color w:val="000000" w:themeColor="text1"/>
                <w:sz w:val="18"/>
                <w:szCs w:val="18"/>
                <w:lang w:val="pl-PL"/>
              </w:rPr>
              <w:br/>
              <w:t>- nasycenie usługami opieki długoterminowej/geriatrycznej</w:t>
            </w:r>
            <w:r w:rsidRPr="00EB62AB">
              <w:rPr>
                <w:color w:val="000000" w:themeColor="text1"/>
                <w:sz w:val="18"/>
                <w:szCs w:val="18"/>
                <w:lang w:val="pl-PL"/>
              </w:rPr>
              <w:br/>
              <w:t>- jakość opieki</w:t>
            </w:r>
            <w:r w:rsidRPr="00EB62AB">
              <w:rPr>
                <w:color w:val="000000" w:themeColor="text1"/>
                <w:sz w:val="18"/>
                <w:szCs w:val="18"/>
                <w:lang w:val="pl-PL"/>
              </w:rPr>
              <w:br/>
              <w:t>- zgodność z programem restrukturyzacji dla danego szpitala</w:t>
            </w:r>
          </w:p>
        </w:tc>
      </w:tr>
      <w:tr w:rsidR="001052B5" w:rsidRPr="009D378C" w14:paraId="44173A3A"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980CA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D4L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2983F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D1.2.1 Rozwój opieki długoterminowej poprzez modernizację infrastruktury podmiotów leczniczych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B8376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33403E"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Podpisane umowy pomiędzy szpitalami powiatowymi a Ministerstwem Zdrowia (lub inną instytucją wskazaną przez Ministerstwo) na wsparcie inwestycyjne w tworzeniu jednostek/ośrodków opieki długoterminowej i geriatrycznej</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3456B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EFED0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63BAC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01D48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42A37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86126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7DC5BA"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podpisanych umów na działalność inwestycyjną. Umowa zostanie podpisana pomiędzy szpitalem a Ministerstwem Zdrowia (lub inną instytucją wskazaną przez Ministerstwo).</w:t>
            </w:r>
            <w:r w:rsidRPr="00EB62AB">
              <w:rPr>
                <w:color w:val="000000" w:themeColor="text1"/>
                <w:sz w:val="18"/>
                <w:szCs w:val="18"/>
                <w:lang w:val="pl-PL"/>
              </w:rPr>
              <w:br/>
              <w:t xml:space="preserve"> </w:t>
            </w:r>
            <w:r w:rsidRPr="00EB62AB">
              <w:rPr>
                <w:color w:val="000000" w:themeColor="text1"/>
                <w:sz w:val="18"/>
                <w:szCs w:val="18"/>
                <w:lang w:val="pl-PL"/>
              </w:rPr>
              <w:br/>
              <w:t>Umowy są oparte na przejrzystych i jasnych postanowieniach i przyczyniają się do realizacji celu, jakim jest rozwój opieki długoterminowej i opieki geriatrycznej. Inwestycja będzie wspierać niezbędne prace budowlane lub remontowe oraz zakup sprzętu.</w:t>
            </w:r>
          </w:p>
        </w:tc>
      </w:tr>
      <w:tr w:rsidR="001052B5" w:rsidRPr="009D378C" w14:paraId="55891227"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218BC0"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D5L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FB25F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D1.2.1 Rozwój opieki długoterminowej poprzez modernizację infrastruktury podmiotów leczniczych na poziomie powiatowym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EB0BD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3295B7"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Zakończone projekty mające na celu rozwój opieki długoterminowej i opieki geriatrycznej w szpitalach powiatowych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A6806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997B2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15C7A1"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98442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7A7B4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D761B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CCF2BD" w14:textId="77777777" w:rsidR="001052B5" w:rsidRPr="00EB62AB" w:rsidRDefault="001052B5" w:rsidP="00A20CA7">
            <w:pPr>
              <w:pStyle w:val="paragraph"/>
              <w:spacing w:after="0"/>
              <w:textAlignment w:val="baseline"/>
              <w:rPr>
                <w:color w:val="000000" w:themeColor="text1"/>
                <w:sz w:val="18"/>
                <w:szCs w:val="18"/>
                <w:lang w:val="pl-PL"/>
              </w:rPr>
            </w:pPr>
            <w:r w:rsidRPr="00EB62AB">
              <w:rPr>
                <w:color w:val="000000" w:themeColor="text1"/>
                <w:sz w:val="18"/>
                <w:szCs w:val="18"/>
                <w:lang w:val="pl-PL"/>
              </w:rPr>
              <w:t>Co najmniej 50 projektów na podstawie podpisanych umów zostanie sfinalizowanych.</w:t>
            </w:r>
            <w:r w:rsidRPr="00EB62AB">
              <w:rPr>
                <w:color w:val="000000" w:themeColor="text1"/>
                <w:sz w:val="18"/>
                <w:szCs w:val="18"/>
                <w:lang w:val="pl-PL"/>
              </w:rPr>
              <w:br/>
              <w:t xml:space="preserve"> </w:t>
            </w:r>
            <w:r w:rsidRPr="00EB62AB">
              <w:rPr>
                <w:color w:val="000000" w:themeColor="text1"/>
                <w:sz w:val="18"/>
                <w:szCs w:val="18"/>
                <w:lang w:val="pl-PL"/>
              </w:rPr>
              <w:br/>
              <w:t>Projekty powinny przyczynić się do realizacji celu, jakim jest rozwój opieki długoterminowej i opieki geriatrycznej w szpitalach powiatowych, poprzez zwiększenie jej dostępności, sprzyjanie wszechstronnemu dostępowi oraz poprawę jakości. Projekty będą wspierać niezbędne prace budowlane lub remontowe oraz zakup sprzętu.</w:t>
            </w:r>
          </w:p>
        </w:tc>
      </w:tr>
      <w:tr w:rsidR="001052B5" w:rsidRPr="009D378C" w14:paraId="3D9218CD"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8A45AD"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D6L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9FB9B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D3.2. Stworzenie sprzyjających warunków dla rozwoju </w:t>
            </w:r>
            <w:r w:rsidRPr="00EB62AB">
              <w:rPr>
                <w:rFonts w:ascii="Times New Roman" w:eastAsia="Times New Roman" w:hAnsi="Times New Roman" w:cs="Times New Roman"/>
                <w:color w:val="000000" w:themeColor="text1"/>
                <w:sz w:val="18"/>
                <w:szCs w:val="18"/>
                <w:lang w:val="pl-PL"/>
              </w:rPr>
              <w:lastRenderedPageBreak/>
              <w:t>sektora leków i wyrobów medycznych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A4805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lastRenderedPageBreak/>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DC61CC"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 xml:space="preserve">Wejście w życie aktu prawnego w sprawie zapewnienia bezpieczeństwa dostaw leków, w tym </w:t>
            </w:r>
            <w:r w:rsidRPr="00EB62AB">
              <w:rPr>
                <w:rFonts w:ascii="Times New Roman" w:hAnsi="Times New Roman" w:cs="Times New Roman"/>
                <w:color w:val="000000" w:themeColor="text1"/>
                <w:sz w:val="18"/>
                <w:szCs w:val="18"/>
                <w:lang w:val="pl-PL"/>
              </w:rPr>
              <w:lastRenderedPageBreak/>
              <w:t>rozwiązania problemu niedoborów leków i najważniejszych słabych punktów w łańcuchach dostaw.</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A0AC66" w14:textId="69C49F04" w:rsidR="001052B5" w:rsidRPr="00EB62AB" w:rsidRDefault="00E5768F"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5768F">
              <w:rPr>
                <w:rFonts w:ascii="Times New Roman" w:eastAsia="Times New Roman" w:hAnsi="Times New Roman" w:cs="Times New Roman"/>
                <w:color w:val="000000"/>
                <w:sz w:val="18"/>
                <w:szCs w:val="18"/>
                <w:lang w:val="pl-PL"/>
              </w:rPr>
              <w:lastRenderedPageBreak/>
              <w:t xml:space="preserve">Przepis aktu prawnego wskazujący </w:t>
            </w:r>
            <w:r w:rsidRPr="00E5768F">
              <w:rPr>
                <w:rFonts w:ascii="Times New Roman" w:eastAsia="Times New Roman" w:hAnsi="Times New Roman" w:cs="Times New Roman"/>
                <w:color w:val="000000"/>
                <w:sz w:val="18"/>
                <w:szCs w:val="18"/>
                <w:lang w:val="pl-PL"/>
              </w:rPr>
              <w:lastRenderedPageBreak/>
              <w:t>na wejście w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027E0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lastRenderedPageBreak/>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8A1A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4DC9A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3EB51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B4D7A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 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C27F15"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Wejście w życie ustawy wprowadzającej ramy regulacyjne mające na celu zwiększenie produkcji leków i aktywnych substancji farmaceutycznych (API) w Polsce. Przyczyni się to do zwiększenia bezpieczeństwa dostaw leków o krytycznym znaczeniu. Akt zawiera:</w:t>
            </w:r>
            <w:r w:rsidRPr="00EB62AB">
              <w:rPr>
                <w:color w:val="000000" w:themeColor="text1"/>
                <w:sz w:val="18"/>
                <w:szCs w:val="18"/>
                <w:lang w:val="pl-PL"/>
              </w:rPr>
              <w:br/>
            </w:r>
            <w:r w:rsidRPr="00EB62AB">
              <w:rPr>
                <w:color w:val="000000" w:themeColor="text1"/>
                <w:sz w:val="18"/>
                <w:szCs w:val="18"/>
                <w:lang w:val="pl-PL"/>
              </w:rPr>
              <w:lastRenderedPageBreak/>
              <w:t>- wzmocnienie ram analitycznych do identyfikacji luk i podatności dostaw krytycznych API w Polsce, w tym pracy zespołu zadaniowego API;</w:t>
            </w:r>
            <w:r w:rsidRPr="00EB62AB">
              <w:rPr>
                <w:color w:val="000000" w:themeColor="text1"/>
                <w:sz w:val="18"/>
                <w:szCs w:val="18"/>
                <w:lang w:val="pl-PL"/>
              </w:rPr>
              <w:br/>
              <w:t xml:space="preserve">- upoważnienie odpowiedniego ministerstwa do przyjęcia w drodze rozporządzenia wykazu kluczowych API (w tym stosowanych w lekach zastrzeżonych, </w:t>
            </w:r>
            <w:proofErr w:type="spellStart"/>
            <w:r w:rsidRPr="00EB62AB">
              <w:rPr>
                <w:color w:val="000000" w:themeColor="text1"/>
                <w:sz w:val="18"/>
                <w:szCs w:val="18"/>
                <w:lang w:val="pl-PL"/>
              </w:rPr>
              <w:t>biopodobnych</w:t>
            </w:r>
            <w:proofErr w:type="spellEnd"/>
            <w:r w:rsidRPr="00EB62AB">
              <w:rPr>
                <w:color w:val="000000" w:themeColor="text1"/>
                <w:sz w:val="18"/>
                <w:szCs w:val="18"/>
                <w:lang w:val="pl-PL"/>
              </w:rPr>
              <w:t xml:space="preserve"> i generycznych), które mają zostać opracowane; oraz</w:t>
            </w:r>
            <w:r w:rsidRPr="00EB62AB">
              <w:rPr>
                <w:color w:val="000000" w:themeColor="text1"/>
                <w:sz w:val="18"/>
                <w:szCs w:val="18"/>
                <w:lang w:val="pl-PL"/>
              </w:rPr>
              <w:br/>
              <w:t>- ramy wprowadzające zachęty dla przedsiębiorców wytwarzających produkty lecznicze w Polsce. Te zachęty i wszelkie udzielane wsparcie opierają się na jasnych, przejrzystych i niedyskryminacyjnych kryteriach.</w:t>
            </w:r>
            <w:r w:rsidRPr="00EB62AB">
              <w:rPr>
                <w:color w:val="000000" w:themeColor="text1"/>
                <w:sz w:val="18"/>
                <w:szCs w:val="18"/>
                <w:lang w:val="pl-PL"/>
              </w:rPr>
              <w:br/>
              <w:t xml:space="preserve"> </w:t>
            </w:r>
            <w:r w:rsidRPr="00EB62AB">
              <w:rPr>
                <w:color w:val="000000" w:themeColor="text1"/>
                <w:sz w:val="18"/>
                <w:szCs w:val="18"/>
                <w:lang w:val="pl-PL"/>
              </w:rPr>
              <w:br/>
              <w:t>Ustawa przyczyni się do realizacji Strategii Farmaceutycznej dla Europy, w szczególności w zakresie zwiększenia autonomii strategicznej w zakresie dostępności leków w UE.</w:t>
            </w:r>
          </w:p>
        </w:tc>
      </w:tr>
      <w:tr w:rsidR="001052B5" w:rsidRPr="009D378C" w14:paraId="67F387E5"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CE57F3"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D7L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10D93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D3.2.1 Rozwój potencjału sektora leków i wyrobów medycznych – inwestycje związane z produkcją w Polsce API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93DC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743411"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lang w:val="pl-PL"/>
              </w:rPr>
            </w:pPr>
            <w:r w:rsidRPr="00EB62AB">
              <w:rPr>
                <w:rFonts w:ascii="Times New Roman" w:hAnsi="Times New Roman" w:cs="Times New Roman"/>
                <w:color w:val="000000" w:themeColor="text1"/>
                <w:sz w:val="18"/>
                <w:szCs w:val="18"/>
                <w:lang w:val="pl-PL"/>
              </w:rPr>
              <w:t xml:space="preserve">Wybór do wsparcia projektów prac produkcyjnych API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FE472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Publikacja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D120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A9E62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EFE60D"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93FC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F1E62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174D0C"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 xml:space="preserve">Lista wybranych projektów tworzenia lub rozszerzania zdolności produkcyjnych w obszarze API (w tym API własnościowych, </w:t>
            </w:r>
            <w:proofErr w:type="spellStart"/>
            <w:r w:rsidRPr="00EB62AB">
              <w:rPr>
                <w:color w:val="000000" w:themeColor="text1"/>
                <w:sz w:val="18"/>
                <w:szCs w:val="18"/>
                <w:lang w:val="pl-PL"/>
              </w:rPr>
              <w:t>biopodobnych</w:t>
            </w:r>
            <w:proofErr w:type="spellEnd"/>
            <w:r w:rsidRPr="00EB62AB">
              <w:rPr>
                <w:color w:val="000000" w:themeColor="text1"/>
                <w:sz w:val="18"/>
                <w:szCs w:val="18"/>
                <w:lang w:val="pl-PL"/>
              </w:rPr>
              <w:t xml:space="preserve"> i generycznych) oraz powiązanych wyrobów medycznych zostanie wybrana w wyniku zaproszenia do składania wniosków.</w:t>
            </w:r>
            <w:r w:rsidRPr="00EB62AB">
              <w:rPr>
                <w:color w:val="000000" w:themeColor="text1"/>
                <w:sz w:val="18"/>
                <w:szCs w:val="18"/>
                <w:lang w:val="pl-PL"/>
              </w:rPr>
              <w:br/>
            </w:r>
            <w:r w:rsidRPr="00EB62AB">
              <w:rPr>
                <w:color w:val="000000" w:themeColor="text1"/>
                <w:sz w:val="18"/>
                <w:szCs w:val="18"/>
                <w:lang w:val="pl-PL"/>
              </w:rPr>
              <w:br/>
              <w:t>Kryteria wyboru zawarte w zaproszeniu do składania wniosków muszą być niedyskryminacyjne i przejrzyste. Powinny one zawierać wymóg, aby projekty przyczyniały się do tworzenia krytycznych interfejsów API. W tym celu przed ogłoszeniem konkursu zostanie sporządzona lista krytycznych API w oparciu o ramy analityczne identyfikacji luk i podatności w dostawie krytycznych API w Polsce.</w:t>
            </w:r>
            <w:r w:rsidRPr="00EB62AB">
              <w:rPr>
                <w:color w:val="000000" w:themeColor="text1"/>
                <w:sz w:val="18"/>
                <w:szCs w:val="18"/>
                <w:lang w:val="pl-PL"/>
              </w:rPr>
              <w:br/>
            </w:r>
            <w:r w:rsidRPr="00EB62AB">
              <w:rPr>
                <w:color w:val="000000" w:themeColor="text1"/>
                <w:sz w:val="18"/>
                <w:szCs w:val="18"/>
                <w:lang w:val="pl-PL"/>
              </w:rPr>
              <w:br/>
              <w:t>Wybór projektów musi spełniać następujące warunki:</w:t>
            </w:r>
            <w:r w:rsidRPr="00EB62AB">
              <w:rPr>
                <w:color w:val="000000" w:themeColor="text1"/>
                <w:sz w:val="18"/>
                <w:szCs w:val="18"/>
                <w:lang w:val="pl-PL"/>
              </w:rPr>
              <w:br/>
              <w:t>- projekt powinien obsługiwać API, które jest wskazaną listą krytycznych API, oraz</w:t>
            </w:r>
            <w:r w:rsidRPr="00EB62AB">
              <w:rPr>
                <w:color w:val="000000" w:themeColor="text1"/>
                <w:sz w:val="18"/>
                <w:szCs w:val="18"/>
                <w:lang w:val="pl-PL"/>
              </w:rPr>
              <w:br/>
              <w:t>- projekt wykazuje, w jaki sposób przyczynia się do realizacji ogólnych celów lub ma kluczowe znaczenie dla bezpieczeństwa dostaw leków o krytycznym znaczeniu, zgodnie z ramami regulacyjnymi.</w:t>
            </w:r>
            <w:r w:rsidRPr="00EB62AB">
              <w:rPr>
                <w:color w:val="000000" w:themeColor="text1"/>
                <w:sz w:val="18"/>
                <w:szCs w:val="18"/>
                <w:lang w:val="pl-PL"/>
              </w:rPr>
              <w:br/>
              <w:t>- projekt ma czytelny harmonogram, wskazujący daty kluczowych kamieni milowych</w:t>
            </w:r>
          </w:p>
        </w:tc>
      </w:tr>
      <w:tr w:rsidR="001052B5" w:rsidRPr="009D378C" w14:paraId="25D802BC" w14:textId="77777777" w:rsidTr="00A20CA7">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B1416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D8L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278EE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D3.2.1 Rozwój potencjału sektora leków i wyrobów </w:t>
            </w:r>
            <w:r w:rsidRPr="00EB62AB">
              <w:rPr>
                <w:rFonts w:ascii="Times New Roman" w:eastAsia="Times New Roman" w:hAnsi="Times New Roman" w:cs="Times New Roman"/>
                <w:color w:val="000000" w:themeColor="text1"/>
                <w:sz w:val="18"/>
                <w:szCs w:val="18"/>
                <w:lang w:val="pl-PL"/>
              </w:rPr>
              <w:lastRenderedPageBreak/>
              <w:t>medycznych – inwestycje związane z produkcją w Polsce API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A2C08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lastRenderedPageBreak/>
              <w:t>wskaźnik</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C12894" w14:textId="77777777" w:rsidR="001052B5" w:rsidRPr="00EB62AB" w:rsidRDefault="001052B5" w:rsidP="00A20CA7">
            <w:pPr>
              <w:pStyle w:val="Normal0"/>
              <w:pBdr>
                <w:top w:val="nil"/>
                <w:left w:val="nil"/>
                <w:bottom w:val="nil"/>
                <w:right w:val="nil"/>
                <w:between w:val="nil"/>
              </w:pBdr>
              <w:rPr>
                <w:rFonts w:ascii="Times New Roman" w:hAnsi="Times New Roman" w:cs="Times New Roman"/>
                <w:color w:val="000000" w:themeColor="text1"/>
                <w:sz w:val="18"/>
                <w:szCs w:val="18"/>
              </w:rPr>
            </w:pPr>
            <w:proofErr w:type="spellStart"/>
            <w:r w:rsidRPr="00EB62AB">
              <w:rPr>
                <w:rFonts w:ascii="Times New Roman" w:hAnsi="Times New Roman" w:cs="Times New Roman"/>
                <w:color w:val="000000" w:themeColor="text1"/>
                <w:sz w:val="18"/>
                <w:szCs w:val="18"/>
              </w:rPr>
              <w:t>Liczba</w:t>
            </w:r>
            <w:proofErr w:type="spellEnd"/>
            <w:r w:rsidRPr="00EB62AB">
              <w:rPr>
                <w:rFonts w:ascii="Times New Roman" w:hAnsi="Times New Roman" w:cs="Times New Roman"/>
                <w:color w:val="000000" w:themeColor="text1"/>
                <w:sz w:val="18"/>
                <w:szCs w:val="18"/>
              </w:rPr>
              <w:t xml:space="preserve"> </w:t>
            </w:r>
            <w:proofErr w:type="spellStart"/>
            <w:r w:rsidRPr="00EB62AB">
              <w:rPr>
                <w:rFonts w:ascii="Times New Roman" w:hAnsi="Times New Roman" w:cs="Times New Roman"/>
                <w:color w:val="000000" w:themeColor="text1"/>
                <w:sz w:val="18"/>
                <w:szCs w:val="18"/>
              </w:rPr>
              <w:t>wspartych</w:t>
            </w:r>
            <w:proofErr w:type="spellEnd"/>
            <w:r w:rsidRPr="00EB62AB">
              <w:rPr>
                <w:rFonts w:ascii="Times New Roman" w:hAnsi="Times New Roman" w:cs="Times New Roman"/>
                <w:color w:val="000000" w:themeColor="text1"/>
                <w:sz w:val="18"/>
                <w:szCs w:val="18"/>
              </w:rPr>
              <w:t xml:space="preserve"> </w:t>
            </w:r>
            <w:proofErr w:type="spellStart"/>
            <w:r w:rsidRPr="00EB62AB">
              <w:rPr>
                <w:rFonts w:ascii="Times New Roman" w:hAnsi="Times New Roman" w:cs="Times New Roman"/>
                <w:color w:val="000000" w:themeColor="text1"/>
                <w:sz w:val="18"/>
                <w:szCs w:val="18"/>
              </w:rPr>
              <w:t>krytycznych</w:t>
            </w:r>
            <w:proofErr w:type="spellEnd"/>
            <w:r w:rsidRPr="00EB62AB">
              <w:rPr>
                <w:rFonts w:ascii="Times New Roman" w:hAnsi="Times New Roman" w:cs="Times New Roman"/>
                <w:color w:val="000000" w:themeColor="text1"/>
                <w:sz w:val="18"/>
                <w:szCs w:val="18"/>
              </w:rPr>
              <w:t xml:space="preserve"> API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3E835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40943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81E682"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74C06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04F0B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3DED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D8E50E" w14:textId="77777777" w:rsidR="001052B5" w:rsidRPr="00EB62AB" w:rsidRDefault="001052B5" w:rsidP="00A20CA7">
            <w:pPr>
              <w:pStyle w:val="paragraph"/>
              <w:textAlignment w:val="baseline"/>
              <w:rPr>
                <w:color w:val="000000" w:themeColor="text1"/>
                <w:sz w:val="18"/>
                <w:szCs w:val="18"/>
                <w:lang w:val="pl-PL"/>
              </w:rPr>
            </w:pPr>
            <w:r w:rsidRPr="00EB62AB">
              <w:rPr>
                <w:color w:val="000000" w:themeColor="text1"/>
                <w:sz w:val="18"/>
                <w:szCs w:val="18"/>
                <w:lang w:val="pl-PL"/>
              </w:rPr>
              <w:t>Liczba krytycznych Aktywnych Składników Farmaceutycznych (API) i wyrobów medycznych, wspieranych przez projekty finansowane przez RRF.</w:t>
            </w:r>
            <w:r w:rsidRPr="00EB62AB">
              <w:rPr>
                <w:color w:val="000000" w:themeColor="text1"/>
                <w:sz w:val="18"/>
                <w:szCs w:val="18"/>
                <w:lang w:val="pl-PL"/>
              </w:rPr>
              <w:br/>
            </w:r>
            <w:r w:rsidRPr="00EB62AB">
              <w:rPr>
                <w:color w:val="000000" w:themeColor="text1"/>
                <w:sz w:val="18"/>
                <w:szCs w:val="18"/>
                <w:lang w:val="pl-PL"/>
              </w:rPr>
              <w:lastRenderedPageBreak/>
              <w:t xml:space="preserve"> </w:t>
            </w:r>
            <w:r w:rsidRPr="00EB62AB">
              <w:rPr>
                <w:color w:val="000000" w:themeColor="text1"/>
                <w:sz w:val="18"/>
                <w:szCs w:val="18"/>
                <w:lang w:val="pl-PL"/>
              </w:rPr>
              <w:br/>
              <w:t>Dokumentacja projektowa powinna zawierać:</w:t>
            </w:r>
            <w:r w:rsidRPr="00EB62AB">
              <w:rPr>
                <w:color w:val="000000" w:themeColor="text1"/>
                <w:sz w:val="18"/>
                <w:szCs w:val="18"/>
                <w:lang w:val="pl-PL"/>
              </w:rPr>
              <w:br/>
              <w:t>• Identyfikację potencjalnych beneficjentów z powiązanymi wydatkami;</w:t>
            </w:r>
            <w:r w:rsidRPr="00EB62AB">
              <w:rPr>
                <w:color w:val="000000" w:themeColor="text1"/>
                <w:sz w:val="18"/>
                <w:szCs w:val="18"/>
                <w:lang w:val="pl-PL"/>
              </w:rPr>
              <w:br/>
              <w:t xml:space="preserve">• Listę krytycznych API (w tym API zastrzeżone, </w:t>
            </w:r>
            <w:proofErr w:type="spellStart"/>
            <w:r w:rsidRPr="00EB62AB">
              <w:rPr>
                <w:color w:val="000000" w:themeColor="text1"/>
                <w:sz w:val="18"/>
                <w:szCs w:val="18"/>
                <w:lang w:val="pl-PL"/>
              </w:rPr>
              <w:t>biopodobne</w:t>
            </w:r>
            <w:proofErr w:type="spellEnd"/>
            <w:r w:rsidRPr="00EB62AB">
              <w:rPr>
                <w:color w:val="000000" w:themeColor="text1"/>
                <w:sz w:val="18"/>
                <w:szCs w:val="18"/>
                <w:lang w:val="pl-PL"/>
              </w:rPr>
              <w:t xml:space="preserve"> i generyczne), które każdy projekt ma wspierać;</w:t>
            </w:r>
            <w:r w:rsidRPr="00EB62AB">
              <w:rPr>
                <w:color w:val="000000" w:themeColor="text1"/>
                <w:sz w:val="18"/>
                <w:szCs w:val="18"/>
                <w:lang w:val="pl-PL"/>
              </w:rPr>
              <w:br/>
              <w:t>• Analizę, w jaki sposób projekt przyczyni się do osiągnięcia celu, jakim jest zwiększenie bezpieczeństwa dostaw leków o krytycznym znaczeniu.</w:t>
            </w:r>
          </w:p>
        </w:tc>
      </w:tr>
    </w:tbl>
    <w:p w14:paraId="0554BDFA" w14:textId="77777777" w:rsidR="001052B5" w:rsidRDefault="001052B5" w:rsidP="0033239E">
      <w:pPr>
        <w:pStyle w:val="Normal0"/>
        <w:pBdr>
          <w:top w:val="nil"/>
          <w:left w:val="nil"/>
          <w:bottom w:val="nil"/>
          <w:right w:val="nil"/>
          <w:between w:val="nil"/>
        </w:pBdr>
        <w:spacing w:before="120" w:after="120" w:line="240" w:lineRule="auto"/>
        <w:rPr>
          <w:rFonts w:ascii="Times New Roman" w:hAnsi="Times New Roman"/>
          <w:b/>
          <w:bCs/>
          <w:color w:val="000000" w:themeColor="text1"/>
          <w:sz w:val="24"/>
          <w:szCs w:val="24"/>
          <w:lang w:val="pl-PL"/>
        </w:rPr>
      </w:pPr>
    </w:p>
    <w:p w14:paraId="299D8616" w14:textId="2595F7EB" w:rsidR="001052B5" w:rsidRPr="00AF7348" w:rsidRDefault="001052B5" w:rsidP="0033239E">
      <w:pPr>
        <w:pStyle w:val="Normal0"/>
        <w:pBdr>
          <w:top w:val="nil"/>
          <w:left w:val="nil"/>
          <w:bottom w:val="nil"/>
          <w:right w:val="nil"/>
          <w:between w:val="nil"/>
        </w:pBdr>
        <w:spacing w:before="120" w:after="120" w:line="240" w:lineRule="auto"/>
        <w:rPr>
          <w:rFonts w:ascii="Times New Roman" w:eastAsia="Times New Roman" w:hAnsi="Times New Roman" w:cs="Times New Roman"/>
          <w:i/>
          <w:iCs/>
          <w:color w:val="4F81BD"/>
          <w:sz w:val="24"/>
          <w:szCs w:val="24"/>
          <w:lang w:val="pl-PL"/>
        </w:rPr>
        <w:sectPr w:rsidR="001052B5" w:rsidRPr="00AF7348" w:rsidSect="009B6BB9">
          <w:headerReference w:type="even" r:id="rId99"/>
          <w:headerReference w:type="default" r:id="rId100"/>
          <w:footerReference w:type="even" r:id="rId101"/>
          <w:footerReference w:type="default" r:id="rId102"/>
          <w:headerReference w:type="first" r:id="rId103"/>
          <w:footerReference w:type="first" r:id="rId104"/>
          <w:pgSz w:w="16839" w:h="11907" w:orient="landscape"/>
          <w:pgMar w:top="720" w:right="720" w:bottom="720" w:left="720" w:header="709" w:footer="709" w:gutter="0"/>
          <w:cols w:space="720"/>
          <w:docGrid w:linePitch="299"/>
        </w:sectPr>
      </w:pPr>
    </w:p>
    <w:p w14:paraId="59A5EB6B" w14:textId="77777777" w:rsidR="007C4506" w:rsidRPr="00AF7348"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color w:val="000000"/>
          <w:sz w:val="24"/>
          <w:szCs w:val="24"/>
          <w:lang w:val="pl-PL"/>
        </w:rPr>
      </w:pPr>
      <w:r w:rsidRPr="00AF7348">
        <w:rPr>
          <w:rFonts w:ascii="Times New Roman" w:eastAsia="Times New Roman" w:hAnsi="Times New Roman" w:cs="Times New Roman"/>
          <w:b/>
          <w:bCs/>
          <w:smallCaps/>
          <w:color w:val="000000"/>
          <w:sz w:val="24"/>
          <w:szCs w:val="24"/>
          <w:lang w:val="pl-PL"/>
        </w:rPr>
        <w:lastRenderedPageBreak/>
        <w:t>E. KOMPONENT E: ZIELONA, INTELIGENTNA MOBILNOŚĆ</w:t>
      </w:r>
    </w:p>
    <w:p w14:paraId="5A9030EE" w14:textId="61AFBE22" w:rsidR="007C4506" w:rsidRPr="00AF7348" w:rsidRDefault="01E2AC56">
      <w:pPr>
        <w:pStyle w:val="Norm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Ten komponent Krajowego Planu Odbudowy i Zwiększania Odporności (KPO) dotyczy przede wszystkim wyzwań stojących przed polskim sektorem transportowym w zakresie dekarbonizacji i zanieczyszczenia powietrza. Od 1990 r. emisje z transportu wzrosły o 214%, głównie z powodu intensywnego rozwoju transportu drogowego. W latach 2005-2019 ruch drogowy zwiększył się prawie trzykrotnie, podczas gdy w transporcie kolejowym wzrost ten wyniósł zaledwie 9%. W ramach tego komponentu dąży się do osiągnięcia synergii pomiędzy dekarbonizacją a rozwojem transportu. Biorąc pod uwagę utrzymującą się wysoką liczbę ofiar śmiertelnych wypadków drogowych w kraju, kolejnym wyzwaniem poruszanym w ramach komponentu jest bezpieczeństwo na drogach. Komponent zajmuje się również kwestią wykluczenia niektórych obszarów z realnej oferty transportu publicznego.</w:t>
      </w:r>
    </w:p>
    <w:p w14:paraId="7724F607" w14:textId="77777777" w:rsidR="007C4506" w:rsidRPr="00AF7348" w:rsidRDefault="110E162E">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Głównym zadaniem tego komponentu jest wprowadzenie reform i inwestycji promujących zrównoważony transport, z wykorzystaniem publicznego transportu miejskiego, ekologicznych pojazdów i związanej z nimi infrastruktury, zamiany transportu drogowego na kolejowy oraz rozwój transportu intermodalnego. Aspekty związane z konkurencyjnością są uwzględniane poprzez wsparcie inwestycyjne dla przedsiębiorstw służące rozwojowi </w:t>
      </w:r>
      <w:proofErr w:type="spellStart"/>
      <w:r w:rsidRPr="00AF7348">
        <w:rPr>
          <w:rFonts w:ascii="Times New Roman" w:eastAsia="Times New Roman" w:hAnsi="Times New Roman" w:cs="Times New Roman"/>
          <w:color w:val="000000" w:themeColor="text1"/>
          <w:sz w:val="24"/>
          <w:szCs w:val="24"/>
          <w:lang w:val="pl-PL"/>
        </w:rPr>
        <w:t>bezemisyjnych</w:t>
      </w:r>
      <w:proofErr w:type="spellEnd"/>
      <w:r w:rsidRPr="00AF7348">
        <w:rPr>
          <w:rFonts w:ascii="Times New Roman" w:eastAsia="Times New Roman" w:hAnsi="Times New Roman" w:cs="Times New Roman"/>
          <w:color w:val="000000" w:themeColor="text1"/>
          <w:sz w:val="24"/>
          <w:szCs w:val="24"/>
          <w:lang w:val="pl-PL"/>
        </w:rPr>
        <w:t xml:space="preserve"> technologii transportowych. Bezpieczeństwo ruchu drogowego jest przedmiotem kompleksowych reform i inwestycji w poprawę bezpieczeństwa na określonych odcinkach dróg. Inwestycje w publiczny transport wiejski mają na celu uczynienie z tego rodzaju transportu realnej alternatywy dla samochodów oraz zwiększenie spójności i integracji gospodarczej oraz społecznej. </w:t>
      </w:r>
    </w:p>
    <w:p w14:paraId="30F04CC4" w14:textId="3EBD5C39" w:rsidR="007C4506" w:rsidRPr="00AF7348" w:rsidRDefault="110E162E">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Komponent wspiera realizację zaleceń krajowych (</w:t>
      </w:r>
      <w:r w:rsidRPr="00AF7348">
        <w:rPr>
          <w:rFonts w:ascii="Times New Roman" w:eastAsia="Times New Roman" w:hAnsi="Times New Roman" w:cs="Times New Roman"/>
          <w:i/>
          <w:iCs/>
          <w:color w:val="000000" w:themeColor="text1"/>
          <w:sz w:val="24"/>
          <w:szCs w:val="24"/>
          <w:lang w:val="pl-PL"/>
        </w:rPr>
        <w:t>Country-</w:t>
      </w:r>
      <w:proofErr w:type="spellStart"/>
      <w:r w:rsidRPr="00AF7348">
        <w:rPr>
          <w:rFonts w:ascii="Times New Roman" w:eastAsia="Times New Roman" w:hAnsi="Times New Roman" w:cs="Times New Roman"/>
          <w:i/>
          <w:iCs/>
          <w:color w:val="000000" w:themeColor="text1"/>
          <w:sz w:val="24"/>
          <w:szCs w:val="24"/>
          <w:lang w:val="pl-PL"/>
        </w:rPr>
        <w:t>Specific</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Recommendations</w:t>
      </w:r>
      <w:proofErr w:type="spellEnd"/>
      <w:r w:rsidRPr="00AF7348">
        <w:rPr>
          <w:rFonts w:ascii="Times New Roman" w:eastAsia="Times New Roman" w:hAnsi="Times New Roman" w:cs="Times New Roman"/>
          <w:i/>
          <w:iCs/>
          <w:color w:val="000000" w:themeColor="text1"/>
          <w:sz w:val="24"/>
          <w:szCs w:val="24"/>
          <w:lang w:val="pl-PL"/>
        </w:rPr>
        <w:t>, CSR</w:t>
      </w:r>
      <w:r w:rsidRPr="00AF7348">
        <w:rPr>
          <w:rFonts w:ascii="Times New Roman" w:eastAsia="Times New Roman" w:hAnsi="Times New Roman" w:cs="Times New Roman"/>
          <w:color w:val="000000" w:themeColor="text1"/>
          <w:sz w:val="24"/>
          <w:szCs w:val="24"/>
          <w:lang w:val="pl-PL"/>
        </w:rPr>
        <w:t>) dotyczących ukierunkowania polityki gospodarczej związanej z inwestycjami na innowacje, transport, w szczególności na jego zrównoważony rozwój, infrastrukturę cyfrową i energetyczną, opiekę zdrowotną i czystą energię, z uwzględnieniem różnic regionalnych (CSR 3, 2019) oraz jej koncentracji na zielonych inwestycjach i inwestycjach w cyfrową transformację, w szczególności w infrastrukturę cyfrową, czystą i efektywną produkcję i wykorzystanie energii oraz zrównoważony transport, co przyczyni się do stopniowej dekarbonizacji gospodarki, w tym w regionach górniczych (CSR 3, 2020).</w:t>
      </w:r>
    </w:p>
    <w:p w14:paraId="57E02305" w14:textId="0AF82E37" w:rsidR="007C4506" w:rsidRPr="00AF7348" w:rsidRDefault="1A439CB2">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Oczekuje się, że żaden środek przewidziany w tym komponencie nie spowoduje znaczącej szkody dla celów środowiskowych w rozumieniu art. 17 Rozporządzenia (UE) 2020/852, biorąc pod uwagę opis środków i działań ograniczających określonych w </w:t>
      </w:r>
      <w:r w:rsidR="00DC73A1">
        <w:rPr>
          <w:rFonts w:ascii="Times New Roman" w:eastAsia="Times New Roman" w:hAnsi="Times New Roman" w:cs="Times New Roman"/>
          <w:color w:val="000000" w:themeColor="text1"/>
          <w:sz w:val="24"/>
          <w:szCs w:val="24"/>
          <w:lang w:val="pl-PL"/>
        </w:rPr>
        <w:t>K</w:t>
      </w:r>
      <w:r w:rsidRPr="00AF7348">
        <w:rPr>
          <w:rFonts w:ascii="Times New Roman" w:eastAsia="Times New Roman" w:hAnsi="Times New Roman" w:cs="Times New Roman"/>
          <w:color w:val="000000" w:themeColor="text1"/>
          <w:sz w:val="24"/>
          <w:szCs w:val="24"/>
          <w:lang w:val="pl-PL"/>
        </w:rPr>
        <w:t xml:space="preserve">rajowym </w:t>
      </w:r>
      <w:r w:rsidR="00DC73A1">
        <w:rPr>
          <w:rFonts w:ascii="Times New Roman" w:eastAsia="Times New Roman" w:hAnsi="Times New Roman" w:cs="Times New Roman"/>
          <w:color w:val="000000" w:themeColor="text1"/>
          <w:sz w:val="24"/>
          <w:szCs w:val="24"/>
          <w:lang w:val="pl-PL"/>
        </w:rPr>
        <w:t>P</w:t>
      </w:r>
      <w:r w:rsidRPr="00AF7348">
        <w:rPr>
          <w:rFonts w:ascii="Times New Roman" w:eastAsia="Times New Roman" w:hAnsi="Times New Roman" w:cs="Times New Roman"/>
          <w:color w:val="000000" w:themeColor="text1"/>
          <w:sz w:val="24"/>
          <w:szCs w:val="24"/>
          <w:lang w:val="pl-PL"/>
        </w:rPr>
        <w:t xml:space="preserve">lanie </w:t>
      </w:r>
      <w:r w:rsidR="00DC73A1">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dbudowy i </w:t>
      </w:r>
      <w:r w:rsidR="00DC73A1">
        <w:rPr>
          <w:rFonts w:ascii="Times New Roman" w:eastAsia="Times New Roman" w:hAnsi="Times New Roman" w:cs="Times New Roman"/>
          <w:color w:val="000000" w:themeColor="text1"/>
          <w:sz w:val="24"/>
          <w:szCs w:val="24"/>
          <w:lang w:val="pl-PL"/>
        </w:rPr>
        <w:t>Z</w:t>
      </w:r>
      <w:r w:rsidRPr="00AF7348">
        <w:rPr>
          <w:rFonts w:ascii="Times New Roman" w:eastAsia="Times New Roman" w:hAnsi="Times New Roman" w:cs="Times New Roman"/>
          <w:color w:val="000000" w:themeColor="text1"/>
          <w:sz w:val="24"/>
          <w:szCs w:val="24"/>
          <w:lang w:val="pl-PL"/>
        </w:rPr>
        <w:t xml:space="preserve">większania </w:t>
      </w:r>
      <w:r w:rsidR="00DC73A1">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dporności zgodnie z Wytycznymi Technicznymi Dotyczącymi Zasady DNSH - Nie Czyń Poważnych Szkód (</w:t>
      </w:r>
      <w:r w:rsidRPr="00DC73A1">
        <w:rPr>
          <w:rFonts w:ascii="Times New Roman" w:eastAsia="Times New Roman" w:hAnsi="Times New Roman" w:cs="Times New Roman"/>
          <w:i/>
          <w:iCs/>
          <w:color w:val="000000" w:themeColor="text1"/>
          <w:sz w:val="24"/>
          <w:szCs w:val="24"/>
          <w:lang w:val="pl-PL"/>
        </w:rPr>
        <w:t xml:space="preserve">DNSH Technical </w:t>
      </w:r>
      <w:proofErr w:type="spellStart"/>
      <w:r w:rsidRPr="00DC73A1">
        <w:rPr>
          <w:rFonts w:ascii="Times New Roman" w:eastAsia="Times New Roman" w:hAnsi="Times New Roman" w:cs="Times New Roman"/>
          <w:i/>
          <w:iCs/>
          <w:color w:val="000000" w:themeColor="text1"/>
          <w:sz w:val="24"/>
          <w:szCs w:val="24"/>
          <w:lang w:val="pl-PL"/>
        </w:rPr>
        <w:t>Guidance</w:t>
      </w:r>
      <w:proofErr w:type="spellEnd"/>
      <w:r w:rsidRPr="00DC73A1">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xml:space="preserve">). Wszystkie projekty inwestycyjne finansowane w ramach tego komponentu, które wymagają decyzji OOŚ, muszą być zgodne z Dyrektywą 2011/92/UE zmienioną Dyrektywą 2014/52/UE. W szczególności, wszystkie nowe projekty wymagające OOŚ muszą zostać zatwierdzone zgodnie z </w:t>
      </w:r>
      <w:r w:rsidRPr="00AF7348">
        <w:rPr>
          <w:rFonts w:ascii="Times New Roman" w:eastAsia="Times New Roman" w:hAnsi="Times New Roman" w:cs="Times New Roman"/>
          <w:i/>
          <w:iCs/>
          <w:color w:val="000000" w:themeColor="text1"/>
          <w:sz w:val="24"/>
          <w:szCs w:val="24"/>
          <w:lang w:val="pl-PL"/>
        </w:rPr>
        <w:t>Ustawą o udostępnianiu informacji o środowisku i jego ochronie, udziale społeczeństwa w ochronie środowiska oraz o ocenach oddziaływania na środowisko, zmienioną ustawą z dnia 30 marca 2021 r. o zmianie tej ustawy oraz niektórych innych ustaw.</w:t>
      </w:r>
      <w:r w:rsidRPr="00AF7348">
        <w:rPr>
          <w:rFonts w:ascii="Times New Roman" w:eastAsia="Times New Roman" w:hAnsi="Times New Roman" w:cs="Times New Roman"/>
          <w:color w:val="000000" w:themeColor="text1"/>
          <w:sz w:val="24"/>
          <w:szCs w:val="24"/>
          <w:lang w:val="pl-PL"/>
        </w:rPr>
        <w:t xml:space="preserve"> Postanowienia "</w:t>
      </w:r>
      <w:r w:rsidR="00DC73A1" w:rsidRPr="00DC73A1">
        <w:rPr>
          <w:rFonts w:ascii="Times New Roman" w:eastAsia="Times New Roman" w:hAnsi="Times New Roman" w:cs="Times New Roman"/>
          <w:color w:val="000000" w:themeColor="text1"/>
          <w:sz w:val="24"/>
          <w:szCs w:val="24"/>
          <w:lang w:val="pl-PL"/>
        </w:rPr>
        <w:t>Wytycznych w sprawie działań naprawczych w odniesieniu do projektów współfinansowanych z funduszy UE, w których wystąpiło naruszenie Rozporządzenia Wykonawczego 2016/2046</w:t>
      </w:r>
      <w:r w:rsidRPr="00AF7348">
        <w:rPr>
          <w:rFonts w:ascii="Times New Roman" w:eastAsia="Times New Roman" w:hAnsi="Times New Roman" w:cs="Times New Roman"/>
          <w:color w:val="000000" w:themeColor="text1"/>
          <w:sz w:val="24"/>
          <w:szCs w:val="24"/>
          <w:lang w:val="pl-PL"/>
        </w:rPr>
        <w:t xml:space="preserve">", przekazanych Polsce w dniu 23 lutego 2021 r. (sygn. Ares(2021)1423319), uwzględnia się przy realizacji wszystkich przedsięwzięć inwestycyjnych, dla których wystąpiono o wydanie decyzji o środowiskowych uwarunkowaniach lub </w:t>
      </w:r>
      <w:r w:rsidRPr="00AF7348">
        <w:rPr>
          <w:rFonts w:ascii="Times New Roman" w:eastAsia="Times New Roman" w:hAnsi="Times New Roman" w:cs="Times New Roman"/>
          <w:color w:val="000000" w:themeColor="text1"/>
          <w:sz w:val="24"/>
          <w:szCs w:val="24"/>
          <w:lang w:val="pl-PL"/>
        </w:rPr>
        <w:lastRenderedPageBreak/>
        <w:t>pozwolenia na budowę lub zagospodarowania terenu przed wejściem w życie ustawy z dnia 30 marca 2021 r.</w:t>
      </w:r>
    </w:p>
    <w:p w14:paraId="59D203D6" w14:textId="77777777" w:rsidR="00564A81" w:rsidRPr="00AF7348" w:rsidRDefault="00564A81"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themeColor="text1"/>
          <w:sz w:val="24"/>
          <w:szCs w:val="24"/>
          <w:lang w:val="pl-PL"/>
        </w:rPr>
      </w:pPr>
    </w:p>
    <w:p w14:paraId="47EE4D1F"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4"/>
          <w:szCs w:val="24"/>
          <w:lang w:val="pl-PL"/>
        </w:rPr>
      </w:pPr>
      <w:r w:rsidRPr="00AF7348">
        <w:rPr>
          <w:rFonts w:ascii="Times New Roman" w:hAnsi="Times New Roman" w:cs="Times New Roman"/>
          <w:b/>
          <w:bCs/>
          <w:color w:val="000000" w:themeColor="text1"/>
          <w:sz w:val="24"/>
          <w:szCs w:val="24"/>
          <w:lang w:val="pl-PL"/>
        </w:rPr>
        <w:t xml:space="preserve">E.1. </w:t>
      </w:r>
      <w:r w:rsidRPr="00AF7348">
        <w:rPr>
          <w:rFonts w:ascii="Times New Roman" w:hAnsi="Times New Roman" w:cs="Times New Roman"/>
          <w:color w:val="000000" w:themeColor="text1"/>
          <w:sz w:val="24"/>
          <w:szCs w:val="24"/>
          <w:lang w:val="pl-PL"/>
        </w:rPr>
        <w:tab/>
      </w:r>
      <w:r w:rsidRPr="00AF7348">
        <w:rPr>
          <w:rFonts w:ascii="Times New Roman" w:hAnsi="Times New Roman" w:cs="Times New Roman"/>
          <w:b/>
          <w:bCs/>
          <w:color w:val="000000" w:themeColor="text1"/>
          <w:sz w:val="24"/>
          <w:szCs w:val="24"/>
          <w:lang w:val="pl-PL"/>
        </w:rPr>
        <w:t>Opis reform i inwestycji, które mają być finansowane z bezzwrotnego wsparcia finansowego</w:t>
      </w:r>
    </w:p>
    <w:p w14:paraId="6F5CD9ED" w14:textId="77777777" w:rsidR="00D04678" w:rsidRPr="00AF7348" w:rsidRDefault="00D04678"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i/>
          <w:iCs/>
          <w:color w:val="000000"/>
          <w:sz w:val="24"/>
          <w:szCs w:val="24"/>
          <w:lang w:val="pl-PL"/>
        </w:rPr>
      </w:pPr>
    </w:p>
    <w:p w14:paraId="5EF90BB6"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E1.1 Wzrost wykorzystania transportu przyjaznego dla środowiska</w:t>
      </w:r>
    </w:p>
    <w:p w14:paraId="6E223EAA"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Celem reformy jest ograniczenie emisji gazów cieplarnianych i zanieczyszczeń powietrza pochodzących z transportu oraz zwiększenie udziału paliw alternatywnych, dzięki szerokiemu wachlarzowi środków regulacyjnych i </w:t>
      </w:r>
      <w:proofErr w:type="spellStart"/>
      <w:r w:rsidRPr="00AF7348">
        <w:rPr>
          <w:rFonts w:ascii="Times New Roman" w:eastAsia="Times New Roman" w:hAnsi="Times New Roman" w:cs="Times New Roman"/>
          <w:color w:val="000000" w:themeColor="text1"/>
          <w:sz w:val="24"/>
          <w:szCs w:val="24"/>
          <w:lang w:val="pl-PL"/>
        </w:rPr>
        <w:t>pozaregulacyjnych</w:t>
      </w:r>
      <w:proofErr w:type="spellEnd"/>
      <w:r w:rsidRPr="00AF7348">
        <w:rPr>
          <w:rFonts w:ascii="Times New Roman" w:eastAsia="Times New Roman" w:hAnsi="Times New Roman" w:cs="Times New Roman"/>
          <w:color w:val="000000" w:themeColor="text1"/>
          <w:sz w:val="24"/>
          <w:szCs w:val="24"/>
          <w:lang w:val="pl-PL"/>
        </w:rPr>
        <w:t>, wdrażanych jako część kompleksowej, długoterminowej strategii dekarbonizacji transportu.</w:t>
      </w:r>
    </w:p>
    <w:p w14:paraId="013C6093" w14:textId="52B0175E" w:rsidR="007C4506" w:rsidRPr="00AF7348" w:rsidRDefault="0B96D20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 pierwsze, ten cel reformy zostanie osiągnięty poprzez nałożenie na regionalne i lokalne władze publiczne obowiązku zakupu od 2025, w miastach o liczbie mieszkańców przekraczającej 100 000, wyłącznie autobusów nisko- i zeroemisyjnych. Wdrażanie reformy zostanie zakończone do 31 grudnia 2022 roku.</w:t>
      </w:r>
    </w:p>
    <w:p w14:paraId="037F87AE" w14:textId="2DEB9812"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Po drugie, reforma będzie zachęcać do korzystania z transportu przyjaznego dla środowiska za pośrednictwem szeregu środków wspierających władze lokalne w tworzeniu i wdrażaniu Planów Zrównoważonej Mobilności Miejskiej (</w:t>
      </w:r>
      <w:proofErr w:type="spellStart"/>
      <w:r w:rsidRPr="00AF7348">
        <w:rPr>
          <w:rFonts w:ascii="Times New Roman" w:eastAsia="Times New Roman" w:hAnsi="Times New Roman" w:cs="Times New Roman"/>
          <w:i/>
          <w:iCs/>
          <w:color w:val="000000" w:themeColor="text1"/>
          <w:sz w:val="24"/>
          <w:szCs w:val="24"/>
          <w:lang w:val="pl-PL"/>
        </w:rPr>
        <w:t>Sustainable</w:t>
      </w:r>
      <w:proofErr w:type="spellEnd"/>
      <w:r w:rsidRPr="00AF7348">
        <w:rPr>
          <w:rFonts w:ascii="Times New Roman" w:eastAsia="Times New Roman" w:hAnsi="Times New Roman" w:cs="Times New Roman"/>
          <w:i/>
          <w:iCs/>
          <w:color w:val="000000" w:themeColor="text1"/>
          <w:sz w:val="24"/>
          <w:szCs w:val="24"/>
          <w:lang w:val="pl-PL"/>
        </w:rPr>
        <w:t xml:space="preserve"> Urban </w:t>
      </w:r>
      <w:proofErr w:type="spellStart"/>
      <w:r w:rsidRPr="00AF7348">
        <w:rPr>
          <w:rFonts w:ascii="Times New Roman" w:eastAsia="Times New Roman" w:hAnsi="Times New Roman" w:cs="Times New Roman"/>
          <w:i/>
          <w:iCs/>
          <w:color w:val="000000" w:themeColor="text1"/>
          <w:sz w:val="24"/>
          <w:szCs w:val="24"/>
          <w:lang w:val="pl-PL"/>
        </w:rPr>
        <w:t>Mobility</w:t>
      </w:r>
      <w:proofErr w:type="spellEnd"/>
      <w:r w:rsidRPr="00AF7348">
        <w:rPr>
          <w:rFonts w:ascii="Times New Roman" w:eastAsia="Times New Roman" w:hAnsi="Times New Roman" w:cs="Times New Roman"/>
          <w:i/>
          <w:iCs/>
          <w:color w:val="000000" w:themeColor="text1"/>
          <w:sz w:val="24"/>
          <w:szCs w:val="24"/>
          <w:lang w:val="pl-PL"/>
        </w:rPr>
        <w:t xml:space="preserve"> Plan(s), SUMP</w:t>
      </w:r>
      <w:r w:rsidRPr="00AF7348">
        <w:rPr>
          <w:rFonts w:ascii="Times New Roman" w:eastAsia="Times New Roman" w:hAnsi="Times New Roman" w:cs="Times New Roman"/>
          <w:color w:val="000000" w:themeColor="text1"/>
          <w:sz w:val="24"/>
          <w:szCs w:val="24"/>
          <w:lang w:val="pl-PL"/>
        </w:rPr>
        <w:t xml:space="preserve">). Do 31 marca 2023 r. zostanie utworzona struktura administracyjna dysponująca odpowiednimi zasobami, zapewniająca wsparcie techniczne i finansowe przy opracowywaniu lokalnych SUMP. Postępy będą monitorowane pod kątem realizacji wyraźnie określonego celu. </w:t>
      </w:r>
    </w:p>
    <w:p w14:paraId="121B5272"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Trzecim elementem tej reformy będzie wprowadzenie do czerwca 2026 roku opłaty rejestracyjnej i podatku od posiadania pojazdów emitujących zanieczyszczenia, zgodnie z zasadą "zanieczyszczający płaci". Wpływ tej reformy, w połączeniu z innymi środkami, na upowszechnienie stosowania pojazdów ekologicznych będzie mierzony w odniesieniu do konkretnego celu dotyczącego zwiększenia udziału w ruchu pojazdów elektrycznych. </w:t>
      </w:r>
    </w:p>
    <w:p w14:paraId="4A66DB38"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Należy także określić konkretny cel dotyczący liczby linii autobusowych wspieranych przez Fundusz Rozwoju Przewozów Autobusowych, aby promować dostępność transportu publicznego. </w:t>
      </w:r>
    </w:p>
    <w:p w14:paraId="4EF7FBD7" w14:textId="2613453B" w:rsidR="007C4506" w:rsidRPr="00AF7348" w:rsidRDefault="071D57FA" w:rsidP="00F07CEA">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czerwca 2026 roku.</w:t>
      </w:r>
    </w:p>
    <w:p w14:paraId="27F045BF" w14:textId="77777777" w:rsidR="00E874D2" w:rsidRPr="00AF7348" w:rsidRDefault="00E874D2" w:rsidP="00F07CEA">
      <w:pPr>
        <w:pStyle w:val="Normal0"/>
        <w:spacing w:before="120" w:after="120" w:line="240" w:lineRule="auto"/>
        <w:jc w:val="both"/>
        <w:rPr>
          <w:rFonts w:ascii="Times New Roman" w:eastAsia="Times New Roman" w:hAnsi="Times New Roman" w:cs="Times New Roman"/>
          <w:color w:val="881798"/>
          <w:sz w:val="24"/>
          <w:szCs w:val="24"/>
          <w:u w:val="single"/>
          <w:lang w:val="pl-PL"/>
        </w:rPr>
      </w:pPr>
    </w:p>
    <w:p w14:paraId="5931D26E" w14:textId="77777777" w:rsidR="007C4506" w:rsidRPr="00AF7348"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E1.1.1 Wsparcie dla gospodarki niskoemisyjnej</w:t>
      </w:r>
    </w:p>
    <w:p w14:paraId="2E791449" w14:textId="23243934" w:rsidR="007C4506" w:rsidRPr="00AF7348" w:rsidRDefault="0B96D20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Ogólnym zadaniem inwestycji jest przyczynienie się do rozwoju gospodarki nisko- i zeroemisyjnej poprzez wspieranie przemysłu z branży "czystej" energii i mobilności. Celem szczegółowym inwestycji będzie zwiększenie potencjału wybranych sektorów w zakresie opracowywania zero- i niskoemisyjnych produktów.</w:t>
      </w:r>
    </w:p>
    <w:p w14:paraId="577E048B" w14:textId="15F099D0" w:rsidR="006C6079" w:rsidRPr="00AF7348" w:rsidRDefault="77A107F4" w:rsidP="008B24D6">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Powyższe zadanie będzie realizowane poprzez ustanowienie specjalnego instrumentu finansowego (</w:t>
      </w:r>
      <w:r w:rsidR="00B71530">
        <w:rPr>
          <w:rFonts w:ascii="Times New Roman" w:eastAsia="Times New Roman" w:hAnsi="Times New Roman" w:cs="Times New Roman"/>
          <w:color w:val="000000" w:themeColor="text1"/>
          <w:sz w:val="24"/>
          <w:szCs w:val="24"/>
          <w:lang w:val="pl-PL"/>
        </w:rPr>
        <w:t>f</w:t>
      </w:r>
      <w:r w:rsidRPr="00AF7348">
        <w:rPr>
          <w:rFonts w:ascii="Times New Roman" w:eastAsia="Times New Roman" w:hAnsi="Times New Roman" w:cs="Times New Roman"/>
          <w:color w:val="000000" w:themeColor="text1"/>
          <w:sz w:val="24"/>
          <w:szCs w:val="24"/>
          <w:lang w:val="pl-PL"/>
        </w:rPr>
        <w:t xml:space="preserve">unduszu) dla wyżej wymienionych projektów przemysłowych. Wspierane produkty i technologie mogą obejmować w szczególności procesy badawcze i innowacyjne, transfer technologii i współpracę między przedsiębiorstwami koncentrującymi się na gospodarce niskoemisyjnej, ze szczególnym uwzględnieniem innowacyjnych rozwiązań nisko- i zeroemisyjnych w dziedzinie zrównoważonej mobilności oraz zeroemisyjnych i niskoemisyjnych źródeł energii. Beneficjentami będą przede wszystkim MŚP oraz przedsiębiorstwa o średniej kapitalizacji. Fundusz ten, wraz ze strategią inwestycyjną, zostanie </w:t>
      </w:r>
      <w:r w:rsidRPr="00AF7348">
        <w:rPr>
          <w:rFonts w:ascii="Times New Roman" w:eastAsia="Times New Roman" w:hAnsi="Times New Roman" w:cs="Times New Roman"/>
          <w:color w:val="000000" w:themeColor="text1"/>
          <w:sz w:val="24"/>
          <w:szCs w:val="24"/>
          <w:lang w:val="pl-PL"/>
        </w:rPr>
        <w:lastRenderedPageBreak/>
        <w:t>utworzony do 30 czerwca 2022 roku. Wyniki funduszu w odniesieniu do jego zadań będą monitorowane za pomocą konkretnych celów związanych ze zdolnością do produkcji nowych pojazdów o zerowej emisji oraz zdolnością produkcyjną i zdolnością magazynową corocznie produkowanych instalacji magazynowych o zerowej emisji/niskiej emisji, jak również rozwiązań w zakresie zrównoważonej mobilności a także zeroemisyjnych i niskoemisyjnych źródeł energii (z wyłączeniem sprężonego gazu ziemnego (CNG) i skroplonego gazu ziemnego (LNG)). Dla zapewnienia zgodności działania z Wytycznymi Technicznymi Dotyczącymi Zasady DNSH - Nie Czyń Poważnych Szkód (</w:t>
      </w:r>
      <w:r w:rsidRPr="00AF7348">
        <w:rPr>
          <w:rFonts w:ascii="Times New Roman" w:eastAsia="Times New Roman" w:hAnsi="Times New Roman" w:cs="Times New Roman"/>
          <w:i/>
          <w:iCs/>
          <w:color w:val="000000" w:themeColor="text1"/>
          <w:sz w:val="24"/>
          <w:szCs w:val="24"/>
          <w:lang w:val="pl-PL"/>
        </w:rPr>
        <w:t xml:space="preserve">DNSH Technical </w:t>
      </w:r>
      <w:proofErr w:type="spellStart"/>
      <w:r w:rsidRPr="00AF7348">
        <w:rPr>
          <w:rFonts w:ascii="Times New Roman" w:eastAsia="Times New Roman" w:hAnsi="Times New Roman" w:cs="Times New Roman"/>
          <w:i/>
          <w:iCs/>
          <w:color w:val="000000" w:themeColor="text1"/>
          <w:sz w:val="24"/>
          <w:szCs w:val="24"/>
          <w:lang w:val="pl-PL"/>
        </w:rPr>
        <w:t>Guidance</w:t>
      </w:r>
      <w:proofErr w:type="spellEnd"/>
      <w:r w:rsidRPr="00AF7348">
        <w:rPr>
          <w:rFonts w:ascii="Times New Roman" w:eastAsia="Times New Roman" w:hAnsi="Times New Roman" w:cs="Times New Roman"/>
          <w:i/>
          <w:iCs/>
          <w:color w:val="000000" w:themeColor="text1"/>
          <w:sz w:val="24"/>
          <w:szCs w:val="24"/>
          <w:lang w:val="pl-PL"/>
        </w:rPr>
        <w:t>, 2021/C 58/01</w:t>
      </w:r>
      <w:r w:rsidRPr="00AF7348">
        <w:rPr>
          <w:rFonts w:ascii="Times New Roman" w:eastAsia="Times New Roman" w:hAnsi="Times New Roman" w:cs="Times New Roman"/>
          <w:color w:val="000000" w:themeColor="text1"/>
          <w:sz w:val="24"/>
          <w:szCs w:val="24"/>
          <w:lang w:val="pl-PL"/>
        </w:rPr>
        <w:t>), z kryteriów wyboru właściwych dla danego instrumentu finansowego należy wykluczyć następującą listę działań: (i) działalność związana z paliwami kopalnymi, w tym ich dalsze wykorzystanie</w:t>
      </w:r>
      <w:r w:rsidRPr="00AF7348">
        <w:rPr>
          <w:rStyle w:val="Odwoanieprzypisudolnego"/>
          <w:rFonts w:ascii="Times New Roman" w:eastAsia="Times New Roman" w:hAnsi="Times New Roman" w:cs="Times New Roman"/>
          <w:color w:val="000000" w:themeColor="text1"/>
          <w:sz w:val="24"/>
          <w:szCs w:val="24"/>
          <w:lang w:val="pl-PL"/>
        </w:rPr>
        <w:footnoteReference w:id="31"/>
      </w:r>
      <w:r w:rsidRPr="00AF7348">
        <w:rPr>
          <w:rFonts w:ascii="Times New Roman" w:eastAsia="Times New Roman" w:hAnsi="Times New Roman" w:cs="Times New Roman"/>
          <w:color w:val="000000" w:themeColor="text1"/>
          <w:sz w:val="24"/>
          <w:szCs w:val="24"/>
          <w:lang w:val="pl-PL"/>
        </w:rPr>
        <w:t>, (ii) działalność w ramach unijnego systemu handlu emisjami (ETS) osiągająca prognozowane emisje gazów cieplarnianych równe lub wyższe niż odpowiednie poziomy odniesienia</w:t>
      </w:r>
      <w:r w:rsidRPr="00AF7348">
        <w:rPr>
          <w:rStyle w:val="Odwoanieprzypisudolnego"/>
          <w:rFonts w:ascii="Times New Roman" w:eastAsia="Times New Roman" w:hAnsi="Times New Roman" w:cs="Times New Roman"/>
          <w:color w:val="000000" w:themeColor="text1"/>
          <w:sz w:val="24"/>
          <w:szCs w:val="24"/>
          <w:lang w:val="pl-PL"/>
        </w:rPr>
        <w:footnoteReference w:id="32"/>
      </w:r>
      <w:r w:rsidRPr="00AF7348">
        <w:rPr>
          <w:rFonts w:ascii="Times New Roman" w:eastAsia="Times New Roman" w:hAnsi="Times New Roman" w:cs="Times New Roman"/>
          <w:color w:val="000000" w:themeColor="text1"/>
          <w:sz w:val="24"/>
          <w:szCs w:val="24"/>
          <w:lang w:val="pl-PL"/>
        </w:rPr>
        <w:t>; (iii) działalność związana ze składowiskami odpadów, spalarniami</w:t>
      </w:r>
      <w:r w:rsidRPr="00AF7348">
        <w:rPr>
          <w:rStyle w:val="Odwoanieprzypisudolnego"/>
          <w:rFonts w:ascii="Times New Roman" w:eastAsia="Times New Roman" w:hAnsi="Times New Roman" w:cs="Times New Roman"/>
          <w:color w:val="000000" w:themeColor="text1"/>
          <w:sz w:val="24"/>
          <w:szCs w:val="24"/>
          <w:lang w:val="pl-PL"/>
        </w:rPr>
        <w:footnoteReference w:id="33"/>
      </w:r>
      <w:r w:rsidRPr="00AF7348">
        <w:rPr>
          <w:rFonts w:ascii="Times New Roman" w:eastAsia="Times New Roman" w:hAnsi="Times New Roman" w:cs="Times New Roman"/>
          <w:color w:val="000000" w:themeColor="text1"/>
          <w:sz w:val="24"/>
          <w:szCs w:val="24"/>
          <w:lang w:val="pl-PL"/>
        </w:rPr>
        <w:t xml:space="preserve"> i zakładami mechaniczno-biologicznego przetwarzania odpadów</w:t>
      </w:r>
      <w:r w:rsidRPr="00AF7348">
        <w:rPr>
          <w:rStyle w:val="Odwoanieprzypisudolnego"/>
          <w:rFonts w:ascii="Times New Roman" w:eastAsia="Times New Roman" w:hAnsi="Times New Roman" w:cs="Times New Roman"/>
          <w:color w:val="000000" w:themeColor="text1"/>
          <w:sz w:val="24"/>
          <w:szCs w:val="24"/>
          <w:lang w:val="pl-PL"/>
        </w:rPr>
        <w:footnoteReference w:id="34"/>
      </w:r>
      <w:r w:rsidRPr="00AF7348">
        <w:rPr>
          <w:rFonts w:ascii="Times New Roman" w:eastAsia="Times New Roman" w:hAnsi="Times New Roman" w:cs="Times New Roman"/>
          <w:color w:val="000000" w:themeColor="text1"/>
          <w:sz w:val="24"/>
          <w:szCs w:val="24"/>
          <w:lang w:val="pl-PL"/>
        </w:rPr>
        <w:t>; oraz (iv) działalność, w której długotrwałość w unieszkodliwianiu odpadów może powodować szkody dla środowiska. Zakres zadań wymaga ponadto, aby wybierane były tylko te rodzaje działalności, które są zgodne z odpowiednimi przepisami unijnymi i krajowymi dotyczącymi ochrony środowiska.</w:t>
      </w:r>
    </w:p>
    <w:p w14:paraId="61EDFBD2" w14:textId="01BAF6E5" w:rsidR="006C6079" w:rsidRPr="00AF7348" w:rsidRDefault="071D57FA">
      <w:pPr>
        <w:pStyle w:val="Normal0"/>
        <w:spacing w:before="120" w:after="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2022 roku.</w:t>
      </w:r>
    </w:p>
    <w:p w14:paraId="405D1947" w14:textId="77777777" w:rsidR="00E874D2" w:rsidRPr="00AF7348" w:rsidRDefault="00E874D2">
      <w:pPr>
        <w:pStyle w:val="Normal0"/>
        <w:spacing w:before="120" w:after="0" w:line="240" w:lineRule="auto"/>
        <w:jc w:val="both"/>
        <w:rPr>
          <w:rFonts w:ascii="Times New Roman" w:eastAsia="Times New Roman" w:hAnsi="Times New Roman" w:cs="Times New Roman"/>
          <w:color w:val="D13438"/>
          <w:sz w:val="24"/>
          <w:szCs w:val="24"/>
          <w:u w:val="single"/>
          <w:lang w:val="pl-PL"/>
        </w:rPr>
      </w:pPr>
    </w:p>
    <w:p w14:paraId="4A7069F5" w14:textId="7219C6D6" w:rsidR="007C4506" w:rsidRPr="00AF7348" w:rsidRDefault="110E162E" w:rsidP="008B24D6">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b/>
          <w:bCs/>
          <w:color w:val="000000" w:themeColor="text1"/>
          <w:sz w:val="24"/>
          <w:szCs w:val="24"/>
          <w:u w:val="single"/>
          <w:lang w:val="pl-PL"/>
        </w:rPr>
        <w:t>E1.1.2 Zero- i niskoemisyjny transport zbiorowy (autobusy)</w:t>
      </w:r>
    </w:p>
    <w:p w14:paraId="63ED9FAD" w14:textId="77777777" w:rsidR="007C4506" w:rsidRPr="00AF7348"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Zadaniem tej inwestycji jest uczynienie transportu publicznego bardziej ekologicznym oraz zwiększenie jego atrakcyjności w porównaniu z samochodami osobowymi.</w:t>
      </w:r>
    </w:p>
    <w:p w14:paraId="6163D786" w14:textId="41F3ACD0" w:rsidR="007C4506" w:rsidRPr="00AF7348" w:rsidRDefault="234654C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Inwestycja polega na zakupie do 31 marca 2026 roku 1738 ekologicznych autobusów do transportu miejskiego (zeroemisyjnego) i międzymiastowego (niskoemisyjnego).</w:t>
      </w:r>
    </w:p>
    <w:p w14:paraId="036B6B03" w14:textId="77D249BF" w:rsidR="00656D7B" w:rsidRPr="00AF7348" w:rsidRDefault="00656D7B" w:rsidP="00656D7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Zakupione pojazdy umożliwią transport zbiorowy na terenach miejskich i pozamiejskich, które do tej pory były z niego wyłączone. Ze względów technologicznych autobusy zeroemisyjne będą wykorzystywane głównie do przewozów w miastach (dostępność infrastruktury ładowania), a autobusy niskoemisyjne na terenach podmiejskich. </w:t>
      </w:r>
      <w:r w:rsidR="00AE5559" w:rsidRPr="00AE5559">
        <w:rPr>
          <w:rFonts w:ascii="Times New Roman" w:eastAsia="Times New Roman" w:hAnsi="Times New Roman" w:cs="Times New Roman"/>
          <w:color w:val="000000" w:themeColor="text1"/>
          <w:sz w:val="24"/>
          <w:szCs w:val="24"/>
          <w:lang w:val="pl-PL"/>
        </w:rPr>
        <w:t xml:space="preserve">Przewiduje się różne rodzaje </w:t>
      </w:r>
      <w:r w:rsidR="00AE5559" w:rsidRPr="00AE5559">
        <w:rPr>
          <w:rFonts w:ascii="Times New Roman" w:eastAsia="Times New Roman" w:hAnsi="Times New Roman" w:cs="Times New Roman"/>
          <w:color w:val="000000" w:themeColor="text1"/>
          <w:sz w:val="24"/>
          <w:szCs w:val="24"/>
          <w:lang w:val="pl-PL"/>
        </w:rPr>
        <w:lastRenderedPageBreak/>
        <w:t>technologii zasilania autobusów zero- i niskoemisyjnych (baterie elektryczne, klasyczne hybrydy i plug-in, a w przypadku gazu: LNG, LPG, CNG + norma EURO VI).</w:t>
      </w:r>
      <w:r w:rsidRPr="00AF7348">
        <w:rPr>
          <w:rFonts w:ascii="Times New Roman" w:eastAsia="Times New Roman" w:hAnsi="Times New Roman" w:cs="Times New Roman"/>
          <w:color w:val="000000" w:themeColor="text1"/>
          <w:sz w:val="24"/>
          <w:szCs w:val="24"/>
          <w:lang w:val="pl-PL"/>
        </w:rPr>
        <w:t xml:space="preserve"> </w:t>
      </w:r>
    </w:p>
    <w:p w14:paraId="02D254A9" w14:textId="5026AF41" w:rsidR="00656D7B" w:rsidRPr="00AF7348" w:rsidRDefault="00656D7B" w:rsidP="00656D7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Doprowadzi to do upowszechnienia technologii paliw alternatywnych i przyspieszy ich stosowanie w innych obszarach transportu. W ramach działania wspierane będą pojazdy spełniające wszystkie wymagane i aktualne normy dotyczące pojazdów wykorzystujących dany rodzaj paliwa i napędu.</w:t>
      </w:r>
    </w:p>
    <w:p w14:paraId="15C78039" w14:textId="77777777" w:rsidR="007C4506" w:rsidRPr="00AF7348"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2F5D6B87" w14:textId="77777777" w:rsidR="007C4506" w:rsidRPr="00AF7348" w:rsidRDefault="00B31839" w:rsidP="3D9EF94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E2.1 Zwiększenie konkurencyjności sektora kolejowego</w:t>
      </w:r>
    </w:p>
    <w:p w14:paraId="4D1E3AEC" w14:textId="77777777" w:rsidR="007C4506" w:rsidRPr="00AF7348" w:rsidRDefault="00C612C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Modernizacja kolei zostanie przeprowadzona dzięki kombinacji reform i inwestycji. Celem reformy będzie wzmocnienie odporności operatorów kolejowych oraz zwiększenie konkurencyjności i efektywności sektora kolejowego jako elementu polskiego sektora transportowego. </w:t>
      </w:r>
    </w:p>
    <w:p w14:paraId="36082E90" w14:textId="40BE64D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Cel ten zostanie osiągnięty poprzez ustalenie priorytetów dla transportu intermodalnego oraz poprawę zdolności do planowania i realizacji projektów transportu kolejowego. Zostanie to również osiągnięte poprzez umożliwienie zarządcom infrastruktury obniżenia opłat za dostęp do infrastruktury oraz zrekompensowanie zarządcom infrastruktury ich obniżenia. Reforma zmniejszy koszty ponoszone przez operatorów transportu oraz zapewni utrzymanie zdolności do przewozów w okresie zmniejszonego popytu na usługi, zagwarantuje utrzymanie konkurencyjności transportu kolejowego i zapobiegnie spadkowi udziału tego sektora w przewozach podczas sytuacji kryzysowych, epidemii lub stanów zagrożenia epidemiologicznego. </w:t>
      </w:r>
    </w:p>
    <w:p w14:paraId="239FB76C"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Wdrażanie reformy zostanie zakończone do 31 grudnia 2022 roku.</w:t>
      </w:r>
    </w:p>
    <w:p w14:paraId="116CAAAD" w14:textId="011A7C9C" w:rsidR="007C4506"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Rentowność kolei w porównaniu z innymi rodzajami transportu zwiększy się także dzięki rozszerzeniu systemu opłat drogowych </w:t>
      </w:r>
      <w:r w:rsidR="00B71530">
        <w:rPr>
          <w:rFonts w:ascii="Times New Roman" w:eastAsia="Times New Roman" w:hAnsi="Times New Roman" w:cs="Times New Roman"/>
          <w:color w:val="000000" w:themeColor="text1"/>
          <w:sz w:val="24"/>
          <w:szCs w:val="24"/>
          <w:lang w:val="pl-PL"/>
        </w:rPr>
        <w:t>o</w:t>
      </w:r>
      <w:r w:rsidRPr="00AF7348">
        <w:rPr>
          <w:rFonts w:ascii="Times New Roman" w:eastAsia="Times New Roman" w:hAnsi="Times New Roman" w:cs="Times New Roman"/>
          <w:color w:val="000000" w:themeColor="text1"/>
          <w:sz w:val="24"/>
          <w:szCs w:val="24"/>
          <w:lang w:val="pl-PL"/>
        </w:rPr>
        <w:t xml:space="preserve"> dodatkowe 1400 km autostrad i dróg ekspresowych.</w:t>
      </w:r>
    </w:p>
    <w:p w14:paraId="527D639D" w14:textId="77777777" w:rsidR="00623B98" w:rsidRPr="00AF7348" w:rsidRDefault="00623B98"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44158554" w14:textId="4AC5398A" w:rsidR="007C4506" w:rsidRPr="00AF7348" w:rsidRDefault="66E7BAD6" w:rsidP="1E7CB41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E2.1.1 Linie kolejowe</w:t>
      </w:r>
    </w:p>
    <w:p w14:paraId="689F1200" w14:textId="41418340"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Zadaniem tej inwestycji jest zwiększenie przepustowości i prędkości zarówno w transporcie towarowym, jak i pasażerskim.</w:t>
      </w:r>
    </w:p>
    <w:p w14:paraId="0AC9D3D3"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obejmie modernizację, do 30 czerwca 2026 roku, 478 km linii kolejowych, z czego 300 km będzie spełniało standardy TEN-T. Odpowiednie umowy finansowe zostaną podpisane do 31 grudnia 2024 roku. </w:t>
      </w:r>
    </w:p>
    <w:p w14:paraId="5101B52C" w14:textId="77777777" w:rsidR="007C4506" w:rsidRPr="00AF7348"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494BBFDA"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E2.1.2 Pasażerski transport kolejowy</w:t>
      </w:r>
    </w:p>
    <w:p w14:paraId="527914F9"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Zadaniem inwestycji jest zwiększenie atrakcyjności i rentowności transportu kolejowego. </w:t>
      </w:r>
    </w:p>
    <w:p w14:paraId="2BD60BAC" w14:textId="56D56B28"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Zostanie to osiągnięte poprzez zakup nowych jednostek taboru kolejowego do użytku na liniach dalekobieżnych i regionalnych. Tabor powinien być zeroemisyjny/elektryczny oraz wyposażony w europejski system zarządzania ruchem kolejowym (</w:t>
      </w:r>
      <w:proofErr w:type="spellStart"/>
      <w:r w:rsidRPr="00AF7348">
        <w:rPr>
          <w:rFonts w:ascii="Times New Roman" w:eastAsia="Times New Roman" w:hAnsi="Times New Roman" w:cs="Times New Roman"/>
          <w:i/>
          <w:iCs/>
          <w:color w:val="000000" w:themeColor="text1"/>
          <w:sz w:val="24"/>
          <w:szCs w:val="24"/>
          <w:lang w:val="pl-PL"/>
        </w:rPr>
        <w:t>European</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Rail</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Traffic</w:t>
      </w:r>
      <w:proofErr w:type="spellEnd"/>
      <w:r w:rsidRPr="00AF7348">
        <w:rPr>
          <w:rFonts w:ascii="Times New Roman" w:eastAsia="Times New Roman" w:hAnsi="Times New Roman" w:cs="Times New Roman"/>
          <w:i/>
          <w:iCs/>
          <w:color w:val="000000" w:themeColor="text1"/>
          <w:sz w:val="24"/>
          <w:szCs w:val="24"/>
          <w:lang w:val="pl-PL"/>
        </w:rPr>
        <w:t xml:space="preserve"> Management System, ERTMS</w:t>
      </w:r>
      <w:r w:rsidRPr="00AF7348">
        <w:rPr>
          <w:rFonts w:ascii="Times New Roman" w:eastAsia="Times New Roman" w:hAnsi="Times New Roman" w:cs="Times New Roman"/>
          <w:color w:val="000000" w:themeColor="text1"/>
          <w:sz w:val="24"/>
          <w:szCs w:val="24"/>
          <w:lang w:val="pl-PL"/>
        </w:rPr>
        <w:t>): 70 jednostek dla linii regionalnych i 38 jednostek dla linii dalekobieżnych. Wdrażanie inwestycji zostanie zakończone do 30 czerwca 2026 roku. Odpowiednie umowy finansowe zostaną podpisane do 30 września 2023 roku.</w:t>
      </w:r>
    </w:p>
    <w:p w14:paraId="3C8EC45C" w14:textId="77777777" w:rsidR="007C4506" w:rsidRPr="00AF7348"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12BBF11E" w14:textId="48069C6C"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 xml:space="preserve">E2.1.3 </w:t>
      </w:r>
      <w:r w:rsidR="00A2579A">
        <w:rPr>
          <w:rFonts w:ascii="Times New Roman" w:eastAsia="Times New Roman" w:hAnsi="Times New Roman" w:cs="Times New Roman"/>
          <w:b/>
          <w:bCs/>
          <w:color w:val="000000"/>
          <w:sz w:val="24"/>
          <w:szCs w:val="24"/>
          <w:u w:val="single"/>
          <w:lang w:val="pl-PL"/>
        </w:rPr>
        <w:t>Projekty</w:t>
      </w:r>
      <w:r w:rsidR="00A2579A" w:rsidRPr="00AF7348">
        <w:rPr>
          <w:rFonts w:ascii="Times New Roman" w:eastAsia="Times New Roman" w:hAnsi="Times New Roman" w:cs="Times New Roman"/>
          <w:b/>
          <w:bCs/>
          <w:color w:val="000000"/>
          <w:sz w:val="24"/>
          <w:szCs w:val="24"/>
          <w:u w:val="single"/>
          <w:lang w:val="pl-PL"/>
        </w:rPr>
        <w:t xml:space="preserve"> </w:t>
      </w:r>
      <w:r w:rsidRPr="00AF7348">
        <w:rPr>
          <w:rFonts w:ascii="Times New Roman" w:eastAsia="Times New Roman" w:hAnsi="Times New Roman" w:cs="Times New Roman"/>
          <w:b/>
          <w:bCs/>
          <w:color w:val="000000"/>
          <w:sz w:val="24"/>
          <w:szCs w:val="24"/>
          <w:u w:val="single"/>
          <w:lang w:val="pl-PL"/>
        </w:rPr>
        <w:t>intermodaln</w:t>
      </w:r>
      <w:r w:rsidR="00A2579A">
        <w:rPr>
          <w:rFonts w:ascii="Times New Roman" w:eastAsia="Times New Roman" w:hAnsi="Times New Roman" w:cs="Times New Roman"/>
          <w:b/>
          <w:bCs/>
          <w:color w:val="000000"/>
          <w:sz w:val="24"/>
          <w:szCs w:val="24"/>
          <w:u w:val="single"/>
          <w:lang w:val="pl-PL"/>
        </w:rPr>
        <w:t>e</w:t>
      </w:r>
    </w:p>
    <w:p w14:paraId="095D56F7"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lastRenderedPageBreak/>
        <w:t>Zadaniem inwestycji jest, poprzez odpowiednie inwestycje, wspieranie transportu intermodalnego.</w:t>
      </w:r>
    </w:p>
    <w:p w14:paraId="76380612" w14:textId="082E1B8B" w:rsidR="007C4506" w:rsidRPr="00AF7348" w:rsidRDefault="7F8A7A2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Inwestycje będą polegały na zwiększeniu przepustowości intermodalnych terminali przeładunkowych, ze szczególnym uwzględnieniem terminali kolejowo-drogowych, oraz taboru kolejowego. Odpowiednie umowy finansowe zostaną podpisane do 31 grudnia 2023 roku. Wpływ inwestycji będzie mierzony w odniesieniu do celu sformułowanego jako względny wzrost zdolności przeładunkowej terminali objętych wsparciem w ramach KPO.</w:t>
      </w:r>
    </w:p>
    <w:p w14:paraId="326DC100" w14:textId="77777777" w:rsidR="007C4506" w:rsidRPr="00AF7348"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13A756E7" w14:textId="40ABA9C2"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E2.2 Zwiększenie bezpieczeństw</w:t>
      </w:r>
      <w:r w:rsidR="00A2579A">
        <w:rPr>
          <w:rFonts w:ascii="Times New Roman" w:eastAsia="Times New Roman" w:hAnsi="Times New Roman" w:cs="Times New Roman"/>
          <w:b/>
          <w:bCs/>
          <w:color w:val="000000" w:themeColor="text1"/>
          <w:sz w:val="24"/>
          <w:szCs w:val="24"/>
          <w:u w:val="single"/>
          <w:lang w:val="pl-PL"/>
        </w:rPr>
        <w:t>a</w:t>
      </w:r>
      <w:r w:rsidRPr="00AF7348">
        <w:rPr>
          <w:rFonts w:ascii="Times New Roman" w:eastAsia="Times New Roman" w:hAnsi="Times New Roman" w:cs="Times New Roman"/>
          <w:b/>
          <w:bCs/>
          <w:color w:val="000000" w:themeColor="text1"/>
          <w:sz w:val="24"/>
          <w:szCs w:val="24"/>
          <w:u w:val="single"/>
          <w:lang w:val="pl-PL"/>
        </w:rPr>
        <w:t xml:space="preserve"> transportu</w:t>
      </w:r>
    </w:p>
    <w:p w14:paraId="25D296D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Celem reformy jest zwiększenie bezpieczeństwa transportu, ze szczególnym uwzględnieniem bezpieczeństwa szczególnie zagrożonych użytkowników transportu. </w:t>
      </w:r>
    </w:p>
    <w:p w14:paraId="59CE4329" w14:textId="4DF94A4D" w:rsidR="007C4506" w:rsidRPr="00AF7348"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Reforma </w:t>
      </w:r>
      <w:r w:rsidR="00B71530">
        <w:rPr>
          <w:rFonts w:ascii="Times New Roman" w:eastAsia="Times New Roman" w:hAnsi="Times New Roman" w:cs="Times New Roman"/>
          <w:color w:val="000000" w:themeColor="text1"/>
          <w:sz w:val="24"/>
          <w:szCs w:val="24"/>
          <w:lang w:val="pl-PL"/>
        </w:rPr>
        <w:t>składa się</w:t>
      </w:r>
      <w:r w:rsidRPr="00AF7348">
        <w:rPr>
          <w:rFonts w:ascii="Times New Roman" w:eastAsia="Times New Roman" w:hAnsi="Times New Roman" w:cs="Times New Roman"/>
          <w:color w:val="000000" w:themeColor="text1"/>
          <w:sz w:val="24"/>
          <w:szCs w:val="24"/>
          <w:lang w:val="pl-PL"/>
        </w:rPr>
        <w:t xml:space="preserve"> z szeregu zmian ustawodawczych wprowadzających pierwszeństwo dla pieszych na przejściach, jednakową prędkość na obszarach zabudowanych oraz minimalną odległość między pojazdami. Wspomniane zmiany legislacyjne we</w:t>
      </w:r>
      <w:r w:rsidR="00562FB6">
        <w:rPr>
          <w:rFonts w:ascii="Times New Roman" w:eastAsia="Times New Roman" w:hAnsi="Times New Roman" w:cs="Times New Roman"/>
          <w:color w:val="000000" w:themeColor="text1"/>
          <w:sz w:val="24"/>
          <w:szCs w:val="24"/>
          <w:lang w:val="pl-PL"/>
        </w:rPr>
        <w:t>szły</w:t>
      </w:r>
      <w:r w:rsidRPr="00AF7348">
        <w:rPr>
          <w:rFonts w:ascii="Times New Roman" w:eastAsia="Times New Roman" w:hAnsi="Times New Roman" w:cs="Times New Roman"/>
          <w:color w:val="000000" w:themeColor="text1"/>
          <w:sz w:val="24"/>
          <w:szCs w:val="24"/>
          <w:lang w:val="pl-PL"/>
        </w:rPr>
        <w:t xml:space="preserve"> w życie </w:t>
      </w:r>
      <w:r w:rsidR="00562FB6">
        <w:rPr>
          <w:rFonts w:ascii="Times New Roman" w:eastAsia="Times New Roman" w:hAnsi="Times New Roman" w:cs="Times New Roman"/>
          <w:color w:val="000000" w:themeColor="text1"/>
          <w:sz w:val="24"/>
          <w:szCs w:val="24"/>
          <w:lang w:val="pl-PL"/>
        </w:rPr>
        <w:t>przed</w:t>
      </w:r>
      <w:r w:rsidR="00562FB6"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31 grudnia 2021 r. Postępy w realizacji reformy będą śledzone w odniesieniu do celu dotyczącego bezpieczeństwa ruchu drogowego, jakim jest względny spadek liczby ofiar śmiertelnych i osób ciężko rannych, zgodnie z założeniami UE i państw członkowskich dotyczącymi bezpieczeństwa ruchu drogowego.</w:t>
      </w:r>
    </w:p>
    <w:p w14:paraId="6D4FEDDE" w14:textId="1B8DBDFE" w:rsidR="007C4506" w:rsidRPr="00AF7348" w:rsidRDefault="00B31839" w:rsidP="7EFEC9F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u w:val="single"/>
          <w:lang w:val="pl-PL"/>
        </w:rPr>
      </w:pPr>
      <w:r w:rsidRPr="00AF7348">
        <w:rPr>
          <w:rFonts w:ascii="Times New Roman" w:eastAsia="Times New Roman" w:hAnsi="Times New Roman" w:cs="Times New Roman"/>
          <w:b/>
          <w:bCs/>
          <w:color w:val="000000" w:themeColor="text1"/>
          <w:sz w:val="24"/>
          <w:szCs w:val="24"/>
          <w:u w:val="single"/>
          <w:lang w:val="pl-PL"/>
        </w:rPr>
        <w:t>E2.2.1 Inwestycje w bezpieczeństwo transportu</w:t>
      </w:r>
    </w:p>
    <w:p w14:paraId="32F57F18"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sz w:val="24"/>
          <w:szCs w:val="24"/>
          <w:lang w:val="pl-PL"/>
        </w:rPr>
        <w:t xml:space="preserve">Zadaniem tej inwestycji jest zwiększenie bezpieczeństwa w transporcie drogowym. </w:t>
      </w:r>
    </w:p>
    <w:p w14:paraId="38284F94" w14:textId="77777777" w:rsidR="00E874D2"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 xml:space="preserve">Inwestycja obejmie modernizację 305 niebezpiecznych "czarnych punktów drogowych", budowę 90 km obwodnic służących likwidacji takich punktów oraz 128 urządzeń automatycznego nadzoru nad ruchem drogowym. </w:t>
      </w:r>
    </w:p>
    <w:p w14:paraId="1BFB6461" w14:textId="6307AA9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Wdrażanie inwestycji zostanie zakończone do 30 czerwca 2026 roku.</w:t>
      </w:r>
    </w:p>
    <w:p w14:paraId="66FDCF4E" w14:textId="77777777" w:rsidR="00F74FF4" w:rsidRPr="00AF7348" w:rsidRDefault="00F74FF4"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pl-PL"/>
        </w:rPr>
      </w:pPr>
    </w:p>
    <w:p w14:paraId="0E7E0800"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u w:val="single"/>
          <w:lang w:val="pl-PL"/>
        </w:rPr>
      </w:pPr>
      <w:r w:rsidRPr="00AF7348">
        <w:rPr>
          <w:rFonts w:ascii="Times New Roman" w:eastAsia="Times New Roman" w:hAnsi="Times New Roman" w:cs="Times New Roman"/>
          <w:b/>
          <w:bCs/>
          <w:color w:val="000000"/>
          <w:sz w:val="24"/>
          <w:szCs w:val="24"/>
          <w:u w:val="single"/>
          <w:lang w:val="pl-PL"/>
        </w:rPr>
        <w:t>E2.2.2 Cyfryzacja transportu</w:t>
      </w:r>
    </w:p>
    <w:p w14:paraId="5C39EA61" w14:textId="77777777"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 xml:space="preserve">Zadaniem inwestycji jest zwiększenie atrakcyjności i efektywności kolei i transportu publicznego poprzez wprowadzenie nowoczesnych rozwiązań cyfrowych. </w:t>
      </w:r>
    </w:p>
    <w:p w14:paraId="51DC595E" w14:textId="77777777" w:rsidR="00C612C5" w:rsidRPr="00AF7348" w:rsidRDefault="00B31839" w:rsidP="5CB2C6B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Obejmie wdrożenie, do 30 czerwca 2026 roku, nowego modułu podstawowego dla systemu sprzedaży biletów. Moduł ten zapewni wprowadzenie nowoczesnych rozwiązań z modułami dostępu udostępnionymi wszystkim przedsiębiorstwom bez opłat, aby umożliwić pasażerom korzystanie z kompleksowego systemu zakupu biletów, otwartego dla wszystkich przewoźników.</w:t>
      </w:r>
    </w:p>
    <w:p w14:paraId="3BEE236D" w14:textId="77777777" w:rsidR="007C4506" w:rsidRPr="00AF7348"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54065544" w14:textId="4FFCCB3E" w:rsidR="00463240" w:rsidRPr="00AF7348"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Działanie to obejmie inwestycje w:</w:t>
      </w:r>
    </w:p>
    <w:p w14:paraId="36FFD098" w14:textId="77777777" w:rsidR="00463240" w:rsidRPr="00AF7348" w:rsidRDefault="4028D535" w:rsidP="004E5B4E">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zakup i instalację 180 urządzeń pokładowych ERTMS;</w:t>
      </w:r>
    </w:p>
    <w:p w14:paraId="0C2FDF94" w14:textId="77777777" w:rsidR="00463240" w:rsidRPr="00AF7348" w:rsidRDefault="4028D535" w:rsidP="004E5B4E">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wdrożenie systemu zdalnej kontroli na 35 stacjach ruchu kolejowego;</w:t>
      </w:r>
    </w:p>
    <w:p w14:paraId="0391A202" w14:textId="77777777" w:rsidR="00463240" w:rsidRPr="00AF7348" w:rsidRDefault="4028D535" w:rsidP="004E5B4E">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modernizację systemów przejazdów kolejowych w 45 lokalizacjach;</w:t>
      </w:r>
    </w:p>
    <w:p w14:paraId="4A5E45A5" w14:textId="77777777" w:rsidR="00463240" w:rsidRPr="00AF7348" w:rsidRDefault="4028D535" w:rsidP="004E5B4E">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budowę i remont lokalnych centrów kontroli oraz inwestycje w zarządzanie ruchem;</w:t>
      </w:r>
    </w:p>
    <w:p w14:paraId="0CCC0888" w14:textId="77777777" w:rsidR="00463240" w:rsidRPr="00AF7348" w:rsidRDefault="00463240" w:rsidP="0046324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p>
    <w:p w14:paraId="7C11670D" w14:textId="480A292A" w:rsidR="007C4506" w:rsidRPr="00AF7348" w:rsidRDefault="5265FA11">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pPr>
      <w:r w:rsidRPr="00AF7348">
        <w:rPr>
          <w:rFonts w:ascii="Times New Roman" w:eastAsia="Times New Roman" w:hAnsi="Times New Roman" w:cs="Times New Roman"/>
          <w:color w:val="000000" w:themeColor="text1"/>
          <w:sz w:val="24"/>
          <w:szCs w:val="24"/>
          <w:lang w:val="pl-PL"/>
        </w:rPr>
        <w:t>które mają zostać zakończone do 30 czerwca 2026 r., a także budowę Systemu Dynamicznej Informacji Pasażerskiej (</w:t>
      </w:r>
      <w:proofErr w:type="spellStart"/>
      <w:r w:rsidRPr="00AF7348">
        <w:rPr>
          <w:rFonts w:ascii="Times New Roman" w:eastAsia="Times New Roman" w:hAnsi="Times New Roman" w:cs="Times New Roman"/>
          <w:i/>
          <w:iCs/>
          <w:color w:val="000000" w:themeColor="text1"/>
          <w:sz w:val="24"/>
          <w:szCs w:val="24"/>
          <w:lang w:val="pl-PL"/>
        </w:rPr>
        <w:t>Dynamic</w:t>
      </w:r>
      <w:proofErr w:type="spellEnd"/>
      <w:r w:rsidRPr="00AF7348">
        <w:rPr>
          <w:rFonts w:ascii="Times New Roman" w:eastAsia="Times New Roman" w:hAnsi="Times New Roman" w:cs="Times New Roman"/>
          <w:i/>
          <w:iCs/>
          <w:color w:val="000000" w:themeColor="text1"/>
          <w:sz w:val="24"/>
          <w:szCs w:val="24"/>
          <w:lang w:val="pl-PL"/>
        </w:rPr>
        <w:t xml:space="preserve"> </w:t>
      </w:r>
      <w:proofErr w:type="spellStart"/>
      <w:r w:rsidRPr="00AF7348">
        <w:rPr>
          <w:rFonts w:ascii="Times New Roman" w:eastAsia="Times New Roman" w:hAnsi="Times New Roman" w:cs="Times New Roman"/>
          <w:i/>
          <w:iCs/>
          <w:color w:val="000000" w:themeColor="text1"/>
          <w:sz w:val="24"/>
          <w:szCs w:val="24"/>
          <w:lang w:val="pl-PL"/>
        </w:rPr>
        <w:t>Passenger</w:t>
      </w:r>
      <w:proofErr w:type="spellEnd"/>
      <w:r w:rsidRPr="00AF7348">
        <w:rPr>
          <w:rFonts w:ascii="Times New Roman" w:eastAsia="Times New Roman" w:hAnsi="Times New Roman" w:cs="Times New Roman"/>
          <w:i/>
          <w:iCs/>
          <w:color w:val="000000" w:themeColor="text1"/>
          <w:sz w:val="24"/>
          <w:szCs w:val="24"/>
          <w:lang w:val="pl-PL"/>
        </w:rPr>
        <w:t xml:space="preserve"> Information System, SDIP</w:t>
      </w:r>
      <w:r w:rsidRPr="00AF7348">
        <w:rPr>
          <w:rFonts w:ascii="Times New Roman" w:eastAsia="Times New Roman" w:hAnsi="Times New Roman" w:cs="Times New Roman"/>
          <w:color w:val="000000" w:themeColor="text1"/>
          <w:sz w:val="24"/>
          <w:szCs w:val="24"/>
          <w:lang w:val="pl-PL"/>
        </w:rPr>
        <w:t xml:space="preserve">) oraz innych systemów, w 55 lokalizacjach, do 31 marca 2024 r. </w:t>
      </w:r>
    </w:p>
    <w:p w14:paraId="4A990D24" w14:textId="77777777" w:rsidR="00212550" w:rsidRPr="00AF7348" w:rsidRDefault="0021255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pl-PL"/>
        </w:rPr>
        <w:sectPr w:rsidR="00212550" w:rsidRPr="00AF7348">
          <w:headerReference w:type="even" r:id="rId105"/>
          <w:headerReference w:type="default" r:id="rId106"/>
          <w:footerReference w:type="even" r:id="rId107"/>
          <w:footerReference w:type="default" r:id="rId108"/>
          <w:headerReference w:type="first" r:id="rId109"/>
          <w:footerReference w:type="first" r:id="rId110"/>
          <w:pgSz w:w="11907" w:h="16839"/>
          <w:pgMar w:top="1134" w:right="1417" w:bottom="1134" w:left="1417" w:header="709" w:footer="709" w:gutter="0"/>
          <w:cols w:space="720"/>
        </w:sectPr>
      </w:pPr>
    </w:p>
    <w:p w14:paraId="0B843F41" w14:textId="77777777" w:rsidR="007C4506" w:rsidRDefault="0033239E"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r w:rsidRPr="00AF7348">
        <w:rPr>
          <w:rFonts w:ascii="Times New Roman" w:eastAsia="Times New Roman" w:hAnsi="Times New Roman" w:cs="Times New Roman"/>
          <w:b/>
          <w:bCs/>
          <w:color w:val="000000"/>
          <w:sz w:val="24"/>
          <w:szCs w:val="24"/>
          <w:lang w:val="pl-PL"/>
        </w:rPr>
        <w:lastRenderedPageBreak/>
        <w:t xml:space="preserve">E.2. </w:t>
      </w:r>
      <w:r w:rsidRPr="00AF7348">
        <w:rPr>
          <w:rFonts w:ascii="Times New Roman" w:eastAsia="Times New Roman" w:hAnsi="Times New Roman" w:cs="Times New Roman"/>
          <w:color w:val="000000"/>
          <w:sz w:val="24"/>
          <w:szCs w:val="24"/>
          <w:lang w:val="pl-PL"/>
        </w:rPr>
        <w:tab/>
      </w:r>
      <w:r w:rsidRPr="00AF7348">
        <w:rPr>
          <w:rFonts w:ascii="Times New Roman" w:eastAsia="Times New Roman" w:hAnsi="Times New Roman" w:cs="Times New Roman"/>
          <w:b/>
          <w:bCs/>
          <w:color w:val="000000"/>
          <w:sz w:val="24"/>
          <w:szCs w:val="24"/>
          <w:lang w:val="pl-PL"/>
        </w:rPr>
        <w:t>Kamienie milowe, wartości docelowe, wskaźniki i harmonogram monitorowania i realizacji na potrzeby bezzwrotnego wsparcia finansowego</w:t>
      </w:r>
    </w:p>
    <w:tbl>
      <w:tblPr>
        <w:tblW w:w="154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9"/>
        <w:gridCol w:w="1419"/>
        <w:gridCol w:w="989"/>
        <w:gridCol w:w="2549"/>
        <w:gridCol w:w="1282"/>
        <w:gridCol w:w="989"/>
        <w:gridCol w:w="1137"/>
        <w:gridCol w:w="1418"/>
        <w:gridCol w:w="567"/>
        <w:gridCol w:w="705"/>
        <w:gridCol w:w="3540"/>
        <w:gridCol w:w="7"/>
      </w:tblGrid>
      <w:tr w:rsidR="001052B5" w:rsidRPr="00F464C8" w14:paraId="1BF94BF4" w14:textId="77777777" w:rsidTr="00A20CA7">
        <w:trPr>
          <w:gridAfter w:val="1"/>
          <w:wAfter w:w="7" w:type="dxa"/>
          <w:trHeight w:val="927"/>
        </w:trPr>
        <w:tc>
          <w:tcPr>
            <w:tcW w:w="849" w:type="dxa"/>
            <w:vMerge w:val="restart"/>
            <w:shd w:val="clear" w:color="auto" w:fill="BDD7EE"/>
            <w:vAlign w:val="center"/>
          </w:tcPr>
          <w:p w14:paraId="0269547B"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1419" w:type="dxa"/>
            <w:vMerge w:val="restart"/>
            <w:shd w:val="clear" w:color="auto" w:fill="BDD7EE"/>
            <w:vAlign w:val="center"/>
          </w:tcPr>
          <w:p w14:paraId="1DDAAFA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989" w:type="dxa"/>
            <w:vMerge w:val="restart"/>
            <w:shd w:val="clear" w:color="auto" w:fill="BDD7EE"/>
            <w:vAlign w:val="center"/>
          </w:tcPr>
          <w:p w14:paraId="69925424"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2549" w:type="dxa"/>
            <w:vMerge w:val="restart"/>
            <w:shd w:val="clear" w:color="auto" w:fill="BDD7EE"/>
            <w:vAlign w:val="center"/>
          </w:tcPr>
          <w:p w14:paraId="2DB2E72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282" w:type="dxa"/>
            <w:vMerge w:val="restart"/>
            <w:shd w:val="clear" w:color="auto" w:fill="BDD7EE"/>
            <w:vAlign w:val="center"/>
          </w:tcPr>
          <w:p w14:paraId="435BC473"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Qualitative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milestones)</w:t>
            </w:r>
          </w:p>
        </w:tc>
        <w:tc>
          <w:tcPr>
            <w:tcW w:w="3544" w:type="dxa"/>
            <w:gridSpan w:val="3"/>
            <w:shd w:val="clear" w:color="auto" w:fill="BDD7EE"/>
            <w:vAlign w:val="center"/>
          </w:tcPr>
          <w:p w14:paraId="328C497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sz w:val="18"/>
                <w:szCs w:val="18"/>
              </w:rPr>
            </w:pPr>
            <w:r w:rsidRPr="00F07CEA">
              <w:rPr>
                <w:rFonts w:ascii="Times New Roman" w:eastAsia="Times New Roman" w:hAnsi="Times New Roman" w:cs="Times New Roman"/>
                <w:b/>
                <w:bCs/>
                <w:color w:val="000000" w:themeColor="text1"/>
                <w:sz w:val="18"/>
                <w:szCs w:val="18"/>
              </w:rPr>
              <w:t xml:space="preserve">Quantitative indicators </w:t>
            </w:r>
            <w:r w:rsidRPr="00F07CEA">
              <w:rPr>
                <w:rFonts w:ascii="Times New Roman" w:hAnsi="Times New Roman" w:cs="Times New Roman"/>
                <w:sz w:val="18"/>
                <w:szCs w:val="18"/>
              </w:rPr>
              <w:br/>
            </w:r>
            <w:r w:rsidRPr="00F07CEA">
              <w:rPr>
                <w:rFonts w:ascii="Times New Roman" w:eastAsia="Times New Roman" w:hAnsi="Times New Roman" w:cs="Times New Roman"/>
                <w:b/>
                <w:bCs/>
                <w:color w:val="000000" w:themeColor="text1"/>
                <w:sz w:val="18"/>
                <w:szCs w:val="18"/>
              </w:rPr>
              <w:t>(for targets)</w:t>
            </w:r>
          </w:p>
        </w:tc>
        <w:tc>
          <w:tcPr>
            <w:tcW w:w="1272" w:type="dxa"/>
            <w:gridSpan w:val="2"/>
            <w:shd w:val="clear" w:color="auto" w:fill="BDD7EE"/>
            <w:vAlign w:val="center"/>
          </w:tcPr>
          <w:p w14:paraId="4AEB4454"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Indicative timeline for completion</w:t>
            </w:r>
          </w:p>
        </w:tc>
        <w:tc>
          <w:tcPr>
            <w:tcW w:w="3540" w:type="dxa"/>
            <w:vMerge w:val="restart"/>
            <w:shd w:val="clear" w:color="auto" w:fill="BDD7EE"/>
            <w:vAlign w:val="center"/>
          </w:tcPr>
          <w:p w14:paraId="3EA92C26"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p w14:paraId="7B0F7B4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r>
      <w:tr w:rsidR="001052B5" w:rsidRPr="00F464C8" w14:paraId="15CE4CB3" w14:textId="77777777" w:rsidTr="00A20CA7">
        <w:trPr>
          <w:gridAfter w:val="1"/>
          <w:wAfter w:w="7" w:type="dxa"/>
          <w:trHeight w:val="927"/>
        </w:trPr>
        <w:tc>
          <w:tcPr>
            <w:tcW w:w="849" w:type="dxa"/>
            <w:vMerge/>
            <w:vAlign w:val="center"/>
          </w:tcPr>
          <w:p w14:paraId="45E39E8A"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c>
          <w:tcPr>
            <w:tcW w:w="1419" w:type="dxa"/>
            <w:vMerge/>
            <w:vAlign w:val="center"/>
          </w:tcPr>
          <w:p w14:paraId="4845F83D"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c>
          <w:tcPr>
            <w:tcW w:w="989" w:type="dxa"/>
            <w:vMerge/>
            <w:vAlign w:val="center"/>
          </w:tcPr>
          <w:p w14:paraId="3F510969"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c>
          <w:tcPr>
            <w:tcW w:w="2549" w:type="dxa"/>
            <w:vMerge/>
            <w:vAlign w:val="center"/>
          </w:tcPr>
          <w:p w14:paraId="22E2E567"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c>
          <w:tcPr>
            <w:tcW w:w="1282" w:type="dxa"/>
            <w:vMerge/>
            <w:vAlign w:val="center"/>
          </w:tcPr>
          <w:p w14:paraId="7587553D"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18"/>
                <w:szCs w:val="18"/>
              </w:rPr>
            </w:pPr>
          </w:p>
        </w:tc>
        <w:tc>
          <w:tcPr>
            <w:tcW w:w="989" w:type="dxa"/>
            <w:shd w:val="clear" w:color="auto" w:fill="BDD7EE"/>
            <w:vAlign w:val="center"/>
          </w:tcPr>
          <w:p w14:paraId="63DE0789"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18"/>
                <w:szCs w:val="18"/>
              </w:rPr>
            </w:pPr>
            <w:r w:rsidRPr="00D77A26">
              <w:rPr>
                <w:rFonts w:ascii="Times New Roman" w:eastAsia="Times New Roman" w:hAnsi="Times New Roman" w:cs="Times New Roman"/>
                <w:b/>
                <w:color w:val="000000"/>
                <w:sz w:val="18"/>
                <w:szCs w:val="18"/>
              </w:rPr>
              <w:t>Unit of measure</w:t>
            </w:r>
          </w:p>
        </w:tc>
        <w:tc>
          <w:tcPr>
            <w:tcW w:w="1137" w:type="dxa"/>
            <w:shd w:val="clear" w:color="auto" w:fill="BDD7EE"/>
            <w:vAlign w:val="center"/>
          </w:tcPr>
          <w:p w14:paraId="57D3EEB5"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18"/>
                <w:szCs w:val="18"/>
              </w:rPr>
            </w:pPr>
            <w:r w:rsidRPr="00D77A26">
              <w:rPr>
                <w:rFonts w:ascii="Times New Roman" w:eastAsia="Times New Roman" w:hAnsi="Times New Roman" w:cs="Times New Roman"/>
                <w:b/>
                <w:color w:val="000000"/>
                <w:sz w:val="18"/>
                <w:szCs w:val="18"/>
              </w:rPr>
              <w:t xml:space="preserve">Baseline </w:t>
            </w:r>
          </w:p>
        </w:tc>
        <w:tc>
          <w:tcPr>
            <w:tcW w:w="1418" w:type="dxa"/>
            <w:shd w:val="clear" w:color="auto" w:fill="BDD7EE"/>
            <w:vAlign w:val="center"/>
          </w:tcPr>
          <w:p w14:paraId="78796AB8"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18"/>
                <w:szCs w:val="18"/>
              </w:rPr>
            </w:pPr>
            <w:r w:rsidRPr="00D77A26">
              <w:rPr>
                <w:rFonts w:ascii="Times New Roman" w:eastAsia="Times New Roman" w:hAnsi="Times New Roman" w:cs="Times New Roman"/>
                <w:b/>
                <w:color w:val="000000"/>
                <w:sz w:val="18"/>
                <w:szCs w:val="18"/>
              </w:rPr>
              <w:t xml:space="preserve">Goal </w:t>
            </w:r>
          </w:p>
        </w:tc>
        <w:tc>
          <w:tcPr>
            <w:tcW w:w="567" w:type="dxa"/>
            <w:shd w:val="clear" w:color="auto" w:fill="BDD7EE"/>
            <w:vAlign w:val="center"/>
          </w:tcPr>
          <w:p w14:paraId="6500144B"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D77A26">
              <w:rPr>
                <w:rFonts w:ascii="Times New Roman" w:eastAsia="Times New Roman" w:hAnsi="Times New Roman" w:cs="Times New Roman"/>
                <w:b/>
                <w:color w:val="000000"/>
                <w:sz w:val="18"/>
                <w:szCs w:val="18"/>
              </w:rPr>
              <w:t>Quarter</w:t>
            </w:r>
          </w:p>
        </w:tc>
        <w:tc>
          <w:tcPr>
            <w:tcW w:w="705" w:type="dxa"/>
            <w:shd w:val="clear" w:color="auto" w:fill="BDD7EE"/>
            <w:vAlign w:val="center"/>
          </w:tcPr>
          <w:p w14:paraId="4F178066"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D77A26">
              <w:rPr>
                <w:rFonts w:ascii="Times New Roman" w:eastAsia="Times New Roman" w:hAnsi="Times New Roman" w:cs="Times New Roman"/>
                <w:b/>
                <w:color w:val="000000"/>
                <w:sz w:val="18"/>
                <w:szCs w:val="18"/>
              </w:rPr>
              <w:t>Year</w:t>
            </w:r>
          </w:p>
        </w:tc>
        <w:tc>
          <w:tcPr>
            <w:tcW w:w="3540" w:type="dxa"/>
            <w:vMerge/>
            <w:vAlign w:val="center"/>
          </w:tcPr>
          <w:p w14:paraId="53A5AC42" w14:textId="77777777" w:rsidR="001052B5" w:rsidRPr="00F464C8"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r>
      <w:tr w:rsidR="001052B5" w:rsidRPr="009D378C" w14:paraId="2F071CEC"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613802"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AE7B6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C197C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E89A5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Wejście w życie ustawy nakładającej od 2025 r. obowiązek zakupu wyłącznie autobusów niskoemisyjnych i zeroemisyjnych  w miastach powyżej 100 tys. mieszkańców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ECCDA1" w14:textId="62014E5A"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Przepis w akcie prawnym wskazujący na jego wejście jego w życie</w:t>
            </w:r>
          </w:p>
          <w:p w14:paraId="2174D3EB" w14:textId="6FA44E5A"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2A495"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A0A32D"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A0ADEC"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3CEF8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BE021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63AD9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Ustawa wprowadzi obowiązek spełnienia progu dla autobusów nisko- i zeroemisyjnych w prowadzonych przetargach, w szczególnych przypadkach dopuszczany będzie zakup </w:t>
            </w:r>
            <w:proofErr w:type="spellStart"/>
            <w:r w:rsidRPr="00EB62AB">
              <w:rPr>
                <w:rFonts w:ascii="Times New Roman" w:eastAsia="Times New Roman" w:hAnsi="Times New Roman" w:cs="Times New Roman"/>
                <w:color w:val="000000" w:themeColor="text1"/>
                <w:sz w:val="18"/>
                <w:szCs w:val="18"/>
                <w:lang w:val="pl-PL"/>
              </w:rPr>
              <w:t>wyłacznie</w:t>
            </w:r>
            <w:proofErr w:type="spellEnd"/>
            <w:r w:rsidRPr="00EB62AB">
              <w:rPr>
                <w:rFonts w:ascii="Times New Roman" w:eastAsia="Times New Roman" w:hAnsi="Times New Roman" w:cs="Times New Roman"/>
                <w:color w:val="000000" w:themeColor="text1"/>
                <w:sz w:val="18"/>
                <w:szCs w:val="18"/>
                <w:lang w:val="pl-PL"/>
              </w:rPr>
              <w:t xml:space="preserve"> pojazdów takiego typu. Ustawa nałoży również na miasta powyżej 100 tys. mieszkańców obowiązek prawny udzielania od 2025 r. zamówień na transport tylko podmiotom korzystającym wyłącznie z autobusów zeroemisyjnych i niskoemisyjnych (elektrycznych i wodorowych).</w:t>
            </w:r>
          </w:p>
        </w:tc>
      </w:tr>
      <w:tr w:rsidR="001052B5" w:rsidRPr="009D378C" w14:paraId="21A135DE"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ED63E0"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1D4F8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81E9D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F5464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Zestaw działań wspierających opracowanie Planów Zrównoważonej Mobilności Miejskiej (SUMP) oraz przyjęcie zachęt do wdrażania SUMP poprzez udostępnienie wsparcia technicznego i finansowego dla wszystkich funkcjonalnych obszarów miejskich przez Ministerstwo Infrastruktury</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88376F"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Przepis  wskazujący na wejście w życie </w:t>
            </w:r>
          </w:p>
          <w:p w14:paraId="21961C30" w14:textId="0D5EBF7F"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C423B9"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B3237"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E26928"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E9031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276D5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9B0F2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Wprowadzenie środków wspierających opracowanie i wdrażanie Planów Zrównoważonej Mobilności Miejskiej (SUMP). Środki te obejmą:</w:t>
            </w:r>
            <w:r w:rsidRPr="00EB62AB">
              <w:rPr>
                <w:rFonts w:ascii="Times New Roman" w:eastAsia="Times New Roman" w:hAnsi="Times New Roman" w:cs="Times New Roman"/>
                <w:color w:val="000000" w:themeColor="text1"/>
                <w:sz w:val="18"/>
                <w:szCs w:val="18"/>
                <w:lang w:val="pl-PL"/>
              </w:rPr>
              <w:br/>
              <w:t xml:space="preserve">- nową strukturę wsparcia dla wdrażania SUMP, obejmującą komitet sterujący SUMP, którego zadaniem będzie stymulowanie rozwoju i wdrażania SUMP.        </w:t>
            </w:r>
            <w:r w:rsidRPr="00EB62AB">
              <w:rPr>
                <w:rFonts w:ascii="Times New Roman" w:eastAsia="Times New Roman" w:hAnsi="Times New Roman" w:cs="Times New Roman"/>
                <w:color w:val="000000" w:themeColor="text1"/>
                <w:sz w:val="18"/>
                <w:szCs w:val="18"/>
                <w:lang w:val="pl-PL"/>
              </w:rPr>
              <w:br/>
              <w:t xml:space="preserve">- utworzenie w ramach Ministerstwa Infrastruktury centrum kompetencyjnego SUMP, które zapewni wsparcie doradcze i finansowe dla jednostek samorządu terytorialnego. </w:t>
            </w:r>
            <w:r w:rsidRPr="00EB62AB">
              <w:rPr>
                <w:rFonts w:ascii="Times New Roman" w:eastAsia="Times New Roman" w:hAnsi="Times New Roman" w:cs="Times New Roman"/>
                <w:color w:val="000000" w:themeColor="text1"/>
                <w:sz w:val="18"/>
                <w:szCs w:val="18"/>
                <w:lang w:val="pl-PL"/>
              </w:rPr>
              <w:br/>
              <w:t xml:space="preserve">- powołanie Pełnomocnika ds. SUMP w Ministerstwie Infrastruktury. </w:t>
            </w:r>
            <w:r w:rsidRPr="00EB62AB">
              <w:rPr>
                <w:rFonts w:ascii="Times New Roman" w:eastAsia="Times New Roman" w:hAnsi="Times New Roman" w:cs="Times New Roman"/>
                <w:color w:val="000000" w:themeColor="text1"/>
                <w:sz w:val="18"/>
                <w:szCs w:val="18"/>
                <w:lang w:val="pl-PL"/>
              </w:rPr>
              <w:br/>
            </w:r>
            <w:r w:rsidRPr="00EB62AB">
              <w:rPr>
                <w:rFonts w:ascii="Times New Roman" w:eastAsia="Times New Roman" w:hAnsi="Times New Roman" w:cs="Times New Roman"/>
                <w:color w:val="000000" w:themeColor="text1"/>
                <w:sz w:val="18"/>
                <w:szCs w:val="18"/>
                <w:lang w:val="pl-PL"/>
              </w:rPr>
              <w:lastRenderedPageBreak/>
              <w:t>Nowa struktura zapewni odpowiednie wsparcie techniczne i finansowe podmiotom zainteresowanym przygotowaniem SUMP oraz usprawni działania podejmowane w tym zakresie przez administrację centralną.</w:t>
            </w:r>
          </w:p>
        </w:tc>
      </w:tr>
      <w:tr w:rsidR="001052B5" w:rsidRPr="009D378C" w14:paraId="05C92FA8"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9C524D"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E3G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0E26D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F5024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4A738"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Wejście w </w:t>
            </w:r>
            <w:proofErr w:type="spellStart"/>
            <w:r w:rsidRPr="00BF27A8">
              <w:rPr>
                <w:rFonts w:ascii="Times New Roman" w:eastAsia="Times New Roman" w:hAnsi="Times New Roman" w:cs="Times New Roman"/>
                <w:color w:val="000000" w:themeColor="text1"/>
                <w:sz w:val="18"/>
                <w:szCs w:val="18"/>
                <w:lang w:val="pl-PL"/>
              </w:rPr>
              <w:t>zycie</w:t>
            </w:r>
            <w:proofErr w:type="spellEnd"/>
            <w:r w:rsidRPr="00BF27A8">
              <w:rPr>
                <w:rFonts w:ascii="Times New Roman" w:eastAsia="Times New Roman" w:hAnsi="Times New Roman" w:cs="Times New Roman"/>
                <w:color w:val="000000" w:themeColor="text1"/>
                <w:sz w:val="18"/>
                <w:szCs w:val="18"/>
                <w:lang w:val="pl-PL"/>
              </w:rPr>
              <w:t xml:space="preserve"> aktu prawnego wprowadzającego opłatę </w:t>
            </w:r>
            <w:proofErr w:type="spellStart"/>
            <w:r w:rsidRPr="00BF27A8">
              <w:rPr>
                <w:rFonts w:ascii="Times New Roman" w:eastAsia="Times New Roman" w:hAnsi="Times New Roman" w:cs="Times New Roman"/>
                <w:color w:val="000000" w:themeColor="text1"/>
                <w:sz w:val="18"/>
                <w:szCs w:val="18"/>
                <w:lang w:val="pl-PL"/>
              </w:rPr>
              <w:t>rejestracyjneą</w:t>
            </w:r>
            <w:proofErr w:type="spellEnd"/>
            <w:r w:rsidRPr="00BF27A8">
              <w:rPr>
                <w:rFonts w:ascii="Times New Roman" w:eastAsia="Times New Roman" w:hAnsi="Times New Roman" w:cs="Times New Roman"/>
                <w:color w:val="000000" w:themeColor="text1"/>
                <w:sz w:val="18"/>
                <w:szCs w:val="18"/>
                <w:lang w:val="pl-PL"/>
              </w:rPr>
              <w:t xml:space="preserve"> od pojazdów emitujących spaliny zgodnie z zasadą „zanieczyszczający płaci”.</w:t>
            </w:r>
          </w:p>
          <w:p w14:paraId="0F649D5C" w14:textId="06E514B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78D7DE"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Przepis w akcie prawnym wskazujący na wejście jego w życie</w:t>
            </w:r>
          </w:p>
          <w:p w14:paraId="21F57DCF" w14:textId="1D58CFC8"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E82831"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5AD045"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F4B332"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8B4D9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2D990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BC7546"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Akt prawny wprowadzi narzędzia finansowe i podatkowe stymulujące popyt na bardziej ekologiczne pojazdy - wyższe opłaty rejestracyjne od posiadania pojazdów spalinowych, oraz zwiększenie środków dotyczących przyspieszonej amortyzacji pojazdów </w:t>
            </w:r>
            <w:proofErr w:type="spellStart"/>
            <w:r w:rsidRPr="00BF27A8">
              <w:rPr>
                <w:rFonts w:ascii="Times New Roman" w:eastAsia="Times New Roman" w:hAnsi="Times New Roman" w:cs="Times New Roman"/>
                <w:color w:val="000000" w:themeColor="text1"/>
                <w:sz w:val="18"/>
                <w:szCs w:val="18"/>
                <w:lang w:val="pl-PL"/>
              </w:rPr>
              <w:t>elektrycznych.Opłata</w:t>
            </w:r>
            <w:proofErr w:type="spellEnd"/>
            <w:r w:rsidRPr="00BF27A8">
              <w:rPr>
                <w:rFonts w:ascii="Times New Roman" w:eastAsia="Times New Roman" w:hAnsi="Times New Roman" w:cs="Times New Roman"/>
                <w:color w:val="000000" w:themeColor="text1"/>
                <w:sz w:val="18"/>
                <w:szCs w:val="18"/>
                <w:lang w:val="pl-PL"/>
              </w:rPr>
              <w:t xml:space="preserve"> będzie uzależniona od emisji CO2 i/lub </w:t>
            </w:r>
            <w:proofErr w:type="spellStart"/>
            <w:r w:rsidRPr="00BF27A8">
              <w:rPr>
                <w:rFonts w:ascii="Times New Roman" w:eastAsia="Times New Roman" w:hAnsi="Times New Roman" w:cs="Times New Roman"/>
                <w:color w:val="000000" w:themeColor="text1"/>
                <w:sz w:val="18"/>
                <w:szCs w:val="18"/>
                <w:lang w:val="pl-PL"/>
              </w:rPr>
              <w:t>NOx</w:t>
            </w:r>
            <w:proofErr w:type="spellEnd"/>
            <w:r w:rsidRPr="00BF27A8">
              <w:rPr>
                <w:rFonts w:ascii="Times New Roman" w:eastAsia="Times New Roman" w:hAnsi="Times New Roman" w:cs="Times New Roman"/>
                <w:color w:val="000000" w:themeColor="text1"/>
                <w:sz w:val="18"/>
                <w:szCs w:val="18"/>
                <w:lang w:val="pl-PL"/>
              </w:rPr>
              <w:t>. Dochody z opłat zostaną przeznaczone na ograniczenie negatywnych efektów zewnętrznych transportu oraz rozwój niskoemisyjnego transportu publicznego zarówno na obszarach miejskich, jak i wiejskich.</w:t>
            </w:r>
          </w:p>
          <w:p w14:paraId="6554EB06" w14:textId="5FE46B2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r>
      <w:tr w:rsidR="001052B5" w:rsidRPr="009D378C" w14:paraId="1A1C94F7"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35F7C8"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E4G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6F6C8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A34BB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DAE6F9"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Wejście w </w:t>
            </w:r>
            <w:proofErr w:type="spellStart"/>
            <w:r w:rsidRPr="00BF27A8">
              <w:rPr>
                <w:rFonts w:ascii="Times New Roman" w:eastAsia="Times New Roman" w:hAnsi="Times New Roman" w:cs="Times New Roman"/>
                <w:color w:val="000000" w:themeColor="text1"/>
                <w:sz w:val="18"/>
                <w:szCs w:val="18"/>
                <w:lang w:val="pl-PL"/>
              </w:rPr>
              <w:t>zycie</w:t>
            </w:r>
            <w:proofErr w:type="spellEnd"/>
            <w:r w:rsidRPr="00BF27A8">
              <w:rPr>
                <w:rFonts w:ascii="Times New Roman" w:eastAsia="Times New Roman" w:hAnsi="Times New Roman" w:cs="Times New Roman"/>
                <w:color w:val="000000" w:themeColor="text1"/>
                <w:sz w:val="18"/>
                <w:szCs w:val="18"/>
                <w:lang w:val="pl-PL"/>
              </w:rPr>
              <w:t xml:space="preserve"> aktu prawnego wprowadzającego podatek od własności pojazdów emitujących spaliny, zgodnie z zasadą „zanieczyszczający płaci”.</w:t>
            </w:r>
          </w:p>
          <w:p w14:paraId="5F9C68B2" w14:textId="0DF08131"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4EA20F"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Przepis w akcie prawnym wskazujący na wejście jego w życie</w:t>
            </w:r>
          </w:p>
          <w:p w14:paraId="0E695DDE" w14:textId="5E98F96F"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42C205"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1A38BF"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FFC5D6"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55836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EC60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2002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Wprowadzony podatek od własności pojazdów spalinowych będzie powiązany z emisją CO2 i </w:t>
            </w:r>
            <w:proofErr w:type="spellStart"/>
            <w:r w:rsidRPr="00EB62AB">
              <w:rPr>
                <w:rFonts w:ascii="Times New Roman" w:eastAsia="Times New Roman" w:hAnsi="Times New Roman" w:cs="Times New Roman"/>
                <w:color w:val="000000" w:themeColor="text1"/>
                <w:sz w:val="18"/>
                <w:szCs w:val="18"/>
                <w:lang w:val="pl-PL"/>
              </w:rPr>
              <w:t>NOx</w:t>
            </w:r>
            <w:proofErr w:type="spellEnd"/>
            <w:r w:rsidRPr="00EB62AB">
              <w:rPr>
                <w:rFonts w:ascii="Times New Roman" w:eastAsia="Times New Roman" w:hAnsi="Times New Roman" w:cs="Times New Roman"/>
                <w:color w:val="000000" w:themeColor="text1"/>
                <w:sz w:val="18"/>
                <w:szCs w:val="18"/>
                <w:lang w:val="pl-PL"/>
              </w:rPr>
              <w:t xml:space="preserve"> pojazdu. Dochód z podatku zostanie przeznaczony na ograniczenie negatywnych efektów zewnętrznych transportu oraz rozwój niskoemisyjnego transportu publicznego zarówno na obszarach miejskich, jak i wiejskich.</w:t>
            </w:r>
          </w:p>
        </w:tc>
      </w:tr>
      <w:tr w:rsidR="001052B5" w:rsidRPr="009D378C" w14:paraId="0440412A"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8B85EC"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E5G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9D7F6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2E90D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77D8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Miasta, w których przyjęto nowy SUMP</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E85B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1D50B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AD768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A83BC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0955D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2F2DB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F89A3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Wskaźnik ilościowy dotyczy liczby miast, które przyjęły nowy SUMP zgodnie z unijna koncepcją Ram  Mobilności \</w:t>
            </w:r>
            <w:proofErr w:type="spellStart"/>
            <w:r w:rsidRPr="00EB62AB">
              <w:rPr>
                <w:rFonts w:ascii="Times New Roman" w:eastAsia="Times New Roman" w:hAnsi="Times New Roman" w:cs="Times New Roman"/>
                <w:color w:val="000000" w:themeColor="text1"/>
                <w:sz w:val="18"/>
                <w:szCs w:val="18"/>
                <w:lang w:val="pl-PL"/>
              </w:rPr>
              <w:t>Mejskiej</w:t>
            </w:r>
            <w:proofErr w:type="spellEnd"/>
            <w:r w:rsidRPr="00EB62AB">
              <w:rPr>
                <w:rFonts w:ascii="Times New Roman" w:eastAsia="Times New Roman" w:hAnsi="Times New Roman" w:cs="Times New Roman"/>
                <w:color w:val="000000" w:themeColor="text1"/>
                <w:sz w:val="18"/>
                <w:szCs w:val="18"/>
                <w:lang w:val="pl-PL"/>
              </w:rPr>
              <w:t xml:space="preserve"> z 2021 r.</w:t>
            </w:r>
          </w:p>
        </w:tc>
      </w:tr>
      <w:tr w:rsidR="001052B5" w:rsidRPr="009D378C" w14:paraId="7D1447F2"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10A94C"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E6G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3B959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E57DB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13DAF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Linie autobusowe wspierane przez Fundusz rozwoju przewozów autobusowych o charakterze użyteczności publicznej</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C45CF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2F801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52D99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713AE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4 500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EDCF1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2D918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48D0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Wskaźnik odnosi się do liczby dodatkowych linii autobusowych wspieranych przez Fundusz rozwoju przewozów autobusowych o charakterze użyteczności publicznej.  Fundusz będzie wspierał transport publiczny, co przyczyni się do ograniczenia transportu indywidualnego, a tym samym do zmniejszenia negatywnego wpływu transportu na środowisko. Równocześnie w ramach naboru wniosków w części inwestycyjnej prowadzony będzie nabór wniosków na autobusy zero- i niskoemisyjne zgodnie z zasadą DNSH.</w:t>
            </w:r>
          </w:p>
        </w:tc>
      </w:tr>
      <w:tr w:rsidR="001052B5" w:rsidRPr="009D378C" w14:paraId="1F654C1E"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190468"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E7G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CAB61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 Wzrost wykorzystania transportu przyjaznego dla środowiska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B76B1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932A5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Nowe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pojazdy</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zeroemisyjne</w:t>
            </w:r>
            <w:proofErr w:type="spellEnd"/>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CC2A2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7A6FF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252C7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28C39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E4BF1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83AE8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CB03FF" w14:textId="54551095"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Celem jest zwiększenie o co najmniej 100% udziału nowych pojazdów o zerowej emisji na rynku (samochody/autobusy i pojazdy ciężarowe).</w:t>
            </w:r>
            <w:r w:rsidRPr="00EB62AB">
              <w:rPr>
                <w:rFonts w:ascii="Times New Roman" w:eastAsia="Times New Roman" w:hAnsi="Times New Roman" w:cs="Times New Roman"/>
                <w:color w:val="000000" w:themeColor="text1"/>
                <w:sz w:val="18"/>
                <w:szCs w:val="18"/>
                <w:lang w:val="pl-PL"/>
              </w:rPr>
              <w:br/>
              <w:t xml:space="preserve">Na koniec 2020 r. liczba zarejestrowanych w Polsce pojazdów elektrycznych wyniosła 10 041. </w:t>
            </w:r>
            <w:r w:rsidRPr="00EB62AB">
              <w:rPr>
                <w:rFonts w:ascii="Times New Roman" w:eastAsia="Times New Roman" w:hAnsi="Times New Roman" w:cs="Times New Roman"/>
                <w:color w:val="000000" w:themeColor="text1"/>
                <w:sz w:val="18"/>
                <w:szCs w:val="18"/>
                <w:lang w:val="pl-PL"/>
              </w:rPr>
              <w:br/>
              <w:t>Przyjmując powyższą liczbę, oznacza to, że na koniec II kwartału 2026 roku liczba pojazdów elektrycznych wyniesie co najmniej 20 082.</w:t>
            </w:r>
          </w:p>
        </w:tc>
      </w:tr>
      <w:tr w:rsidR="001052B5" w:rsidRPr="009D378C" w14:paraId="1F25E237"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25E5C1"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E8G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EBE23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51842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4702B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Ustanowienie instrumentu finansowego (funduszu) na rzecz zero/niskoemisyjnej mobilności i energii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40E63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Zatwierdzenie i rejestracja Funduszu, zatwierdzenie strategii/polityki inwestycyjnej przez organy Funduszu,</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CC0EB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5C5F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D47B4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8A9FB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1E4DE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9E8A2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Ustanowienie instrumentu finansowego ("Fundusz") w celu wspierania gospodarki niskoemisyjnej w Polsce, w tym związanej z nim strategii/polityki inwestycyjnej. Te ostatnie są przyjmowane przez organy zarządzające Funduszem i są zgodne z wytycznymi Komisji z dnia 22 stycznia 2021 r. dotyczącymi instrumentów finansowych, zapewniają zgodność z przepisami dotyczącymi pomocy publicznej, obejmują też kryteria wyboru w celu zapewnienia zgodności z wytycznymi technicznymi dla zasady „nie czyń poważnej szkody”- DNSH </w:t>
            </w:r>
            <w:r w:rsidRPr="00EB62AB">
              <w:rPr>
                <w:rFonts w:ascii="Times New Roman" w:eastAsia="Times New Roman" w:hAnsi="Times New Roman" w:cs="Times New Roman"/>
                <w:color w:val="000000" w:themeColor="text1"/>
                <w:sz w:val="18"/>
                <w:szCs w:val="18"/>
                <w:lang w:val="pl-PL"/>
              </w:rPr>
              <w:lastRenderedPageBreak/>
              <w:t xml:space="preserve">(2021/C58/01) w odniesieniu do transakcji wspieranych w ramach tego środka, poprzez wykorzystanie potwierdzenia trwałości, wykazu </w:t>
            </w:r>
            <w:proofErr w:type="spellStart"/>
            <w:r w:rsidRPr="00EB62AB">
              <w:rPr>
                <w:rFonts w:ascii="Times New Roman" w:eastAsia="Times New Roman" w:hAnsi="Times New Roman" w:cs="Times New Roman"/>
                <w:color w:val="000000" w:themeColor="text1"/>
                <w:sz w:val="18"/>
                <w:szCs w:val="18"/>
                <w:lang w:val="pl-PL"/>
              </w:rPr>
              <w:t>wykluczeń</w:t>
            </w:r>
            <w:proofErr w:type="spellEnd"/>
            <w:r w:rsidRPr="00EB62AB">
              <w:rPr>
                <w:rFonts w:ascii="Times New Roman" w:eastAsia="Times New Roman" w:hAnsi="Times New Roman" w:cs="Times New Roman"/>
                <w:color w:val="000000" w:themeColor="text1"/>
                <w:sz w:val="18"/>
                <w:szCs w:val="18"/>
                <w:lang w:val="pl-PL"/>
              </w:rPr>
              <w:t xml:space="preserve"> oraz wymogu zgodności z odpowiednimi unijnymi i krajowymi przepisami dotyczącymi środowiska. W szczególności zostanie zapewniona zgodność wspieranych inwestycji z art. 6 ust. 3 i art. 12 dyrektywy siedliskowej oraz art. 5 dyrektywy ptasiej oraz, w razie potrzeby, należy przeprowadzić ocenę oddziaływania na środowisko (OOŚ) lub screening zgodnie z </w:t>
            </w:r>
            <w:proofErr w:type="spellStart"/>
            <w:r w:rsidRPr="00EB62AB">
              <w:rPr>
                <w:rFonts w:ascii="Times New Roman" w:eastAsia="Times New Roman" w:hAnsi="Times New Roman" w:cs="Times New Roman"/>
                <w:color w:val="000000" w:themeColor="text1"/>
                <w:sz w:val="18"/>
                <w:szCs w:val="18"/>
                <w:lang w:val="pl-PL"/>
              </w:rPr>
              <w:t>z</w:t>
            </w:r>
            <w:proofErr w:type="spellEnd"/>
            <w:r w:rsidRPr="00EB62AB">
              <w:rPr>
                <w:rFonts w:ascii="Times New Roman" w:eastAsia="Times New Roman" w:hAnsi="Times New Roman" w:cs="Times New Roman"/>
                <w:color w:val="000000" w:themeColor="text1"/>
                <w:sz w:val="18"/>
                <w:szCs w:val="18"/>
                <w:lang w:val="pl-PL"/>
              </w:rPr>
              <w:t xml:space="preserve"> dyrektywą OOŚ.</w:t>
            </w:r>
            <w:r w:rsidRPr="00EB62AB">
              <w:rPr>
                <w:rFonts w:ascii="Times New Roman" w:eastAsia="Times New Roman" w:hAnsi="Times New Roman" w:cs="Times New Roman"/>
                <w:color w:val="000000" w:themeColor="text1"/>
                <w:sz w:val="18"/>
                <w:szCs w:val="18"/>
                <w:lang w:val="pl-PL"/>
              </w:rPr>
              <w:br/>
              <w:t xml:space="preserve">Fundusz zapewnia instrumenty finansowe (kapitałowe lub dłużne) wspierające projekty inwestycyjne związane z procesami badawczymi i innowacyjnymi, transferem technologii i współpracą między przedsiębiorstwami koncentrującymi się na gospodarce niskoemisyjnej, odporności na zmianę klimatu i przystosowaniu się do niej, ze szczególnym uwzględnieniem niskoemisyjnych i zeroemisyjnych innowacyjnych rozwiązań w dziedzinie zrównoważonej mobilności oraz zeroemisyjnych i niskoemisyjnych źródeł energii (z wyłączeniem sprężonego gazu ziemnego i skroplonego gazu ziemnego), realizowane w szczególności przez MŚP i przedsiębiorstwa o średniej kapitalizacji. Zarządzanie Funduszem powierza się zarządzającemu Funduszem wybranemu w drodze otwartego przetargu. Ustanawia się Komitet Inwestycyjny Funduszu, który jest odpowiedzialny za zatwierdzanie projektów odbiorców końcowych (inwestorów) proponowanych przez zarządzającego Funduszem w oparciu o potrzeby rynku oraz w sposób otwarty i zgodny z zasadami </w:t>
            </w:r>
            <w:r w:rsidRPr="00EB62AB">
              <w:rPr>
                <w:rFonts w:ascii="Times New Roman" w:eastAsia="Times New Roman" w:hAnsi="Times New Roman" w:cs="Times New Roman"/>
                <w:color w:val="000000" w:themeColor="text1"/>
                <w:sz w:val="18"/>
                <w:szCs w:val="18"/>
                <w:lang w:val="pl-PL"/>
              </w:rPr>
              <w:lastRenderedPageBreak/>
              <w:t>rynkowymi. Struktura Funduszu powinna umożliwiać pozyskiwanie środków prywatnych. Podstawowe akty prawne zapewniają, że wszelkie spłaty (tj. odsetki od pożyczki, zwrot z kapitału lub spłata kapitału minus powiązane koszty) związane z tymi instrumentami zostaną wykorzystane do tych samych celów polityki, w tym po 2026 r., lub do spłaty  pożyczki z RRF.</w:t>
            </w:r>
          </w:p>
        </w:tc>
      </w:tr>
      <w:tr w:rsidR="001052B5" w:rsidRPr="009D378C" w14:paraId="291C4C1E"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6423BD"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E9G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BBAF4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3FF15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195E9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Wybór</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pośredników</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finansowych</w:t>
            </w:r>
            <w:proofErr w:type="spellEnd"/>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4E4F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Decyzja</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organów</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zarządzających</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Funduszu</w:t>
            </w:r>
            <w:proofErr w:type="spellEnd"/>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572A0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F368B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05141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E0930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746AF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39311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Wybór przez zarządzającego Funduszem pośredników finansowych, którzy są uprawnieni do udzielania wsparcia finansowego z Funduszu. Proces selekcji odbywa się zgodnie z otwartą i konkurencyjną procedurą i prowadzi do podpisania umów z pośrednikami finansowymi w celu  wspierania określonych zdolności innowacyjnych i produkcyjnych w zakresie zero i niskoemisyjnej mobilności, źródeł energii (z wyłączeniem sprężonego gazu ziemnego i skroplonego gazu ziemnego), otwartych dla wszystkich rodzajów przedsiębiorstw, ze szczególnym uwzględnieniem MŚP i przedsiębiorstw o średniej kapitalizacji. Umowy podpisane z pośrednikami finansowymi określają kryteria kwalifikowalności projektu, zapewniają one zgodność z zasadą „nie czyń poważnej szkody”- DNSH oraz zgodność z obowiązującymi kryteriami dotyczącymi klimatu i oznakowania cyfrowego zawartymi w załączniku VI do rozporządzenia w sprawie RRF.</w:t>
            </w:r>
          </w:p>
        </w:tc>
      </w:tr>
      <w:tr w:rsidR="001052B5" w:rsidRPr="009D378C" w14:paraId="461F94CF"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A0E6CD"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E10G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C3206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BE4E9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DA659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Zainstalowane moce produkcyjne nowych pojazdów zeroemisyjnych</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77AD5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42B77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84C1D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0D5A1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100 000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46811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D353E7"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46AB1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Wskaźnik ten jest związany z roczną zdolnością produkcyjną nowych pojazdów zeroemisyjnych dzięki inwestycjom wspieranym przez Fundusz.</w:t>
            </w:r>
          </w:p>
        </w:tc>
      </w:tr>
      <w:tr w:rsidR="001052B5" w:rsidRPr="009D378C" w14:paraId="60DA3DE7"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9CAD27"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E11G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AB96D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C6C8F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18862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Zdolności produkcyjne i magazynowe niskoemisyjnego/zeroemisyjnego magazynowania i produkcji paliw alternatywnych/energii</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E002A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D385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BA69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60B3C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1 000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DE362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D16ED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95BF56" w14:textId="77777777" w:rsidR="001052B5" w:rsidRPr="00EB62AB" w:rsidRDefault="001052B5" w:rsidP="00A20CA7">
            <w:pPr>
              <w:pStyle w:val="Normal0"/>
              <w:pBdr>
                <w:top w:val="nil"/>
                <w:left w:val="nil"/>
                <w:bottom w:val="nil"/>
                <w:right w:val="nil"/>
                <w:between w:val="nil"/>
              </w:pBdr>
              <w:spacing w:after="0"/>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Wskaźnik dotyczy całkowitej mocy produkcyjnej i magazynowej (akumulatory)  (w MW) zeroemisyjnych źródeł energii produkowanych rocznie (z wyłączeniem sprężonego gazu ziemnego i skroplonego gazu ziemnego) dzięki inwestycjom wspieranym przez Fundusz.</w:t>
            </w:r>
          </w:p>
        </w:tc>
      </w:tr>
      <w:tr w:rsidR="001052B5" w:rsidRPr="009D378C" w14:paraId="610D9B65"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85A3D5"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E12G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EADED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E1.1.1 Wsparcie dla gospodarki niskoemisyjnej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73F4B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7FC7B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MŚP i spółki o średniej kapitalizacji wspierane w ramach konkretnych inwestycji, na które ukierunkowany jest Fundusz</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1D193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5CF7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9A218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04ED2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0B5C2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DAC2E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2025</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73A1A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Wskaźnik dotyczy liczby MŚP i przedsiębiorstw o średniej kapitalizacji wspieranych przez Fundusz  i dostarczających produkty i usługi dla niskoemisyjnej i zeroemisyjnej zrównoważonej </w:t>
            </w:r>
            <w:proofErr w:type="spellStart"/>
            <w:r w:rsidRPr="00EB62AB">
              <w:rPr>
                <w:rFonts w:ascii="Times New Roman" w:eastAsia="Times New Roman" w:hAnsi="Times New Roman" w:cs="Times New Roman"/>
                <w:color w:val="000000" w:themeColor="text1"/>
                <w:sz w:val="18"/>
                <w:szCs w:val="18"/>
                <w:lang w:val="pl-PL"/>
              </w:rPr>
              <w:t>mobilności.na</w:t>
            </w:r>
            <w:proofErr w:type="spellEnd"/>
            <w:r w:rsidRPr="00EB62AB">
              <w:rPr>
                <w:rFonts w:ascii="Times New Roman" w:eastAsia="Times New Roman" w:hAnsi="Times New Roman" w:cs="Times New Roman"/>
                <w:color w:val="000000" w:themeColor="text1"/>
                <w:sz w:val="18"/>
                <w:szCs w:val="18"/>
                <w:lang w:val="pl-PL"/>
              </w:rPr>
              <w:t xml:space="preserve"> rzecz zrównoważonej mobilności niskoemisyjnej/zeroemisyjnej oraz </w:t>
            </w:r>
            <w:proofErr w:type="spellStart"/>
            <w:r w:rsidRPr="00EB62AB">
              <w:rPr>
                <w:rFonts w:ascii="Times New Roman" w:eastAsia="Times New Roman" w:hAnsi="Times New Roman" w:cs="Times New Roman"/>
                <w:color w:val="000000" w:themeColor="text1"/>
                <w:sz w:val="18"/>
                <w:szCs w:val="18"/>
                <w:lang w:val="pl-PL"/>
              </w:rPr>
              <w:t>zeroemsiyjnej</w:t>
            </w:r>
            <w:proofErr w:type="spellEnd"/>
            <w:r w:rsidRPr="00EB62AB">
              <w:rPr>
                <w:rFonts w:ascii="Times New Roman" w:eastAsia="Times New Roman" w:hAnsi="Times New Roman" w:cs="Times New Roman"/>
                <w:color w:val="000000" w:themeColor="text1"/>
                <w:sz w:val="18"/>
                <w:szCs w:val="18"/>
                <w:lang w:val="pl-PL"/>
              </w:rPr>
              <w:t xml:space="preserve"> </w:t>
            </w:r>
            <w:proofErr w:type="spellStart"/>
            <w:r w:rsidRPr="00EB62AB">
              <w:rPr>
                <w:rFonts w:ascii="Times New Roman" w:eastAsia="Times New Roman" w:hAnsi="Times New Roman" w:cs="Times New Roman"/>
                <w:color w:val="000000" w:themeColor="text1"/>
                <w:sz w:val="18"/>
                <w:szCs w:val="18"/>
                <w:lang w:val="pl-PL"/>
              </w:rPr>
              <w:t>energiii</w:t>
            </w:r>
            <w:proofErr w:type="spellEnd"/>
            <w:r w:rsidRPr="00EB62AB">
              <w:rPr>
                <w:rFonts w:ascii="Times New Roman" w:eastAsia="Times New Roman" w:hAnsi="Times New Roman" w:cs="Times New Roman"/>
                <w:color w:val="000000" w:themeColor="text1"/>
                <w:sz w:val="18"/>
                <w:szCs w:val="18"/>
                <w:lang w:val="pl-PL"/>
              </w:rPr>
              <w:t>.</w:t>
            </w:r>
          </w:p>
        </w:tc>
      </w:tr>
      <w:tr w:rsidR="001052B5" w:rsidRPr="009D378C" w14:paraId="1192FD81"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0F6B13"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E13G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B9BA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E1.1.2 Zero i niskoemisyjny transport zbiorowy (autobusy)</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DE66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13DA9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Pojazdy zeroemisyjne i niskoemisyjne: wybór beneficjentów</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B6DF2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Umowy podpisane pomiędzy Ministerstwem Infrastruktury a beneficjentami</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9BA96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BE537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94086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12C53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247D2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E17D5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Wybór podmiotów-beneficjentów (władz lokalnych lub operatorów usług publicznych) dla 1738 nowych autobusów zeroemisyjnych i niskoemisyjnych.</w:t>
            </w:r>
            <w:r w:rsidRPr="00EB62AB">
              <w:rPr>
                <w:rFonts w:ascii="Times New Roman" w:eastAsia="Times New Roman" w:hAnsi="Times New Roman" w:cs="Times New Roman"/>
                <w:color w:val="000000" w:themeColor="text1"/>
                <w:sz w:val="18"/>
                <w:szCs w:val="18"/>
                <w:lang w:val="pl-PL"/>
              </w:rPr>
              <w:br/>
              <w:t>Beneficjenci będą wybierani w drodze przejrzystych i konkurencyjnych naborów dla zeroemisyjnego i niskoemisyjnego transportu na obszarach pozamiejskich, otwartych dla wszystkich władz lokalnych i operatorów usług publicznych.</w:t>
            </w:r>
            <w:r w:rsidRPr="00EB62AB">
              <w:rPr>
                <w:rFonts w:ascii="Times New Roman" w:eastAsia="Times New Roman" w:hAnsi="Times New Roman" w:cs="Times New Roman"/>
                <w:color w:val="000000" w:themeColor="text1"/>
                <w:sz w:val="18"/>
                <w:szCs w:val="18"/>
                <w:lang w:val="pl-PL"/>
              </w:rPr>
              <w:br/>
              <w:t xml:space="preserve">Kryteria wyboru beneficjentów będą w szczególności odzwierciedlać potrzeby czystego transportu publicznego oraz wpływ na zmniejszenie emisji (w szczególności w przypadku zeroemisyjnego transportu miejskiego) i zatorów komunikacyjnych, wsparcie dla wyłączonych obszarów transportowych, projekty wspierające/zapewniające integrację transportu (kolei , miejskiego, podmiejskiego). Biorąc pod uwagę potrzeby różnych podmiotów-beneficjentów, przydział </w:t>
            </w:r>
            <w:r w:rsidRPr="00EB62AB">
              <w:rPr>
                <w:rFonts w:ascii="Times New Roman" w:eastAsia="Times New Roman" w:hAnsi="Times New Roman" w:cs="Times New Roman"/>
                <w:color w:val="000000" w:themeColor="text1"/>
                <w:sz w:val="18"/>
                <w:szCs w:val="18"/>
                <w:lang w:val="pl-PL"/>
              </w:rPr>
              <w:lastRenderedPageBreak/>
              <w:t>autobusów podmiotom-beneficjentom będzie zrównoważony pomiędzy podmiotami w całym kraju, biorąc pod uwagę populację i zasięg geograficzny (większe wsparcie otrzymają gminy o większej gęstości zaludnienia/rozciągłości).</w:t>
            </w:r>
          </w:p>
        </w:tc>
      </w:tr>
      <w:tr w:rsidR="001052B5" w:rsidRPr="00EB62AB" w14:paraId="567E9CB6"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13F17D"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E14G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24280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E1.1.2 Zero i niskoemisyjny transport zbiorowy (autobusy)</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2018F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6A8AB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Nowe nisko- i zeroemisyjne pojazdy w eksploatacji</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58067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FCCC6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3BA9E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F2964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1 738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7C0FF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7C447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5BD17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lang w:val="pl-PL"/>
              </w:rPr>
              <w:t xml:space="preserve">Nowe autobusy zeroemisyjne i niskoemisyjne dostarczone w ramach umów finansowanych z tej inwestycji będą przeznaczone na potrzeby publicznego transportu miejskiego (zeroemisyjnego) i podmiejskiego/wiejskiego (niskoemisyjnego).Zakupy autobusów odbywać się będą w drodze otwartych i konkurencyjnych naborów.  W przypadku autobusów zeroemisyjnych wspierane będą wyłącznie autobusy elektryczne i hybrydowe typu plug-in. W przypadku autobusów niskoemisyjnych wspierane będą autobusy zasilane gazem: w tym LNG, LPG, CNG i spełniające normę EURO VI. </w:t>
            </w:r>
            <w:proofErr w:type="spellStart"/>
            <w:r w:rsidRPr="00EB62AB">
              <w:rPr>
                <w:rFonts w:ascii="Times New Roman" w:eastAsia="Times New Roman" w:hAnsi="Times New Roman" w:cs="Times New Roman"/>
                <w:color w:val="000000" w:themeColor="text1"/>
                <w:sz w:val="18"/>
                <w:szCs w:val="18"/>
              </w:rPr>
              <w:t>Liczba</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autobusów</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niskoemisyjnych</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nie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przekroczy</w:t>
            </w:r>
            <w:proofErr w:type="spellEnd"/>
            <w:r w:rsidRPr="00EB62AB">
              <w:rPr>
                <w:rFonts w:ascii="Times New Roman" w:eastAsia="Times New Roman" w:hAnsi="Times New Roman" w:cs="Times New Roman"/>
                <w:color w:val="000000" w:themeColor="text1"/>
                <w:sz w:val="18"/>
                <w:szCs w:val="18"/>
              </w:rPr>
              <w:t xml:space="preserve"> 21% </w:t>
            </w:r>
            <w:proofErr w:type="spellStart"/>
            <w:r w:rsidRPr="00EB62AB">
              <w:rPr>
                <w:rFonts w:ascii="Times New Roman" w:eastAsia="Times New Roman" w:hAnsi="Times New Roman" w:cs="Times New Roman"/>
                <w:color w:val="000000" w:themeColor="text1"/>
                <w:sz w:val="18"/>
                <w:szCs w:val="18"/>
              </w:rPr>
              <w:t>ogólnej</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liczby</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dostarczonych</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autobusów</w:t>
            </w:r>
            <w:proofErr w:type="spellEnd"/>
            <w:r w:rsidRPr="00EB62AB">
              <w:rPr>
                <w:rFonts w:ascii="Times New Roman" w:eastAsia="Times New Roman" w:hAnsi="Times New Roman" w:cs="Times New Roman"/>
                <w:color w:val="000000" w:themeColor="text1"/>
                <w:sz w:val="18"/>
                <w:szCs w:val="18"/>
              </w:rPr>
              <w:t>.</w:t>
            </w:r>
          </w:p>
        </w:tc>
      </w:tr>
      <w:tr w:rsidR="001052B5" w:rsidRPr="009D378C" w14:paraId="6AF51D73"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4EE8F4"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E15G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4BB5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E2.1 Zwiększenie konkurencyjności sektora kolejowego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83A4E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040A47" w14:textId="77777777" w:rsidR="00A709BD" w:rsidRPr="00BF27A8" w:rsidRDefault="00A709BD" w:rsidP="00A709BD">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Wejście w </w:t>
            </w:r>
            <w:proofErr w:type="spellStart"/>
            <w:r w:rsidRPr="00BF27A8">
              <w:rPr>
                <w:rFonts w:ascii="Times New Roman" w:eastAsia="Times New Roman" w:hAnsi="Times New Roman" w:cs="Times New Roman"/>
                <w:color w:val="000000" w:themeColor="text1"/>
                <w:sz w:val="18"/>
                <w:szCs w:val="18"/>
                <w:lang w:val="pl-PL"/>
              </w:rPr>
              <w:t>zycie</w:t>
            </w:r>
            <w:proofErr w:type="spellEnd"/>
            <w:r w:rsidRPr="00BF27A8">
              <w:rPr>
                <w:rFonts w:ascii="Times New Roman" w:eastAsia="Times New Roman" w:hAnsi="Times New Roman" w:cs="Times New Roman"/>
                <w:color w:val="000000" w:themeColor="text1"/>
                <w:sz w:val="18"/>
                <w:szCs w:val="18"/>
                <w:lang w:val="pl-PL"/>
              </w:rPr>
              <w:t xml:space="preserve"> aktu zmieniającego ustawę o transporcie kolejowym zapewniającego odporność przewoźników kolejowych. Decyzja Ministra w zakresie ustanowienia priorytetów dla transportu intermodalnego i usunięcia wąskich gardeł w celu zwiększenia przepustowości kolei.</w:t>
            </w:r>
          </w:p>
          <w:p w14:paraId="145ADDDC" w14:textId="22DF292A"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BD105A"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Przepis w akcie </w:t>
            </w:r>
            <w:proofErr w:type="spellStart"/>
            <w:r w:rsidRPr="00BF27A8">
              <w:rPr>
                <w:rFonts w:ascii="Times New Roman" w:eastAsia="Times New Roman" w:hAnsi="Times New Roman" w:cs="Times New Roman"/>
                <w:color w:val="000000" w:themeColor="text1"/>
                <w:sz w:val="18"/>
                <w:szCs w:val="18"/>
                <w:lang w:val="pl-PL"/>
              </w:rPr>
              <w:t>zmieniajacym</w:t>
            </w:r>
            <w:proofErr w:type="spellEnd"/>
            <w:r w:rsidRPr="00BF27A8">
              <w:rPr>
                <w:rFonts w:ascii="Times New Roman" w:eastAsia="Times New Roman" w:hAnsi="Times New Roman" w:cs="Times New Roman"/>
                <w:color w:val="000000" w:themeColor="text1"/>
                <w:sz w:val="18"/>
                <w:szCs w:val="18"/>
                <w:lang w:val="pl-PL"/>
              </w:rPr>
              <w:t xml:space="preserve"> </w:t>
            </w:r>
            <w:proofErr w:type="spellStart"/>
            <w:r w:rsidRPr="00BF27A8">
              <w:rPr>
                <w:rFonts w:ascii="Times New Roman" w:eastAsia="Times New Roman" w:hAnsi="Times New Roman" w:cs="Times New Roman"/>
                <w:color w:val="000000" w:themeColor="text1"/>
                <w:sz w:val="18"/>
                <w:szCs w:val="18"/>
                <w:lang w:val="pl-PL"/>
              </w:rPr>
              <w:t>ustawe</w:t>
            </w:r>
            <w:proofErr w:type="spellEnd"/>
            <w:r w:rsidRPr="00BF27A8">
              <w:rPr>
                <w:rFonts w:ascii="Times New Roman" w:eastAsia="Times New Roman" w:hAnsi="Times New Roman" w:cs="Times New Roman"/>
                <w:color w:val="000000" w:themeColor="text1"/>
                <w:sz w:val="18"/>
                <w:szCs w:val="18"/>
                <w:lang w:val="pl-PL"/>
              </w:rPr>
              <w:t xml:space="preserve"> o transporcie kolejowym  wskazujący na wejście jego w życie i przyjęcie decyzji Ministra dla infrastruktury w zakresie </w:t>
            </w:r>
            <w:r w:rsidRPr="00BF27A8">
              <w:rPr>
                <w:rFonts w:ascii="Times New Roman" w:eastAsia="Times New Roman" w:hAnsi="Times New Roman" w:cs="Times New Roman"/>
                <w:color w:val="000000" w:themeColor="text1"/>
                <w:sz w:val="18"/>
                <w:szCs w:val="18"/>
                <w:lang w:val="pl-PL"/>
              </w:rPr>
              <w:lastRenderedPageBreak/>
              <w:t>wąskich gardeł</w:t>
            </w:r>
          </w:p>
          <w:p w14:paraId="7CFDF884" w14:textId="663AFC4F"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33D79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lastRenderedPageBreak/>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E37F0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8CCC9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928F2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8ACF7E"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2022</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6E611" w14:textId="3B9FB029" w:rsidR="001052B5" w:rsidRPr="00EB62AB" w:rsidRDefault="00312598"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312598">
              <w:rPr>
                <w:rFonts w:ascii="Times New Roman" w:eastAsia="Times New Roman" w:hAnsi="Times New Roman" w:cs="Times New Roman"/>
                <w:color w:val="000000" w:themeColor="text1"/>
                <w:sz w:val="18"/>
                <w:szCs w:val="18"/>
                <w:lang w:val="pl-PL"/>
              </w:rPr>
              <w:t xml:space="preserve">Akt prawny zmieniający ustawę o transporcie </w:t>
            </w:r>
            <w:proofErr w:type="spellStart"/>
            <w:r w:rsidRPr="00312598">
              <w:rPr>
                <w:rFonts w:ascii="Times New Roman" w:eastAsia="Times New Roman" w:hAnsi="Times New Roman" w:cs="Times New Roman"/>
                <w:color w:val="000000" w:themeColor="text1"/>
                <w:sz w:val="18"/>
                <w:szCs w:val="18"/>
                <w:lang w:val="pl-PL"/>
              </w:rPr>
              <w:t>kolejwoym</w:t>
            </w:r>
            <w:proofErr w:type="spellEnd"/>
            <w:r w:rsidRPr="00312598">
              <w:rPr>
                <w:rFonts w:ascii="Times New Roman" w:eastAsia="Times New Roman" w:hAnsi="Times New Roman" w:cs="Times New Roman"/>
                <w:color w:val="000000" w:themeColor="text1"/>
                <w:sz w:val="18"/>
                <w:szCs w:val="18"/>
                <w:lang w:val="pl-PL"/>
              </w:rPr>
              <w:t xml:space="preserve">  umożliwi zarządcom infrastruktury obniżenie opłat za dostęp do infrastruktury oraz zrekompensuje zarządcom infrastruktury obniżenie opłat w sytuacjach kryzysowych.  Rozwój transportu intermodalnego będzie wspierany za pomocą następujących środków: planowanie, koordynacja programów, innowacje, inwestycje prowadzące do zwiększenia zdolności przewozowych transportu intermodalnego, wraz z utworzeniem jednostki ds. transportu intermodalnego w Ministerstwie Infrastruktury. Stan sieci </w:t>
            </w:r>
            <w:r w:rsidRPr="00312598">
              <w:rPr>
                <w:rFonts w:ascii="Times New Roman" w:eastAsia="Times New Roman" w:hAnsi="Times New Roman" w:cs="Times New Roman"/>
                <w:color w:val="000000" w:themeColor="text1"/>
                <w:sz w:val="18"/>
                <w:szCs w:val="18"/>
                <w:lang w:val="pl-PL"/>
              </w:rPr>
              <w:lastRenderedPageBreak/>
              <w:t>będzie badany ze szczególnym uwzględnieniem wąskich gardeł - minister infrastruktury podejmie decyzję w sprawie priorytetów dotyczących usuwania wąskich gardeł, co doprowadzi do zwiększenia przepustowości kolei.</w:t>
            </w:r>
          </w:p>
        </w:tc>
      </w:tr>
      <w:tr w:rsidR="001052B5" w:rsidRPr="009D378C" w14:paraId="6D71789E"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77A79B"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E16G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65D5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E2.1 Zwiększenie konkurencyjności sektora kolejowego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C13FA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B4C6E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Ustanowienie obszaru poboru opłat na nowych drogach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3FAFA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41D5A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AD846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BCB05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1 400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C508E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F3CBA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D8ACF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Długość nowych dróg włączonych do obszaru poboru opłat, obejmująca autostrady i drogi ekspresowe.</w:t>
            </w:r>
          </w:p>
        </w:tc>
      </w:tr>
      <w:tr w:rsidR="001052B5" w:rsidRPr="00EB62AB" w14:paraId="107A2E31"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2D3844"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E17G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D44DB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E2.1.1 </w:t>
            </w:r>
            <w:proofErr w:type="spellStart"/>
            <w:r w:rsidRPr="00EB62AB">
              <w:rPr>
                <w:rFonts w:ascii="Times New Roman" w:eastAsia="Times New Roman" w:hAnsi="Times New Roman" w:cs="Times New Roman"/>
                <w:color w:val="000000"/>
                <w:sz w:val="18"/>
                <w:szCs w:val="18"/>
              </w:rPr>
              <w:t>Linie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kolejowe</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B6241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948D6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Udzielanie zamówień w trybie  otwartych i konkurencyjnych przetargów</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01A7F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Podpisane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umowy</w:t>
            </w:r>
            <w:proofErr w:type="spellEnd"/>
            <w:r w:rsidRPr="00EB62AB">
              <w:rPr>
                <w:rFonts w:ascii="Times New Roman" w:eastAsia="Times New Roman" w:hAnsi="Times New Roman" w:cs="Times New Roman"/>
                <w:color w:val="000000" w:themeColor="text1"/>
                <w:sz w:val="18"/>
                <w:szCs w:val="18"/>
              </w:rPr>
              <w:t xml:space="preserve"> o </w:t>
            </w:r>
            <w:proofErr w:type="spellStart"/>
            <w:r w:rsidRPr="00EB62AB">
              <w:rPr>
                <w:rFonts w:ascii="Times New Roman" w:eastAsia="Times New Roman" w:hAnsi="Times New Roman" w:cs="Times New Roman"/>
                <w:color w:val="000000" w:themeColor="text1"/>
                <w:sz w:val="18"/>
                <w:szCs w:val="18"/>
              </w:rPr>
              <w:t>finansowaniu</w:t>
            </w:r>
            <w:proofErr w:type="spellEnd"/>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94CEB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CC5B7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DCC0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DDBF5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01FC91"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43149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lang w:val="pl-PL"/>
              </w:rPr>
              <w:t xml:space="preserve">Podpisanie umów na modernizację 478 km linii kolejowych do standardów TEN-T oraz elektryfikację. Wykonawcy modernizacji infrastruktury kolejowej będą wyłaniani w trybie Prawa Zamówień Publicznych w trybie konkurencyjnym. </w:t>
            </w:r>
            <w:proofErr w:type="spellStart"/>
            <w:r w:rsidRPr="00EB62AB">
              <w:rPr>
                <w:rFonts w:ascii="Times New Roman" w:eastAsia="Times New Roman" w:hAnsi="Times New Roman" w:cs="Times New Roman"/>
                <w:color w:val="000000" w:themeColor="text1"/>
                <w:sz w:val="18"/>
                <w:szCs w:val="18"/>
              </w:rPr>
              <w:t>Umowy</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obejmą</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główne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prace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na</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liniach</w:t>
            </w:r>
            <w:proofErr w:type="spellEnd"/>
            <w:r w:rsidRPr="00EB62AB">
              <w:rPr>
                <w:rFonts w:ascii="Times New Roman" w:eastAsia="Times New Roman" w:hAnsi="Times New Roman" w:cs="Times New Roman"/>
                <w:color w:val="000000" w:themeColor="text1"/>
                <w:sz w:val="18"/>
                <w:szCs w:val="18"/>
              </w:rPr>
              <w:t>.</w:t>
            </w:r>
          </w:p>
        </w:tc>
      </w:tr>
      <w:tr w:rsidR="001052B5" w:rsidRPr="009D378C" w14:paraId="7259E2CB"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4AC3E6"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E18G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A2DF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E2.1.1 </w:t>
            </w:r>
            <w:proofErr w:type="spellStart"/>
            <w:r w:rsidRPr="00EB62AB">
              <w:rPr>
                <w:rFonts w:ascii="Times New Roman" w:eastAsia="Times New Roman" w:hAnsi="Times New Roman" w:cs="Times New Roman"/>
                <w:color w:val="000000"/>
                <w:sz w:val="18"/>
                <w:szCs w:val="18"/>
              </w:rPr>
              <w:t>Linie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kolejowe</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D132C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6711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Modernizacja 478 km linii kolejowych, w tym 300 km ze standardami TEN-T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7D1CA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C10D6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2C275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EE4F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478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71CC9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C1EB4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6B243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Zakończenie prac modernizacyjnych na 478 km linii kolejowych, w tym dostosowania 300 km do wymogów sieci TEN-T (a w tym 200 km w sieci bazowej TEN-T), 200 km linii zostanie dostosowanych do prędkości 250 km/h dla ruchu pasażerskiego, na 320 km będzie </w:t>
            </w:r>
            <w:proofErr w:type="spellStart"/>
            <w:r w:rsidRPr="00EB62AB">
              <w:rPr>
                <w:rFonts w:ascii="Times New Roman" w:eastAsia="Times New Roman" w:hAnsi="Times New Roman" w:cs="Times New Roman"/>
                <w:color w:val="000000" w:themeColor="text1"/>
                <w:sz w:val="18"/>
                <w:szCs w:val="18"/>
                <w:lang w:val="pl-PL"/>
              </w:rPr>
              <w:t>umożliwa</w:t>
            </w:r>
            <w:proofErr w:type="spellEnd"/>
            <w:r w:rsidRPr="00EB62AB">
              <w:rPr>
                <w:rFonts w:ascii="Times New Roman" w:eastAsia="Times New Roman" w:hAnsi="Times New Roman" w:cs="Times New Roman"/>
                <w:color w:val="000000" w:themeColor="text1"/>
                <w:sz w:val="18"/>
                <w:szCs w:val="18"/>
                <w:lang w:val="pl-PL"/>
              </w:rPr>
              <w:t xml:space="preserve"> prędkość 100 km/h dla ruchu towarowego, 144 km linii zostanie zelektryfikowanych, 70 km zostanie zmodernizowanych do prędkości 160 km/h.</w:t>
            </w:r>
          </w:p>
        </w:tc>
      </w:tr>
      <w:tr w:rsidR="001052B5" w:rsidRPr="009D378C" w14:paraId="233AA796"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5E6D25"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E19G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8E17C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E2.1.2 </w:t>
            </w:r>
            <w:proofErr w:type="spellStart"/>
            <w:r w:rsidRPr="00EB62AB">
              <w:rPr>
                <w:rFonts w:ascii="Times New Roman" w:eastAsia="Times New Roman" w:hAnsi="Times New Roman" w:cs="Times New Roman"/>
                <w:color w:val="000000"/>
                <w:sz w:val="18"/>
                <w:szCs w:val="18"/>
              </w:rPr>
              <w:t>Pasażerski</w:t>
            </w:r>
            <w:proofErr w:type="spellEnd"/>
            <w:r w:rsidRPr="00EB62AB">
              <w:rPr>
                <w:rFonts w:ascii="Times New Roman" w:eastAsia="Times New Roman" w:hAnsi="Times New Roman" w:cs="Times New Roman"/>
                <w:color w:val="000000"/>
                <w:sz w:val="18"/>
                <w:szCs w:val="18"/>
              </w:rPr>
              <w:t xml:space="preserve"> tabor </w:t>
            </w:r>
            <w:proofErr w:type="spellStart"/>
            <w:r w:rsidRPr="00EB62AB">
              <w:rPr>
                <w:rFonts w:ascii="Times New Roman" w:eastAsia="Times New Roman" w:hAnsi="Times New Roman" w:cs="Times New Roman"/>
                <w:color w:val="000000"/>
                <w:sz w:val="18"/>
                <w:szCs w:val="18"/>
              </w:rPr>
              <w:t>kolejowy</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3235E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A39EFE"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Podpisanie umów na pasażerski tabor kolejowy</w:t>
            </w:r>
          </w:p>
          <w:p w14:paraId="294BDE1A" w14:textId="7835DD1F"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F5E5D" w14:textId="77777777" w:rsidR="00312598" w:rsidRPr="0031259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312598">
              <w:rPr>
                <w:rFonts w:ascii="Times New Roman" w:eastAsia="Times New Roman" w:hAnsi="Times New Roman" w:cs="Times New Roman"/>
                <w:color w:val="000000" w:themeColor="text1"/>
                <w:sz w:val="18"/>
                <w:szCs w:val="18"/>
              </w:rPr>
              <w:t>Podpisane</w:t>
            </w:r>
            <w:proofErr w:type="spellEnd"/>
            <w:r w:rsidRPr="00312598">
              <w:rPr>
                <w:rFonts w:ascii="Times New Roman" w:eastAsia="Times New Roman" w:hAnsi="Times New Roman" w:cs="Times New Roman"/>
                <w:color w:val="000000" w:themeColor="text1"/>
                <w:sz w:val="18"/>
                <w:szCs w:val="18"/>
              </w:rPr>
              <w:t xml:space="preserve"> </w:t>
            </w:r>
            <w:proofErr w:type="spellStart"/>
            <w:r w:rsidRPr="00312598">
              <w:rPr>
                <w:rFonts w:ascii="Times New Roman" w:eastAsia="Times New Roman" w:hAnsi="Times New Roman" w:cs="Times New Roman"/>
                <w:color w:val="000000" w:themeColor="text1"/>
                <w:sz w:val="18"/>
                <w:szCs w:val="18"/>
              </w:rPr>
              <w:t>umów</w:t>
            </w:r>
            <w:proofErr w:type="spellEnd"/>
          </w:p>
          <w:p w14:paraId="5E9461D6" w14:textId="4570F25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7A392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EEF13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A8D4C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F78B3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Q3</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A3B9E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20C537" w14:textId="5FA7057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Projekty będą wybierane na podstawie konkurencyjnego i otwartego naboru. Po zakończeniu naboru zostaną podpisane umowy z wybranymi beneficjentami na dostawę 70 zespołów taboru kolejowego zeroemisyjnego / elektrycznego i wyposażonego w ERTMS dla regionalnych kolejowych przewozów pasażerskich. </w:t>
            </w:r>
            <w:r w:rsidRPr="00EB62AB">
              <w:rPr>
                <w:rFonts w:ascii="Times New Roman" w:eastAsia="Times New Roman" w:hAnsi="Times New Roman" w:cs="Times New Roman"/>
                <w:color w:val="000000" w:themeColor="text1"/>
                <w:sz w:val="18"/>
                <w:szCs w:val="18"/>
                <w:lang w:val="pl-PL"/>
              </w:rPr>
              <w:br/>
            </w:r>
            <w:r w:rsidRPr="00EB62AB">
              <w:rPr>
                <w:rFonts w:ascii="Times New Roman" w:eastAsia="Times New Roman" w:hAnsi="Times New Roman" w:cs="Times New Roman"/>
                <w:color w:val="000000" w:themeColor="text1"/>
                <w:sz w:val="18"/>
                <w:szCs w:val="18"/>
                <w:lang w:val="pl-PL"/>
              </w:rPr>
              <w:lastRenderedPageBreak/>
              <w:t>Dodatkowe 38 jednostek taboru elektrycznego będzie przedmiotem umowy z PKP IC - operatorem pociągów dalekobieżnych.</w:t>
            </w:r>
          </w:p>
        </w:tc>
      </w:tr>
      <w:tr w:rsidR="001052B5" w:rsidRPr="009D378C" w14:paraId="06746FEA"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3BE419"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E20G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AA509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E2.1.2 </w:t>
            </w:r>
            <w:proofErr w:type="spellStart"/>
            <w:r w:rsidRPr="00EB62AB">
              <w:rPr>
                <w:rFonts w:ascii="Times New Roman" w:eastAsia="Times New Roman" w:hAnsi="Times New Roman" w:cs="Times New Roman"/>
                <w:color w:val="000000"/>
                <w:sz w:val="18"/>
                <w:szCs w:val="18"/>
              </w:rPr>
              <w:t>Pasażerski</w:t>
            </w:r>
            <w:proofErr w:type="spellEnd"/>
            <w:r w:rsidRPr="00EB62AB">
              <w:rPr>
                <w:rFonts w:ascii="Times New Roman" w:eastAsia="Times New Roman" w:hAnsi="Times New Roman" w:cs="Times New Roman"/>
                <w:color w:val="000000"/>
                <w:sz w:val="18"/>
                <w:szCs w:val="18"/>
              </w:rPr>
              <w:t xml:space="preserve"> tabor </w:t>
            </w:r>
            <w:proofErr w:type="spellStart"/>
            <w:r w:rsidRPr="00EB62AB">
              <w:rPr>
                <w:rFonts w:ascii="Times New Roman" w:eastAsia="Times New Roman" w:hAnsi="Times New Roman" w:cs="Times New Roman"/>
                <w:color w:val="000000"/>
                <w:sz w:val="18"/>
                <w:szCs w:val="18"/>
              </w:rPr>
              <w:t>kolejowy</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E16C5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06BE8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Tabor elektryczny i wyposażony w ERTMS eksploatowany na regionalnych i dalekobieżnych liniach kolejowych</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C7B78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D88D4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B0074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14E5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108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A7A3E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48424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3FB8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Liczba nowych jednostek taboru kolejowego dla ruchu dalekobieżnego i regionalnego, wprowadzonych do eksploatacji. Tabor kolejowy będzie zeroemisyjny / elektryczny, spełniający zasady DNSH (np. </w:t>
            </w:r>
            <w:proofErr w:type="spellStart"/>
            <w:r w:rsidRPr="00EB62AB">
              <w:rPr>
                <w:rFonts w:ascii="Times New Roman" w:eastAsia="Times New Roman" w:hAnsi="Times New Roman" w:cs="Times New Roman"/>
                <w:color w:val="000000" w:themeColor="text1"/>
                <w:sz w:val="18"/>
                <w:szCs w:val="18"/>
                <w:lang w:val="pl-PL"/>
              </w:rPr>
              <w:t>zeroemisyjność</w:t>
            </w:r>
            <w:proofErr w:type="spellEnd"/>
            <w:r w:rsidRPr="00EB62AB">
              <w:rPr>
                <w:rFonts w:ascii="Times New Roman" w:eastAsia="Times New Roman" w:hAnsi="Times New Roman" w:cs="Times New Roman"/>
                <w:color w:val="000000" w:themeColor="text1"/>
                <w:sz w:val="18"/>
                <w:szCs w:val="18"/>
                <w:lang w:val="pl-PL"/>
              </w:rPr>
              <w:t>) i będzie wyposażony w ERTMS: 70 jednostek dla linii regionalnych i 38 jednostek dla linii dalekobieżnych. Tabor kolejowy jest przekazywany właściwemu organowi lub kolejnemu operatorowi (po cenie rynkowej bez uwzględnienia pomocy) po zakończeniu umowy o świadczenie usług publicznych.</w:t>
            </w:r>
          </w:p>
        </w:tc>
      </w:tr>
      <w:tr w:rsidR="001052B5" w:rsidRPr="009D378C" w14:paraId="7ABBDA5F"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F614A3"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E21G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8286A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E2.1.3 </w:t>
            </w:r>
            <w:proofErr w:type="spellStart"/>
            <w:r w:rsidRPr="00EB62AB">
              <w:rPr>
                <w:rFonts w:ascii="Times New Roman" w:eastAsia="Times New Roman" w:hAnsi="Times New Roman" w:cs="Times New Roman"/>
                <w:color w:val="000000"/>
                <w:sz w:val="18"/>
                <w:szCs w:val="18"/>
              </w:rPr>
              <w:t>Projekty</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intermodalne</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73D16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5D5658"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roofErr w:type="spellStart"/>
            <w:r w:rsidRPr="00BF27A8">
              <w:rPr>
                <w:rFonts w:ascii="Times New Roman" w:eastAsia="Times New Roman" w:hAnsi="Times New Roman" w:cs="Times New Roman"/>
                <w:color w:val="000000" w:themeColor="text1"/>
                <w:sz w:val="18"/>
                <w:szCs w:val="18"/>
                <w:lang w:val="pl-PL"/>
              </w:rPr>
              <w:t>Podpsianie</w:t>
            </w:r>
            <w:proofErr w:type="spellEnd"/>
            <w:r w:rsidRPr="00BF27A8">
              <w:rPr>
                <w:rFonts w:ascii="Times New Roman" w:eastAsia="Times New Roman" w:hAnsi="Times New Roman" w:cs="Times New Roman"/>
                <w:color w:val="000000" w:themeColor="text1"/>
                <w:sz w:val="18"/>
                <w:szCs w:val="18"/>
                <w:lang w:val="pl-PL"/>
              </w:rPr>
              <w:t xml:space="preserve"> umów na projekty w zakresie transportu intermodalnego</w:t>
            </w:r>
          </w:p>
          <w:p w14:paraId="7234A950" w14:textId="258A905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C34B5B" w14:textId="77777777" w:rsidR="00312598" w:rsidRPr="0031259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312598">
              <w:rPr>
                <w:rFonts w:ascii="Times New Roman" w:eastAsia="Times New Roman" w:hAnsi="Times New Roman" w:cs="Times New Roman"/>
                <w:color w:val="000000" w:themeColor="text1"/>
                <w:sz w:val="18"/>
                <w:szCs w:val="18"/>
              </w:rPr>
              <w:t>Podpisane</w:t>
            </w:r>
            <w:proofErr w:type="spellEnd"/>
            <w:r w:rsidRPr="00312598">
              <w:rPr>
                <w:rFonts w:ascii="Times New Roman" w:eastAsia="Times New Roman" w:hAnsi="Times New Roman" w:cs="Times New Roman"/>
                <w:color w:val="000000" w:themeColor="text1"/>
                <w:sz w:val="18"/>
                <w:szCs w:val="18"/>
              </w:rPr>
              <w:t xml:space="preserve"> </w:t>
            </w:r>
            <w:proofErr w:type="spellStart"/>
            <w:r w:rsidRPr="00312598">
              <w:rPr>
                <w:rFonts w:ascii="Times New Roman" w:eastAsia="Times New Roman" w:hAnsi="Times New Roman" w:cs="Times New Roman"/>
                <w:color w:val="000000" w:themeColor="text1"/>
                <w:sz w:val="18"/>
                <w:szCs w:val="18"/>
              </w:rPr>
              <w:t>umów</w:t>
            </w:r>
            <w:proofErr w:type="spellEnd"/>
          </w:p>
          <w:p w14:paraId="695066E8" w14:textId="4FD0EE3D"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88D46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4A6D5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521D6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3E5D4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8DE98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44AD5F" w14:textId="1D508BA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Projekty są wybierane na podstawie konkurencyjnego i otwartego naboru. </w:t>
            </w:r>
            <w:r w:rsidRPr="00EB62AB">
              <w:rPr>
                <w:rFonts w:ascii="Times New Roman" w:eastAsia="Times New Roman" w:hAnsi="Times New Roman" w:cs="Times New Roman"/>
                <w:color w:val="000000" w:themeColor="text1"/>
                <w:sz w:val="18"/>
                <w:szCs w:val="18"/>
                <w:lang w:val="pl-PL"/>
              </w:rPr>
              <w:br/>
              <w:t xml:space="preserve">Po zakończeniu naboru zostaną podpisane umowy o dofinansowanie z wybranymi beneficjentami na modernizację 10 centrów przeładunkowych oraz dostawę 250 jednostek taboru zgodnego ze specyfikacją techniczną i zasadą „nie czyń poważnej szkody”- DNSH  (np. ciche hamulce, </w:t>
            </w:r>
            <w:proofErr w:type="spellStart"/>
            <w:r w:rsidRPr="00EB62AB">
              <w:rPr>
                <w:rFonts w:ascii="Times New Roman" w:eastAsia="Times New Roman" w:hAnsi="Times New Roman" w:cs="Times New Roman"/>
                <w:color w:val="000000" w:themeColor="text1"/>
                <w:sz w:val="18"/>
                <w:szCs w:val="18"/>
                <w:lang w:val="pl-PL"/>
              </w:rPr>
              <w:t>zeroemisyjność</w:t>
            </w:r>
            <w:proofErr w:type="spellEnd"/>
            <w:r w:rsidRPr="00EB62AB">
              <w:rPr>
                <w:rFonts w:ascii="Times New Roman" w:eastAsia="Times New Roman" w:hAnsi="Times New Roman" w:cs="Times New Roman"/>
                <w:color w:val="000000" w:themeColor="text1"/>
                <w:sz w:val="18"/>
                <w:szCs w:val="18"/>
                <w:lang w:val="pl-PL"/>
              </w:rPr>
              <w:t>) oraz z Globalnym Systemem Komunikacji Mobilne</w:t>
            </w:r>
            <w:r w:rsidR="00312598">
              <w:rPr>
                <w:rFonts w:ascii="Times New Roman" w:eastAsia="Times New Roman" w:hAnsi="Times New Roman" w:cs="Times New Roman"/>
                <w:color w:val="000000" w:themeColor="text1"/>
                <w:sz w:val="18"/>
                <w:szCs w:val="18"/>
                <w:lang w:val="pl-PL"/>
              </w:rPr>
              <w:t>j</w:t>
            </w:r>
            <w:r w:rsidRPr="00EB62AB">
              <w:rPr>
                <w:rFonts w:ascii="Times New Roman" w:eastAsia="Times New Roman" w:hAnsi="Times New Roman" w:cs="Times New Roman"/>
                <w:color w:val="000000" w:themeColor="text1"/>
                <w:sz w:val="18"/>
                <w:szCs w:val="18"/>
                <w:lang w:val="pl-PL"/>
              </w:rPr>
              <w:t xml:space="preserve"> (dla lokomotyw).</w:t>
            </w:r>
          </w:p>
        </w:tc>
      </w:tr>
      <w:tr w:rsidR="001052B5" w:rsidRPr="009D378C" w14:paraId="3BFDF307"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B55C96"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E22G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AD938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E2.1.3 </w:t>
            </w:r>
            <w:proofErr w:type="spellStart"/>
            <w:r w:rsidRPr="00EB62AB">
              <w:rPr>
                <w:rFonts w:ascii="Times New Roman" w:eastAsia="Times New Roman" w:hAnsi="Times New Roman" w:cs="Times New Roman"/>
                <w:color w:val="000000"/>
                <w:sz w:val="18"/>
                <w:szCs w:val="18"/>
              </w:rPr>
              <w:t>Projekty</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intermodalne</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015BE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2EF60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EB62AB">
              <w:rPr>
                <w:rFonts w:ascii="Times New Roman" w:eastAsia="Times New Roman" w:hAnsi="Times New Roman" w:cs="Times New Roman"/>
                <w:color w:val="000000" w:themeColor="text1"/>
                <w:sz w:val="18"/>
                <w:szCs w:val="18"/>
              </w:rPr>
              <w:t>Zwiększenie</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zdolności</w:t>
            </w:r>
            <w:proofErr w:type="spellEnd"/>
            <w:r w:rsidRPr="00EB62AB">
              <w:rPr>
                <w:rFonts w:ascii="Times New Roman" w:eastAsia="Times New Roman" w:hAnsi="Times New Roman" w:cs="Times New Roman"/>
                <w:color w:val="000000" w:themeColor="text1"/>
                <w:sz w:val="18"/>
                <w:szCs w:val="18"/>
              </w:rPr>
              <w:t xml:space="preserve"> </w:t>
            </w:r>
            <w:proofErr w:type="spellStart"/>
            <w:r w:rsidRPr="00EB62AB">
              <w:rPr>
                <w:rFonts w:ascii="Times New Roman" w:eastAsia="Times New Roman" w:hAnsi="Times New Roman" w:cs="Times New Roman"/>
                <w:color w:val="000000" w:themeColor="text1"/>
                <w:sz w:val="18"/>
                <w:szCs w:val="18"/>
              </w:rPr>
              <w:t>przeładunkowych</w:t>
            </w:r>
            <w:proofErr w:type="spellEnd"/>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A00C0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F9706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roofErr w:type="spellStart"/>
            <w:r w:rsidRPr="00EB62AB">
              <w:rPr>
                <w:rFonts w:ascii="Times New Roman" w:eastAsia="Times New Roman" w:hAnsi="Times New Roman" w:cs="Times New Roman"/>
                <w:color w:val="000000"/>
                <w:sz w:val="18"/>
                <w:szCs w:val="18"/>
              </w:rPr>
              <w:t>Procent</w:t>
            </w:r>
            <w:proofErr w:type="spellEnd"/>
            <w:r w:rsidRPr="00EB62AB">
              <w:rPr>
                <w:rFonts w:ascii="Times New Roman" w:eastAsia="Times New Roman" w:hAnsi="Times New Roman" w:cs="Times New Roman"/>
                <w:color w:val="000000"/>
                <w:sz w:val="18"/>
                <w:szCs w:val="18"/>
              </w:rPr>
              <w:t>)</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5B25A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xml:space="preserve">Bazowa moc zainstalowana 9,1 mln TEU/rok (ref 2020) dla wszystkich </w:t>
            </w:r>
            <w:r w:rsidRPr="00EB62AB">
              <w:rPr>
                <w:rFonts w:ascii="Times New Roman" w:eastAsia="Times New Roman" w:hAnsi="Times New Roman" w:cs="Times New Roman"/>
                <w:color w:val="000000"/>
                <w:sz w:val="18"/>
                <w:szCs w:val="18"/>
                <w:lang w:val="pl-PL"/>
              </w:rPr>
              <w:lastRenderedPageBreak/>
              <w:t>terminali w Polsce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C0042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lastRenderedPageBreak/>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6D3F5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24A6C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1F11E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Zwiększenie zdolności przeładunkowej terminali objętych wsparciem w ramach RRF o co najmniej 5% w stosunku do poziomu bazowego (2020 r.).</w:t>
            </w:r>
          </w:p>
        </w:tc>
      </w:tr>
      <w:tr w:rsidR="001052B5" w:rsidRPr="009D378C" w14:paraId="4AA2CD0B"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612AE9"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E23G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B7FE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E2.2 </w:t>
            </w:r>
            <w:proofErr w:type="spellStart"/>
            <w:r w:rsidRPr="00EB62AB">
              <w:rPr>
                <w:rFonts w:ascii="Times New Roman" w:eastAsia="Times New Roman" w:hAnsi="Times New Roman" w:cs="Times New Roman"/>
                <w:color w:val="000000"/>
                <w:sz w:val="18"/>
                <w:szCs w:val="18"/>
              </w:rPr>
              <w:t>Zwiększenie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bezpieczeństwa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transportu</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ACE26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7757D3" w14:textId="360B4CC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Wejście w życie aktów prawn</w:t>
            </w:r>
            <w:r w:rsidR="00312598">
              <w:rPr>
                <w:rFonts w:ascii="Times New Roman" w:eastAsia="Times New Roman" w:hAnsi="Times New Roman" w:cs="Times New Roman"/>
                <w:color w:val="000000" w:themeColor="text1"/>
                <w:sz w:val="18"/>
                <w:szCs w:val="18"/>
                <w:lang w:val="pl-PL"/>
              </w:rPr>
              <w:t>y</w:t>
            </w:r>
            <w:r w:rsidRPr="00EB62AB">
              <w:rPr>
                <w:rFonts w:ascii="Times New Roman" w:eastAsia="Times New Roman" w:hAnsi="Times New Roman" w:cs="Times New Roman"/>
                <w:color w:val="000000" w:themeColor="text1"/>
                <w:sz w:val="18"/>
                <w:szCs w:val="18"/>
                <w:lang w:val="pl-PL"/>
              </w:rPr>
              <w:t>ch wprowadzających: pierwszeństwo pieszych na przejściach, jednolitą prędkość w terenie zabudowanym, minimalną odległość między pojazdami, cele bezpieczeństwa ruchu drogowego do 2030 r. (-50% ofiar śmiertelnych w wypadkach)</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EBE6B8"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Przepis w akcie prawnym wskazujący na wejście jego w życie</w:t>
            </w:r>
          </w:p>
          <w:p w14:paraId="53710687" w14:textId="6A8E5652"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1450D2"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6D51B8"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E4D9FC"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8B5FB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E451D6"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2021</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2474D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Wprowadzone zostaną następujące zmiany legislacyjne promujące bezpieczeństwo ruchu drogowego: pierwszeństwo pieszych na przejściach, wprowadzenie jednolitego ograniczenia prędkości na obszarach miejskich (50 km/h) oraz minimalnej odległości między pojazdami na autostradach i drogach ekspresowych (połowa prędkości w metrach). Ogólny cel w zakresie bezpieczeństwa ruchu drogowego jest określony w Krajowym Programie Bezpieczeństwa Ruchu Drogowego, tj. zmniejszenie o 50% liczby ofiar śmiertelnych wypadków drogowych do 2030 r. w porównaniu z 2019 r., zgodnie z zobowiązaniem UE.</w:t>
            </w:r>
          </w:p>
        </w:tc>
      </w:tr>
      <w:tr w:rsidR="001052B5" w:rsidRPr="009D378C" w14:paraId="421909D2"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A10BA4"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E24G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487AF4" w14:textId="71927FAC"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E2.2.1 </w:t>
            </w:r>
            <w:r w:rsidR="009866AC" w:rsidRPr="00BF27A8">
              <w:rPr>
                <w:rFonts w:ascii="Times New Roman" w:eastAsia="Times New Roman" w:hAnsi="Times New Roman" w:cs="Times New Roman"/>
                <w:color w:val="000000"/>
                <w:sz w:val="18"/>
                <w:szCs w:val="18"/>
                <w:lang w:val="pl-PL"/>
              </w:rPr>
              <w:t xml:space="preserve">Inwestycje w </w:t>
            </w:r>
            <w:proofErr w:type="spellStart"/>
            <w:r w:rsidRPr="00BF27A8">
              <w:rPr>
                <w:rFonts w:ascii="Times New Roman" w:eastAsia="Times New Roman" w:hAnsi="Times New Roman" w:cs="Times New Roman"/>
                <w:color w:val="000000"/>
                <w:sz w:val="18"/>
                <w:szCs w:val="18"/>
                <w:lang w:val="pl-PL"/>
              </w:rPr>
              <w:t>ezpieczeństwo</w:t>
            </w:r>
            <w:proofErr w:type="spellEnd"/>
            <w:r w:rsidRPr="00BF27A8">
              <w:rPr>
                <w:rFonts w:ascii="Times New Roman" w:eastAsia="Times New Roman" w:hAnsi="Times New Roman" w:cs="Times New Roman"/>
                <w:color w:val="000000"/>
                <w:sz w:val="18"/>
                <w:szCs w:val="18"/>
                <w:lang w:val="pl-PL"/>
              </w:rPr>
              <w:t xml:space="preserve"> transportu</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A1BD7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EDEAAC" w14:textId="1C38DB4E" w:rsidR="001052B5" w:rsidRPr="00EB62AB" w:rsidRDefault="00312598"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Zakończenie</w:t>
            </w:r>
            <w:r w:rsidR="001052B5" w:rsidRPr="00EB62AB">
              <w:rPr>
                <w:rFonts w:ascii="Times New Roman" w:eastAsia="Times New Roman" w:hAnsi="Times New Roman" w:cs="Times New Roman"/>
                <w:color w:val="000000" w:themeColor="text1"/>
                <w:sz w:val="18"/>
                <w:szCs w:val="18"/>
                <w:lang w:val="pl-PL"/>
              </w:rPr>
              <w:t xml:space="preserve"> budowy obwodnic i likwidacja czarnych punktów bezpieczeństwa drogowego</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50B90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D714A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3F9BF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500C8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10 km, 125 </w:t>
            </w:r>
            <w:proofErr w:type="spellStart"/>
            <w:r w:rsidRPr="00EB62AB">
              <w:rPr>
                <w:rFonts w:ascii="Times New Roman" w:eastAsia="Times New Roman" w:hAnsi="Times New Roman" w:cs="Times New Roman"/>
                <w:color w:val="000000"/>
                <w:sz w:val="18"/>
                <w:szCs w:val="18"/>
              </w:rPr>
              <w:t>czarnych</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punktów</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FD8C2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F6B0B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2023</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E5988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Inwestycje obejmą następujący zakres: modernizacja 125 niebezpiecznych czarnych punktów, budowa 10 km obwodnic w celu usunięcia czarnych punktów. </w:t>
            </w:r>
          </w:p>
        </w:tc>
      </w:tr>
      <w:tr w:rsidR="001052B5" w:rsidRPr="009D378C" w14:paraId="0A79A1A8"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9A9F85"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E25G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E6902D" w14:textId="4C41EF84"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E2.2.1 </w:t>
            </w:r>
            <w:r w:rsidR="009866AC" w:rsidRPr="00BF27A8">
              <w:rPr>
                <w:rFonts w:ascii="Times New Roman" w:eastAsia="Times New Roman" w:hAnsi="Times New Roman" w:cs="Times New Roman"/>
                <w:color w:val="000000"/>
                <w:sz w:val="18"/>
                <w:szCs w:val="18"/>
                <w:lang w:val="pl-PL"/>
              </w:rPr>
              <w:t>Inwestycje w b</w:t>
            </w:r>
            <w:r w:rsidRPr="00BF27A8">
              <w:rPr>
                <w:rFonts w:ascii="Times New Roman" w:eastAsia="Times New Roman" w:hAnsi="Times New Roman" w:cs="Times New Roman"/>
                <w:color w:val="000000"/>
                <w:sz w:val="18"/>
                <w:szCs w:val="18"/>
                <w:lang w:val="pl-PL"/>
              </w:rPr>
              <w:t>ezpieczeństwo transportu</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35E68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DA0DF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Zakończenie budowy obwodnic, likwidacja czarnych punktów bezpieczeństwa drogowego oraz instalacja automatycznych urządzeń nadzoru drogowego.</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5630F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A1601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EFABC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9D698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90 km, 305 </w:t>
            </w:r>
            <w:proofErr w:type="spellStart"/>
            <w:r w:rsidRPr="00EB62AB">
              <w:rPr>
                <w:rFonts w:ascii="Times New Roman" w:eastAsia="Times New Roman" w:hAnsi="Times New Roman" w:cs="Times New Roman"/>
                <w:color w:val="000000"/>
                <w:sz w:val="18"/>
                <w:szCs w:val="18"/>
              </w:rPr>
              <w:t>punktów</w:t>
            </w:r>
            <w:proofErr w:type="spellEnd"/>
            <w:r w:rsidRPr="00EB62AB">
              <w:rPr>
                <w:rFonts w:ascii="Times New Roman" w:eastAsia="Times New Roman" w:hAnsi="Times New Roman" w:cs="Times New Roman"/>
                <w:color w:val="000000"/>
                <w:sz w:val="18"/>
                <w:szCs w:val="18"/>
              </w:rPr>
              <w:t xml:space="preserve">, 128 </w:t>
            </w:r>
            <w:proofErr w:type="spellStart"/>
            <w:r w:rsidRPr="00EB62AB">
              <w:rPr>
                <w:rFonts w:ascii="Times New Roman" w:eastAsia="Times New Roman" w:hAnsi="Times New Roman" w:cs="Times New Roman"/>
                <w:color w:val="000000"/>
                <w:sz w:val="18"/>
                <w:szCs w:val="18"/>
              </w:rPr>
              <w:t>urządzeń</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53188"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AA2D0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8E8B1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Inwestycje obejmą następujący zakres: modernizacja 305 niebezpiecznych czarnych punktów, budowa 90 km obwodnic w celu usunięcia czarnych punktów, montaż 128 nowych urządzeń automatycznego nadzoru drogowego.</w:t>
            </w:r>
          </w:p>
        </w:tc>
      </w:tr>
      <w:tr w:rsidR="001052B5" w:rsidRPr="009D378C" w14:paraId="6DBF9266"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3B7063"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E26G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53754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E2.2.2 </w:t>
            </w:r>
            <w:proofErr w:type="spellStart"/>
            <w:r w:rsidRPr="00EB62AB">
              <w:rPr>
                <w:rFonts w:ascii="Times New Roman" w:eastAsia="Times New Roman" w:hAnsi="Times New Roman" w:cs="Times New Roman"/>
                <w:color w:val="000000"/>
                <w:sz w:val="18"/>
                <w:szCs w:val="18"/>
              </w:rPr>
              <w:t>Cyfryzacja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transportu</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C82E8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AE51F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Kompleksowy system biletowania pasażerów kolei</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8BC89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 xml:space="preserve">System w </w:t>
            </w:r>
            <w:proofErr w:type="spellStart"/>
            <w:r w:rsidRPr="00EB62AB">
              <w:rPr>
                <w:rFonts w:ascii="Times New Roman" w:eastAsia="Times New Roman" w:hAnsi="Times New Roman" w:cs="Times New Roman"/>
                <w:color w:val="000000" w:themeColor="text1"/>
                <w:sz w:val="18"/>
                <w:szCs w:val="18"/>
              </w:rPr>
              <w:t>eksploatacji</w:t>
            </w:r>
            <w:proofErr w:type="spellEnd"/>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9B7B4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D47F7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2B1F6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6048D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D6860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E1211A"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Kamieniem milowym jest dalszy rozwój kompleksowego systemu biletowego dla kolei, udostępnianie systemu zaprojektowanego i opartego na nowych rozwiązaniach technicznych. System biletowy będzie otwarty na integrację z innymi środkami transportu oraz dla wszystkich operatorów transportu. Rozkłady </w:t>
            </w:r>
            <w:r w:rsidRPr="00EB62AB">
              <w:rPr>
                <w:rFonts w:ascii="Times New Roman" w:eastAsia="Times New Roman" w:hAnsi="Times New Roman" w:cs="Times New Roman"/>
                <w:color w:val="000000" w:themeColor="text1"/>
                <w:sz w:val="18"/>
                <w:szCs w:val="18"/>
                <w:lang w:val="pl-PL"/>
              </w:rPr>
              <w:lastRenderedPageBreak/>
              <w:t xml:space="preserve">jazdy i taryfy będą publicznie dostępne w łatwy i przyjazny dla użytkownika sposób. Nowy moduł podstawowy dla systemu biletowego zapewni wprowadzenie nowoczesnych rozwiązań z modułami dostępu udostępnianymi wszystkim przewoźnikom bez opłat, aby umożliwić pasażerom korzystanie z kompleksowego systemu zakupu biletów. System działający na nowym module bazowym będzie </w:t>
            </w:r>
            <w:proofErr w:type="spellStart"/>
            <w:r w:rsidRPr="00EB62AB">
              <w:rPr>
                <w:rFonts w:ascii="Times New Roman" w:eastAsia="Times New Roman" w:hAnsi="Times New Roman" w:cs="Times New Roman"/>
                <w:color w:val="000000" w:themeColor="text1"/>
                <w:sz w:val="18"/>
                <w:szCs w:val="18"/>
                <w:lang w:val="pl-PL"/>
              </w:rPr>
              <w:t>interoperacyjny</w:t>
            </w:r>
            <w:proofErr w:type="spellEnd"/>
            <w:r w:rsidRPr="00EB62AB">
              <w:rPr>
                <w:rFonts w:ascii="Times New Roman" w:eastAsia="Times New Roman" w:hAnsi="Times New Roman" w:cs="Times New Roman"/>
                <w:color w:val="000000" w:themeColor="text1"/>
                <w:sz w:val="18"/>
                <w:szCs w:val="18"/>
                <w:lang w:val="pl-PL"/>
              </w:rPr>
              <w:t xml:space="preserve"> z rozwiązaniami TTE 2.0. Moduły B2B i B2C będą rozwijane w celu zapewnienia płynnego połączenia z nowym modułem podstawowym.</w:t>
            </w:r>
          </w:p>
        </w:tc>
      </w:tr>
      <w:tr w:rsidR="001052B5" w:rsidRPr="009D378C" w14:paraId="735FAFCD"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60367B"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lastRenderedPageBreak/>
              <w:t>E27G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170E63"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E2.2.2 </w:t>
            </w:r>
            <w:proofErr w:type="spellStart"/>
            <w:r w:rsidRPr="00EB62AB">
              <w:rPr>
                <w:rFonts w:ascii="Times New Roman" w:eastAsia="Times New Roman" w:hAnsi="Times New Roman" w:cs="Times New Roman"/>
                <w:color w:val="000000"/>
                <w:sz w:val="18"/>
                <w:szCs w:val="18"/>
              </w:rPr>
              <w:t>Cyfryzacja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transportu</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8FAF8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4E87E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Instalacja: Systemu Dynamicznej Informacji Pasażerskiej (SDIP) , systemów kontroli i przejazdów kolejowych w 55 obszarach</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C1181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C5FC6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70D149"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19BDA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SDIP: 10 lokalizacji, kontrola: 15 lokalizacji, przejazdy kolejowe: 30 lokalizacji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8D8B3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232EE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2024</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CC016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Instalacja Systemu Dynamicznej Informacji Pasażerskiej (SDIP) w 10 lokalizacjach dostarczających pasażerom informacji o ruchu kolejowym w czasie rzeczywistym, 15 lokalizacji automatycznego sterowania umożliwiających zarządzanie poszczególnymi obszarami kolejowymi z lokalnych centrów zarządzania ruchem, 30 przejazdów kolejowych w zakresie instalacji automatycznych sterowanych urządzeń zabezpieczających (brama przejazdowa, sygnalizacja dźwiękowa i świetlna). </w:t>
            </w:r>
          </w:p>
        </w:tc>
      </w:tr>
      <w:tr w:rsidR="001052B5" w:rsidRPr="009D378C" w14:paraId="223FA1F3" w14:textId="77777777" w:rsidTr="00A20CA7">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E83965" w14:textId="77777777" w:rsidR="001052B5" w:rsidRPr="00EB62AB" w:rsidRDefault="001052B5" w:rsidP="00A20CA7">
            <w:pPr>
              <w:pStyle w:val="Normal0"/>
              <w:jc w:val="center"/>
              <w:rPr>
                <w:rFonts w:ascii="Times New Roman" w:hAnsi="Times New Roman" w:cs="Times New Roman"/>
                <w:sz w:val="18"/>
                <w:szCs w:val="18"/>
              </w:rPr>
            </w:pPr>
            <w:r w:rsidRPr="00EB62AB">
              <w:rPr>
                <w:rFonts w:ascii="Times New Roman" w:hAnsi="Times New Roman" w:cs="Times New Roman"/>
                <w:sz w:val="18"/>
                <w:szCs w:val="18"/>
              </w:rPr>
              <w:t>E28G</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EE9D2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xml:space="preserve">E2.2.2 </w:t>
            </w:r>
            <w:proofErr w:type="spellStart"/>
            <w:r w:rsidRPr="00EB62AB">
              <w:rPr>
                <w:rFonts w:ascii="Times New Roman" w:eastAsia="Times New Roman" w:hAnsi="Times New Roman" w:cs="Times New Roman"/>
                <w:color w:val="000000"/>
                <w:sz w:val="18"/>
                <w:szCs w:val="18"/>
              </w:rPr>
              <w:t>Cyfryzacja</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transportu</w:t>
            </w:r>
            <w:proofErr w:type="spellEnd"/>
            <w:r w:rsidRPr="00EB62AB">
              <w:rPr>
                <w:rFonts w:ascii="Times New Roman" w:eastAsia="Times New Roman" w:hAnsi="Times New Roman" w:cs="Times New Roman"/>
                <w:color w:val="000000"/>
                <w:sz w:val="18"/>
                <w:szCs w:val="18"/>
              </w:rPr>
              <w:t xml:space="preserve">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0FA34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F6D66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Instalacja automatycznego sterowania, przejazdy kolejowe, 180 jednostek pokładowych ERTMS i związane z tym wprowadzenie do eksploatacji</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8BBC1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BC225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7F195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FCB48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180 jednostek pokładowych ERTMS</w:t>
            </w:r>
            <w:r w:rsidRPr="00EB62AB">
              <w:rPr>
                <w:rFonts w:ascii="Times New Roman" w:eastAsia="Times New Roman" w:hAnsi="Times New Roman" w:cs="Times New Roman"/>
                <w:color w:val="000000"/>
                <w:sz w:val="18"/>
                <w:szCs w:val="18"/>
                <w:lang w:val="pl-PL"/>
              </w:rPr>
              <w:br/>
              <w:t>45 lokalizacji przejazdów kolejowych</w:t>
            </w:r>
            <w:r w:rsidRPr="00EB62AB">
              <w:rPr>
                <w:rFonts w:ascii="Times New Roman" w:eastAsia="Times New Roman" w:hAnsi="Times New Roman" w:cs="Times New Roman"/>
                <w:color w:val="000000"/>
                <w:sz w:val="18"/>
                <w:szCs w:val="18"/>
                <w:lang w:val="pl-PL"/>
              </w:rPr>
              <w:br/>
              <w:t>35 miejsc do automatycznego sterowania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A5FA7B"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8701F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2026</w:t>
            </w:r>
          </w:p>
        </w:tc>
        <w:tc>
          <w:tcPr>
            <w:tcW w:w="3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282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Zakończenie prac związanych z: instalacją 180 jednostek pokładowych ERTMS (projekty wybrane w trybie konkursowym), modernizacją systemów 45 przejazdów kolejowych (w tym bramek, sygnalizacji dźwiękowej i świetlnej) oraz wprowadzeniem automatycznego sterowania punktami kontroli ruchu kolejowego w 35 lokalizacjach.</w:t>
            </w:r>
          </w:p>
        </w:tc>
      </w:tr>
    </w:tbl>
    <w:p w14:paraId="4E4D314E" w14:textId="77777777" w:rsidR="001052B5"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b/>
          <w:bCs/>
          <w:color w:val="000000"/>
          <w:sz w:val="24"/>
          <w:szCs w:val="24"/>
          <w:lang w:val="pl-PL"/>
        </w:rPr>
      </w:pPr>
    </w:p>
    <w:p w14:paraId="048740F3" w14:textId="70783319" w:rsidR="001052B5" w:rsidRPr="00AF7348" w:rsidRDefault="001052B5" w:rsidP="0033239E">
      <w:pPr>
        <w:pStyle w:val="Normal0"/>
        <w:pBdr>
          <w:top w:val="nil"/>
          <w:left w:val="nil"/>
          <w:bottom w:val="nil"/>
          <w:right w:val="nil"/>
          <w:between w:val="nil"/>
        </w:pBdr>
        <w:spacing w:before="120" w:after="120" w:line="240" w:lineRule="auto"/>
        <w:ind w:left="709"/>
        <w:rPr>
          <w:rFonts w:ascii="Times New Roman" w:eastAsia="Times New Roman" w:hAnsi="Times New Roman" w:cs="Times New Roman"/>
          <w:i/>
          <w:color w:val="4F81BD"/>
          <w:sz w:val="24"/>
          <w:szCs w:val="24"/>
          <w:lang w:val="pl-PL"/>
        </w:rPr>
        <w:sectPr w:rsidR="001052B5" w:rsidRPr="00AF7348" w:rsidSect="009B6BB9">
          <w:headerReference w:type="even" r:id="rId111"/>
          <w:headerReference w:type="default" r:id="rId112"/>
          <w:footerReference w:type="even" r:id="rId113"/>
          <w:footerReference w:type="default" r:id="rId114"/>
          <w:headerReference w:type="first" r:id="rId115"/>
          <w:footerReference w:type="first" r:id="rId116"/>
          <w:pgSz w:w="16839" w:h="11907" w:orient="landscape"/>
          <w:pgMar w:top="720" w:right="720" w:bottom="720" w:left="720" w:header="709" w:footer="709" w:gutter="0"/>
          <w:cols w:space="720"/>
          <w:docGrid w:linePitch="299"/>
        </w:sectPr>
      </w:pPr>
    </w:p>
    <w:p w14:paraId="11251D46" w14:textId="7AEE3E86" w:rsidR="007C4506" w:rsidRPr="00AF7348"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val="pl-PL"/>
        </w:rPr>
      </w:pPr>
      <w:r w:rsidRPr="00AF7348">
        <w:rPr>
          <w:rFonts w:ascii="Times New Roman" w:hAnsi="Times New Roman" w:cs="Times New Roman"/>
          <w:b/>
          <w:bCs/>
          <w:color w:val="000000"/>
          <w:sz w:val="24"/>
          <w:szCs w:val="24"/>
          <w:lang w:val="pl-PL"/>
        </w:rPr>
        <w:lastRenderedPageBreak/>
        <w:t xml:space="preserve">E.3. </w:t>
      </w:r>
      <w:r w:rsidRPr="00AF7348">
        <w:rPr>
          <w:rFonts w:ascii="Times New Roman" w:hAnsi="Times New Roman" w:cs="Times New Roman"/>
          <w:color w:val="000000"/>
          <w:sz w:val="24"/>
          <w:szCs w:val="24"/>
          <w:lang w:val="pl-PL"/>
        </w:rPr>
        <w:tab/>
      </w:r>
      <w:r w:rsidRPr="00AF7348">
        <w:rPr>
          <w:rFonts w:ascii="Times New Roman" w:hAnsi="Times New Roman" w:cs="Times New Roman"/>
          <w:b/>
          <w:bCs/>
          <w:color w:val="000000"/>
          <w:sz w:val="24"/>
          <w:szCs w:val="24"/>
          <w:lang w:val="pl-PL"/>
        </w:rPr>
        <w:t>Opis reform i inwestycji związanych z kredytem</w:t>
      </w:r>
    </w:p>
    <w:p w14:paraId="72626263" w14:textId="77777777" w:rsidR="00A003EE" w:rsidRPr="00AF7348" w:rsidRDefault="00A003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color w:val="000000"/>
          <w:sz w:val="24"/>
          <w:szCs w:val="24"/>
          <w:lang w:val="pl-PL"/>
        </w:rPr>
      </w:pPr>
    </w:p>
    <w:p w14:paraId="6E24122F" w14:textId="565C181D" w:rsidR="007C4506" w:rsidRPr="00AF7348" w:rsidRDefault="00B31839" w:rsidP="7EFEC9F5">
      <w:pPr>
        <w:pStyle w:val="Normal0"/>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E1.2 Zwiększenie udziału zero i niskoemisyjnego transportu oraz przeciwdziałanie i zmniejszanie negatywnego oddziaływania transportu na środowisko</w:t>
      </w:r>
    </w:p>
    <w:p w14:paraId="6EBAFA68" w14:textId="77777777"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Celem reformy jest zmniejszenie wpływu transportu na środowisko naturalne i zdrowie. </w:t>
      </w:r>
    </w:p>
    <w:p w14:paraId="0D35834A" w14:textId="62C3A5B1" w:rsidR="007C4506" w:rsidRPr="00AF7348" w:rsidRDefault="7CDE990A">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Reforma polega na wprowadzeniu obowiązku tworzenia stref transportu niskoemisyjnego w miastach powyżej 100 tys. mieszkańców, w których przekroczone są określone progi zanieczyszczenia powietrza. Władze lokalne będą miały 9 miesięcy na wprowadzenie takich stref od momentu stwierdzenia przekroczenia poziomu zanieczyszczeń przez Inspekcję Ochrony Środowiska (IOS).</w:t>
      </w:r>
    </w:p>
    <w:p w14:paraId="6C5A6D0D" w14:textId="78287584" w:rsidR="007C4506" w:rsidRPr="00AF7348" w:rsidRDefault="68E1984B">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Reforma wejdzie w życie do 30 czerwca 2024 roku, a poszczególne miasta wprowadzą strefy niskoemisyjne do 31 marca 2025 roku.</w:t>
      </w:r>
    </w:p>
    <w:p w14:paraId="51371A77" w14:textId="77777777" w:rsidR="007C4506" w:rsidRPr="00AF7348" w:rsidRDefault="007C4506">
      <w:pPr>
        <w:pStyle w:val="Normal0"/>
        <w:spacing w:before="120" w:after="120" w:line="240" w:lineRule="auto"/>
        <w:jc w:val="both"/>
        <w:rPr>
          <w:rFonts w:ascii="Times New Roman" w:eastAsia="Times New Roman" w:hAnsi="Times New Roman" w:cs="Times New Roman"/>
          <w:sz w:val="24"/>
          <w:szCs w:val="24"/>
          <w:lang w:val="pl-PL"/>
        </w:rPr>
      </w:pPr>
    </w:p>
    <w:p w14:paraId="32AC85CD" w14:textId="188E6CED" w:rsidR="007C4506" w:rsidRPr="00AF7348" w:rsidRDefault="00B31839" w:rsidP="7EFEC9F5">
      <w:pPr>
        <w:pStyle w:val="Normal0"/>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 xml:space="preserve">E1.2.1 </w:t>
      </w:r>
      <w:r w:rsidR="009866AC">
        <w:rPr>
          <w:rFonts w:ascii="Times New Roman" w:eastAsia="Times New Roman" w:hAnsi="Times New Roman" w:cs="Times New Roman"/>
          <w:b/>
          <w:bCs/>
          <w:sz w:val="24"/>
          <w:szCs w:val="24"/>
          <w:u w:val="single"/>
          <w:lang w:val="pl-PL"/>
        </w:rPr>
        <w:t>Zero</w:t>
      </w:r>
      <w:r w:rsidR="009866AC" w:rsidRPr="00AF7348">
        <w:rPr>
          <w:rFonts w:ascii="Times New Roman" w:eastAsia="Times New Roman" w:hAnsi="Times New Roman" w:cs="Times New Roman"/>
          <w:b/>
          <w:bCs/>
          <w:sz w:val="24"/>
          <w:szCs w:val="24"/>
          <w:u w:val="single"/>
          <w:lang w:val="pl-PL"/>
        </w:rPr>
        <w:t xml:space="preserve">emisyjny </w:t>
      </w:r>
      <w:r w:rsidRPr="00AF7348">
        <w:rPr>
          <w:rFonts w:ascii="Times New Roman" w:eastAsia="Times New Roman" w:hAnsi="Times New Roman" w:cs="Times New Roman"/>
          <w:b/>
          <w:bCs/>
          <w:sz w:val="24"/>
          <w:szCs w:val="24"/>
          <w:u w:val="single"/>
          <w:lang w:val="pl-PL"/>
        </w:rPr>
        <w:t>transport zbiorowy w miastach (tramwaje)</w:t>
      </w:r>
    </w:p>
    <w:p w14:paraId="2B26556F" w14:textId="77777777" w:rsidR="00A003EE"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Zadaniem tej inwestycji będzie zwiększenie oferty ekologicznego transportu publicznego w miastach. </w:t>
      </w:r>
    </w:p>
    <w:p w14:paraId="0F6202B1" w14:textId="131C71DC" w:rsidR="007C4506" w:rsidRPr="00AF7348" w:rsidRDefault="00A003EE">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Wsparcia udzieli się w pierwszej kolejności obszarom, na których wprowadzono lub planuje się wprowadzić strefy czystego transportu.</w:t>
      </w:r>
    </w:p>
    <w:p w14:paraId="598A99C3" w14:textId="09383647"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Inwestycja polega na zakupie 110 </w:t>
      </w:r>
      <w:r w:rsidR="009866AC">
        <w:rPr>
          <w:rFonts w:ascii="Times New Roman" w:eastAsia="Times New Roman" w:hAnsi="Times New Roman" w:cs="Times New Roman"/>
          <w:sz w:val="24"/>
          <w:szCs w:val="24"/>
          <w:lang w:val="pl-PL"/>
        </w:rPr>
        <w:t>sztuk zeroe</w:t>
      </w:r>
      <w:r w:rsidR="009866AC" w:rsidRPr="00AF7348">
        <w:rPr>
          <w:rFonts w:ascii="Times New Roman" w:eastAsia="Times New Roman" w:hAnsi="Times New Roman" w:cs="Times New Roman"/>
          <w:sz w:val="24"/>
          <w:szCs w:val="24"/>
          <w:lang w:val="pl-PL"/>
        </w:rPr>
        <w:t>misyjn</w:t>
      </w:r>
      <w:r w:rsidR="009866AC">
        <w:rPr>
          <w:rFonts w:ascii="Times New Roman" w:eastAsia="Times New Roman" w:hAnsi="Times New Roman" w:cs="Times New Roman"/>
          <w:sz w:val="24"/>
          <w:szCs w:val="24"/>
          <w:lang w:val="pl-PL"/>
        </w:rPr>
        <w:t>ego</w:t>
      </w:r>
      <w:r w:rsidR="009866AC" w:rsidRPr="00AF7348">
        <w:rPr>
          <w:rFonts w:ascii="Times New Roman" w:eastAsia="Times New Roman" w:hAnsi="Times New Roman" w:cs="Times New Roman"/>
          <w:sz w:val="24"/>
          <w:szCs w:val="24"/>
          <w:lang w:val="pl-PL"/>
        </w:rPr>
        <w:t xml:space="preserve"> </w:t>
      </w:r>
      <w:r w:rsidRPr="00AF7348">
        <w:rPr>
          <w:rFonts w:ascii="Times New Roman" w:eastAsia="Times New Roman" w:hAnsi="Times New Roman" w:cs="Times New Roman"/>
          <w:sz w:val="24"/>
          <w:szCs w:val="24"/>
          <w:lang w:val="pl-PL"/>
        </w:rPr>
        <w:t>tabor</w:t>
      </w:r>
      <w:r w:rsidR="009866AC">
        <w:rPr>
          <w:rFonts w:ascii="Times New Roman" w:eastAsia="Times New Roman" w:hAnsi="Times New Roman" w:cs="Times New Roman"/>
          <w:sz w:val="24"/>
          <w:szCs w:val="24"/>
          <w:lang w:val="pl-PL"/>
        </w:rPr>
        <w:t xml:space="preserve">u </w:t>
      </w:r>
      <w:r w:rsidRPr="00AF7348">
        <w:rPr>
          <w:rFonts w:ascii="Times New Roman" w:eastAsia="Times New Roman" w:hAnsi="Times New Roman" w:cs="Times New Roman"/>
          <w:sz w:val="24"/>
          <w:szCs w:val="24"/>
          <w:lang w:val="pl-PL"/>
        </w:rPr>
        <w:t>szynow</w:t>
      </w:r>
      <w:r w:rsidR="009866AC">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(tramwajów) dla transportu zbiorowego w miastach, do 30 czerwca 2026 roku.</w:t>
      </w:r>
    </w:p>
    <w:p w14:paraId="732434A0" w14:textId="77777777" w:rsidR="007C4506" w:rsidRPr="00AF7348" w:rsidRDefault="007C4506">
      <w:pPr>
        <w:pStyle w:val="Normal0"/>
        <w:spacing w:before="120" w:after="120" w:line="240" w:lineRule="auto"/>
        <w:jc w:val="both"/>
        <w:rPr>
          <w:rFonts w:ascii="Times New Roman" w:eastAsia="Times New Roman" w:hAnsi="Times New Roman" w:cs="Times New Roman"/>
          <w:sz w:val="24"/>
          <w:szCs w:val="24"/>
          <w:u w:val="single"/>
          <w:lang w:val="pl-PL"/>
        </w:rPr>
      </w:pPr>
    </w:p>
    <w:p w14:paraId="54F33E7B" w14:textId="015260CD" w:rsidR="007C4506" w:rsidRPr="00AF7348" w:rsidRDefault="00B31839" w:rsidP="7EFEC9F5">
      <w:pPr>
        <w:pStyle w:val="Normal0"/>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E2.3 Zwiększenie dostępności transportowej, bezpieczeństwa i cyfrowych rozwiązań</w:t>
      </w:r>
    </w:p>
    <w:p w14:paraId="428A23C9" w14:textId="77777777"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Celem reformy jest zwiększenie dostępności transportu.</w:t>
      </w:r>
    </w:p>
    <w:p w14:paraId="17440558" w14:textId="720BB7C2"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Obejmie ona przyspieszone wdrożenie Rozporządzenia (WE) 1371/2007 dotyczącego praw i obowiązków pasażerów w ruchu kolejowym oraz dostosowania taboru kolejowego do potrzeb pasażerów o ograniczonej sprawności ruchowej. Reforma wejdzie w życie do dnia 3</w:t>
      </w:r>
      <w:r w:rsidR="00A709BD">
        <w:rPr>
          <w:rFonts w:ascii="Times New Roman" w:eastAsia="Times New Roman" w:hAnsi="Times New Roman" w:cs="Times New Roman"/>
          <w:sz w:val="24"/>
          <w:szCs w:val="24"/>
          <w:lang w:val="pl-PL"/>
        </w:rPr>
        <w:t>1</w:t>
      </w:r>
      <w:r w:rsidRPr="00AF7348">
        <w:rPr>
          <w:rFonts w:ascii="Times New Roman" w:eastAsia="Times New Roman" w:hAnsi="Times New Roman" w:cs="Times New Roman"/>
          <w:sz w:val="24"/>
          <w:szCs w:val="24"/>
          <w:lang w:val="pl-PL"/>
        </w:rPr>
        <w:t xml:space="preserve"> </w:t>
      </w:r>
      <w:r w:rsidR="00A709BD">
        <w:rPr>
          <w:rFonts w:ascii="Times New Roman" w:eastAsia="Times New Roman" w:hAnsi="Times New Roman" w:cs="Times New Roman"/>
          <w:sz w:val="24"/>
          <w:szCs w:val="24"/>
          <w:lang w:val="pl-PL"/>
        </w:rPr>
        <w:t xml:space="preserve">grudnia </w:t>
      </w:r>
      <w:r w:rsidRPr="00AF7348">
        <w:rPr>
          <w:rFonts w:ascii="Times New Roman" w:eastAsia="Times New Roman" w:hAnsi="Times New Roman" w:cs="Times New Roman"/>
          <w:sz w:val="24"/>
          <w:szCs w:val="24"/>
          <w:lang w:val="pl-PL"/>
        </w:rPr>
        <w:t>2022 r.</w:t>
      </w:r>
    </w:p>
    <w:p w14:paraId="3C60FD95" w14:textId="77777777" w:rsidR="007C4506" w:rsidRPr="00AF7348" w:rsidRDefault="00B3183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Reforma obejmie także obowiązek modernizacji krajowego, międzynarodowego i regionalnego taboru kolejowego pod kątem wymagań dotyczących pasażerów niepełnosprawnych. Obowiązek ten wejdzie w życie do 30 czerwca 2024 roku.</w:t>
      </w:r>
    </w:p>
    <w:p w14:paraId="2328BB07" w14:textId="77777777" w:rsidR="007C4506" w:rsidRPr="00AF7348" w:rsidRDefault="007C4506">
      <w:pPr>
        <w:pStyle w:val="Normal0"/>
        <w:spacing w:before="120" w:after="120" w:line="240" w:lineRule="auto"/>
        <w:jc w:val="both"/>
        <w:rPr>
          <w:rFonts w:ascii="Times New Roman" w:eastAsia="Times New Roman" w:hAnsi="Times New Roman" w:cs="Times New Roman"/>
          <w:sz w:val="24"/>
          <w:szCs w:val="24"/>
          <w:lang w:val="pl-PL"/>
        </w:rPr>
      </w:pPr>
    </w:p>
    <w:p w14:paraId="051D7AEE" w14:textId="76E070C2" w:rsidR="007C4506" w:rsidRPr="00AF7348" w:rsidRDefault="00B31839" w:rsidP="7EFEC9F5">
      <w:pPr>
        <w:pStyle w:val="Normal0"/>
        <w:spacing w:before="120" w:after="120" w:line="240" w:lineRule="auto"/>
        <w:jc w:val="both"/>
        <w:rPr>
          <w:rFonts w:ascii="Times New Roman" w:eastAsia="Times New Roman" w:hAnsi="Times New Roman" w:cs="Times New Roman"/>
          <w:b/>
          <w:bCs/>
          <w:sz w:val="24"/>
          <w:szCs w:val="24"/>
          <w:lang w:val="pl-PL"/>
        </w:rPr>
      </w:pPr>
      <w:r w:rsidRPr="00AF7348">
        <w:rPr>
          <w:rFonts w:ascii="Times New Roman" w:eastAsia="Times New Roman" w:hAnsi="Times New Roman" w:cs="Times New Roman"/>
          <w:b/>
          <w:bCs/>
          <w:sz w:val="24"/>
          <w:szCs w:val="24"/>
          <w:u w:val="single"/>
          <w:lang w:val="pl-PL"/>
        </w:rPr>
        <w:t>E2.3.1 Pasażerski tabor kolei regionalnych</w:t>
      </w:r>
    </w:p>
    <w:p w14:paraId="0C437CEF" w14:textId="77777777" w:rsidR="00FE2799" w:rsidRPr="00AF7348" w:rsidRDefault="00FE2799" w:rsidP="00FE279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Zadaniem inwestycji jest poprawa jakości usług regionalnego transportu kolejowego, zmniejszenie wykluczenia transportowego oraz poprawa komfortu podróżowania u regionalnych przewoźników pasażerskich, przyspieszenie procesu legislacyjnego dotyczącego ochrony praw pasażerów a także poprawa jakości usług kolejowych świadczonych w ramach regionalnych, międzyregionalnych i międzynarodowych przewozów pasażerskich.</w:t>
      </w:r>
    </w:p>
    <w:p w14:paraId="6A2A0B6F" w14:textId="14424F29" w:rsidR="00212550" w:rsidRDefault="00FE2799" w:rsidP="00FE2799">
      <w:pPr>
        <w:pStyle w:val="Normal0"/>
        <w:spacing w:before="120" w:after="120" w:line="240" w:lineRule="auto"/>
        <w:jc w:val="both"/>
        <w:rPr>
          <w:rFonts w:ascii="Times New Roman" w:eastAsia="Times New Roman" w:hAnsi="Times New Roman" w:cs="Times New Roman"/>
          <w:sz w:val="24"/>
          <w:szCs w:val="24"/>
          <w:lang w:val="pl-PL"/>
        </w:rPr>
      </w:pPr>
      <w:r w:rsidRPr="00AF7348">
        <w:rPr>
          <w:rFonts w:ascii="Times New Roman" w:eastAsia="Times New Roman" w:hAnsi="Times New Roman" w:cs="Times New Roman"/>
          <w:sz w:val="24"/>
          <w:szCs w:val="24"/>
          <w:lang w:val="pl-PL"/>
        </w:rPr>
        <w:t xml:space="preserve">Aby osiągnąć założony cel, inwestycja obejmie, do 30 czerwca 2026 r., modernizację i zakup 75 </w:t>
      </w:r>
      <w:r w:rsidR="00562FB6">
        <w:rPr>
          <w:rFonts w:ascii="Times New Roman" w:eastAsia="Times New Roman" w:hAnsi="Times New Roman" w:cs="Times New Roman"/>
          <w:sz w:val="24"/>
          <w:szCs w:val="24"/>
          <w:lang w:val="pl-PL"/>
        </w:rPr>
        <w:t xml:space="preserve">sztuk nowego zeroemisyjnego </w:t>
      </w:r>
      <w:r w:rsidRPr="00AF7348">
        <w:rPr>
          <w:rFonts w:ascii="Times New Roman" w:eastAsia="Times New Roman" w:hAnsi="Times New Roman" w:cs="Times New Roman"/>
          <w:sz w:val="24"/>
          <w:szCs w:val="24"/>
          <w:lang w:val="pl-PL"/>
        </w:rPr>
        <w:t>tabor</w:t>
      </w:r>
      <w:r w:rsidR="00562FB6">
        <w:rPr>
          <w:rFonts w:ascii="Times New Roman" w:eastAsia="Times New Roman" w:hAnsi="Times New Roman" w:cs="Times New Roman"/>
          <w:sz w:val="24"/>
          <w:szCs w:val="24"/>
          <w:lang w:val="pl-PL"/>
        </w:rPr>
        <w:t>u</w:t>
      </w:r>
      <w:r w:rsidRPr="00AF7348">
        <w:rPr>
          <w:rFonts w:ascii="Times New Roman" w:eastAsia="Times New Roman" w:hAnsi="Times New Roman" w:cs="Times New Roman"/>
          <w:sz w:val="24"/>
          <w:szCs w:val="24"/>
          <w:lang w:val="pl-PL"/>
        </w:rPr>
        <w:t xml:space="preserve"> kolejow</w:t>
      </w:r>
      <w:r w:rsidR="00562FB6">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 xml:space="preserve"> zgodn</w:t>
      </w:r>
      <w:r w:rsidR="00562FB6">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 xml:space="preserve"> z wymaganiami TSI (</w:t>
      </w:r>
      <w:r w:rsidRPr="004227AF">
        <w:rPr>
          <w:rFonts w:ascii="Times New Roman" w:eastAsia="Times New Roman" w:hAnsi="Times New Roman" w:cs="Times New Roman"/>
          <w:i/>
          <w:iCs/>
          <w:sz w:val="24"/>
          <w:szCs w:val="24"/>
          <w:lang w:val="pl-PL"/>
        </w:rPr>
        <w:t xml:space="preserve">Technical </w:t>
      </w:r>
      <w:proofErr w:type="spellStart"/>
      <w:r w:rsidRPr="004227AF">
        <w:rPr>
          <w:rFonts w:ascii="Times New Roman" w:eastAsia="Times New Roman" w:hAnsi="Times New Roman" w:cs="Times New Roman"/>
          <w:i/>
          <w:iCs/>
          <w:sz w:val="24"/>
          <w:szCs w:val="24"/>
          <w:lang w:val="pl-PL"/>
        </w:rPr>
        <w:t>Specifications</w:t>
      </w:r>
      <w:proofErr w:type="spellEnd"/>
      <w:r w:rsidRPr="004227AF">
        <w:rPr>
          <w:rFonts w:ascii="Times New Roman" w:eastAsia="Times New Roman" w:hAnsi="Times New Roman" w:cs="Times New Roman"/>
          <w:i/>
          <w:iCs/>
          <w:sz w:val="24"/>
          <w:szCs w:val="24"/>
          <w:lang w:val="pl-PL"/>
        </w:rPr>
        <w:t xml:space="preserve"> for </w:t>
      </w:r>
      <w:proofErr w:type="spellStart"/>
      <w:r w:rsidRPr="004227AF">
        <w:rPr>
          <w:rFonts w:ascii="Times New Roman" w:eastAsia="Times New Roman" w:hAnsi="Times New Roman" w:cs="Times New Roman"/>
          <w:i/>
          <w:iCs/>
          <w:sz w:val="24"/>
          <w:szCs w:val="24"/>
          <w:lang w:val="pl-PL"/>
        </w:rPr>
        <w:t>Interoperability</w:t>
      </w:r>
      <w:proofErr w:type="spellEnd"/>
      <w:r w:rsidRPr="00AF7348">
        <w:rPr>
          <w:rFonts w:ascii="Times New Roman" w:eastAsia="Times New Roman" w:hAnsi="Times New Roman" w:cs="Times New Roman"/>
          <w:sz w:val="24"/>
          <w:szCs w:val="24"/>
          <w:lang w:val="pl-PL"/>
        </w:rPr>
        <w:t>), wyposażon</w:t>
      </w:r>
      <w:r w:rsidR="00562FB6">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 xml:space="preserve"> w ERTMS oraz zapewniając</w:t>
      </w:r>
      <w:r w:rsidR="00562FB6">
        <w:rPr>
          <w:rFonts w:ascii="Times New Roman" w:eastAsia="Times New Roman" w:hAnsi="Times New Roman" w:cs="Times New Roman"/>
          <w:sz w:val="24"/>
          <w:szCs w:val="24"/>
          <w:lang w:val="pl-PL"/>
        </w:rPr>
        <w:t>ego</w:t>
      </w:r>
      <w:r w:rsidRPr="00AF7348">
        <w:rPr>
          <w:rFonts w:ascii="Times New Roman" w:eastAsia="Times New Roman" w:hAnsi="Times New Roman" w:cs="Times New Roman"/>
          <w:sz w:val="24"/>
          <w:szCs w:val="24"/>
          <w:lang w:val="pl-PL"/>
        </w:rPr>
        <w:t xml:space="preserve"> pełną dostępność dla osób niepełnosprawnych i osób o ograniczonej sprawności ruchowej.</w:t>
      </w:r>
    </w:p>
    <w:p w14:paraId="256AC6DA" w14:textId="06B85F3B" w:rsidR="004227AF" w:rsidRPr="00AF7348" w:rsidRDefault="004227AF" w:rsidP="00FE2799">
      <w:pPr>
        <w:pStyle w:val="Normal0"/>
        <w:spacing w:before="120" w:after="120" w:line="240" w:lineRule="auto"/>
        <w:jc w:val="both"/>
        <w:rPr>
          <w:rFonts w:ascii="Times New Roman" w:eastAsia="Times New Roman" w:hAnsi="Times New Roman" w:cs="Times New Roman"/>
          <w:sz w:val="24"/>
          <w:szCs w:val="24"/>
          <w:lang w:val="pl-PL"/>
        </w:rPr>
        <w:sectPr w:rsidR="004227AF" w:rsidRPr="00AF7348">
          <w:headerReference w:type="even" r:id="rId117"/>
          <w:headerReference w:type="default" r:id="rId118"/>
          <w:footerReference w:type="even" r:id="rId119"/>
          <w:footerReference w:type="default" r:id="rId120"/>
          <w:headerReference w:type="first" r:id="rId121"/>
          <w:footerReference w:type="first" r:id="rId122"/>
          <w:pgSz w:w="11907" w:h="16839"/>
          <w:pgMar w:top="1134" w:right="1417" w:bottom="1134" w:left="1417" w:header="709" w:footer="709" w:gutter="0"/>
          <w:cols w:space="720"/>
        </w:sectPr>
      </w:pPr>
    </w:p>
    <w:p w14:paraId="4107D7D4" w14:textId="77777777" w:rsidR="001052B5" w:rsidRDefault="0033239E" w:rsidP="009D34ED">
      <w:pPr>
        <w:rPr>
          <w:rFonts w:ascii="Times New Roman" w:hAnsi="Times New Roman" w:cs="Times New Roman"/>
          <w:b/>
          <w:bCs/>
          <w:color w:val="000000"/>
          <w:sz w:val="24"/>
          <w:szCs w:val="24"/>
          <w:lang w:val="pl-PL"/>
        </w:rPr>
      </w:pPr>
      <w:r w:rsidRPr="00AF7348">
        <w:rPr>
          <w:rFonts w:ascii="Times New Roman" w:hAnsi="Times New Roman" w:cs="Times New Roman"/>
          <w:b/>
          <w:bCs/>
          <w:color w:val="000000"/>
          <w:sz w:val="24"/>
          <w:szCs w:val="24"/>
          <w:lang w:val="pl-PL"/>
        </w:rPr>
        <w:lastRenderedPageBreak/>
        <w:t xml:space="preserve">E.4. </w:t>
      </w:r>
      <w:r w:rsidRPr="00AF7348">
        <w:rPr>
          <w:rFonts w:ascii="Times New Roman" w:hAnsi="Times New Roman" w:cs="Times New Roman"/>
          <w:color w:val="000000"/>
          <w:sz w:val="24"/>
          <w:szCs w:val="24"/>
          <w:lang w:val="pl-PL"/>
        </w:rPr>
        <w:tab/>
      </w:r>
      <w:r w:rsidRPr="00AF7348">
        <w:rPr>
          <w:rFonts w:ascii="Times New Roman" w:hAnsi="Times New Roman" w:cs="Times New Roman"/>
          <w:b/>
          <w:bCs/>
          <w:color w:val="000000"/>
          <w:sz w:val="24"/>
          <w:szCs w:val="24"/>
          <w:lang w:val="pl-PL"/>
        </w:rPr>
        <w:t>Kamienie milowe, wartości docelowe, wskaźniki i harmonogram monitorowania i realizacji na potrzeby wsparcia finansowego w formie pożyczki</w:t>
      </w: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559"/>
        <w:gridCol w:w="1276"/>
        <w:gridCol w:w="1985"/>
        <w:gridCol w:w="1559"/>
        <w:gridCol w:w="992"/>
        <w:gridCol w:w="992"/>
        <w:gridCol w:w="709"/>
        <w:gridCol w:w="567"/>
        <w:gridCol w:w="851"/>
        <w:gridCol w:w="3968"/>
      </w:tblGrid>
      <w:tr w:rsidR="001052B5" w:rsidRPr="00F07CEA" w14:paraId="592F0A47" w14:textId="77777777" w:rsidTr="00A20CA7">
        <w:trPr>
          <w:trHeight w:val="939"/>
        </w:trPr>
        <w:tc>
          <w:tcPr>
            <w:tcW w:w="851" w:type="dxa"/>
            <w:vMerge w:val="restart"/>
            <w:shd w:val="clear" w:color="auto" w:fill="BDD7EE"/>
            <w:vAlign w:val="center"/>
          </w:tcPr>
          <w:p w14:paraId="392E078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1559" w:type="dxa"/>
            <w:vMerge w:val="restart"/>
            <w:shd w:val="clear" w:color="auto" w:fill="BDD7EE"/>
            <w:vAlign w:val="center"/>
          </w:tcPr>
          <w:p w14:paraId="35E4C0F5"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1276" w:type="dxa"/>
            <w:vMerge w:val="restart"/>
            <w:shd w:val="clear" w:color="auto" w:fill="BDD7EE"/>
            <w:vAlign w:val="center"/>
          </w:tcPr>
          <w:p w14:paraId="23CB3FD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1985" w:type="dxa"/>
            <w:vMerge w:val="restart"/>
            <w:shd w:val="clear" w:color="auto" w:fill="BDD7EE"/>
            <w:vAlign w:val="center"/>
          </w:tcPr>
          <w:p w14:paraId="475CBD7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559" w:type="dxa"/>
            <w:vMerge w:val="restart"/>
            <w:shd w:val="clear" w:color="auto" w:fill="BDD7EE"/>
            <w:vAlign w:val="center"/>
          </w:tcPr>
          <w:p w14:paraId="4BDE9949"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Qualitative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milestones)</w:t>
            </w:r>
          </w:p>
        </w:tc>
        <w:tc>
          <w:tcPr>
            <w:tcW w:w="2693" w:type="dxa"/>
            <w:gridSpan w:val="3"/>
            <w:shd w:val="clear" w:color="auto" w:fill="BDD7EE"/>
            <w:vAlign w:val="center"/>
          </w:tcPr>
          <w:p w14:paraId="35AB71CB"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Quantitative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targets)</w:t>
            </w:r>
          </w:p>
        </w:tc>
        <w:tc>
          <w:tcPr>
            <w:tcW w:w="1418" w:type="dxa"/>
            <w:gridSpan w:val="2"/>
            <w:shd w:val="clear" w:color="auto" w:fill="BDD7EE"/>
            <w:vAlign w:val="center"/>
          </w:tcPr>
          <w:p w14:paraId="0D393E4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3968" w:type="dxa"/>
            <w:vMerge w:val="restart"/>
            <w:shd w:val="clear" w:color="auto" w:fill="BDD7EE"/>
            <w:vAlign w:val="center"/>
          </w:tcPr>
          <w:p w14:paraId="6817193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07CEA" w14:paraId="69DE57C6" w14:textId="77777777" w:rsidTr="00A20CA7">
        <w:trPr>
          <w:trHeight w:val="1027"/>
        </w:trPr>
        <w:tc>
          <w:tcPr>
            <w:tcW w:w="851" w:type="dxa"/>
            <w:vMerge/>
            <w:vAlign w:val="center"/>
          </w:tcPr>
          <w:p w14:paraId="7CAA2194"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59" w:type="dxa"/>
            <w:vMerge/>
            <w:vAlign w:val="center"/>
          </w:tcPr>
          <w:p w14:paraId="25D7182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276" w:type="dxa"/>
            <w:vMerge/>
            <w:vAlign w:val="center"/>
          </w:tcPr>
          <w:p w14:paraId="47C6BE3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5" w:type="dxa"/>
            <w:vMerge/>
            <w:vAlign w:val="center"/>
          </w:tcPr>
          <w:p w14:paraId="2E7C8F0A"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59" w:type="dxa"/>
            <w:vMerge/>
            <w:vAlign w:val="center"/>
          </w:tcPr>
          <w:p w14:paraId="7B882F8C"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2" w:type="dxa"/>
            <w:shd w:val="clear" w:color="auto" w:fill="BDD7EE"/>
            <w:vAlign w:val="center"/>
          </w:tcPr>
          <w:p w14:paraId="3295018D"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992" w:type="dxa"/>
            <w:shd w:val="clear" w:color="auto" w:fill="BDD7EE"/>
            <w:vAlign w:val="center"/>
          </w:tcPr>
          <w:p w14:paraId="1969431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709" w:type="dxa"/>
            <w:shd w:val="clear" w:color="auto" w:fill="BDD7EE"/>
            <w:vAlign w:val="center"/>
          </w:tcPr>
          <w:p w14:paraId="763F53B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7" w:type="dxa"/>
            <w:shd w:val="clear" w:color="auto" w:fill="BDD7EE"/>
            <w:vAlign w:val="center"/>
          </w:tcPr>
          <w:p w14:paraId="767AB00C"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851" w:type="dxa"/>
            <w:shd w:val="clear" w:color="auto" w:fill="BDD7EE"/>
            <w:vAlign w:val="center"/>
          </w:tcPr>
          <w:p w14:paraId="5BC0BB3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3968" w:type="dxa"/>
            <w:vMerge/>
            <w:vAlign w:val="center"/>
          </w:tcPr>
          <w:p w14:paraId="0BDAF464"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9D378C" w14:paraId="715FF530"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11DA30A8"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E1L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7A895BD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E1.2 Zwiększenie udziału zero i niskoemisyjnego transportu oraz przeciwdziałanie i zmniejszenie negatywnego oddziaływania transportu na środowisko</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0294696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1F1BA562" w14:textId="72077CD2"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Wejście w życie aktu pra</w:t>
            </w:r>
            <w:r w:rsidR="00236612" w:rsidRPr="00BF27A8">
              <w:rPr>
                <w:rFonts w:ascii="Times New Roman" w:eastAsia="Times New Roman" w:hAnsi="Times New Roman" w:cs="Times New Roman"/>
                <w:color w:val="000000"/>
                <w:sz w:val="18"/>
                <w:szCs w:val="18"/>
                <w:lang w:val="pl-PL"/>
              </w:rPr>
              <w:t>wneg</w:t>
            </w:r>
            <w:r w:rsidRPr="00BF27A8">
              <w:rPr>
                <w:rFonts w:ascii="Times New Roman" w:eastAsia="Times New Roman" w:hAnsi="Times New Roman" w:cs="Times New Roman"/>
                <w:color w:val="000000"/>
                <w:sz w:val="18"/>
                <w:szCs w:val="18"/>
                <w:lang w:val="pl-PL"/>
              </w:rPr>
              <w:t>o wprowadzającego obowiązek stref niskiej emisji dla wybranych, najbardziej zanieczyszczonych miast</w:t>
            </w:r>
          </w:p>
          <w:p w14:paraId="129B3283" w14:textId="4EE3A31F"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652E22F6"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Przepis w akcie prawnym wskazujący na wejście w życie ustawy </w:t>
            </w:r>
          </w:p>
          <w:p w14:paraId="66ED8CA1" w14:textId="0DF5C431"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4238E07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1B0734BB"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7E7EB01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5D35569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6248A82A"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2024</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18683903" w14:textId="28743CC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Akt prawny ustanowi obowiązek tworzenia stref transportu niskoemisyjnego w miastach powyżej 100 tys. mieszkańców, w których występuje przekroczenie substancji szkodliwych w stosunku do progów UE zanieczyszczenia powietrza, oraz da możliwość rozszerzenie ich wprowadzania na wszystkie obszary miejskie, niezależnie od liczby mieszkańców. Do stref będą mogły wjeżdżać wyłącznie „niskoemisyjne” samochody osobowe. W ciągu 9 miesięcy od daty otrzymania informacji o przekroczeniu poziomu stężenia zanieczyszczeń powietrza, miasta stworzą na swoim terenie strefy czystego transportu. </w:t>
            </w:r>
            <w:r w:rsidR="00312598">
              <w:rPr>
                <w:rFonts w:ascii="Times New Roman" w:eastAsia="Times New Roman" w:hAnsi="Times New Roman" w:cs="Times New Roman"/>
                <w:color w:val="000000" w:themeColor="text1"/>
                <w:sz w:val="18"/>
                <w:szCs w:val="18"/>
                <w:lang w:val="pl-PL"/>
              </w:rPr>
              <w:t>O</w:t>
            </w:r>
            <w:r w:rsidRPr="00EB62AB">
              <w:rPr>
                <w:rFonts w:ascii="Times New Roman" w:eastAsia="Times New Roman" w:hAnsi="Times New Roman" w:cs="Times New Roman"/>
                <w:color w:val="000000" w:themeColor="text1"/>
                <w:sz w:val="18"/>
                <w:szCs w:val="18"/>
                <w:lang w:val="pl-PL"/>
              </w:rPr>
              <w:t>kres 9 miesięcy ma umożliwić władzom lokalnym przygotowanie terenu, na którym ma być zlokalizowana strefa czystego transportu, do planowanych ograniczeń.</w:t>
            </w:r>
          </w:p>
        </w:tc>
      </w:tr>
      <w:tr w:rsidR="001052B5" w:rsidRPr="009D378C" w14:paraId="0C20A60D"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94E2F1F"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E2L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772755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E1.2 Zwiększenie udziału zero i niskoemisyjnego transportu oraz przeciwdziałanie i zmniejszenie negatywnego oddziaływania transportu na środowisko</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1D0BF2C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6E6D9F4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Wprowadzenie stref niskoemisyjnego transportu realizowanych przez właściwe władze miejskie</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0B255F56" w14:textId="77777777" w:rsidR="00312598" w:rsidRPr="0031259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312598">
              <w:rPr>
                <w:rFonts w:ascii="Times New Roman" w:eastAsia="Times New Roman" w:hAnsi="Times New Roman" w:cs="Times New Roman"/>
                <w:color w:val="000000"/>
                <w:sz w:val="18"/>
                <w:szCs w:val="18"/>
              </w:rPr>
              <w:t>Wprowadzenie</w:t>
            </w:r>
            <w:proofErr w:type="spellEnd"/>
            <w:r w:rsidRPr="00312598">
              <w:rPr>
                <w:rFonts w:ascii="Times New Roman" w:eastAsia="Times New Roman" w:hAnsi="Times New Roman" w:cs="Times New Roman"/>
                <w:color w:val="000000"/>
                <w:sz w:val="18"/>
                <w:szCs w:val="18"/>
              </w:rPr>
              <w:t xml:space="preserve"> </w:t>
            </w:r>
            <w:proofErr w:type="spellStart"/>
            <w:r w:rsidRPr="00312598">
              <w:rPr>
                <w:rFonts w:ascii="Times New Roman" w:eastAsia="Times New Roman" w:hAnsi="Times New Roman" w:cs="Times New Roman"/>
                <w:color w:val="000000"/>
                <w:sz w:val="18"/>
                <w:szCs w:val="18"/>
              </w:rPr>
              <w:t>niskoemisyjnych</w:t>
            </w:r>
            <w:proofErr w:type="spellEnd"/>
            <w:r w:rsidRPr="00312598">
              <w:rPr>
                <w:rFonts w:ascii="Times New Roman" w:eastAsia="Times New Roman" w:hAnsi="Times New Roman" w:cs="Times New Roman"/>
                <w:color w:val="000000"/>
                <w:sz w:val="18"/>
                <w:szCs w:val="18"/>
              </w:rPr>
              <w:t xml:space="preserve"> </w:t>
            </w:r>
            <w:proofErr w:type="spellStart"/>
            <w:r w:rsidRPr="00312598">
              <w:rPr>
                <w:rFonts w:ascii="Times New Roman" w:eastAsia="Times New Roman" w:hAnsi="Times New Roman" w:cs="Times New Roman"/>
                <w:color w:val="000000"/>
                <w:sz w:val="18"/>
                <w:szCs w:val="18"/>
              </w:rPr>
              <w:t>stref</w:t>
            </w:r>
            <w:proofErr w:type="spellEnd"/>
            <w:r w:rsidRPr="00312598">
              <w:rPr>
                <w:rFonts w:ascii="Times New Roman" w:eastAsia="Times New Roman" w:hAnsi="Times New Roman" w:cs="Times New Roman"/>
                <w:color w:val="000000"/>
                <w:sz w:val="18"/>
                <w:szCs w:val="18"/>
              </w:rPr>
              <w:t xml:space="preserve"> </w:t>
            </w:r>
            <w:proofErr w:type="spellStart"/>
            <w:r w:rsidRPr="00312598">
              <w:rPr>
                <w:rFonts w:ascii="Times New Roman" w:eastAsia="Times New Roman" w:hAnsi="Times New Roman" w:cs="Times New Roman"/>
                <w:color w:val="000000"/>
                <w:sz w:val="18"/>
                <w:szCs w:val="18"/>
              </w:rPr>
              <w:t>transportowych</w:t>
            </w:r>
            <w:proofErr w:type="spellEnd"/>
          </w:p>
          <w:p w14:paraId="7E84183E" w14:textId="0E4D7CB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2CA2FE3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03FFF315"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0D1D1159"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2F2F36F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415C349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768DF3EC"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Strefy transportu niskoemisyjnego będą obowiązkowe w miastach powyżej 100 tys. mieszkańców, w których przekroczone są progi jakości powietrza. Główny Inspektorat Ochrony Środowiska powinien przygotowywać corocznie raport o jakości powietrza w terminie do 30 kwietnia. Miasta, które przekroczą limity jakości powietrza - określone w pierwszym sprawozdaniu opublikowanym po wejściu w życie przepisów - </w:t>
            </w:r>
            <w:r w:rsidRPr="00BF27A8">
              <w:rPr>
                <w:rFonts w:ascii="Times New Roman" w:eastAsia="Times New Roman" w:hAnsi="Times New Roman" w:cs="Times New Roman"/>
                <w:color w:val="000000" w:themeColor="text1"/>
                <w:sz w:val="18"/>
                <w:szCs w:val="18"/>
                <w:lang w:val="pl-PL"/>
              </w:rPr>
              <w:lastRenderedPageBreak/>
              <w:t>będą miały 6 miesięcy na ustanowienie stref transportu niskoemisyjnego.</w:t>
            </w:r>
          </w:p>
          <w:p w14:paraId="095B3C30" w14:textId="4655C57C"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r>
      <w:tr w:rsidR="001052B5" w:rsidRPr="009D378C" w14:paraId="6F9C06D9"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5B8F056E"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E3L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8D03C75"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E1.2.1 Zeroemisyjny transport zbiorowy w miastach (tramwaje)</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07AC12C6"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6F58E73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Nowe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tramwaje</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wybór</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beneficjentów</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40ABB03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Umowy podpisane pomiędzy Ministrem Infrastruktury i beneficjentami</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159398C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5A58D49F"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1CE1B8CC"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1A7B2634"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Q1</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175664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2025</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0FE2171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Umowy zostaną podpisane z beneficjentami (gminami lub operatorami świadczącymi usługi publiczne) na zakup i dopuszczenie do eksploatacji 110 tramwajów w wyniku otwartych i przejrzystych naborów.</w:t>
            </w:r>
            <w:r w:rsidRPr="00EB62AB">
              <w:rPr>
                <w:rFonts w:ascii="Times New Roman" w:eastAsia="Times New Roman" w:hAnsi="Times New Roman" w:cs="Times New Roman"/>
                <w:color w:val="000000" w:themeColor="text1"/>
                <w:sz w:val="18"/>
                <w:szCs w:val="18"/>
                <w:lang w:val="pl-PL"/>
              </w:rPr>
              <w:br/>
              <w:t>Beneficjenci zostaną wybrani w drodze przejrzystych i konkurencyjnych naborów, otwartych dla wszystkich władz lokalnych i operatorów usług publicznych.</w:t>
            </w:r>
            <w:r w:rsidRPr="00EB62AB">
              <w:rPr>
                <w:rFonts w:ascii="Times New Roman" w:eastAsia="Times New Roman" w:hAnsi="Times New Roman" w:cs="Times New Roman"/>
                <w:color w:val="000000" w:themeColor="text1"/>
                <w:sz w:val="18"/>
                <w:szCs w:val="18"/>
                <w:lang w:val="pl-PL"/>
              </w:rPr>
              <w:br/>
              <w:t>Kryteria wyboru podmiotów będących beneficjentami powinny w szczególności odzwierciedlać potrzeby czystego transportu publicznego oraz wpływ na zmniejszenie emisji i zatorów komunikacyjnych, dojrzałość projektów. Priorytet będą miały obszary, na których wprowadzono lub planuje się wprowadzenie stref czystego transportu. Środki zostaną przyznane w sposób uczciwy i przejrzysty uzgodniony z samorządami i nie będą w żadnej formie zwracane przez odbiorców ostatecznych ani samorządy polskiemu rządowi.</w:t>
            </w:r>
          </w:p>
        </w:tc>
      </w:tr>
      <w:tr w:rsidR="001052B5" w:rsidRPr="009D378C" w14:paraId="3E136ECD"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4FBF9B18"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E4L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04ADCB4D"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E1.2.1 Zeroemisyjny transport zbiorowy w miastach (tramwaje)</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1A5D0B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7E9ADEE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Nowe tramwaje w eksploatacji dla publicznego transportu miejskiego</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66775C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1A1D3B91"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6E82E3F8"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2E708713"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110</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2DFA9F9F"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2CA67B0"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2026</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29F8850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Cel dotyczy liczby nowych tramwajów eksploatowanych w miastach.</w:t>
            </w:r>
            <w:r w:rsidRPr="00EB62AB">
              <w:rPr>
                <w:rFonts w:ascii="Times New Roman" w:eastAsia="Times New Roman" w:hAnsi="Times New Roman" w:cs="Times New Roman"/>
                <w:color w:val="000000" w:themeColor="text1"/>
                <w:sz w:val="18"/>
                <w:szCs w:val="18"/>
                <w:lang w:val="pl-PL"/>
              </w:rPr>
              <w:br/>
              <w:t>Zamówienia tramwajowe będą realizowane w drodze otwartych i konkurencyjnych przetargów zarządzanych przez Ministerstwo Infrastruktury/beneficjentów.</w:t>
            </w:r>
            <w:r w:rsidRPr="00EB62AB">
              <w:rPr>
                <w:rFonts w:ascii="Times New Roman" w:eastAsia="Times New Roman" w:hAnsi="Times New Roman" w:cs="Times New Roman"/>
                <w:color w:val="000000" w:themeColor="text1"/>
                <w:sz w:val="18"/>
                <w:szCs w:val="18"/>
                <w:lang w:val="pl-PL"/>
              </w:rPr>
              <w:br/>
              <w:t xml:space="preserve">Inwestycja będzie miała na celu zwiększenie czystego transportu publicznego w miastach. Wsparcie będzie udzielane priorytetowo obszarom, w których wprowadzono lub planuje się wprowadzenie stref czystego transportu. Inwestycja będzie polegać na zakupie 110 jednostek zeroemisyjnego taboru kolejowego (tramwajów) do </w:t>
            </w:r>
            <w:r w:rsidRPr="00EB62AB">
              <w:rPr>
                <w:rFonts w:ascii="Times New Roman" w:eastAsia="Times New Roman" w:hAnsi="Times New Roman" w:cs="Times New Roman"/>
                <w:color w:val="000000" w:themeColor="text1"/>
                <w:sz w:val="18"/>
                <w:szCs w:val="18"/>
                <w:lang w:val="pl-PL"/>
              </w:rPr>
              <w:lastRenderedPageBreak/>
              <w:t>komunikacji miejskiej w miastach do 30 czerwca 2026 roku.</w:t>
            </w:r>
          </w:p>
        </w:tc>
      </w:tr>
      <w:tr w:rsidR="001052B5" w:rsidRPr="009D378C" w14:paraId="610881AC"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A8E8D7C"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lastRenderedPageBreak/>
              <w:t>E5L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9D68DD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E2.3 Zwiększenie dostępności transportowej, bezpieczeństwa i cyfrowych rozwiązań</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570B2E24"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79A70A28"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Wejście w </w:t>
            </w:r>
            <w:proofErr w:type="spellStart"/>
            <w:r w:rsidRPr="00BF27A8">
              <w:rPr>
                <w:rFonts w:ascii="Times New Roman" w:eastAsia="Times New Roman" w:hAnsi="Times New Roman" w:cs="Times New Roman"/>
                <w:color w:val="000000"/>
                <w:sz w:val="18"/>
                <w:szCs w:val="18"/>
                <w:lang w:val="pl-PL"/>
              </w:rPr>
              <w:t>zycie</w:t>
            </w:r>
            <w:proofErr w:type="spellEnd"/>
            <w:r w:rsidRPr="00BF27A8">
              <w:rPr>
                <w:rFonts w:ascii="Times New Roman" w:eastAsia="Times New Roman" w:hAnsi="Times New Roman" w:cs="Times New Roman"/>
                <w:color w:val="000000"/>
                <w:sz w:val="18"/>
                <w:szCs w:val="18"/>
                <w:lang w:val="pl-PL"/>
              </w:rPr>
              <w:t xml:space="preserve"> aktu prawnego wprowadzającego zmiany praw pasażerów w zakresie wymogów dotyczących taboru kolejowego</w:t>
            </w:r>
          </w:p>
          <w:p w14:paraId="62F60327" w14:textId="63860DD2"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1F2080DA"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Przepis w akcie prawnym wskazujący na wejście jego w życie</w:t>
            </w:r>
          </w:p>
          <w:p w14:paraId="12E3D479" w14:textId="28CD2C8C"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495AEF9C"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40A722B7" w14:textId="77777777" w:rsidR="001052B5" w:rsidRPr="00BF27A8"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66EBA7A9" w14:textId="77777777" w:rsidR="001052B5" w:rsidRPr="00BF27A8"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798BEEC9"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Q4</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0854808C"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2022</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193321E8"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Aktem prawnym zostaną wprowadzone standardy techniczne i funkcjonalne dla inwestycji kolejowych w celu zapewnienia odpowiednich rozwiązań infrastrukturalnych spełniających potrzeby pasażerów o ograniczonej sprawności </w:t>
            </w:r>
            <w:proofErr w:type="spellStart"/>
            <w:r w:rsidRPr="00BF27A8">
              <w:rPr>
                <w:rFonts w:ascii="Times New Roman" w:eastAsia="Times New Roman" w:hAnsi="Times New Roman" w:cs="Times New Roman"/>
                <w:color w:val="000000" w:themeColor="text1"/>
                <w:sz w:val="18"/>
                <w:szCs w:val="18"/>
                <w:lang w:val="pl-PL"/>
              </w:rPr>
              <w:t>ruchowej.W</w:t>
            </w:r>
            <w:proofErr w:type="spellEnd"/>
            <w:r w:rsidRPr="00BF27A8">
              <w:rPr>
                <w:rFonts w:ascii="Times New Roman" w:eastAsia="Times New Roman" w:hAnsi="Times New Roman" w:cs="Times New Roman"/>
                <w:color w:val="000000" w:themeColor="text1"/>
                <w:sz w:val="18"/>
                <w:szCs w:val="18"/>
                <w:lang w:val="pl-PL"/>
              </w:rPr>
              <w:t xml:space="preserve"> tym celu akt prawny uchyli odpowiednie przepisy krajowe dotyczące odstępstwa od rozporządzenia (WE) 1371/2007 w sprawie praw i obowiązków pasażerów w ruchu kolejowym.</w:t>
            </w:r>
          </w:p>
          <w:p w14:paraId="2CD42126" w14:textId="4A06F5AE"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r>
      <w:tr w:rsidR="001052B5" w:rsidRPr="009D378C" w14:paraId="49330D5C"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1E639FA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E6L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6EF02F97"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E2.3 Zwiększenie dostępności transportowej, bezpieczeństwa i cyfrowych rozwiązań</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0F5EABF8"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kamień</w:t>
            </w:r>
            <w:proofErr w:type="spellEnd"/>
            <w:r w:rsidRPr="00EB62AB">
              <w:rPr>
                <w:rFonts w:ascii="Times New Roman" w:eastAsia="Times New Roman" w:hAnsi="Times New Roman" w:cs="Times New Roman"/>
                <w:color w:val="000000"/>
                <w:sz w:val="18"/>
                <w:szCs w:val="18"/>
              </w:rPr>
              <w:t xml:space="preserve"> </w:t>
            </w:r>
            <w:proofErr w:type="spellStart"/>
            <w:r w:rsidRPr="00EB62AB">
              <w:rPr>
                <w:rFonts w:ascii="Times New Roman" w:eastAsia="Times New Roman" w:hAnsi="Times New Roman" w:cs="Times New Roman"/>
                <w:color w:val="000000"/>
                <w:sz w:val="18"/>
                <w:szCs w:val="18"/>
              </w:rPr>
              <w:t>milowy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3DF8032A" w14:textId="080BE23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Obowiązek modernizacji krajowego, międzynarodowego i regionalnego taboru kolejowego z uwzględnieniem wymogów dla pasażerów niepełnosprawnych</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3AC3DD05"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xml:space="preserve">Przepis w akcie prawnym wskazujący na wejście jego w życie  </w:t>
            </w:r>
          </w:p>
          <w:p w14:paraId="6E9E3354" w14:textId="4AF20ED4"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46240BE3" w14:textId="77777777" w:rsidR="001052B5" w:rsidRPr="00BF27A8"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6FE8CC5E" w14:textId="77777777" w:rsidR="001052B5" w:rsidRPr="00BF27A8"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50F5283C" w14:textId="77777777" w:rsidR="001052B5" w:rsidRPr="00BF27A8"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lang w:val="pl-PL"/>
              </w:rPr>
            </w:pPr>
            <w:r w:rsidRPr="00BF27A8">
              <w:rPr>
                <w:rFonts w:ascii="Times New Roman" w:eastAsia="Times New Roman" w:hAnsi="Times New Roman" w:cs="Times New Roman"/>
                <w:color w:val="000000"/>
                <w:sz w:val="18"/>
                <w:szCs w:val="18"/>
                <w:lang w:val="pl-PL"/>
              </w:rPr>
              <w:t> </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681569D3"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1889B04D"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2024</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536A25F2" w14:textId="77777777" w:rsidR="00312598" w:rsidRPr="00BF27A8" w:rsidRDefault="00312598" w:rsidP="00312598">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BF27A8">
              <w:rPr>
                <w:rFonts w:ascii="Times New Roman" w:eastAsia="Times New Roman" w:hAnsi="Times New Roman" w:cs="Times New Roman"/>
                <w:color w:val="000000" w:themeColor="text1"/>
                <w:sz w:val="18"/>
                <w:szCs w:val="18"/>
                <w:lang w:val="pl-PL"/>
              </w:rPr>
              <w:t xml:space="preserve">Wejście w </w:t>
            </w:r>
            <w:proofErr w:type="spellStart"/>
            <w:r w:rsidRPr="00BF27A8">
              <w:rPr>
                <w:rFonts w:ascii="Times New Roman" w:eastAsia="Times New Roman" w:hAnsi="Times New Roman" w:cs="Times New Roman"/>
                <w:color w:val="000000" w:themeColor="text1"/>
                <w:sz w:val="18"/>
                <w:szCs w:val="18"/>
                <w:lang w:val="pl-PL"/>
              </w:rPr>
              <w:t>życieo</w:t>
            </w:r>
            <w:proofErr w:type="spellEnd"/>
            <w:r w:rsidRPr="00BF27A8">
              <w:rPr>
                <w:rFonts w:ascii="Times New Roman" w:eastAsia="Times New Roman" w:hAnsi="Times New Roman" w:cs="Times New Roman"/>
                <w:color w:val="000000" w:themeColor="text1"/>
                <w:sz w:val="18"/>
                <w:szCs w:val="18"/>
                <w:lang w:val="pl-PL"/>
              </w:rPr>
              <w:t xml:space="preserve"> obowiązku  dostosowania taboru kolejowego do wymogów w zakresie praw pasażerów, dostosowanie do rozporządzenia 1371/2007 art. 8 ust. 3 i art. 21 ust. 1 (w przypadku gdy modernizacja jest uzasadniona i racjonalna z punktu widzenia przewidywanego okresu eksploatacji taboru) w odniesieniu do taboru regionalnego, krajowego i międzynarodowego, który ma być przystosowany dla pasażerach niepełnosprawnych i zwiększać prawa pasażerów. </w:t>
            </w:r>
            <w:r w:rsidRPr="00BF27A8">
              <w:rPr>
                <w:rFonts w:ascii="Times New Roman" w:eastAsia="Times New Roman" w:hAnsi="Times New Roman" w:cs="Times New Roman"/>
                <w:color w:val="000000" w:themeColor="text1"/>
                <w:sz w:val="18"/>
                <w:szCs w:val="18"/>
                <w:lang w:val="pl-PL"/>
              </w:rPr>
              <w:br/>
              <w:t>W przypadku taboru regionalnego wymogi te będą obowiązkowe od drugiego kwartału 2024 r., a w przypadku taboru międzynarodowego i dalekobieżnego od drugiego kwartału 2023 r.</w:t>
            </w:r>
          </w:p>
          <w:p w14:paraId="753D3BFB" w14:textId="67B3F602"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p>
        </w:tc>
      </w:tr>
      <w:tr w:rsidR="001052B5" w:rsidRPr="009D378C" w14:paraId="5A63D5F6" w14:textId="77777777" w:rsidTr="00A20CA7">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469461F5" w14:textId="77777777" w:rsidR="001052B5" w:rsidRPr="00EB62AB" w:rsidRDefault="001052B5" w:rsidP="00A20CA7">
            <w:pPr>
              <w:pStyle w:val="Normal0"/>
              <w:pBdr>
                <w:top w:val="nil"/>
                <w:left w:val="nil"/>
                <w:bottom w:val="nil"/>
                <w:right w:val="nil"/>
                <w:between w:val="nil"/>
              </w:pBdr>
              <w:jc w:val="center"/>
              <w:rPr>
                <w:rFonts w:ascii="Times New Roman" w:hAnsi="Times New Roman" w:cs="Times New Roman"/>
                <w:sz w:val="18"/>
                <w:szCs w:val="18"/>
              </w:rPr>
            </w:pPr>
            <w:r w:rsidRPr="00EB62AB">
              <w:rPr>
                <w:rFonts w:ascii="Times New Roman" w:hAnsi="Times New Roman" w:cs="Times New Roman"/>
                <w:sz w:val="18"/>
                <w:szCs w:val="18"/>
              </w:rPr>
              <w:t>E7L</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457EBE2F"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E2.3.1 Pasażerski tabor kolei regionalnej</w:t>
            </w:r>
          </w:p>
        </w:tc>
        <w:tc>
          <w:tcPr>
            <w:tcW w:w="1276" w:type="dxa"/>
            <w:tcBorders>
              <w:top w:val="single" w:sz="4" w:space="0" w:color="000000"/>
              <w:left w:val="single" w:sz="4" w:space="0" w:color="000000"/>
              <w:bottom w:val="single" w:sz="4" w:space="0" w:color="000000"/>
              <w:right w:val="single" w:sz="4" w:space="0" w:color="000000"/>
            </w:tcBorders>
            <w:shd w:val="clear" w:color="auto" w:fill="C6EFCE"/>
          </w:tcPr>
          <w:p w14:paraId="2A52E42C"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wskaźnik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C6EFCE"/>
          </w:tcPr>
          <w:p w14:paraId="49083052"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Eksploatacja nowych pociągów regionalnych z napędem elektrycznym i wyposażonych w ERTMS</w:t>
            </w:r>
          </w:p>
        </w:tc>
        <w:tc>
          <w:tcPr>
            <w:tcW w:w="1559" w:type="dxa"/>
            <w:tcBorders>
              <w:top w:val="single" w:sz="4" w:space="0" w:color="000000"/>
              <w:left w:val="single" w:sz="4" w:space="0" w:color="000000"/>
              <w:bottom w:val="single" w:sz="4" w:space="0" w:color="000000"/>
              <w:right w:val="single" w:sz="4" w:space="0" w:color="000000"/>
            </w:tcBorders>
            <w:shd w:val="clear" w:color="auto" w:fill="C6EFCE"/>
          </w:tcPr>
          <w:p w14:paraId="5A328670"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lang w:val="pl-PL"/>
              </w:rPr>
            </w:pPr>
            <w:r w:rsidRPr="00EB62AB">
              <w:rPr>
                <w:rFonts w:ascii="Times New Roman" w:eastAsia="Times New Roman" w:hAnsi="Times New Roman" w:cs="Times New Roman"/>
                <w:color w:val="000000"/>
                <w:sz w:val="18"/>
                <w:szCs w:val="18"/>
                <w:lang w:val="pl-PL"/>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5F5C6FEB"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EB62AB">
              <w:rPr>
                <w:rFonts w:ascii="Times New Roman" w:eastAsia="Times New Roman" w:hAnsi="Times New Roman" w:cs="Times New Roman"/>
                <w:color w:val="000000"/>
                <w:sz w:val="18"/>
                <w:szCs w:val="18"/>
              </w:rPr>
              <w:t>liczba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C6EFCE"/>
          </w:tcPr>
          <w:p w14:paraId="783E8686"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C6EFCE"/>
          </w:tcPr>
          <w:p w14:paraId="11BBC210" w14:textId="77777777" w:rsidR="001052B5" w:rsidRPr="00EB62AB" w:rsidRDefault="001052B5" w:rsidP="00A20CA7">
            <w:pPr>
              <w:pStyle w:val="Normal0"/>
              <w:pBdr>
                <w:top w:val="nil"/>
                <w:left w:val="nil"/>
                <w:bottom w:val="nil"/>
                <w:right w:val="nil"/>
                <w:between w:val="nil"/>
              </w:pBdr>
              <w:jc w:val="right"/>
              <w:rPr>
                <w:rFonts w:ascii="Times New Roman" w:eastAsia="Times New Roman" w:hAnsi="Times New Roman" w:cs="Times New Roman"/>
                <w:color w:val="000000"/>
                <w:sz w:val="18"/>
                <w:szCs w:val="18"/>
              </w:rPr>
            </w:pPr>
            <w:r w:rsidRPr="00EB62AB">
              <w:rPr>
                <w:rFonts w:ascii="Times New Roman" w:eastAsia="Times New Roman" w:hAnsi="Times New Roman" w:cs="Times New Roman"/>
                <w:color w:val="000000"/>
                <w:sz w:val="18"/>
                <w:szCs w:val="18"/>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C6EFCE"/>
          </w:tcPr>
          <w:p w14:paraId="6B108B32"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Q2</w:t>
            </w:r>
          </w:p>
        </w:tc>
        <w:tc>
          <w:tcPr>
            <w:tcW w:w="851" w:type="dxa"/>
            <w:tcBorders>
              <w:top w:val="single" w:sz="4" w:space="0" w:color="000000"/>
              <w:left w:val="single" w:sz="4" w:space="0" w:color="000000"/>
              <w:bottom w:val="single" w:sz="4" w:space="0" w:color="000000"/>
              <w:right w:val="single" w:sz="4" w:space="0" w:color="000000"/>
            </w:tcBorders>
            <w:shd w:val="clear" w:color="auto" w:fill="C6EFCE"/>
          </w:tcPr>
          <w:p w14:paraId="74B8DD85" w14:textId="77777777" w:rsidR="001052B5" w:rsidRPr="00EB62AB" w:rsidRDefault="001052B5" w:rsidP="00A20CA7">
            <w:pPr>
              <w:pStyle w:val="Norm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EB62AB">
              <w:rPr>
                <w:rFonts w:ascii="Times New Roman" w:eastAsia="Times New Roman" w:hAnsi="Times New Roman" w:cs="Times New Roman"/>
                <w:color w:val="000000" w:themeColor="text1"/>
                <w:sz w:val="18"/>
                <w:szCs w:val="18"/>
              </w:rPr>
              <w:t>2026</w:t>
            </w:r>
          </w:p>
        </w:tc>
        <w:tc>
          <w:tcPr>
            <w:tcW w:w="3968" w:type="dxa"/>
            <w:tcBorders>
              <w:top w:val="single" w:sz="4" w:space="0" w:color="000000"/>
              <w:left w:val="single" w:sz="4" w:space="0" w:color="000000"/>
              <w:bottom w:val="single" w:sz="4" w:space="0" w:color="000000"/>
              <w:right w:val="single" w:sz="4" w:space="0" w:color="000000"/>
            </w:tcBorders>
            <w:shd w:val="clear" w:color="auto" w:fill="C6EFCE"/>
          </w:tcPr>
          <w:p w14:paraId="731727EE" w14:textId="77777777" w:rsidR="001052B5" w:rsidRPr="00EB62AB" w:rsidRDefault="001052B5" w:rsidP="00A20CA7">
            <w:pPr>
              <w:pStyle w:val="Normal0"/>
              <w:pBdr>
                <w:top w:val="nil"/>
                <w:left w:val="nil"/>
                <w:bottom w:val="nil"/>
                <w:right w:val="nil"/>
                <w:between w:val="nil"/>
              </w:pBdr>
              <w:rPr>
                <w:rFonts w:ascii="Times New Roman" w:eastAsia="Times New Roman" w:hAnsi="Times New Roman" w:cs="Times New Roman"/>
                <w:color w:val="000000" w:themeColor="text1"/>
                <w:sz w:val="18"/>
                <w:szCs w:val="18"/>
                <w:lang w:val="pl-PL"/>
              </w:rPr>
            </w:pPr>
            <w:r w:rsidRPr="00EB62AB">
              <w:rPr>
                <w:rFonts w:ascii="Times New Roman" w:eastAsia="Times New Roman" w:hAnsi="Times New Roman" w:cs="Times New Roman"/>
                <w:color w:val="000000" w:themeColor="text1"/>
                <w:sz w:val="18"/>
                <w:szCs w:val="18"/>
                <w:lang w:val="pl-PL"/>
              </w:rPr>
              <w:t xml:space="preserve">Nowy zeroemisyjny i wyposażony w ERTMS tabor regionalny w eksploatacji.  Tabor jest zamawiany w drodze otwartych i konkurencyjnych zamówień oraz zgodnie z  umowami na świadczenie usług publicznych. Tabor kolejowy jest przekazywany właściwemu organowi lub kolejnemu przewoźnikowi (po cenie rynkowej bez </w:t>
            </w:r>
            <w:r w:rsidRPr="00EB62AB">
              <w:rPr>
                <w:rFonts w:ascii="Times New Roman" w:eastAsia="Times New Roman" w:hAnsi="Times New Roman" w:cs="Times New Roman"/>
                <w:color w:val="000000" w:themeColor="text1"/>
                <w:sz w:val="18"/>
                <w:szCs w:val="18"/>
                <w:lang w:val="pl-PL"/>
              </w:rPr>
              <w:lastRenderedPageBreak/>
              <w:t>uwzględnienia pomocy) po zakończeniu umowy o świadczenie usług publicznych.</w:t>
            </w:r>
          </w:p>
        </w:tc>
      </w:tr>
    </w:tbl>
    <w:p w14:paraId="1F658FAA" w14:textId="2EDCD23E" w:rsidR="004F49B9" w:rsidRDefault="004F49B9" w:rsidP="009D34ED">
      <w:pPr>
        <w:rPr>
          <w:rFonts w:ascii="Times New Roman" w:hAnsi="Times New Roman" w:cs="Times New Roman"/>
          <w:lang w:val="pl-PL"/>
        </w:rPr>
      </w:pPr>
    </w:p>
    <w:p w14:paraId="34F953CF" w14:textId="77777777" w:rsidR="001052B5" w:rsidRDefault="001052B5" w:rsidP="009D34ED">
      <w:pPr>
        <w:rPr>
          <w:rFonts w:ascii="Times New Roman" w:hAnsi="Times New Roman" w:cs="Times New Roman"/>
          <w:lang w:val="pl-PL"/>
        </w:rPr>
      </w:pPr>
    </w:p>
    <w:p w14:paraId="02915484" w14:textId="05D0C3EF" w:rsidR="001052B5" w:rsidRPr="00AF7348" w:rsidRDefault="001052B5" w:rsidP="009D34ED">
      <w:pPr>
        <w:rPr>
          <w:rFonts w:ascii="Times New Roman" w:hAnsi="Times New Roman" w:cs="Times New Roman"/>
          <w:lang w:val="pl-PL"/>
        </w:rPr>
        <w:sectPr w:rsidR="001052B5" w:rsidRPr="00AF7348" w:rsidSect="009B6BB9">
          <w:headerReference w:type="even" r:id="rId123"/>
          <w:headerReference w:type="default" r:id="rId124"/>
          <w:footerReference w:type="even" r:id="rId125"/>
          <w:footerReference w:type="default" r:id="rId126"/>
          <w:headerReference w:type="first" r:id="rId127"/>
          <w:footerReference w:type="first" r:id="rId128"/>
          <w:pgSz w:w="16839" w:h="11907" w:orient="landscape"/>
          <w:pgMar w:top="720" w:right="720" w:bottom="720" w:left="720" w:header="709" w:footer="709" w:gutter="0"/>
          <w:cols w:space="720"/>
          <w:docGrid w:linePitch="299"/>
        </w:sectPr>
      </w:pPr>
    </w:p>
    <w:p w14:paraId="53CE14C8" w14:textId="7DF197D2" w:rsidR="00AB0369" w:rsidRPr="00EB6185" w:rsidRDefault="00AB0369" w:rsidP="00AB0369">
      <w:pPr>
        <w:pStyle w:val="Normal0"/>
        <w:keepNext/>
        <w:spacing w:before="360" w:after="120" w:line="240" w:lineRule="auto"/>
        <w:rPr>
          <w:rFonts w:ascii="Times New Roman" w:eastAsia="Times New Roman" w:hAnsi="Times New Roman" w:cs="Times New Roman"/>
          <w:b/>
          <w:bCs/>
          <w:smallCaps/>
          <w:color w:val="000000" w:themeColor="text1"/>
          <w:sz w:val="24"/>
          <w:szCs w:val="24"/>
          <w:lang w:val="pl-PL"/>
        </w:rPr>
      </w:pPr>
      <w:r w:rsidRPr="00EB6185">
        <w:rPr>
          <w:rFonts w:ascii="Times New Roman" w:eastAsia="Times New Roman" w:hAnsi="Times New Roman" w:cs="Times New Roman"/>
          <w:b/>
          <w:bCs/>
          <w:smallCaps/>
          <w:color w:val="000000" w:themeColor="text1"/>
          <w:sz w:val="24"/>
          <w:szCs w:val="24"/>
          <w:lang w:val="pl-PL"/>
        </w:rPr>
        <w:lastRenderedPageBreak/>
        <w:t>F. KOMPONENT F: POPRAWA JAKOŚCI INSTYTUCJI I WARUNKÓW REALIZACJI KRAJOWEGO PLANU ODBUDOWY I ZWIĘKSZANIA ODPORNOŚCI</w:t>
      </w:r>
      <w:r w:rsidRPr="00DF777A" w:rsidDel="00EB6185">
        <w:rPr>
          <w:rFonts w:ascii="Times New Roman" w:eastAsia="Times New Roman" w:hAnsi="Times New Roman" w:cs="Times New Roman"/>
          <w:b/>
          <w:bCs/>
          <w:smallCaps/>
          <w:color w:val="000000" w:themeColor="text1"/>
          <w:sz w:val="24"/>
          <w:szCs w:val="24"/>
          <w:lang w:val="pl-PL"/>
        </w:rPr>
        <w:t xml:space="preserve"> </w:t>
      </w:r>
    </w:p>
    <w:p w14:paraId="24001825" w14:textId="7933FDB2" w:rsidR="00AB0369" w:rsidRPr="00AF7348" w:rsidRDefault="00AB0369" w:rsidP="00AB0369">
      <w:pPr>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sz w:val="24"/>
          <w:szCs w:val="24"/>
          <w:lang w:val="pl-PL"/>
        </w:rPr>
        <w:t>Polska stoi przed wieloma długotrwałymi wyzwaniami związanymi z klimatem inwestycyjnym, zwłaszcza w odniesieniu do polskiego systemu sądownictwa oraz procesów decyz</w:t>
      </w:r>
      <w:r>
        <w:rPr>
          <w:rFonts w:ascii="Times New Roman" w:eastAsia="Times New Roman" w:hAnsi="Times New Roman" w:cs="Times New Roman"/>
          <w:sz w:val="24"/>
          <w:szCs w:val="24"/>
          <w:lang w:val="pl-PL"/>
        </w:rPr>
        <w:t>yjnych</w:t>
      </w:r>
      <w:r w:rsidRPr="00AF7348">
        <w:rPr>
          <w:rFonts w:ascii="Times New Roman" w:eastAsia="Times New Roman" w:hAnsi="Times New Roman" w:cs="Times New Roman"/>
          <w:sz w:val="24"/>
          <w:szCs w:val="24"/>
          <w:lang w:val="pl-PL"/>
        </w:rPr>
        <w:t xml:space="preserve"> i </w:t>
      </w:r>
      <w:r>
        <w:rPr>
          <w:rFonts w:ascii="Times New Roman" w:eastAsia="Times New Roman" w:hAnsi="Times New Roman" w:cs="Times New Roman"/>
          <w:sz w:val="24"/>
          <w:szCs w:val="24"/>
          <w:lang w:val="pl-PL"/>
        </w:rPr>
        <w:t>prawnych</w:t>
      </w:r>
      <w:r w:rsidRPr="00AF7348">
        <w:rPr>
          <w:rFonts w:ascii="Times New Roman" w:eastAsia="Times New Roman" w:hAnsi="Times New Roman" w:cs="Times New Roman"/>
          <w:sz w:val="24"/>
          <w:szCs w:val="24"/>
          <w:lang w:val="pl-PL"/>
        </w:rPr>
        <w:t xml:space="preserve">. </w:t>
      </w:r>
    </w:p>
    <w:p w14:paraId="32AB14F7" w14:textId="61E448EC" w:rsidR="00AB0369" w:rsidRPr="00AF7348" w:rsidRDefault="00AB0369" w:rsidP="00AB0369">
      <w:pPr>
        <w:spacing w:before="120" w:after="120" w:line="240" w:lineRule="auto"/>
        <w:jc w:val="both"/>
        <w:rPr>
          <w:rFonts w:ascii="Times New Roman" w:eastAsia="Times New Roman" w:hAnsi="Times New Roman" w:cs="Times New Roman"/>
          <w:color w:val="498205"/>
          <w:sz w:val="24"/>
          <w:szCs w:val="24"/>
          <w:u w:val="single"/>
          <w:lang w:val="pl-PL"/>
        </w:rPr>
      </w:pPr>
      <w:r w:rsidRPr="00AF7348">
        <w:rPr>
          <w:rFonts w:ascii="Times New Roman" w:eastAsia="Times New Roman" w:hAnsi="Times New Roman" w:cs="Times New Roman"/>
          <w:color w:val="000000" w:themeColor="text1"/>
          <w:sz w:val="24"/>
          <w:szCs w:val="24"/>
          <w:lang w:val="pl-PL"/>
        </w:rPr>
        <w:t>Dlatego zadaniem tego komponentu jest przede wszystkim poprawa klimatu inwestycyjnego oraz stworzenie warunków do skutecznej realizacji Krajowego Planu Odbudowy i Zwiększania Odporności (KPO). W tym celu reformy mają za zadanie: wzmocnienie nieza</w:t>
      </w:r>
      <w:r>
        <w:rPr>
          <w:rFonts w:ascii="Times New Roman" w:eastAsia="Times New Roman" w:hAnsi="Times New Roman" w:cs="Times New Roman"/>
          <w:color w:val="000000" w:themeColor="text1"/>
          <w:sz w:val="24"/>
          <w:szCs w:val="24"/>
          <w:lang w:val="pl-PL"/>
        </w:rPr>
        <w:t>leżnośc</w:t>
      </w:r>
      <w:r w:rsidRPr="00AF7348">
        <w:rPr>
          <w:rFonts w:ascii="Times New Roman" w:eastAsia="Times New Roman" w:hAnsi="Times New Roman" w:cs="Times New Roman"/>
          <w:color w:val="000000" w:themeColor="text1"/>
          <w:sz w:val="24"/>
          <w:szCs w:val="24"/>
          <w:lang w:val="pl-PL"/>
        </w:rPr>
        <w:t xml:space="preserve">i i bezstronności sądów; </w:t>
      </w:r>
      <w:r>
        <w:rPr>
          <w:rFonts w:ascii="Times New Roman" w:eastAsia="Times New Roman" w:hAnsi="Times New Roman" w:cs="Times New Roman"/>
          <w:color w:val="000000" w:themeColor="text1"/>
          <w:sz w:val="24"/>
          <w:szCs w:val="24"/>
          <w:lang w:val="pl-PL"/>
        </w:rPr>
        <w:t>zaradzenie</w:t>
      </w:r>
      <w:r w:rsidRPr="00AF7348">
        <w:rPr>
          <w:rFonts w:ascii="Times New Roman" w:eastAsia="Times New Roman" w:hAnsi="Times New Roman" w:cs="Times New Roman"/>
          <w:color w:val="000000" w:themeColor="text1"/>
          <w:sz w:val="24"/>
          <w:szCs w:val="24"/>
          <w:lang w:val="pl-PL"/>
        </w:rPr>
        <w:t xml:space="preserve"> sytuacji sędziów, których dotyczą orzeczenia Izby Dyscyplinarnej Sądu Najwyższego wyda</w:t>
      </w:r>
      <w:r>
        <w:rPr>
          <w:rFonts w:ascii="Times New Roman" w:eastAsia="Times New Roman" w:hAnsi="Times New Roman" w:cs="Times New Roman"/>
          <w:color w:val="000000" w:themeColor="text1"/>
          <w:sz w:val="24"/>
          <w:szCs w:val="24"/>
          <w:lang w:val="pl-PL"/>
        </w:rPr>
        <w:t>wa</w:t>
      </w:r>
      <w:r w:rsidRPr="00AF7348">
        <w:rPr>
          <w:rFonts w:ascii="Times New Roman" w:eastAsia="Times New Roman" w:hAnsi="Times New Roman" w:cs="Times New Roman"/>
          <w:color w:val="000000" w:themeColor="text1"/>
          <w:sz w:val="24"/>
          <w:szCs w:val="24"/>
          <w:lang w:val="pl-PL"/>
        </w:rPr>
        <w:t>ne w sprawach dyscyplinarnych i sprawach dotyczących immunitetu sędziowskiego</w:t>
      </w:r>
      <w:r w:rsidR="00C055B5">
        <w:rPr>
          <w:rFonts w:ascii="Times New Roman" w:eastAsia="Times New Roman" w:hAnsi="Times New Roman" w:cs="Times New Roman"/>
          <w:color w:val="000000" w:themeColor="text1"/>
          <w:sz w:val="24"/>
          <w:szCs w:val="24"/>
          <w:lang w:val="pl-PL"/>
        </w:rPr>
        <w:t xml:space="preserve"> </w:t>
      </w:r>
      <w:r w:rsidR="00C055B5" w:rsidRPr="00C055B5">
        <w:rPr>
          <w:rFonts w:ascii="Times New Roman" w:eastAsia="Times New Roman" w:hAnsi="Times New Roman" w:cs="Times New Roman"/>
          <w:color w:val="000000" w:themeColor="text1"/>
          <w:sz w:val="24"/>
          <w:szCs w:val="24"/>
          <w:lang w:val="pl-PL"/>
        </w:rPr>
        <w:t xml:space="preserve">w celu przywrócenia tych, którzy zostali uznani za niesłusznie dotkniętych w drodze postępowania </w:t>
      </w:r>
      <w:r w:rsidR="00C055B5">
        <w:rPr>
          <w:rFonts w:ascii="Times New Roman" w:eastAsia="Times New Roman" w:hAnsi="Times New Roman" w:cs="Times New Roman"/>
          <w:color w:val="000000" w:themeColor="text1"/>
          <w:sz w:val="24"/>
          <w:szCs w:val="24"/>
          <w:lang w:val="pl-PL"/>
        </w:rPr>
        <w:t>odwoławczego</w:t>
      </w:r>
      <w:r w:rsidR="00C055B5" w:rsidRPr="00C055B5">
        <w:rPr>
          <w:rFonts w:ascii="Times New Roman" w:eastAsia="Times New Roman" w:hAnsi="Times New Roman" w:cs="Times New Roman"/>
          <w:color w:val="000000" w:themeColor="text1"/>
          <w:sz w:val="24"/>
          <w:szCs w:val="24"/>
          <w:lang w:val="pl-PL"/>
        </w:rPr>
        <w:t>, które zostanie przeprowadzone niezwłocznie</w:t>
      </w:r>
      <w:r w:rsidRPr="00AF7348">
        <w:rPr>
          <w:rFonts w:ascii="Times New Roman" w:eastAsia="Times New Roman" w:hAnsi="Times New Roman" w:cs="Times New Roman"/>
          <w:color w:val="000000" w:themeColor="text1"/>
          <w:sz w:val="24"/>
          <w:szCs w:val="24"/>
          <w:lang w:val="pl-PL"/>
        </w:rPr>
        <w:t xml:space="preserve">; </w:t>
      </w:r>
      <w:r>
        <w:rPr>
          <w:rFonts w:ascii="Times New Roman" w:eastAsia="Times New Roman" w:hAnsi="Times New Roman" w:cs="Times New Roman"/>
          <w:color w:val="000000" w:themeColor="text1"/>
          <w:sz w:val="24"/>
          <w:szCs w:val="24"/>
          <w:lang w:val="pl-PL"/>
        </w:rPr>
        <w:t>wzmocnić</w:t>
      </w:r>
      <w:r w:rsidRPr="00AF7348">
        <w:rPr>
          <w:rFonts w:ascii="Times New Roman" w:eastAsia="Times New Roman" w:hAnsi="Times New Roman" w:cs="Times New Roman"/>
          <w:color w:val="000000" w:themeColor="text1"/>
          <w:sz w:val="24"/>
          <w:szCs w:val="24"/>
          <w:lang w:val="pl-PL"/>
        </w:rPr>
        <w:t xml:space="preserve"> konsultacje z partnerami społecznymi w procesie stanowienia prawa; </w:t>
      </w:r>
      <w:r>
        <w:rPr>
          <w:rFonts w:ascii="Times New Roman" w:eastAsia="Times New Roman" w:hAnsi="Times New Roman" w:cs="Times New Roman"/>
          <w:color w:val="000000" w:themeColor="text1"/>
          <w:sz w:val="24"/>
          <w:szCs w:val="24"/>
          <w:lang w:val="pl-PL"/>
        </w:rPr>
        <w:t>zwiększyć</w:t>
      </w:r>
      <w:r w:rsidRPr="00AF7348">
        <w:rPr>
          <w:rFonts w:ascii="Times New Roman" w:eastAsia="Times New Roman" w:hAnsi="Times New Roman" w:cs="Times New Roman"/>
          <w:color w:val="000000" w:themeColor="text1"/>
          <w:sz w:val="24"/>
          <w:szCs w:val="24"/>
          <w:lang w:val="pl-PL"/>
        </w:rPr>
        <w:t xml:space="preserve"> wykorzystanie ocen skutków regulacji w procesie stanowienia prawa; ograniczenie stosowania przyspieszonych procedur w procesie stanowienia prawa; zapewnienie odpowiednich konsultacji z partnerami społecznymi i zainteresowanymi stronami w zakresie realizacji KPO, w tym poprzez powołanie Komitetu Monitorującego, oraz stosowanie zintegrowanego narzędzia informatyczne</w:t>
      </w:r>
      <w:r>
        <w:rPr>
          <w:rFonts w:ascii="Times New Roman" w:eastAsia="Times New Roman" w:hAnsi="Times New Roman" w:cs="Times New Roman"/>
          <w:color w:val="000000" w:themeColor="text1"/>
          <w:sz w:val="24"/>
          <w:szCs w:val="24"/>
          <w:lang w:val="pl-PL"/>
        </w:rPr>
        <w:t>j</w:t>
      </w:r>
      <w:r w:rsidRPr="00AF7348">
        <w:rPr>
          <w:rFonts w:ascii="Times New Roman" w:eastAsia="Times New Roman" w:hAnsi="Times New Roman" w:cs="Times New Roman"/>
          <w:color w:val="000000" w:themeColor="text1"/>
          <w:sz w:val="24"/>
          <w:szCs w:val="24"/>
          <w:lang w:val="pl-PL"/>
        </w:rPr>
        <w:t xml:space="preserve"> oceny ryzyka Arachne w procesie realizacji KPO.</w:t>
      </w:r>
    </w:p>
    <w:p w14:paraId="62FCC88A" w14:textId="75CD8F89" w:rsidR="00AB0369" w:rsidRPr="00AF7348" w:rsidRDefault="00AB0369" w:rsidP="00AB0369">
      <w:pPr>
        <w:spacing w:line="240" w:lineRule="auto"/>
        <w:jc w:val="both"/>
        <w:rPr>
          <w:rFonts w:ascii="Times New Roman" w:eastAsia="Times New Roman" w:hAnsi="Times New Roman" w:cs="Times New Roman"/>
          <w:b/>
          <w:color w:val="000000" w:themeColor="text1"/>
          <w:sz w:val="24"/>
          <w:szCs w:val="24"/>
          <w:u w:val="single"/>
          <w:lang w:val="pl-PL"/>
        </w:rPr>
      </w:pPr>
      <w:r w:rsidRPr="004A0CEC">
        <w:rPr>
          <w:rFonts w:ascii="Times New Roman" w:eastAsia="Times New Roman" w:hAnsi="Times New Roman" w:cs="Times New Roman"/>
          <w:color w:val="000000" w:themeColor="text1"/>
          <w:sz w:val="24"/>
          <w:szCs w:val="24"/>
          <w:lang w:val="pl-PL"/>
        </w:rPr>
        <w:t>Komponent przyczynia się do realizacji zalecenia Rady UE w sprawie udoskonalenia otoczenia regulacyjnego, w szczególności poprzez „zwiększenie roli konsultacji społecznych i konsultacji publicznych w procesie legislacyjnym” (zalecenie nr 3 z 2019 r.) oraz „poprawa klimatu inwestycyjnego, w szczególności poprzez ochronę niezależności sądownictwa”, a także „zapewnienie skutecznych konsultacji publicznych i zaangażowania partnerów społecznych w proces kształtowania polityki” (zalecenie nr 4 z 2020 r.).</w:t>
      </w:r>
    </w:p>
    <w:p w14:paraId="16A64781" w14:textId="77777777" w:rsidR="00AB0369" w:rsidRPr="00AF7348" w:rsidRDefault="00AB0369" w:rsidP="00AB0369">
      <w:pP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b/>
          <w:bCs/>
          <w:color w:val="000000" w:themeColor="text1"/>
          <w:sz w:val="24"/>
          <w:szCs w:val="24"/>
          <w:u w:val="single"/>
          <w:lang w:val="pl-PL"/>
        </w:rPr>
        <w:t>F1 Wymiar sprawiedliwości</w:t>
      </w:r>
    </w:p>
    <w:p w14:paraId="0411CC86" w14:textId="1835C912"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 xml:space="preserve">Głównym celem reform jest podniesienie standardu ochrony </w:t>
      </w:r>
      <w:r>
        <w:rPr>
          <w:rFonts w:ascii="Times New Roman" w:hAnsi="Times New Roman"/>
          <w:sz w:val="24"/>
          <w:szCs w:val="24"/>
          <w:lang w:val="pl-PL"/>
        </w:rPr>
        <w:t>sądowej</w:t>
      </w:r>
      <w:r w:rsidRPr="00AF7348">
        <w:rPr>
          <w:rFonts w:ascii="Times New Roman" w:hAnsi="Times New Roman"/>
          <w:sz w:val="24"/>
          <w:szCs w:val="24"/>
          <w:lang w:val="pl-PL"/>
        </w:rPr>
        <w:t xml:space="preserve"> oraz poprawa klimatu inwestycyjnego w Polsce, a także wsparcie systemu kontroli wewnętrznej, o którym mowa w art. 22 Rozporządzenia Parlamentu Europejskiego i Rady (UE) 2021/241, </w:t>
      </w:r>
      <w:r>
        <w:rPr>
          <w:rFonts w:ascii="Times New Roman" w:hAnsi="Times New Roman"/>
          <w:sz w:val="24"/>
          <w:szCs w:val="24"/>
          <w:lang w:val="pl-PL"/>
        </w:rPr>
        <w:t>wzmacniając</w:t>
      </w:r>
      <w:r w:rsidRPr="00AF7348">
        <w:rPr>
          <w:rFonts w:ascii="Times New Roman" w:hAnsi="Times New Roman"/>
          <w:sz w:val="24"/>
          <w:szCs w:val="24"/>
          <w:lang w:val="pl-PL"/>
        </w:rPr>
        <w:t xml:space="preserve"> gwarancj</w:t>
      </w:r>
      <w:r>
        <w:rPr>
          <w:rFonts w:ascii="Times New Roman" w:hAnsi="Times New Roman"/>
          <w:sz w:val="24"/>
          <w:szCs w:val="24"/>
          <w:lang w:val="pl-PL"/>
        </w:rPr>
        <w:t>e</w:t>
      </w:r>
      <w:r w:rsidRPr="00AF7348">
        <w:rPr>
          <w:rFonts w:ascii="Times New Roman" w:hAnsi="Times New Roman"/>
          <w:sz w:val="24"/>
          <w:szCs w:val="24"/>
          <w:lang w:val="pl-PL"/>
        </w:rPr>
        <w:t xml:space="preserve"> niezawisłości i bezstronności sądów.</w:t>
      </w:r>
    </w:p>
    <w:p w14:paraId="39DFEE0C" w14:textId="626F70DC"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 xml:space="preserve">Reforma ma prowadzić do wzmocnienia niezależności i bezstronności sądów i sędziów ustanowionych na mocy prawa zgodnie z art. 19 TUE i odpowiednim dorobkiem prawnym UE. Zgodnie z art. 24(3) Rozporządzenia (UE) 2021/241 </w:t>
      </w:r>
      <w:r w:rsidRPr="00075A45">
        <w:rPr>
          <w:rFonts w:ascii="Times New Roman" w:hAnsi="Times New Roman"/>
          <w:sz w:val="24"/>
          <w:szCs w:val="24"/>
          <w:lang w:val="pl-PL"/>
        </w:rPr>
        <w:t>wszelkie inne reformy są podejmowane bez osłabiania tego wyniku i negatywnego wpływu na poniższe elementy.</w:t>
      </w:r>
      <w:r w:rsidRPr="00AF7348">
        <w:rPr>
          <w:rFonts w:ascii="Times New Roman" w:hAnsi="Times New Roman"/>
          <w:sz w:val="24"/>
          <w:szCs w:val="24"/>
          <w:lang w:val="pl-PL"/>
        </w:rPr>
        <w:t>.</w:t>
      </w:r>
    </w:p>
    <w:p w14:paraId="5EBC1321" w14:textId="77777777" w:rsidR="00AB0369" w:rsidRPr="00AF7348" w:rsidRDefault="00AB0369" w:rsidP="00AB0369">
      <w:pPr>
        <w:spacing w:line="240" w:lineRule="auto"/>
        <w:jc w:val="both"/>
        <w:rPr>
          <w:rFonts w:ascii="Times New Roman" w:hAnsi="Times New Roman"/>
          <w:sz w:val="24"/>
          <w:szCs w:val="24"/>
          <w:lang w:val="pl-PL"/>
        </w:rPr>
      </w:pPr>
    </w:p>
    <w:p w14:paraId="7036D1D8" w14:textId="77777777" w:rsidR="00AB0369" w:rsidRPr="00AF7348" w:rsidRDefault="00AB0369" w:rsidP="00AB0369">
      <w:pPr>
        <w:spacing w:line="240" w:lineRule="auto"/>
        <w:jc w:val="both"/>
        <w:rPr>
          <w:rFonts w:ascii="Times New Roman" w:eastAsia="Times New Roman" w:hAnsi="Times New Roman" w:cs="Times New Roman"/>
          <w:color w:val="000000" w:themeColor="text1"/>
          <w:sz w:val="24"/>
          <w:szCs w:val="24"/>
          <w:lang w:val="pl-PL"/>
        </w:rPr>
      </w:pPr>
      <w:r w:rsidRPr="00AF7348">
        <w:rPr>
          <w:rFonts w:ascii="Times New Roman" w:hAnsi="Times New Roman"/>
          <w:b/>
          <w:bCs/>
          <w:sz w:val="24"/>
          <w:szCs w:val="24"/>
          <w:u w:val="single"/>
          <w:lang w:val="pl-PL"/>
        </w:rPr>
        <w:t>F1.1 Reforma wzmacniająca niezależność i bezstronność sądów</w:t>
      </w:r>
    </w:p>
    <w:p w14:paraId="021D4B27" w14:textId="68498009" w:rsidR="00AB0369"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Reforma:</w:t>
      </w:r>
    </w:p>
    <w:p w14:paraId="38D8B810"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a) we wszystkich sprawach dotyczących sędziów, w tym dotyczących dyscyplinarnego i uchylenia immunitetu sędziowskiego, określi zakres jurysdykcji Izby Sądu Najwyższego, innej niż istniejąca Izba Dyscyplinarna, spełniająca wymogi wynikające z art. 19 ust. 1 TUE. Zapewni to rozpoznanie ww. spraw przez niezawisły i bezstronny sąd ustanowiony poprzez prawo, natomiast dyskrecjonalne uprawnienie do wyznaczania sądu dyscyplinarnego właściwego w pierwszej instancji w sprawach sędziów sądów powszechnych zostanie ograniczone,</w:t>
      </w:r>
    </w:p>
    <w:p w14:paraId="6D1A0DB0"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lastRenderedPageBreak/>
        <w:t>b) doprecyzuje zakres odpowiedzialności dyscyplinarnej sędziów, zapewniając nieograniczenie prawa polskich sądów do zadawania pytań prejudycjalnych do TSUE. Takie pytanie nie będzie stanowić podstawy do wszczęcia postępowania dyscyplinarnego wobec sędziego,</w:t>
      </w:r>
    </w:p>
    <w:p w14:paraId="1B8BFB8C"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c) określi, że o ile sędziowie nadal mogą być pociągnięci do odpowiedzialności za wykroczenia zawodowe, w tym oczywiste i rażące naruszenia prawa, to treść orzeczeń sądowych nie stanowi przewinienia dyscyplinarnego,</w:t>
      </w:r>
    </w:p>
    <w:p w14:paraId="643DDED5"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d) zapewni, aby wszczęcie w postępowaniu sądowym weryfikacji spełniania przez sędziego wymogów niezawisłości, bezstronności i „ustanowienia ustawą” zgodnie z art. 19 TUE było możliwe dla właściwego sądu, jeżeli pojawia się w tym względzie poważna wątpliwość i taka weryfikacja nie jest kwalifikowana jako przewinienie dyscyplinarne,</w:t>
      </w:r>
    </w:p>
    <w:p w14:paraId="349A7B54"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e) wzmocni gwarancje procesowe i uprawnienia stron w postępowaniach dyscyplinarnych dotyczących sędziów, poprzez:</w:t>
      </w:r>
    </w:p>
    <w:p w14:paraId="257A1936"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(i) zapewnienie rozpatrzenia spraw dyscyplinarnych przeciwko sędziom sądów powszechnych w rozsądnym terminie,</w:t>
      </w:r>
    </w:p>
    <w:p w14:paraId="58260256" w14:textId="77777777" w:rsidR="00AB0369" w:rsidRPr="00157A65"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(ii) doprecyzowanie przepisów dotyczących właściwości miejscowej sądów rozpoznających sprawy dyscyplinarne w celu zapewnienia możliwości bezpośredniego określenia właściwego sądu zgodnie z ustawą; oraz</w:t>
      </w:r>
    </w:p>
    <w:p w14:paraId="45346F4A" w14:textId="77777777" w:rsidR="00AB0369" w:rsidRPr="00AF7348" w:rsidRDefault="00AB0369" w:rsidP="00AB0369">
      <w:pPr>
        <w:spacing w:line="240" w:lineRule="auto"/>
        <w:jc w:val="both"/>
        <w:rPr>
          <w:rFonts w:ascii="Times New Roman" w:hAnsi="Times New Roman"/>
          <w:sz w:val="24"/>
          <w:szCs w:val="24"/>
          <w:lang w:val="pl-PL"/>
        </w:rPr>
      </w:pPr>
      <w:r w:rsidRPr="00157A65">
        <w:rPr>
          <w:rFonts w:ascii="Times New Roman" w:hAnsi="Times New Roman"/>
          <w:sz w:val="24"/>
          <w:szCs w:val="24"/>
          <w:lang w:val="pl-PL"/>
        </w:rPr>
        <w:t>(iii) zapewnienie, aby powołanie obrońcy w postępowaniu dyscyplinarnym dotyczącym sędziego nastąpiło w rozsądnym terminie, a także zapewnienie czasu na merytoryczne przygotowanie obrońcy do pełnienia funkcji w danym postępowaniu. Jednocześnie sąd zawiesza postępowanie w razie usprawiedliwionej nieobecności obwinionego sędziego lub jego obrońcy.</w:t>
      </w:r>
    </w:p>
    <w:p w14:paraId="32BA080F" w14:textId="77777777"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 xml:space="preserve">Reforma wejdzie w życie do końca drugiego kwartału 2022 roku. </w:t>
      </w:r>
    </w:p>
    <w:p w14:paraId="25D40317" w14:textId="77777777" w:rsidR="00AB0369" w:rsidRPr="00AF7348" w:rsidRDefault="00AB0369" w:rsidP="00AB0369">
      <w:pPr>
        <w:spacing w:line="240" w:lineRule="auto"/>
        <w:jc w:val="both"/>
        <w:rPr>
          <w:rFonts w:ascii="Times New Roman" w:hAnsi="Times New Roman"/>
          <w:sz w:val="24"/>
          <w:szCs w:val="24"/>
          <w:lang w:val="pl-PL"/>
        </w:rPr>
      </w:pPr>
    </w:p>
    <w:p w14:paraId="51874273" w14:textId="77777777" w:rsidR="00AB0369" w:rsidRPr="00AF7348" w:rsidRDefault="00AB0369" w:rsidP="00AB0369">
      <w:pPr>
        <w:spacing w:line="240" w:lineRule="auto"/>
        <w:jc w:val="both"/>
        <w:rPr>
          <w:rFonts w:ascii="Times New Roman" w:hAnsi="Times New Roman"/>
          <w:lang w:val="pl-PL"/>
        </w:rPr>
      </w:pPr>
      <w:r w:rsidRPr="00AF7348">
        <w:rPr>
          <w:rFonts w:ascii="Times New Roman" w:hAnsi="Times New Roman"/>
          <w:b/>
          <w:bCs/>
          <w:sz w:val="24"/>
          <w:szCs w:val="24"/>
          <w:u w:val="single"/>
          <w:lang w:val="pl-PL"/>
        </w:rPr>
        <w:t>F1.2 Reforma poprawiająca sytuację sędziów, których dotyczą orzeczenia Izby Dyscyplinarnej Sądu Najwyższego w sprawach dyscyplinarnych i sprawach dotyczących immunitetu sędziowskiego</w:t>
      </w:r>
    </w:p>
    <w:p w14:paraId="4D0D1F5A" w14:textId="77777777" w:rsidR="00AB0369" w:rsidRDefault="00AB0369" w:rsidP="00AB0369">
      <w:pPr>
        <w:spacing w:line="240" w:lineRule="auto"/>
        <w:jc w:val="both"/>
        <w:rPr>
          <w:rFonts w:ascii="Times New Roman" w:hAnsi="Times New Roman"/>
          <w:sz w:val="24"/>
          <w:szCs w:val="24"/>
          <w:lang w:val="pl-PL"/>
        </w:rPr>
      </w:pPr>
      <w:r w:rsidRPr="00956484">
        <w:rPr>
          <w:rFonts w:ascii="Times New Roman" w:hAnsi="Times New Roman"/>
          <w:sz w:val="24"/>
          <w:szCs w:val="24"/>
          <w:lang w:val="pl-PL"/>
        </w:rPr>
        <w:t>Wejście w życie reformy zapewniającej sędziom, których dotyczą orzeczenia Izby Dyscyplinarnej Sądu Najwyższego, dostęp do postępowań kontrolnych w ich sprawach. Takie sprawy już rozstrzygnięte przez Izbę Dyscyplinarną będą rozpatrywane przez sąd, który spełnia wymogi art. 19 ust. 1 TUE, zgodnie z zasadami, które zostaną przyjęte na podstawie ww. reformy F1.1. Ustawa określa, że pierwsza rozprawa sądu orzekającego w tych sprawach odbędzie się w ciągu trzech miesięcy od dnia otrzymania wniosku sędziego o ponowne rozpoznanie, a sprawy zostaną rozstrzygnięte w ciągu dwunastu miesięcy od otrzymania takiego wniosku. Sprawy aktualnie toczące się przed Izbą Dyscyplinarną zostaną przekazane do dalszego rozpoznania sądowi na zasadach określonych w ww. postępowaniu.</w:t>
      </w:r>
    </w:p>
    <w:p w14:paraId="2C4252F8" w14:textId="77777777"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hAnsi="Times New Roman"/>
          <w:sz w:val="24"/>
          <w:szCs w:val="24"/>
          <w:lang w:val="pl-PL"/>
        </w:rPr>
        <w:t>Reforma wejdzie w życie do końca drugiego kwartału 2022 roku.</w:t>
      </w:r>
    </w:p>
    <w:p w14:paraId="0775C445" w14:textId="36DB7AFC" w:rsidR="00AB0369" w:rsidRPr="00AF7348" w:rsidRDefault="00AB0369" w:rsidP="00AB0369">
      <w:pPr>
        <w:spacing w:line="240" w:lineRule="auto"/>
        <w:jc w:val="both"/>
        <w:rPr>
          <w:rFonts w:ascii="Times New Roman" w:hAnsi="Times New Roman"/>
          <w:bCs/>
          <w:sz w:val="24"/>
          <w:szCs w:val="24"/>
          <w:lang w:val="pl-PL"/>
        </w:rPr>
      </w:pPr>
      <w:r w:rsidRPr="00AF7348">
        <w:rPr>
          <w:rFonts w:ascii="Times New Roman" w:hAnsi="Times New Roman"/>
          <w:sz w:val="24"/>
          <w:szCs w:val="24"/>
          <w:lang w:val="pl-PL"/>
        </w:rPr>
        <w:t>Obie wymienione powyżej reformy, których termin zakończenia przypada na II kwartał 2022 r., zostaną zrealizowane przed złożeniem do Komisji</w:t>
      </w:r>
      <w:r w:rsidRPr="00AF7348">
        <w:rPr>
          <w:lang w:val="pl-PL"/>
        </w:rPr>
        <w:t xml:space="preserve"> </w:t>
      </w:r>
      <w:r w:rsidRPr="00AF7348">
        <w:rPr>
          <w:rFonts w:ascii="Times New Roman" w:hAnsi="Times New Roman"/>
          <w:sz w:val="24"/>
          <w:szCs w:val="24"/>
          <w:lang w:val="pl-PL"/>
        </w:rPr>
        <w:t xml:space="preserve">pierwszego wniosku o płatność </w:t>
      </w:r>
      <w:r w:rsidRPr="00956484">
        <w:rPr>
          <w:rFonts w:ascii="Times New Roman" w:hAnsi="Times New Roman"/>
          <w:sz w:val="24"/>
          <w:szCs w:val="24"/>
          <w:lang w:val="pl-PL"/>
        </w:rPr>
        <w:t>i będą warunkiem wstępnym każdej płatności na podstawie art. 24 rozporządzenia w sprawie RRF.</w:t>
      </w:r>
    </w:p>
    <w:p w14:paraId="4BF74C2E" w14:textId="77777777" w:rsidR="00AB0369" w:rsidRPr="00AF7348" w:rsidRDefault="00AB0369" w:rsidP="00AB0369">
      <w:pPr>
        <w:spacing w:line="240" w:lineRule="auto"/>
        <w:jc w:val="both"/>
        <w:rPr>
          <w:rFonts w:ascii="Times New Roman" w:hAnsi="Times New Roman"/>
          <w:bCs/>
          <w:sz w:val="24"/>
          <w:szCs w:val="24"/>
          <w:lang w:val="pl-PL"/>
        </w:rPr>
      </w:pPr>
    </w:p>
    <w:p w14:paraId="693254A1"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b/>
          <w:bCs/>
          <w:sz w:val="24"/>
          <w:szCs w:val="24"/>
          <w:u w:val="single"/>
          <w:lang w:val="pl-PL"/>
        </w:rPr>
      </w:pPr>
      <w:r w:rsidRPr="00AF7348">
        <w:rPr>
          <w:rFonts w:ascii="Times New Roman" w:eastAsia="Times New Roman" w:hAnsi="Times New Roman" w:cs="Times New Roman"/>
          <w:b/>
          <w:bCs/>
          <w:sz w:val="24"/>
          <w:szCs w:val="24"/>
          <w:u w:val="single"/>
          <w:lang w:val="pl-PL"/>
        </w:rPr>
        <w:lastRenderedPageBreak/>
        <w:t>F2.1 Usprawnienie procesu stanowienia prawa</w:t>
      </w:r>
    </w:p>
    <w:p w14:paraId="4AE58F1C"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Celem reformy jest przyjęcie nowelizacji do Regulaminu Sejmu, Senatu i Rady Ministrów, która wprowadzi obowiązek przeprowadzania oceny skutków regulacji oraz konsultacji społecznych w przypadku projektów ustaw zgłaszanych przez posłów i senatorów. Reforma ograniczy także stosowanie procedur przyspieszonych do ściśle określonych i wyjątkowych przypadków.</w:t>
      </w:r>
    </w:p>
    <w:p w14:paraId="63B01137"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AF7348">
        <w:rPr>
          <w:rFonts w:ascii="Times New Roman" w:eastAsia="Times New Roman" w:hAnsi="Times New Roman" w:cs="Times New Roman"/>
          <w:color w:val="000000" w:themeColor="text1"/>
          <w:sz w:val="24"/>
          <w:szCs w:val="24"/>
          <w:lang w:val="pl-PL"/>
        </w:rPr>
        <w:t>Wdrażanie reformy zostanie zakończone do 30 września 2022 roku.</w:t>
      </w:r>
    </w:p>
    <w:p w14:paraId="74916855"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color w:val="000000" w:themeColor="text1"/>
          <w:sz w:val="24"/>
          <w:szCs w:val="24"/>
          <w:lang w:val="pl-PL"/>
        </w:rPr>
      </w:pPr>
    </w:p>
    <w:p w14:paraId="095C80AA" w14:textId="77777777" w:rsidR="00AB0369" w:rsidRPr="00AF7348" w:rsidRDefault="00AB0369" w:rsidP="00AB0369">
      <w:pPr>
        <w:pStyle w:val="Normal0"/>
        <w:spacing w:before="120" w:after="120" w:line="240" w:lineRule="auto"/>
        <w:jc w:val="both"/>
        <w:rPr>
          <w:rFonts w:ascii="Times New Roman" w:eastAsia="Times New Roman" w:hAnsi="Times New Roman" w:cs="Times New Roman"/>
          <w:b/>
          <w:bCs/>
          <w:color w:val="000000" w:themeColor="text1"/>
          <w:sz w:val="24"/>
          <w:szCs w:val="24"/>
          <w:lang w:val="pl-PL"/>
        </w:rPr>
      </w:pPr>
      <w:r w:rsidRPr="00AF7348">
        <w:rPr>
          <w:rFonts w:ascii="Times New Roman" w:eastAsia="Times New Roman" w:hAnsi="Times New Roman" w:cs="Times New Roman"/>
          <w:b/>
          <w:bCs/>
          <w:color w:val="000000" w:themeColor="text1"/>
          <w:sz w:val="24"/>
          <w:szCs w:val="24"/>
          <w:u w:val="single"/>
          <w:lang w:val="pl-PL"/>
        </w:rPr>
        <w:t>F3.1 Poprawa warunków wdrażania KPO</w:t>
      </w:r>
      <w:r w:rsidRPr="00AF7348">
        <w:rPr>
          <w:rFonts w:ascii="Times New Roman" w:eastAsia="Times New Roman" w:hAnsi="Times New Roman" w:cs="Times New Roman"/>
          <w:color w:val="000000" w:themeColor="text1"/>
          <w:sz w:val="24"/>
          <w:szCs w:val="24"/>
          <w:lang w:val="pl-PL"/>
        </w:rPr>
        <w:t xml:space="preserve"> </w:t>
      </w:r>
    </w:p>
    <w:p w14:paraId="3CC0AFEE" w14:textId="372356A1" w:rsidR="00AB0369" w:rsidRPr="00AF7348" w:rsidRDefault="00BC0930" w:rsidP="00AB0369">
      <w:pPr>
        <w:pStyle w:val="Normal0"/>
        <w:spacing w:before="120" w:after="120" w:line="240" w:lineRule="auto"/>
        <w:jc w:val="both"/>
        <w:rPr>
          <w:rFonts w:ascii="Times New Roman" w:eastAsia="Times New Roman" w:hAnsi="Times New Roman" w:cs="Times New Roman"/>
          <w:color w:val="000000" w:themeColor="text1"/>
          <w:sz w:val="24"/>
          <w:szCs w:val="24"/>
          <w:lang w:val="pl-PL"/>
        </w:rPr>
      </w:pPr>
      <w:r w:rsidRPr="00BC0930">
        <w:rPr>
          <w:rFonts w:ascii="Times New Roman" w:eastAsia="Times New Roman" w:hAnsi="Times New Roman" w:cs="Times New Roman"/>
          <w:color w:val="000000" w:themeColor="text1"/>
          <w:sz w:val="24"/>
          <w:szCs w:val="24"/>
          <w:lang w:val="pl-PL"/>
        </w:rPr>
        <w:t>W celu zapewnienia</w:t>
      </w:r>
      <w:r w:rsidR="00AB0369" w:rsidRPr="00AF7348">
        <w:rPr>
          <w:rFonts w:ascii="Times New Roman" w:eastAsia="Times New Roman" w:hAnsi="Times New Roman" w:cs="Times New Roman"/>
          <w:color w:val="000000" w:themeColor="text1"/>
          <w:sz w:val="24"/>
          <w:szCs w:val="24"/>
          <w:lang w:val="pl-PL"/>
        </w:rPr>
        <w:t xml:space="preserve"> odpowiedni</w:t>
      </w:r>
      <w:r>
        <w:rPr>
          <w:rFonts w:ascii="Times New Roman" w:eastAsia="Times New Roman" w:hAnsi="Times New Roman" w:cs="Times New Roman"/>
          <w:color w:val="000000" w:themeColor="text1"/>
          <w:sz w:val="24"/>
          <w:szCs w:val="24"/>
          <w:lang w:val="pl-PL"/>
        </w:rPr>
        <w:t>ch</w:t>
      </w:r>
      <w:r w:rsidR="00AB0369" w:rsidRPr="00AF7348">
        <w:rPr>
          <w:rFonts w:ascii="Times New Roman" w:eastAsia="Times New Roman" w:hAnsi="Times New Roman" w:cs="Times New Roman"/>
          <w:color w:val="000000" w:themeColor="text1"/>
          <w:sz w:val="24"/>
          <w:szCs w:val="24"/>
          <w:lang w:val="pl-PL"/>
        </w:rPr>
        <w:t xml:space="preserve"> konsultacj</w:t>
      </w:r>
      <w:r>
        <w:rPr>
          <w:rFonts w:ascii="Times New Roman" w:eastAsia="Times New Roman" w:hAnsi="Times New Roman" w:cs="Times New Roman"/>
          <w:color w:val="000000" w:themeColor="text1"/>
          <w:sz w:val="24"/>
          <w:szCs w:val="24"/>
          <w:lang w:val="pl-PL"/>
        </w:rPr>
        <w:t>i</w:t>
      </w:r>
      <w:r w:rsidR="00AB0369" w:rsidRPr="00AF7348">
        <w:rPr>
          <w:rFonts w:ascii="Times New Roman" w:eastAsia="Times New Roman" w:hAnsi="Times New Roman" w:cs="Times New Roman"/>
          <w:color w:val="000000" w:themeColor="text1"/>
          <w:sz w:val="24"/>
          <w:szCs w:val="24"/>
          <w:lang w:val="pl-PL"/>
        </w:rPr>
        <w:t xml:space="preserve"> z partnerami społecznymi i </w:t>
      </w:r>
      <w:r>
        <w:rPr>
          <w:rFonts w:ascii="Times New Roman" w:eastAsia="Times New Roman" w:hAnsi="Times New Roman" w:cs="Times New Roman"/>
          <w:color w:val="000000" w:themeColor="text1"/>
          <w:sz w:val="24"/>
          <w:szCs w:val="24"/>
          <w:lang w:val="pl-PL"/>
        </w:rPr>
        <w:t>interesariuszami</w:t>
      </w:r>
      <w:r w:rsidR="00AB0369" w:rsidRPr="00AF7348">
        <w:rPr>
          <w:rFonts w:ascii="Times New Roman" w:eastAsia="Times New Roman" w:hAnsi="Times New Roman" w:cs="Times New Roman"/>
          <w:color w:val="000000" w:themeColor="text1"/>
          <w:sz w:val="24"/>
          <w:szCs w:val="24"/>
          <w:lang w:val="pl-PL"/>
        </w:rPr>
        <w:t xml:space="preserve"> w</w:t>
      </w:r>
      <w:r>
        <w:rPr>
          <w:rFonts w:ascii="Times New Roman" w:eastAsia="Times New Roman" w:hAnsi="Times New Roman" w:cs="Times New Roman"/>
          <w:color w:val="000000" w:themeColor="text1"/>
          <w:sz w:val="24"/>
          <w:szCs w:val="24"/>
          <w:lang w:val="pl-PL"/>
        </w:rPr>
        <w:t>e wdrażaniu</w:t>
      </w:r>
      <w:r w:rsidR="00AB0369" w:rsidRPr="00AF7348">
        <w:rPr>
          <w:rFonts w:ascii="Times New Roman" w:eastAsia="Times New Roman" w:hAnsi="Times New Roman" w:cs="Times New Roman"/>
          <w:color w:val="000000" w:themeColor="text1"/>
          <w:sz w:val="24"/>
          <w:szCs w:val="24"/>
          <w:lang w:val="pl-PL"/>
        </w:rPr>
        <w:t xml:space="preserve"> Krajowego Planu Odbudowy i Zwiększania Odporności (KPO), reforma obejmie wejście w życie aktu prawnego ustanawiającego Komitet Monitorujący (KM), w skład którego wejdą </w:t>
      </w:r>
      <w:r w:rsidR="00AB0369">
        <w:rPr>
          <w:rFonts w:ascii="Times New Roman" w:eastAsia="Times New Roman" w:hAnsi="Times New Roman" w:cs="Times New Roman"/>
          <w:color w:val="000000" w:themeColor="text1"/>
          <w:sz w:val="24"/>
          <w:szCs w:val="24"/>
          <w:lang w:val="pl-PL"/>
        </w:rPr>
        <w:t>interesariusze</w:t>
      </w:r>
      <w:r w:rsidR="00AB0369" w:rsidRPr="00AF7348">
        <w:rPr>
          <w:rFonts w:ascii="Times New Roman" w:eastAsia="Times New Roman" w:hAnsi="Times New Roman" w:cs="Times New Roman"/>
          <w:color w:val="000000" w:themeColor="text1"/>
          <w:sz w:val="24"/>
          <w:szCs w:val="24"/>
          <w:lang w:val="pl-PL"/>
        </w:rPr>
        <w:t xml:space="preserve"> oraz partnerzy społeczni zaangażowani we wdrażanie KPO. Zadaniem komitetu będzie nadzorowanie skutecznego wdrażania KPO. Akt </w:t>
      </w:r>
      <w:r>
        <w:rPr>
          <w:rFonts w:ascii="Times New Roman" w:eastAsia="Times New Roman" w:hAnsi="Times New Roman" w:cs="Times New Roman"/>
          <w:color w:val="000000" w:themeColor="text1"/>
          <w:sz w:val="24"/>
          <w:szCs w:val="24"/>
          <w:lang w:val="pl-PL"/>
        </w:rPr>
        <w:t>prawny</w:t>
      </w:r>
      <w:r w:rsidRPr="00AF7348">
        <w:rPr>
          <w:rFonts w:ascii="Times New Roman" w:eastAsia="Times New Roman" w:hAnsi="Times New Roman" w:cs="Times New Roman"/>
          <w:color w:val="000000" w:themeColor="text1"/>
          <w:sz w:val="24"/>
          <w:szCs w:val="24"/>
          <w:lang w:val="pl-PL"/>
        </w:rPr>
        <w:t xml:space="preserve"> </w:t>
      </w:r>
      <w:r w:rsidR="00AB0369" w:rsidRPr="00AF7348">
        <w:rPr>
          <w:rFonts w:ascii="Times New Roman" w:eastAsia="Times New Roman" w:hAnsi="Times New Roman" w:cs="Times New Roman"/>
          <w:color w:val="000000" w:themeColor="text1"/>
          <w:sz w:val="24"/>
          <w:szCs w:val="24"/>
          <w:lang w:val="pl-PL"/>
        </w:rPr>
        <w:t>będzie zawierał przepis wprowadzający wymóg prawny konsultowania się z KM podczas wdrażania KPO.</w:t>
      </w:r>
      <w:r>
        <w:rPr>
          <w:rFonts w:ascii="Times New Roman" w:eastAsia="Times New Roman" w:hAnsi="Times New Roman" w:cs="Times New Roman"/>
          <w:color w:val="000000" w:themeColor="text1"/>
          <w:sz w:val="24"/>
          <w:szCs w:val="24"/>
          <w:lang w:val="pl-PL"/>
        </w:rPr>
        <w:t xml:space="preserve"> </w:t>
      </w:r>
      <w:r w:rsidRPr="00BC0930">
        <w:rPr>
          <w:rFonts w:ascii="Times New Roman" w:eastAsia="Times New Roman" w:hAnsi="Times New Roman" w:cs="Times New Roman"/>
          <w:color w:val="000000" w:themeColor="text1"/>
          <w:sz w:val="24"/>
          <w:szCs w:val="24"/>
          <w:lang w:val="pl-PL"/>
        </w:rPr>
        <w:t>Reforma obejmie również przyjęcie wytycznych ustanawiających zasady zaangażowania interesariuszy i partnerów społecznych w programowanie, wdrażanie, monitorowanie i ewaluację RRP.</w:t>
      </w:r>
    </w:p>
    <w:p w14:paraId="472A23D0" w14:textId="2C6736D5" w:rsidR="00AB0369" w:rsidRPr="00AF7348" w:rsidRDefault="00AB0369" w:rsidP="00AB0369">
      <w:pPr>
        <w:spacing w:line="240" w:lineRule="auto"/>
        <w:jc w:val="both"/>
        <w:rPr>
          <w:rFonts w:ascii="Times New Roman" w:hAnsi="Times New Roman"/>
          <w:sz w:val="24"/>
          <w:szCs w:val="24"/>
          <w:lang w:val="pl-PL"/>
        </w:rPr>
      </w:pPr>
      <w:r w:rsidRPr="00AF7348">
        <w:rPr>
          <w:rFonts w:ascii="Times New Roman" w:eastAsia="Times New Roman" w:hAnsi="Times New Roman" w:cs="Times New Roman"/>
          <w:color w:val="000000" w:themeColor="text1"/>
          <w:sz w:val="24"/>
          <w:szCs w:val="24"/>
          <w:lang w:val="pl-PL"/>
        </w:rPr>
        <w:t xml:space="preserve">Reforma obejmie również wprowadzenie systemu </w:t>
      </w:r>
      <w:r w:rsidR="002E116B">
        <w:rPr>
          <w:rFonts w:ascii="Times New Roman" w:eastAsia="Times New Roman" w:hAnsi="Times New Roman" w:cs="Times New Roman"/>
          <w:color w:val="000000" w:themeColor="text1"/>
          <w:sz w:val="24"/>
          <w:szCs w:val="24"/>
          <w:lang w:val="pl-PL"/>
        </w:rPr>
        <w:t>baz</w:t>
      </w:r>
      <w:r w:rsidR="002E116B"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 xml:space="preserve">zgodnie z art. 22(2)(d) Rozporządzenia (UE) nr 2021/241 </w:t>
      </w:r>
      <w:r w:rsidR="002E116B" w:rsidRPr="002E116B">
        <w:rPr>
          <w:rFonts w:ascii="Times New Roman" w:eastAsia="Times New Roman" w:hAnsi="Times New Roman" w:cs="Times New Roman"/>
          <w:color w:val="000000" w:themeColor="text1"/>
          <w:sz w:val="24"/>
          <w:szCs w:val="24"/>
          <w:lang w:val="pl-PL"/>
        </w:rPr>
        <w:t>aby umożliwić gromadzenie, przechowywanie i monitorowanie danych dotyczących</w:t>
      </w:r>
      <w:r w:rsidR="002E116B">
        <w:rPr>
          <w:rFonts w:ascii="Times New Roman" w:eastAsia="Times New Roman" w:hAnsi="Times New Roman" w:cs="Times New Roman"/>
          <w:color w:val="000000" w:themeColor="text1"/>
          <w:sz w:val="24"/>
          <w:szCs w:val="24"/>
          <w:lang w:val="pl-PL"/>
        </w:rPr>
        <w:t xml:space="preserve"> kamieni milowych i wskaźników w tym na poziomie ostatecznych odbiorców. </w:t>
      </w:r>
      <w:r w:rsidRPr="00AF7348">
        <w:rPr>
          <w:rFonts w:ascii="Times New Roman" w:eastAsia="Times New Roman" w:hAnsi="Times New Roman" w:cs="Times New Roman"/>
          <w:color w:val="000000" w:themeColor="text1"/>
          <w:sz w:val="24"/>
          <w:szCs w:val="24"/>
          <w:lang w:val="pl-PL"/>
        </w:rPr>
        <w:t xml:space="preserve">Dane pochodzące z tego systemu </w:t>
      </w:r>
      <w:r w:rsidR="002E116B">
        <w:rPr>
          <w:rFonts w:ascii="Times New Roman" w:eastAsia="Times New Roman" w:hAnsi="Times New Roman" w:cs="Times New Roman"/>
          <w:color w:val="000000" w:themeColor="text1"/>
          <w:sz w:val="24"/>
          <w:szCs w:val="24"/>
          <w:lang w:val="pl-PL"/>
        </w:rPr>
        <w:t>baz</w:t>
      </w:r>
      <w:r w:rsidR="002E116B" w:rsidRPr="00AF7348">
        <w:rPr>
          <w:rFonts w:ascii="Times New Roman" w:eastAsia="Times New Roman" w:hAnsi="Times New Roman" w:cs="Times New Roman"/>
          <w:color w:val="000000" w:themeColor="text1"/>
          <w:sz w:val="24"/>
          <w:szCs w:val="24"/>
          <w:lang w:val="pl-PL"/>
        </w:rPr>
        <w:t xml:space="preserve"> </w:t>
      </w:r>
      <w:r w:rsidRPr="00AF7348">
        <w:rPr>
          <w:rFonts w:ascii="Times New Roman" w:eastAsia="Times New Roman" w:hAnsi="Times New Roman" w:cs="Times New Roman"/>
          <w:color w:val="000000" w:themeColor="text1"/>
          <w:sz w:val="24"/>
          <w:szCs w:val="24"/>
          <w:lang w:val="pl-PL"/>
        </w:rPr>
        <w:t>będą zasilać system Arachne</w:t>
      </w:r>
      <w:r w:rsidR="002E116B">
        <w:rPr>
          <w:rFonts w:ascii="Times New Roman" w:eastAsia="Times New Roman" w:hAnsi="Times New Roman" w:cs="Times New Roman"/>
          <w:color w:val="000000" w:themeColor="text1"/>
          <w:sz w:val="24"/>
          <w:szCs w:val="24"/>
          <w:lang w:val="pl-PL"/>
        </w:rPr>
        <w:t xml:space="preserve">, </w:t>
      </w:r>
      <w:r w:rsidR="002E116B" w:rsidRPr="002E116B">
        <w:rPr>
          <w:rFonts w:ascii="Times New Roman" w:eastAsia="Times New Roman" w:hAnsi="Times New Roman" w:cs="Times New Roman"/>
          <w:color w:val="000000" w:themeColor="text1"/>
          <w:sz w:val="24"/>
          <w:szCs w:val="24"/>
          <w:lang w:val="pl-PL"/>
        </w:rPr>
        <w:t>który będzie wykorzystywany podczas audytów i kontroli w celu zapobiegania, wykrywania i korygowania konfliktów interesów, oszustw, korupcji i podwójnego finansowania.</w:t>
      </w:r>
    </w:p>
    <w:p w14:paraId="029E5672" w14:textId="0EAF54AF" w:rsidR="00126FEB" w:rsidRPr="00AF7348" w:rsidRDefault="00AB0369" w:rsidP="00CE3AE2">
      <w:pPr>
        <w:spacing w:after="0" w:line="240" w:lineRule="auto"/>
        <w:rPr>
          <w:rFonts w:ascii="Times New Roman" w:eastAsia="Times New Roman" w:hAnsi="Times New Roman" w:cs="Times New Roman"/>
          <w:color w:val="000000" w:themeColor="text1"/>
          <w:sz w:val="24"/>
          <w:szCs w:val="24"/>
          <w:lang w:val="pl-PL"/>
        </w:rPr>
        <w:sectPr w:rsidR="00126FEB" w:rsidRPr="00AF7348" w:rsidSect="004F49B9">
          <w:pgSz w:w="11907" w:h="16839"/>
          <w:pgMar w:top="1134" w:right="1417" w:bottom="1134" w:left="1417" w:header="709" w:footer="709" w:gutter="0"/>
          <w:cols w:space="720"/>
        </w:sectPr>
      </w:pPr>
      <w:r w:rsidRPr="00AF7348">
        <w:rPr>
          <w:rFonts w:ascii="Times New Roman" w:eastAsia="Times New Roman" w:hAnsi="Times New Roman" w:cs="Times New Roman"/>
          <w:color w:val="000000" w:themeColor="text1"/>
          <w:sz w:val="24"/>
          <w:szCs w:val="24"/>
          <w:lang w:val="pl-PL"/>
        </w:rPr>
        <w:t>Wdrażanie reformy zostanie zakończone do 30 czerwca 2022 roku.</w:t>
      </w: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5"/>
        <w:gridCol w:w="1559"/>
        <w:gridCol w:w="1276"/>
        <w:gridCol w:w="1985"/>
        <w:gridCol w:w="1560"/>
        <w:gridCol w:w="993"/>
        <w:gridCol w:w="993"/>
        <w:gridCol w:w="710"/>
        <w:gridCol w:w="568"/>
        <w:gridCol w:w="851"/>
        <w:gridCol w:w="3969"/>
      </w:tblGrid>
      <w:tr w:rsidR="001052B5" w:rsidRPr="009D378C" w14:paraId="5F5C7580" w14:textId="77777777" w:rsidTr="00A20CA7">
        <w:trPr>
          <w:trHeight w:val="454"/>
        </w:trPr>
        <w:tc>
          <w:tcPr>
            <w:tcW w:w="15309" w:type="dxa"/>
            <w:gridSpan w:val="11"/>
            <w:tcBorders>
              <w:top w:val="nil"/>
              <w:left w:val="nil"/>
              <w:right w:val="nil"/>
            </w:tcBorders>
            <w:shd w:val="clear" w:color="auto" w:fill="auto"/>
            <w:vAlign w:val="center"/>
          </w:tcPr>
          <w:p w14:paraId="5858BD21" w14:textId="77777777" w:rsidR="001052B5" w:rsidRPr="001A02CB" w:rsidRDefault="001052B5" w:rsidP="00A20CA7">
            <w:pPr>
              <w:pStyle w:val="Normal0"/>
              <w:pBdr>
                <w:top w:val="nil"/>
                <w:left w:val="nil"/>
                <w:bottom w:val="nil"/>
                <w:right w:val="nil"/>
                <w:between w:val="nil"/>
              </w:pBdr>
              <w:spacing w:after="0" w:line="240" w:lineRule="auto"/>
              <w:rPr>
                <w:rFonts w:ascii="Times New Roman" w:eastAsia="Times New Roman" w:hAnsi="Times New Roman" w:cs="Times New Roman"/>
                <w:sz w:val="24"/>
                <w:szCs w:val="24"/>
                <w:lang w:val="pl-PL"/>
              </w:rPr>
            </w:pPr>
            <w:r w:rsidRPr="00AA41DC">
              <w:rPr>
                <w:rFonts w:ascii="Times New Roman" w:eastAsia="Times New Roman" w:hAnsi="Times New Roman" w:cs="Times New Roman"/>
                <w:b/>
                <w:color w:val="000000"/>
                <w:sz w:val="24"/>
                <w:szCs w:val="24"/>
                <w:lang w:val="pl-PL"/>
              </w:rPr>
              <w:lastRenderedPageBreak/>
              <w:t xml:space="preserve">F.2. </w:t>
            </w:r>
            <w:r w:rsidRPr="00AA41DC">
              <w:rPr>
                <w:rFonts w:ascii="Times New Roman" w:eastAsia="Times New Roman" w:hAnsi="Times New Roman" w:cs="Times New Roman"/>
                <w:b/>
                <w:color w:val="000000"/>
                <w:sz w:val="24"/>
                <w:szCs w:val="24"/>
                <w:lang w:val="pl-PL"/>
              </w:rPr>
              <w:tab/>
            </w:r>
            <w:r w:rsidRPr="001A02CB">
              <w:rPr>
                <w:rFonts w:ascii="Times New Roman" w:eastAsia="Times New Roman" w:hAnsi="Times New Roman" w:cs="Times New Roman"/>
                <w:b/>
                <w:color w:val="000000"/>
                <w:sz w:val="24"/>
                <w:szCs w:val="24"/>
                <w:lang w:val="pl-PL"/>
              </w:rPr>
              <w:t>Kamienie milowe, wartości docelowe, wskaźniki i harmonogram monitorowania i realizacji na potrzeby bezzwrotnego wsparcia finansowego</w:t>
            </w:r>
          </w:p>
        </w:tc>
      </w:tr>
      <w:tr w:rsidR="001052B5" w:rsidRPr="00F07CEA" w14:paraId="34A0F0C8" w14:textId="77777777" w:rsidTr="00A20CA7">
        <w:trPr>
          <w:trHeight w:val="939"/>
        </w:trPr>
        <w:tc>
          <w:tcPr>
            <w:tcW w:w="845" w:type="dxa"/>
            <w:vMerge w:val="restart"/>
            <w:shd w:val="clear" w:color="auto" w:fill="BDD7EE"/>
            <w:vAlign w:val="center"/>
          </w:tcPr>
          <w:p w14:paraId="79149985"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Sequential Number</w:t>
            </w:r>
          </w:p>
        </w:tc>
        <w:tc>
          <w:tcPr>
            <w:tcW w:w="1559" w:type="dxa"/>
            <w:vMerge w:val="restart"/>
            <w:shd w:val="clear" w:color="auto" w:fill="BDD7EE"/>
            <w:vAlign w:val="center"/>
          </w:tcPr>
          <w:p w14:paraId="2652845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Related Measure (Reform or Investment)</w:t>
            </w:r>
          </w:p>
        </w:tc>
        <w:tc>
          <w:tcPr>
            <w:tcW w:w="1276" w:type="dxa"/>
            <w:vMerge w:val="restart"/>
            <w:shd w:val="clear" w:color="auto" w:fill="BDD7EE"/>
            <w:vAlign w:val="center"/>
          </w:tcPr>
          <w:p w14:paraId="46ABF5B7"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Milestone / Target</w:t>
            </w:r>
          </w:p>
        </w:tc>
        <w:tc>
          <w:tcPr>
            <w:tcW w:w="1985" w:type="dxa"/>
            <w:vMerge w:val="restart"/>
            <w:shd w:val="clear" w:color="auto" w:fill="BDD7EE"/>
            <w:vAlign w:val="center"/>
          </w:tcPr>
          <w:p w14:paraId="4DFE4DD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Name</w:t>
            </w:r>
          </w:p>
        </w:tc>
        <w:tc>
          <w:tcPr>
            <w:tcW w:w="1560" w:type="dxa"/>
            <w:vMerge w:val="restart"/>
            <w:shd w:val="clear" w:color="auto" w:fill="BDD7EE"/>
            <w:vAlign w:val="center"/>
          </w:tcPr>
          <w:p w14:paraId="2FFCFB36"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Qualitative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milestones)</w:t>
            </w:r>
          </w:p>
        </w:tc>
        <w:tc>
          <w:tcPr>
            <w:tcW w:w="2696" w:type="dxa"/>
            <w:gridSpan w:val="3"/>
            <w:shd w:val="clear" w:color="auto" w:fill="BDD7EE"/>
            <w:vAlign w:val="center"/>
          </w:tcPr>
          <w:p w14:paraId="173E12B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Quantitative indicators </w:t>
            </w:r>
            <w:r w:rsidRPr="00F07CEA">
              <w:rPr>
                <w:rFonts w:ascii="Times New Roman" w:eastAsia="Times New Roman" w:hAnsi="Times New Roman" w:cs="Times New Roman"/>
                <w:color w:val="000000"/>
                <w:sz w:val="18"/>
                <w:szCs w:val="18"/>
              </w:rPr>
              <w:br/>
            </w:r>
            <w:r w:rsidRPr="00F07CEA">
              <w:rPr>
                <w:rFonts w:ascii="Times New Roman" w:eastAsia="Times New Roman" w:hAnsi="Times New Roman" w:cs="Times New Roman"/>
                <w:b/>
                <w:color w:val="000000"/>
                <w:sz w:val="18"/>
                <w:szCs w:val="18"/>
              </w:rPr>
              <w:t>(for targets)</w:t>
            </w:r>
          </w:p>
        </w:tc>
        <w:tc>
          <w:tcPr>
            <w:tcW w:w="1419" w:type="dxa"/>
            <w:gridSpan w:val="2"/>
            <w:shd w:val="clear" w:color="auto" w:fill="BDD7EE"/>
            <w:vAlign w:val="center"/>
          </w:tcPr>
          <w:p w14:paraId="4361F1D8"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Indicative timeline for completion </w:t>
            </w:r>
          </w:p>
        </w:tc>
        <w:tc>
          <w:tcPr>
            <w:tcW w:w="3969" w:type="dxa"/>
            <w:vMerge w:val="restart"/>
            <w:shd w:val="clear" w:color="auto" w:fill="BDD7EE"/>
            <w:vAlign w:val="center"/>
          </w:tcPr>
          <w:p w14:paraId="1F87B7C0"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Description of each milestone and target</w:t>
            </w:r>
          </w:p>
        </w:tc>
      </w:tr>
      <w:tr w:rsidR="001052B5" w:rsidRPr="00F07CEA" w14:paraId="0195C8A1" w14:textId="77777777" w:rsidTr="00A20CA7">
        <w:trPr>
          <w:trHeight w:val="1027"/>
        </w:trPr>
        <w:tc>
          <w:tcPr>
            <w:tcW w:w="845" w:type="dxa"/>
            <w:vMerge/>
            <w:vAlign w:val="center"/>
          </w:tcPr>
          <w:p w14:paraId="1D41ECB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59" w:type="dxa"/>
            <w:vMerge/>
            <w:vAlign w:val="center"/>
          </w:tcPr>
          <w:p w14:paraId="0522197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276" w:type="dxa"/>
            <w:vMerge/>
            <w:vAlign w:val="center"/>
          </w:tcPr>
          <w:p w14:paraId="0836E769"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985" w:type="dxa"/>
            <w:vMerge/>
            <w:vAlign w:val="center"/>
          </w:tcPr>
          <w:p w14:paraId="3D585513"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1560" w:type="dxa"/>
            <w:vMerge/>
            <w:vAlign w:val="center"/>
          </w:tcPr>
          <w:p w14:paraId="00C4A102"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c>
          <w:tcPr>
            <w:tcW w:w="993" w:type="dxa"/>
            <w:shd w:val="clear" w:color="auto" w:fill="BDD7EE"/>
            <w:vAlign w:val="center"/>
          </w:tcPr>
          <w:p w14:paraId="12617AC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Unit of measure</w:t>
            </w:r>
          </w:p>
        </w:tc>
        <w:tc>
          <w:tcPr>
            <w:tcW w:w="993" w:type="dxa"/>
            <w:shd w:val="clear" w:color="auto" w:fill="BDD7EE"/>
            <w:vAlign w:val="center"/>
          </w:tcPr>
          <w:p w14:paraId="40B109B4"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 xml:space="preserve">Baseline </w:t>
            </w:r>
          </w:p>
        </w:tc>
        <w:tc>
          <w:tcPr>
            <w:tcW w:w="710" w:type="dxa"/>
            <w:shd w:val="clear" w:color="auto" w:fill="BDD7EE"/>
            <w:vAlign w:val="center"/>
          </w:tcPr>
          <w:p w14:paraId="62CE0DB3"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Goal</w:t>
            </w:r>
          </w:p>
        </w:tc>
        <w:tc>
          <w:tcPr>
            <w:tcW w:w="568" w:type="dxa"/>
            <w:shd w:val="clear" w:color="auto" w:fill="BDD7EE"/>
            <w:vAlign w:val="center"/>
          </w:tcPr>
          <w:p w14:paraId="15F08351"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Quarter</w:t>
            </w:r>
          </w:p>
        </w:tc>
        <w:tc>
          <w:tcPr>
            <w:tcW w:w="851" w:type="dxa"/>
            <w:shd w:val="clear" w:color="auto" w:fill="BDD7EE"/>
            <w:vAlign w:val="center"/>
          </w:tcPr>
          <w:p w14:paraId="46EA747F" w14:textId="77777777" w:rsidR="001052B5" w:rsidRPr="00F07CEA" w:rsidRDefault="001052B5" w:rsidP="00A20CA7">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F07CEA">
              <w:rPr>
                <w:rFonts w:ascii="Times New Roman" w:eastAsia="Times New Roman" w:hAnsi="Times New Roman" w:cs="Times New Roman"/>
                <w:b/>
                <w:color w:val="000000"/>
                <w:sz w:val="18"/>
                <w:szCs w:val="18"/>
              </w:rPr>
              <w:t>Year</w:t>
            </w:r>
          </w:p>
        </w:tc>
        <w:tc>
          <w:tcPr>
            <w:tcW w:w="3969" w:type="dxa"/>
            <w:vMerge/>
            <w:vAlign w:val="center"/>
          </w:tcPr>
          <w:p w14:paraId="2B83FD36" w14:textId="77777777" w:rsidR="001052B5" w:rsidRPr="00F07CEA" w:rsidRDefault="001052B5" w:rsidP="00A20CA7">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18"/>
                <w:szCs w:val="18"/>
              </w:rPr>
            </w:pPr>
          </w:p>
        </w:tc>
      </w:tr>
      <w:tr w:rsidR="001052B5" w:rsidRPr="009D378C" w14:paraId="5FF6E290"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80"/>
        </w:trPr>
        <w:tc>
          <w:tcPr>
            <w:tcW w:w="845"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A3E6AF4"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F1G</w:t>
            </w:r>
          </w:p>
        </w:tc>
        <w:tc>
          <w:tcPr>
            <w:tcW w:w="1559" w:type="dxa"/>
            <w:tcBorders>
              <w:top w:val="single" w:sz="4" w:space="0" w:color="auto"/>
              <w:left w:val="nil"/>
              <w:bottom w:val="single" w:sz="4" w:space="0" w:color="auto"/>
              <w:right w:val="single" w:sz="4" w:space="0" w:color="auto"/>
            </w:tcBorders>
            <w:shd w:val="clear" w:color="000000" w:fill="C6EFCE"/>
            <w:vAlign w:val="center"/>
            <w:hideMark/>
          </w:tcPr>
          <w:p w14:paraId="779A01C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F1.1 Reforma wzmacniająca niezależność i bezstronność sądów</w:t>
            </w:r>
          </w:p>
        </w:tc>
        <w:tc>
          <w:tcPr>
            <w:tcW w:w="1276" w:type="dxa"/>
            <w:tcBorders>
              <w:top w:val="single" w:sz="4" w:space="0" w:color="auto"/>
              <w:left w:val="nil"/>
              <w:bottom w:val="single" w:sz="4" w:space="0" w:color="auto"/>
              <w:right w:val="single" w:sz="4" w:space="0" w:color="auto"/>
            </w:tcBorders>
            <w:shd w:val="clear" w:color="000000" w:fill="C6EFCE"/>
            <w:vAlign w:val="center"/>
            <w:hideMark/>
          </w:tcPr>
          <w:p w14:paraId="6A426317"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single" w:sz="4" w:space="0" w:color="auto"/>
              <w:left w:val="nil"/>
              <w:bottom w:val="single" w:sz="4" w:space="0" w:color="auto"/>
              <w:right w:val="single" w:sz="4" w:space="0" w:color="auto"/>
            </w:tcBorders>
            <w:shd w:val="clear" w:color="000000" w:fill="C6EFCE"/>
            <w:vAlign w:val="center"/>
            <w:hideMark/>
          </w:tcPr>
          <w:p w14:paraId="0FE04DB0"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Wejście w życie reformy wzmacniającej niezależność i bezstronność sądów</w:t>
            </w:r>
          </w:p>
        </w:tc>
        <w:tc>
          <w:tcPr>
            <w:tcW w:w="1560" w:type="dxa"/>
            <w:tcBorders>
              <w:top w:val="single" w:sz="4" w:space="0" w:color="auto"/>
              <w:left w:val="nil"/>
              <w:bottom w:val="single" w:sz="4" w:space="0" w:color="auto"/>
              <w:right w:val="single" w:sz="4" w:space="0" w:color="auto"/>
            </w:tcBorders>
            <w:shd w:val="clear" w:color="000000" w:fill="C6EFCE"/>
            <w:vAlign w:val="center"/>
            <w:hideMark/>
          </w:tcPr>
          <w:p w14:paraId="2B1114BB" w14:textId="7750861A"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Przepis w akcie prawnym wskazujący na wejście w życie</w:t>
            </w:r>
          </w:p>
        </w:tc>
        <w:tc>
          <w:tcPr>
            <w:tcW w:w="993" w:type="dxa"/>
            <w:tcBorders>
              <w:top w:val="single" w:sz="4" w:space="0" w:color="auto"/>
              <w:left w:val="nil"/>
              <w:bottom w:val="single" w:sz="4" w:space="0" w:color="auto"/>
              <w:right w:val="single" w:sz="4" w:space="0" w:color="auto"/>
            </w:tcBorders>
            <w:shd w:val="clear" w:color="000000" w:fill="C6EFCE"/>
            <w:vAlign w:val="center"/>
            <w:hideMark/>
          </w:tcPr>
          <w:p w14:paraId="495521D3"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993" w:type="dxa"/>
            <w:tcBorders>
              <w:top w:val="single" w:sz="4" w:space="0" w:color="auto"/>
              <w:left w:val="nil"/>
              <w:bottom w:val="single" w:sz="4" w:space="0" w:color="auto"/>
              <w:right w:val="single" w:sz="4" w:space="0" w:color="auto"/>
            </w:tcBorders>
            <w:shd w:val="clear" w:color="000000" w:fill="C6EFCE"/>
            <w:vAlign w:val="center"/>
            <w:hideMark/>
          </w:tcPr>
          <w:p w14:paraId="61FF77F6"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710" w:type="dxa"/>
            <w:tcBorders>
              <w:top w:val="single" w:sz="4" w:space="0" w:color="auto"/>
              <w:left w:val="nil"/>
              <w:bottom w:val="single" w:sz="4" w:space="0" w:color="auto"/>
              <w:right w:val="single" w:sz="4" w:space="0" w:color="auto"/>
            </w:tcBorders>
            <w:shd w:val="clear" w:color="000000" w:fill="C6EFCE"/>
            <w:vAlign w:val="center"/>
            <w:hideMark/>
          </w:tcPr>
          <w:p w14:paraId="20AA102E"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568" w:type="dxa"/>
            <w:tcBorders>
              <w:top w:val="single" w:sz="4" w:space="0" w:color="auto"/>
              <w:left w:val="nil"/>
              <w:bottom w:val="single" w:sz="4" w:space="0" w:color="auto"/>
              <w:right w:val="single" w:sz="4" w:space="0" w:color="auto"/>
            </w:tcBorders>
            <w:shd w:val="clear" w:color="000000" w:fill="C6EFCE"/>
            <w:vAlign w:val="center"/>
            <w:hideMark/>
          </w:tcPr>
          <w:p w14:paraId="373B793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Q2</w:t>
            </w:r>
          </w:p>
        </w:tc>
        <w:tc>
          <w:tcPr>
            <w:tcW w:w="851" w:type="dxa"/>
            <w:tcBorders>
              <w:top w:val="single" w:sz="4" w:space="0" w:color="auto"/>
              <w:left w:val="nil"/>
              <w:bottom w:val="single" w:sz="4" w:space="0" w:color="auto"/>
              <w:right w:val="single" w:sz="4" w:space="0" w:color="auto"/>
            </w:tcBorders>
            <w:shd w:val="clear" w:color="000000" w:fill="C6EFCE"/>
            <w:vAlign w:val="center"/>
            <w:hideMark/>
          </w:tcPr>
          <w:p w14:paraId="7FA54DC0"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single" w:sz="4" w:space="0" w:color="auto"/>
              <w:left w:val="nil"/>
              <w:bottom w:val="single" w:sz="4" w:space="0" w:color="auto"/>
              <w:right w:val="single" w:sz="4" w:space="0" w:color="auto"/>
            </w:tcBorders>
            <w:shd w:val="clear" w:color="000000" w:fill="C6EFCE"/>
            <w:vAlign w:val="center"/>
            <w:hideMark/>
          </w:tcPr>
          <w:p w14:paraId="03A4AFB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Wejście w życie reformy, która: </w:t>
            </w:r>
            <w:r w:rsidRPr="001F52AF">
              <w:rPr>
                <w:rFonts w:ascii="Times New Roman" w:eastAsia="Times New Roman" w:hAnsi="Times New Roman" w:cs="Times New Roman"/>
                <w:sz w:val="18"/>
                <w:szCs w:val="18"/>
                <w:lang w:val="pl-PL" w:eastAsia="pl-PL"/>
              </w:rPr>
              <w:br/>
              <w:t>a) we wszystkich sprawach dotyczących sędziów, w tym dotyczących dyscyplinarnego i uchylenia immunitetu sędziowskiego, określi zakres jurysdykcji Izby Sądu Najwyższego, innej niż istniejąca Izba Dyscyplinarna, spełniająca wymogi wynikające z art. 19 ust. 1 TUE. Zapewni to rozpoznanie ww. spraw przez niezawisły i bezstronny sąd ustanowiony poprzez prawo, natomiast dyskrecjonalne uprawnienie do wyznaczania sądu dyscyplinarnego właściwego w pierwszej instancji w sprawach sędziów sądów powszechnych zostanie ograniczone,</w:t>
            </w:r>
            <w:r w:rsidRPr="001F52AF">
              <w:rPr>
                <w:rFonts w:ascii="Times New Roman" w:eastAsia="Times New Roman" w:hAnsi="Times New Roman" w:cs="Times New Roman"/>
                <w:sz w:val="18"/>
                <w:szCs w:val="18"/>
                <w:lang w:val="pl-PL" w:eastAsia="pl-PL"/>
              </w:rPr>
              <w:br/>
              <w:t>b) doprecyzuje zakres odpowiedzialności dyscyplinarnej sędziów, zapewniając nieograniczenie prawa polskich sądów do zadawania pytań prejudycjalnych do TSUE. Takie pytanie nie będzie stanowić podstawy do wszczęcia postępowania dyscyplinarnego wobec sędziego,</w:t>
            </w:r>
            <w:r w:rsidRPr="001F52AF">
              <w:rPr>
                <w:rFonts w:ascii="Times New Roman" w:eastAsia="Times New Roman" w:hAnsi="Times New Roman" w:cs="Times New Roman"/>
                <w:sz w:val="18"/>
                <w:szCs w:val="18"/>
                <w:lang w:val="pl-PL" w:eastAsia="pl-PL"/>
              </w:rPr>
              <w:br/>
              <w:t>c) określi, że o ile sędziowie nadal mogą być pociągnięci do odpowiedzialności za wykroczenia zawodowe, w tym oczywiste i rażące naruszenia prawa, to treść orzeczeń sądowych nie stanowi przewinienia dyscyplinarnego,</w:t>
            </w:r>
            <w:r w:rsidRPr="001F52AF">
              <w:rPr>
                <w:rFonts w:ascii="Times New Roman" w:eastAsia="Times New Roman" w:hAnsi="Times New Roman" w:cs="Times New Roman"/>
                <w:sz w:val="18"/>
                <w:szCs w:val="18"/>
                <w:lang w:val="pl-PL" w:eastAsia="pl-PL"/>
              </w:rPr>
              <w:br/>
              <w:t>d) zapewni, aby wszczęcie w postępowaniu sądowym weryfikacji spełniania przez sędziego wymogów niezawisłości, bezstronności i „ustanowienia ustawą” zgodnie z art. 19 TUE było możliwe dla właściwego sądu, jeżeli pojawia się w tym względzie poważna wątpliwość  i taka weryfikacja nie jest kwalifikowana jako przewinienie dyscyplinarne,</w:t>
            </w:r>
            <w:r w:rsidRPr="001F52AF">
              <w:rPr>
                <w:rFonts w:ascii="Times New Roman" w:eastAsia="Times New Roman" w:hAnsi="Times New Roman" w:cs="Times New Roman"/>
                <w:sz w:val="18"/>
                <w:szCs w:val="18"/>
                <w:lang w:val="pl-PL" w:eastAsia="pl-PL"/>
              </w:rPr>
              <w:br/>
              <w:t xml:space="preserve">e) wzmocni gwarancje procesowe i uprawnienia </w:t>
            </w:r>
            <w:r w:rsidRPr="001F52AF">
              <w:rPr>
                <w:rFonts w:ascii="Times New Roman" w:eastAsia="Times New Roman" w:hAnsi="Times New Roman" w:cs="Times New Roman"/>
                <w:sz w:val="18"/>
                <w:szCs w:val="18"/>
                <w:lang w:val="pl-PL" w:eastAsia="pl-PL"/>
              </w:rPr>
              <w:lastRenderedPageBreak/>
              <w:t>stron w postępowaniach dyscyplinarnych dotyczących sędziów, poprzez:</w:t>
            </w:r>
            <w:r w:rsidRPr="001F52AF">
              <w:rPr>
                <w:rFonts w:ascii="Times New Roman" w:eastAsia="Times New Roman" w:hAnsi="Times New Roman" w:cs="Times New Roman"/>
                <w:sz w:val="18"/>
                <w:szCs w:val="18"/>
                <w:lang w:val="pl-PL" w:eastAsia="pl-PL"/>
              </w:rPr>
              <w:br/>
              <w:t>(i) zapewnienie rozpatrzenia spraw dyscyplinarnych przeciwko sędziom sądów powszechnych w rozsądnym terminie,</w:t>
            </w:r>
            <w:r w:rsidRPr="001F52AF">
              <w:rPr>
                <w:rFonts w:ascii="Times New Roman" w:eastAsia="Times New Roman" w:hAnsi="Times New Roman" w:cs="Times New Roman"/>
                <w:sz w:val="18"/>
                <w:szCs w:val="18"/>
                <w:lang w:val="pl-PL" w:eastAsia="pl-PL"/>
              </w:rPr>
              <w:br/>
              <w:t>(ii) doprecyzowanie przepisów dotyczących właściwości miejscowej sądów rozpoznających sprawy dyscyplinarne w celu zapewnienia możliwości bezpośredniego określenia właściwego sądu zgodnie z ustawą; oraz</w:t>
            </w:r>
            <w:r w:rsidRPr="001F52AF">
              <w:rPr>
                <w:rFonts w:ascii="Times New Roman" w:eastAsia="Times New Roman" w:hAnsi="Times New Roman" w:cs="Times New Roman"/>
                <w:sz w:val="18"/>
                <w:szCs w:val="18"/>
                <w:lang w:val="pl-PL" w:eastAsia="pl-PL"/>
              </w:rPr>
              <w:br/>
              <w:t>(iii) zapewnienie, aby powołanie obrońcy w postępowaniu dyscyplinarnym dotyczącym sędziego nastąpiło w rozsądnym terminie, a także zapewnienie czasu na merytoryczne przygotowanie obrońcy do pełnienia funkcji w danym postępowaniu. Jednocześnie sąd zawiesza postępowanie w razie usprawiedliwionej nieobecności obwinionego sędziego lub jego obrońcy.</w:t>
            </w:r>
          </w:p>
        </w:tc>
      </w:tr>
      <w:tr w:rsidR="001052B5" w:rsidRPr="009D378C" w14:paraId="7B83410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61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1D5EA6A6"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lastRenderedPageBreak/>
              <w:t>F2G</w:t>
            </w:r>
          </w:p>
        </w:tc>
        <w:tc>
          <w:tcPr>
            <w:tcW w:w="1559" w:type="dxa"/>
            <w:tcBorders>
              <w:top w:val="nil"/>
              <w:left w:val="nil"/>
              <w:bottom w:val="single" w:sz="4" w:space="0" w:color="auto"/>
              <w:right w:val="single" w:sz="4" w:space="0" w:color="auto"/>
            </w:tcBorders>
            <w:shd w:val="clear" w:color="000000" w:fill="C6EFCE"/>
            <w:vAlign w:val="center"/>
            <w:hideMark/>
          </w:tcPr>
          <w:p w14:paraId="532BFD3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F1.2 Reforma mająca na celu naprawienie sytuacji sędziów dotkniętych orzeczeniami Izby Dyscyplinarnej Sądu Najwyższego w sprawach dyscyplinarnych i immunitetów sędziowskich </w:t>
            </w:r>
          </w:p>
        </w:tc>
        <w:tc>
          <w:tcPr>
            <w:tcW w:w="1276" w:type="dxa"/>
            <w:tcBorders>
              <w:top w:val="nil"/>
              <w:left w:val="nil"/>
              <w:bottom w:val="single" w:sz="4" w:space="0" w:color="auto"/>
              <w:right w:val="single" w:sz="4" w:space="0" w:color="auto"/>
            </w:tcBorders>
            <w:shd w:val="clear" w:color="000000" w:fill="C6EFCE"/>
            <w:vAlign w:val="center"/>
            <w:hideMark/>
          </w:tcPr>
          <w:p w14:paraId="599D97FE"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0DDCDEE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Reforma mająca na celu naprawienie sytuacji sędziów dotkniętych orzeczeniami Izby Dyscyplinarnej Sądu Najwyższego w sprawach dyscyplinarnych i immunitetów sędziowskich</w:t>
            </w:r>
          </w:p>
        </w:tc>
        <w:tc>
          <w:tcPr>
            <w:tcW w:w="1560" w:type="dxa"/>
            <w:tcBorders>
              <w:top w:val="nil"/>
              <w:left w:val="nil"/>
              <w:bottom w:val="single" w:sz="4" w:space="0" w:color="auto"/>
              <w:right w:val="single" w:sz="4" w:space="0" w:color="auto"/>
            </w:tcBorders>
            <w:shd w:val="clear" w:color="000000" w:fill="C6EFCE"/>
            <w:vAlign w:val="center"/>
            <w:hideMark/>
          </w:tcPr>
          <w:p w14:paraId="6D5F8EB7" w14:textId="67358D0D"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Przepis w akcie prawnym wskazujący na wejście w życie</w:t>
            </w:r>
          </w:p>
        </w:tc>
        <w:tc>
          <w:tcPr>
            <w:tcW w:w="993" w:type="dxa"/>
            <w:tcBorders>
              <w:top w:val="nil"/>
              <w:left w:val="nil"/>
              <w:bottom w:val="single" w:sz="4" w:space="0" w:color="auto"/>
              <w:right w:val="single" w:sz="4" w:space="0" w:color="auto"/>
            </w:tcBorders>
            <w:shd w:val="clear" w:color="000000" w:fill="C6EFCE"/>
            <w:vAlign w:val="center"/>
            <w:hideMark/>
          </w:tcPr>
          <w:p w14:paraId="05F30409"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56EE82FE"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17242D2E"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61E60E8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Q2</w:t>
            </w:r>
          </w:p>
        </w:tc>
        <w:tc>
          <w:tcPr>
            <w:tcW w:w="851" w:type="dxa"/>
            <w:tcBorders>
              <w:top w:val="nil"/>
              <w:left w:val="nil"/>
              <w:bottom w:val="single" w:sz="4" w:space="0" w:color="auto"/>
              <w:right w:val="single" w:sz="4" w:space="0" w:color="auto"/>
            </w:tcBorders>
            <w:shd w:val="clear" w:color="000000" w:fill="C6EFCE"/>
            <w:vAlign w:val="center"/>
            <w:hideMark/>
          </w:tcPr>
          <w:p w14:paraId="51C95D6A"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hideMark/>
          </w:tcPr>
          <w:p w14:paraId="351180B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Wejście w życie reformy zapewniającej sędziom, których dotyczą orzeczenia Izby Dyscyplinarnej Sądu Najwyższego, dostęp do postępowań kontrolnych w ich sprawach. Takie sprawy już rozstrzygnięte przez Izbę Dyscyplinarną będą rozpatrywane przez sąd, który spełnia wymogi art. 19 ust. 1 TUE, zgodnie z zasadami, które zostaną przyjęte na podstawie ww. Kamienia milowego F1G. Ustawa określa, że pierwsza rozprawa sądu orzekającego w tych sprawach odbędzie się w ciągu trzech miesięcy od dnia otrzymania wniosku sędziego o ponowne rozpoznanie, a sprawy zostaną rozstrzygnięte w ciągu dwunastu miesięcy od otrzymania takiego wniosku. Sprawy aktualnie toczące się przed Izbą Dyscyplinarną zostaną przekazane do dalszego rozpoznania sądowi na zasadach określonych w ww. postępowaniu.</w:t>
            </w:r>
          </w:p>
        </w:tc>
      </w:tr>
      <w:tr w:rsidR="001052B5" w:rsidRPr="009D378C" w14:paraId="0C034F96"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95"/>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75624F87"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lastRenderedPageBreak/>
              <w:t>F3G</w:t>
            </w:r>
          </w:p>
        </w:tc>
        <w:tc>
          <w:tcPr>
            <w:tcW w:w="1559" w:type="dxa"/>
            <w:tcBorders>
              <w:top w:val="nil"/>
              <w:left w:val="nil"/>
              <w:bottom w:val="single" w:sz="4" w:space="0" w:color="auto"/>
              <w:right w:val="single" w:sz="4" w:space="0" w:color="auto"/>
            </w:tcBorders>
            <w:shd w:val="clear" w:color="000000" w:fill="C6EFCE"/>
            <w:vAlign w:val="center"/>
            <w:hideMark/>
          </w:tcPr>
          <w:p w14:paraId="5791F1D7"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F1.2 Reforma mająca na celu naprawienie sytuacji sędziów dotkniętych orzeczeniami Izby Dyscyplinarnej Sądu Najwyższego w sprawach dyscyplinarnych i immunitetów sędziowskich </w:t>
            </w:r>
          </w:p>
        </w:tc>
        <w:tc>
          <w:tcPr>
            <w:tcW w:w="1276" w:type="dxa"/>
            <w:tcBorders>
              <w:top w:val="nil"/>
              <w:left w:val="nil"/>
              <w:bottom w:val="single" w:sz="4" w:space="0" w:color="auto"/>
              <w:right w:val="single" w:sz="4" w:space="0" w:color="auto"/>
            </w:tcBorders>
            <w:shd w:val="clear" w:color="000000" w:fill="C6EFCE"/>
            <w:vAlign w:val="center"/>
            <w:hideMark/>
          </w:tcPr>
          <w:p w14:paraId="14F7B26E"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7D84D9F5"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Reforma mająca na celu naprawienie sytuacji sędziów dotkniętych orzeczeniami Izby Dyscyplinarnej Sądu Najwyższego w sprawach dyscyplinarnych i immunitetów sędziowskich</w:t>
            </w:r>
          </w:p>
        </w:tc>
        <w:tc>
          <w:tcPr>
            <w:tcW w:w="1560" w:type="dxa"/>
            <w:tcBorders>
              <w:top w:val="nil"/>
              <w:left w:val="nil"/>
              <w:bottom w:val="single" w:sz="4" w:space="0" w:color="auto"/>
              <w:right w:val="single" w:sz="4" w:space="0" w:color="auto"/>
            </w:tcBorders>
            <w:shd w:val="clear" w:color="000000" w:fill="C6EFCE"/>
            <w:vAlign w:val="center"/>
            <w:hideMark/>
          </w:tcPr>
          <w:p w14:paraId="6CAA8E7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Rozstrzygnięte sprawy </w:t>
            </w:r>
          </w:p>
        </w:tc>
        <w:tc>
          <w:tcPr>
            <w:tcW w:w="993" w:type="dxa"/>
            <w:tcBorders>
              <w:top w:val="nil"/>
              <w:left w:val="nil"/>
              <w:bottom w:val="single" w:sz="4" w:space="0" w:color="auto"/>
              <w:right w:val="single" w:sz="4" w:space="0" w:color="auto"/>
            </w:tcBorders>
            <w:shd w:val="clear" w:color="000000" w:fill="C6EFCE"/>
            <w:vAlign w:val="center"/>
            <w:hideMark/>
          </w:tcPr>
          <w:p w14:paraId="6627DB1E"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220E0C28"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0FF5107C"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47861021"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Q4</w:t>
            </w:r>
          </w:p>
        </w:tc>
        <w:tc>
          <w:tcPr>
            <w:tcW w:w="851" w:type="dxa"/>
            <w:tcBorders>
              <w:top w:val="nil"/>
              <w:left w:val="nil"/>
              <w:bottom w:val="single" w:sz="4" w:space="0" w:color="auto"/>
              <w:right w:val="single" w:sz="4" w:space="0" w:color="auto"/>
            </w:tcBorders>
            <w:shd w:val="clear" w:color="000000" w:fill="C6EFCE"/>
            <w:vAlign w:val="center"/>
            <w:hideMark/>
          </w:tcPr>
          <w:p w14:paraId="7D25ACD5"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2023</w:t>
            </w:r>
          </w:p>
        </w:tc>
        <w:tc>
          <w:tcPr>
            <w:tcW w:w="3969" w:type="dxa"/>
            <w:tcBorders>
              <w:top w:val="nil"/>
              <w:left w:val="nil"/>
              <w:bottom w:val="single" w:sz="4" w:space="0" w:color="auto"/>
              <w:right w:val="single" w:sz="4" w:space="0" w:color="auto"/>
            </w:tcBorders>
            <w:shd w:val="clear" w:color="000000" w:fill="C6EFCE"/>
            <w:vAlign w:val="center"/>
            <w:hideMark/>
          </w:tcPr>
          <w:p w14:paraId="29646855"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Wszystkie sprawy odwoławcze wszczęte zgodnie powyższym zostaną rozstrzygnięte, jeśli nie zachodzą należycie uzasadnione wyjątkowe okoliczności.</w:t>
            </w:r>
          </w:p>
        </w:tc>
      </w:tr>
      <w:tr w:rsidR="001052B5" w:rsidRPr="009D378C" w14:paraId="184371BB"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6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7610E4A3"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F4G</w:t>
            </w:r>
          </w:p>
        </w:tc>
        <w:tc>
          <w:tcPr>
            <w:tcW w:w="1559" w:type="dxa"/>
            <w:tcBorders>
              <w:top w:val="nil"/>
              <w:left w:val="nil"/>
              <w:bottom w:val="single" w:sz="4" w:space="0" w:color="auto"/>
              <w:right w:val="single" w:sz="4" w:space="0" w:color="auto"/>
            </w:tcBorders>
            <w:shd w:val="clear" w:color="000000" w:fill="C6EFCE"/>
            <w:vAlign w:val="center"/>
            <w:hideMark/>
          </w:tcPr>
          <w:p w14:paraId="0120356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F2.1 Usprawnienie procesu stanowienia prawa</w:t>
            </w:r>
          </w:p>
        </w:tc>
        <w:tc>
          <w:tcPr>
            <w:tcW w:w="1276" w:type="dxa"/>
            <w:tcBorders>
              <w:top w:val="nil"/>
              <w:left w:val="nil"/>
              <w:bottom w:val="single" w:sz="4" w:space="0" w:color="auto"/>
              <w:right w:val="single" w:sz="4" w:space="0" w:color="auto"/>
            </w:tcBorders>
            <w:shd w:val="clear" w:color="000000" w:fill="C6EFCE"/>
            <w:vAlign w:val="center"/>
            <w:hideMark/>
          </w:tcPr>
          <w:p w14:paraId="4BAE8C4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02499A41"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Przyjęcie zmiany Regulaminu Sejmu, Senatu i Rady Ministrów w celu zwiększenia wykorzystania konsultacji społecznych i ocen skutków regulacji w procesie stanowienia prawa</w:t>
            </w:r>
          </w:p>
        </w:tc>
        <w:tc>
          <w:tcPr>
            <w:tcW w:w="1560" w:type="dxa"/>
            <w:tcBorders>
              <w:top w:val="nil"/>
              <w:left w:val="nil"/>
              <w:bottom w:val="single" w:sz="4" w:space="0" w:color="auto"/>
              <w:right w:val="single" w:sz="4" w:space="0" w:color="auto"/>
            </w:tcBorders>
            <w:shd w:val="clear" w:color="000000" w:fill="C6EFCE"/>
            <w:vAlign w:val="center"/>
            <w:hideMark/>
          </w:tcPr>
          <w:p w14:paraId="5CAF6F9A" w14:textId="0C712470"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Przepis w akcie prawnym wskazujący na wejście w życie</w:t>
            </w:r>
          </w:p>
        </w:tc>
        <w:tc>
          <w:tcPr>
            <w:tcW w:w="993" w:type="dxa"/>
            <w:tcBorders>
              <w:top w:val="nil"/>
              <w:left w:val="nil"/>
              <w:bottom w:val="single" w:sz="4" w:space="0" w:color="auto"/>
              <w:right w:val="single" w:sz="4" w:space="0" w:color="auto"/>
            </w:tcBorders>
            <w:shd w:val="clear" w:color="000000" w:fill="C6EFCE"/>
            <w:vAlign w:val="center"/>
            <w:hideMark/>
          </w:tcPr>
          <w:p w14:paraId="5159456E"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68C97FAD"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1533ED36"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041FF089"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Q3</w:t>
            </w:r>
          </w:p>
        </w:tc>
        <w:tc>
          <w:tcPr>
            <w:tcW w:w="851" w:type="dxa"/>
            <w:tcBorders>
              <w:top w:val="nil"/>
              <w:left w:val="nil"/>
              <w:bottom w:val="single" w:sz="4" w:space="0" w:color="auto"/>
              <w:right w:val="single" w:sz="4" w:space="0" w:color="auto"/>
            </w:tcBorders>
            <w:shd w:val="clear" w:color="000000" w:fill="C6EFCE"/>
            <w:vAlign w:val="center"/>
            <w:hideMark/>
          </w:tcPr>
          <w:p w14:paraId="585B68EC"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hideMark/>
          </w:tcPr>
          <w:p w14:paraId="45D50591"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Przyjęcie poprawki do Regulaminu Sejmu, Senatu i Rady Ministrów, która (i) wprowadza obowiązek przeprowadzania oceny skutków regulacji i konsultacji społecznych w przypadku projektów ustaw zgłaszanych przez posłów i senatorów, aby zapewnić bardziej strukturalne zaangażowanie interesariuszy i ekspertów w proces stanowienia prawa; (ii) ogranicza stosowanie przyspieszonych procedur do ściśle określonych i wyjątkowych przypadków.</w:t>
            </w:r>
          </w:p>
        </w:tc>
      </w:tr>
      <w:tr w:rsidR="001052B5" w:rsidRPr="009D378C" w14:paraId="7A934558"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6E6ED58B" w14:textId="77777777" w:rsidR="001052B5" w:rsidRPr="001F52AF" w:rsidRDefault="001052B5"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t>F5G</w:t>
            </w:r>
          </w:p>
        </w:tc>
        <w:tc>
          <w:tcPr>
            <w:tcW w:w="1559" w:type="dxa"/>
            <w:tcBorders>
              <w:top w:val="nil"/>
              <w:left w:val="nil"/>
              <w:bottom w:val="single" w:sz="4" w:space="0" w:color="auto"/>
              <w:right w:val="single" w:sz="4" w:space="0" w:color="auto"/>
            </w:tcBorders>
            <w:shd w:val="clear" w:color="000000" w:fill="C6EFCE"/>
            <w:vAlign w:val="center"/>
            <w:hideMark/>
          </w:tcPr>
          <w:p w14:paraId="2D0321B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F3.1 Poprawa warunków realizacji KPO</w:t>
            </w:r>
          </w:p>
        </w:tc>
        <w:tc>
          <w:tcPr>
            <w:tcW w:w="1276" w:type="dxa"/>
            <w:tcBorders>
              <w:top w:val="nil"/>
              <w:left w:val="nil"/>
              <w:bottom w:val="single" w:sz="4" w:space="0" w:color="auto"/>
              <w:right w:val="single" w:sz="4" w:space="0" w:color="auto"/>
            </w:tcBorders>
            <w:shd w:val="clear" w:color="000000" w:fill="C6EFCE"/>
            <w:vAlign w:val="center"/>
            <w:hideMark/>
          </w:tcPr>
          <w:p w14:paraId="6C30683A"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181B6C9D" w14:textId="6B8F81B3"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Wejście w życie aktu prawnego, który powołuje komitet monitorujący i powierza mu nadzór nad skuteczną realizacją KPO</w:t>
            </w:r>
          </w:p>
        </w:tc>
        <w:tc>
          <w:tcPr>
            <w:tcW w:w="1560" w:type="dxa"/>
            <w:tcBorders>
              <w:top w:val="nil"/>
              <w:left w:val="nil"/>
              <w:bottom w:val="single" w:sz="4" w:space="0" w:color="auto"/>
              <w:right w:val="single" w:sz="4" w:space="0" w:color="auto"/>
            </w:tcBorders>
            <w:shd w:val="clear" w:color="000000" w:fill="C6EFCE"/>
            <w:vAlign w:val="center"/>
            <w:hideMark/>
          </w:tcPr>
          <w:p w14:paraId="6F227A1B" w14:textId="053BEB08" w:rsidR="001052B5" w:rsidRPr="001F52AF" w:rsidRDefault="00493684" w:rsidP="00A20CA7">
            <w:pPr>
              <w:spacing w:after="0" w:line="240" w:lineRule="auto"/>
              <w:rPr>
                <w:rFonts w:ascii="Times New Roman" w:eastAsia="Times New Roman" w:hAnsi="Times New Roman" w:cs="Times New Roman"/>
                <w:sz w:val="18"/>
                <w:szCs w:val="18"/>
                <w:lang w:val="pl-PL" w:eastAsia="pl-PL"/>
              </w:rPr>
            </w:pPr>
            <w:r w:rsidRPr="00493684">
              <w:rPr>
                <w:rFonts w:ascii="Times New Roman" w:eastAsia="Times New Roman" w:hAnsi="Times New Roman" w:cs="Times New Roman"/>
                <w:sz w:val="18"/>
                <w:szCs w:val="18"/>
                <w:lang w:val="pl-PL" w:eastAsia="pl-PL"/>
              </w:rPr>
              <w:t>Przepis w akcie prawnym wskazujący na wejście w życie</w:t>
            </w:r>
          </w:p>
        </w:tc>
        <w:tc>
          <w:tcPr>
            <w:tcW w:w="993" w:type="dxa"/>
            <w:tcBorders>
              <w:top w:val="nil"/>
              <w:left w:val="nil"/>
              <w:bottom w:val="single" w:sz="4" w:space="0" w:color="auto"/>
              <w:right w:val="single" w:sz="4" w:space="0" w:color="auto"/>
            </w:tcBorders>
            <w:shd w:val="clear" w:color="000000" w:fill="C6EFCE"/>
            <w:vAlign w:val="center"/>
            <w:hideMark/>
          </w:tcPr>
          <w:p w14:paraId="18B34B0F"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31532BA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5EBDADA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2DBAFA2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Q1</w:t>
            </w:r>
          </w:p>
        </w:tc>
        <w:tc>
          <w:tcPr>
            <w:tcW w:w="851" w:type="dxa"/>
            <w:tcBorders>
              <w:top w:val="nil"/>
              <w:left w:val="nil"/>
              <w:bottom w:val="single" w:sz="4" w:space="0" w:color="auto"/>
              <w:right w:val="single" w:sz="4" w:space="0" w:color="auto"/>
            </w:tcBorders>
            <w:shd w:val="clear" w:color="000000" w:fill="C6EFCE"/>
            <w:vAlign w:val="center"/>
            <w:hideMark/>
          </w:tcPr>
          <w:p w14:paraId="791B0C3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hideMark/>
          </w:tcPr>
          <w:p w14:paraId="2B245BB9" w14:textId="77777777" w:rsidR="003C2B74" w:rsidRPr="003C2B74" w:rsidRDefault="003C2B74" w:rsidP="003C2B74">
            <w:pPr>
              <w:spacing w:after="0" w:line="240" w:lineRule="auto"/>
              <w:rPr>
                <w:rFonts w:ascii="Times New Roman" w:eastAsia="Times New Roman" w:hAnsi="Times New Roman" w:cs="Times New Roman"/>
                <w:sz w:val="18"/>
                <w:szCs w:val="18"/>
                <w:lang w:val="pl-PL" w:eastAsia="pl-PL"/>
              </w:rPr>
            </w:pPr>
            <w:r w:rsidRPr="003C2B74">
              <w:rPr>
                <w:rFonts w:ascii="Times New Roman" w:eastAsia="Times New Roman" w:hAnsi="Times New Roman" w:cs="Times New Roman"/>
                <w:sz w:val="18"/>
                <w:szCs w:val="18"/>
                <w:lang w:val="pl-PL" w:eastAsia="pl-PL"/>
              </w:rPr>
              <w:t>Po przeprowadzeniu konsultacji społecznych, wejście w życie aktu prawnego, który:</w:t>
            </w:r>
          </w:p>
          <w:p w14:paraId="2CDF9862" w14:textId="77777777" w:rsidR="003C2B74" w:rsidRPr="003C2B74" w:rsidRDefault="003C2B74" w:rsidP="003C2B74">
            <w:pPr>
              <w:spacing w:after="0" w:line="240" w:lineRule="auto"/>
              <w:rPr>
                <w:rFonts w:ascii="Times New Roman" w:eastAsia="Times New Roman" w:hAnsi="Times New Roman" w:cs="Times New Roman"/>
                <w:sz w:val="18"/>
                <w:szCs w:val="18"/>
                <w:lang w:val="pl-PL" w:eastAsia="pl-PL"/>
              </w:rPr>
            </w:pPr>
            <w:r w:rsidRPr="003C2B74">
              <w:rPr>
                <w:rFonts w:ascii="Times New Roman" w:eastAsia="Times New Roman" w:hAnsi="Times New Roman" w:cs="Times New Roman"/>
                <w:sz w:val="18"/>
                <w:szCs w:val="18"/>
                <w:lang w:val="pl-PL" w:eastAsia="pl-PL"/>
              </w:rPr>
              <w:t>1) Powołuje komitet monitorujący który ma za zadanie monitorować skuteczne wdrażanie KPO, składający się z interesariuszy i partnerów społecznych, których dotyczy wdrażanie KPO, w tym przedstawicieli organizacji reprezentujących społeczeństwo obywatelskie i promujących prawa podstawowe i niedyskryminację.</w:t>
            </w:r>
          </w:p>
          <w:p w14:paraId="1DAFC131" w14:textId="62298D09" w:rsidR="001052B5" w:rsidRPr="001F52AF" w:rsidRDefault="003C2B74" w:rsidP="003C2B74">
            <w:pPr>
              <w:spacing w:after="0" w:line="240" w:lineRule="auto"/>
              <w:rPr>
                <w:rFonts w:ascii="Times New Roman" w:eastAsia="Times New Roman" w:hAnsi="Times New Roman" w:cs="Times New Roman"/>
                <w:sz w:val="18"/>
                <w:szCs w:val="18"/>
                <w:lang w:val="pl-PL" w:eastAsia="pl-PL"/>
              </w:rPr>
            </w:pPr>
            <w:r w:rsidRPr="003C2B74">
              <w:rPr>
                <w:rFonts w:ascii="Times New Roman" w:eastAsia="Times New Roman" w:hAnsi="Times New Roman" w:cs="Times New Roman"/>
                <w:sz w:val="18"/>
                <w:szCs w:val="18"/>
                <w:lang w:val="pl-PL" w:eastAsia="pl-PL"/>
              </w:rPr>
              <w:t>2) Wprowadza wymóg prawny konsultowania się z partnerami społecznymi i interesariuszami podczas wdrażania KPO.</w:t>
            </w:r>
          </w:p>
        </w:tc>
      </w:tr>
      <w:tr w:rsidR="00C5056C" w:rsidRPr="009D378C" w14:paraId="2F13509E"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45" w:type="dxa"/>
            <w:tcBorders>
              <w:top w:val="nil"/>
              <w:left w:val="single" w:sz="4" w:space="0" w:color="auto"/>
              <w:bottom w:val="single" w:sz="4" w:space="0" w:color="auto"/>
              <w:right w:val="single" w:sz="4" w:space="0" w:color="auto"/>
            </w:tcBorders>
            <w:shd w:val="clear" w:color="000000" w:fill="C6EFCE"/>
            <w:vAlign w:val="center"/>
          </w:tcPr>
          <w:p w14:paraId="7C57C4CB" w14:textId="5A436695" w:rsidR="00C5056C" w:rsidRPr="001F52AF" w:rsidRDefault="00C5056C" w:rsidP="00A20CA7">
            <w:pPr>
              <w:spacing w:after="0" w:line="240" w:lineRule="auto"/>
              <w:rPr>
                <w:rFonts w:ascii="Times New Roman" w:eastAsia="Times New Roman" w:hAnsi="Times New Roman" w:cs="Times New Roman"/>
                <w:b/>
                <w:bCs/>
                <w:sz w:val="18"/>
                <w:szCs w:val="18"/>
                <w:lang w:val="pl-PL" w:eastAsia="pl-PL"/>
              </w:rPr>
            </w:pPr>
            <w:r>
              <w:rPr>
                <w:rFonts w:ascii="Times New Roman" w:eastAsia="Times New Roman" w:hAnsi="Times New Roman" w:cs="Times New Roman"/>
                <w:b/>
                <w:bCs/>
                <w:sz w:val="18"/>
                <w:szCs w:val="18"/>
                <w:lang w:val="pl-PL" w:eastAsia="pl-PL"/>
              </w:rPr>
              <w:t>F6G</w:t>
            </w:r>
          </w:p>
        </w:tc>
        <w:tc>
          <w:tcPr>
            <w:tcW w:w="1559" w:type="dxa"/>
            <w:tcBorders>
              <w:top w:val="nil"/>
              <w:left w:val="nil"/>
              <w:bottom w:val="single" w:sz="4" w:space="0" w:color="auto"/>
              <w:right w:val="single" w:sz="4" w:space="0" w:color="auto"/>
            </w:tcBorders>
            <w:shd w:val="clear" w:color="000000" w:fill="C6EFCE"/>
            <w:vAlign w:val="center"/>
          </w:tcPr>
          <w:p w14:paraId="4E25AC9C" w14:textId="6B625B21"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F3.1 Poprawa warunków realizacji KPO</w:t>
            </w:r>
          </w:p>
        </w:tc>
        <w:tc>
          <w:tcPr>
            <w:tcW w:w="1276" w:type="dxa"/>
            <w:tcBorders>
              <w:top w:val="nil"/>
              <w:left w:val="nil"/>
              <w:bottom w:val="single" w:sz="4" w:space="0" w:color="auto"/>
              <w:right w:val="single" w:sz="4" w:space="0" w:color="auto"/>
            </w:tcBorders>
            <w:shd w:val="clear" w:color="000000" w:fill="C6EFCE"/>
            <w:vAlign w:val="center"/>
          </w:tcPr>
          <w:p w14:paraId="165BC919" w14:textId="37A52EAF"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tcPr>
          <w:p w14:paraId="5A3E7130" w14:textId="6A26C5F2" w:rsidR="00C5056C" w:rsidRPr="00493684" w:rsidRDefault="00C5056C" w:rsidP="00A20CA7">
            <w:pPr>
              <w:spacing w:after="0" w:line="240" w:lineRule="auto"/>
              <w:rPr>
                <w:rFonts w:ascii="Times New Roman" w:eastAsia="Times New Roman" w:hAnsi="Times New Roman" w:cs="Times New Roman"/>
                <w:sz w:val="18"/>
                <w:szCs w:val="18"/>
                <w:lang w:val="pl-PL" w:eastAsia="pl-PL"/>
              </w:rPr>
            </w:pPr>
            <w:r w:rsidRPr="00C5056C">
              <w:rPr>
                <w:rFonts w:ascii="Times New Roman" w:eastAsia="Times New Roman" w:hAnsi="Times New Roman" w:cs="Times New Roman"/>
                <w:sz w:val="18"/>
                <w:szCs w:val="18"/>
                <w:lang w:val="pl-PL" w:eastAsia="pl-PL"/>
              </w:rPr>
              <w:t>Przyjęcie przez ministra właściwego do spraw rozwoju regionalnego wytycznych ustalających zasady zaangażowania interesariuszy i partnerów społecznych w realizację KPO</w:t>
            </w:r>
          </w:p>
        </w:tc>
        <w:tc>
          <w:tcPr>
            <w:tcW w:w="1560" w:type="dxa"/>
            <w:tcBorders>
              <w:top w:val="nil"/>
              <w:left w:val="nil"/>
              <w:bottom w:val="single" w:sz="4" w:space="0" w:color="auto"/>
              <w:right w:val="single" w:sz="4" w:space="0" w:color="auto"/>
            </w:tcBorders>
            <w:shd w:val="clear" w:color="000000" w:fill="C6EFCE"/>
            <w:vAlign w:val="center"/>
          </w:tcPr>
          <w:p w14:paraId="2889259E" w14:textId="4348DBDD" w:rsidR="00C5056C" w:rsidRPr="00493684" w:rsidRDefault="00C5056C"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 xml:space="preserve">Publikacja wytycznych na stronie internetowej </w:t>
            </w:r>
            <w:proofErr w:type="spellStart"/>
            <w:r>
              <w:rPr>
                <w:rFonts w:ascii="Times New Roman" w:eastAsia="Times New Roman" w:hAnsi="Times New Roman" w:cs="Times New Roman"/>
                <w:sz w:val="18"/>
                <w:szCs w:val="18"/>
                <w:lang w:val="pl-PL" w:eastAsia="pl-PL"/>
              </w:rPr>
              <w:t>MFiPR</w:t>
            </w:r>
            <w:proofErr w:type="spellEnd"/>
          </w:p>
        </w:tc>
        <w:tc>
          <w:tcPr>
            <w:tcW w:w="993" w:type="dxa"/>
            <w:tcBorders>
              <w:top w:val="nil"/>
              <w:left w:val="nil"/>
              <w:bottom w:val="single" w:sz="4" w:space="0" w:color="auto"/>
              <w:right w:val="single" w:sz="4" w:space="0" w:color="auto"/>
            </w:tcBorders>
            <w:shd w:val="clear" w:color="000000" w:fill="C6EFCE"/>
            <w:vAlign w:val="center"/>
          </w:tcPr>
          <w:p w14:paraId="3074D672" w14:textId="77777777"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p>
        </w:tc>
        <w:tc>
          <w:tcPr>
            <w:tcW w:w="993" w:type="dxa"/>
            <w:tcBorders>
              <w:top w:val="nil"/>
              <w:left w:val="nil"/>
              <w:bottom w:val="single" w:sz="4" w:space="0" w:color="auto"/>
              <w:right w:val="single" w:sz="4" w:space="0" w:color="auto"/>
            </w:tcBorders>
            <w:shd w:val="clear" w:color="000000" w:fill="C6EFCE"/>
            <w:vAlign w:val="center"/>
          </w:tcPr>
          <w:p w14:paraId="0D53A829" w14:textId="77777777"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p>
        </w:tc>
        <w:tc>
          <w:tcPr>
            <w:tcW w:w="710" w:type="dxa"/>
            <w:tcBorders>
              <w:top w:val="nil"/>
              <w:left w:val="nil"/>
              <w:bottom w:val="single" w:sz="4" w:space="0" w:color="auto"/>
              <w:right w:val="single" w:sz="4" w:space="0" w:color="auto"/>
            </w:tcBorders>
            <w:shd w:val="clear" w:color="000000" w:fill="C6EFCE"/>
            <w:vAlign w:val="center"/>
          </w:tcPr>
          <w:p w14:paraId="5D66F114" w14:textId="77777777" w:rsidR="00C5056C" w:rsidRPr="001F52AF" w:rsidRDefault="00C5056C" w:rsidP="00A20CA7">
            <w:pPr>
              <w:spacing w:after="0" w:line="240" w:lineRule="auto"/>
              <w:rPr>
                <w:rFonts w:ascii="Times New Roman" w:eastAsia="Times New Roman" w:hAnsi="Times New Roman" w:cs="Times New Roman"/>
                <w:sz w:val="18"/>
                <w:szCs w:val="18"/>
                <w:lang w:val="pl-PL" w:eastAsia="pl-PL"/>
              </w:rPr>
            </w:pPr>
          </w:p>
        </w:tc>
        <w:tc>
          <w:tcPr>
            <w:tcW w:w="568" w:type="dxa"/>
            <w:tcBorders>
              <w:top w:val="nil"/>
              <w:left w:val="nil"/>
              <w:bottom w:val="single" w:sz="4" w:space="0" w:color="auto"/>
              <w:right w:val="single" w:sz="4" w:space="0" w:color="auto"/>
            </w:tcBorders>
            <w:shd w:val="clear" w:color="000000" w:fill="C6EFCE"/>
            <w:vAlign w:val="center"/>
          </w:tcPr>
          <w:p w14:paraId="513B7158" w14:textId="33E5ED10" w:rsidR="00C5056C" w:rsidRPr="001F52AF" w:rsidRDefault="009F3063"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Q2</w:t>
            </w:r>
          </w:p>
        </w:tc>
        <w:tc>
          <w:tcPr>
            <w:tcW w:w="851" w:type="dxa"/>
            <w:tcBorders>
              <w:top w:val="nil"/>
              <w:left w:val="nil"/>
              <w:bottom w:val="single" w:sz="4" w:space="0" w:color="auto"/>
              <w:right w:val="single" w:sz="4" w:space="0" w:color="auto"/>
            </w:tcBorders>
            <w:shd w:val="clear" w:color="000000" w:fill="C6EFCE"/>
            <w:vAlign w:val="center"/>
          </w:tcPr>
          <w:p w14:paraId="70781814" w14:textId="16D6F6FA" w:rsidR="00C5056C" w:rsidRPr="001F52AF" w:rsidRDefault="009F3063" w:rsidP="00A20CA7">
            <w:pPr>
              <w:spacing w:after="0" w:line="240" w:lineRule="auto"/>
              <w:rPr>
                <w:rFonts w:ascii="Times New Roman" w:eastAsia="Times New Roman" w:hAnsi="Times New Roman" w:cs="Times New Roman"/>
                <w:sz w:val="18"/>
                <w:szCs w:val="18"/>
                <w:lang w:val="pl-PL" w:eastAsia="pl-PL"/>
              </w:rPr>
            </w:pPr>
            <w:r>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tcPr>
          <w:p w14:paraId="6703B1FA" w14:textId="77777777" w:rsidR="009F3063" w:rsidRPr="009F3063" w:rsidRDefault="009F3063" w:rsidP="009F3063">
            <w:pPr>
              <w:spacing w:after="0" w:line="240" w:lineRule="auto"/>
              <w:rPr>
                <w:rFonts w:ascii="Times New Roman" w:eastAsia="Times New Roman" w:hAnsi="Times New Roman" w:cs="Times New Roman"/>
                <w:sz w:val="18"/>
                <w:szCs w:val="18"/>
                <w:lang w:val="pl-PL" w:eastAsia="pl-PL"/>
              </w:rPr>
            </w:pPr>
            <w:r w:rsidRPr="009F3063">
              <w:rPr>
                <w:rFonts w:ascii="Times New Roman" w:eastAsia="Times New Roman" w:hAnsi="Times New Roman" w:cs="Times New Roman"/>
                <w:sz w:val="18"/>
                <w:szCs w:val="18"/>
                <w:lang w:val="pl-PL" w:eastAsia="pl-PL"/>
              </w:rPr>
              <w:t>Po konsultacjach społecznych przyjęcie wytycznych w celu zapewnienia skutecznego zaangażowania interesariuszy i partnerów społecznych w programowanie, wdrażanie, monitorowanie i ocenę KPO.</w:t>
            </w:r>
          </w:p>
          <w:p w14:paraId="13CFBD22" w14:textId="77777777" w:rsidR="009F3063" w:rsidRPr="009F3063" w:rsidRDefault="009F3063" w:rsidP="009F3063">
            <w:pPr>
              <w:spacing w:after="0" w:line="240" w:lineRule="auto"/>
              <w:rPr>
                <w:rFonts w:ascii="Times New Roman" w:eastAsia="Times New Roman" w:hAnsi="Times New Roman" w:cs="Times New Roman"/>
                <w:sz w:val="18"/>
                <w:szCs w:val="18"/>
                <w:lang w:val="pl-PL" w:eastAsia="pl-PL"/>
              </w:rPr>
            </w:pPr>
            <w:r w:rsidRPr="009F3063">
              <w:rPr>
                <w:rFonts w:ascii="Times New Roman" w:eastAsia="Times New Roman" w:hAnsi="Times New Roman" w:cs="Times New Roman"/>
                <w:sz w:val="18"/>
                <w:szCs w:val="18"/>
                <w:lang w:val="pl-PL" w:eastAsia="pl-PL"/>
              </w:rPr>
              <w:t>Wytyczne mają ujednolicić środki, jakie powinny podjąć instytucje odpowiedzialne za wdrażanie reform i inwestycji w ramach KPO.</w:t>
            </w:r>
          </w:p>
          <w:p w14:paraId="4A40B2AC" w14:textId="239777C0" w:rsidR="00C5056C" w:rsidRPr="003C2B74" w:rsidRDefault="009F3063" w:rsidP="009F3063">
            <w:pPr>
              <w:spacing w:after="0" w:line="240" w:lineRule="auto"/>
              <w:rPr>
                <w:rFonts w:ascii="Times New Roman" w:eastAsia="Times New Roman" w:hAnsi="Times New Roman" w:cs="Times New Roman"/>
                <w:sz w:val="18"/>
                <w:szCs w:val="18"/>
                <w:lang w:val="pl-PL" w:eastAsia="pl-PL"/>
              </w:rPr>
            </w:pPr>
            <w:r w:rsidRPr="009F3063">
              <w:rPr>
                <w:rFonts w:ascii="Times New Roman" w:eastAsia="Times New Roman" w:hAnsi="Times New Roman" w:cs="Times New Roman"/>
                <w:sz w:val="18"/>
                <w:szCs w:val="18"/>
                <w:lang w:val="pl-PL" w:eastAsia="pl-PL"/>
              </w:rPr>
              <w:lastRenderedPageBreak/>
              <w:t>Wytyczne powinny zawierać mechanizmy monitorowania i oceny zaangażowania zainteresowanych stron i partnerów społecznych.</w:t>
            </w:r>
          </w:p>
        </w:tc>
      </w:tr>
      <w:tr w:rsidR="001052B5" w:rsidRPr="009D378C" w14:paraId="0819D3C5" w14:textId="77777777" w:rsidTr="00A20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00"/>
        </w:trPr>
        <w:tc>
          <w:tcPr>
            <w:tcW w:w="845" w:type="dxa"/>
            <w:tcBorders>
              <w:top w:val="nil"/>
              <w:left w:val="single" w:sz="4" w:space="0" w:color="auto"/>
              <w:bottom w:val="single" w:sz="4" w:space="0" w:color="auto"/>
              <w:right w:val="single" w:sz="4" w:space="0" w:color="auto"/>
            </w:tcBorders>
            <w:shd w:val="clear" w:color="000000" w:fill="C6EFCE"/>
            <w:vAlign w:val="center"/>
            <w:hideMark/>
          </w:tcPr>
          <w:p w14:paraId="7ED84B48" w14:textId="6F14861B" w:rsidR="001052B5" w:rsidRPr="001F52AF" w:rsidRDefault="00C5056C" w:rsidP="00A20CA7">
            <w:pPr>
              <w:spacing w:after="0" w:line="240" w:lineRule="auto"/>
              <w:rPr>
                <w:rFonts w:ascii="Times New Roman" w:eastAsia="Times New Roman" w:hAnsi="Times New Roman" w:cs="Times New Roman"/>
                <w:b/>
                <w:bCs/>
                <w:sz w:val="18"/>
                <w:szCs w:val="18"/>
                <w:lang w:val="pl-PL" w:eastAsia="pl-PL"/>
              </w:rPr>
            </w:pPr>
            <w:r w:rsidRPr="001F52AF">
              <w:rPr>
                <w:rFonts w:ascii="Times New Roman" w:eastAsia="Times New Roman" w:hAnsi="Times New Roman" w:cs="Times New Roman"/>
                <w:b/>
                <w:bCs/>
                <w:sz w:val="18"/>
                <w:szCs w:val="18"/>
                <w:lang w:val="pl-PL" w:eastAsia="pl-PL"/>
              </w:rPr>
              <w:lastRenderedPageBreak/>
              <w:t>F</w:t>
            </w:r>
            <w:r>
              <w:rPr>
                <w:rFonts w:ascii="Times New Roman" w:eastAsia="Times New Roman" w:hAnsi="Times New Roman" w:cs="Times New Roman"/>
                <w:b/>
                <w:bCs/>
                <w:sz w:val="18"/>
                <w:szCs w:val="18"/>
                <w:lang w:val="pl-PL" w:eastAsia="pl-PL"/>
              </w:rPr>
              <w:t>7</w:t>
            </w:r>
            <w:r w:rsidRPr="001F52AF">
              <w:rPr>
                <w:rFonts w:ascii="Times New Roman" w:eastAsia="Times New Roman" w:hAnsi="Times New Roman" w:cs="Times New Roman"/>
                <w:b/>
                <w:bCs/>
                <w:sz w:val="18"/>
                <w:szCs w:val="18"/>
                <w:lang w:val="pl-PL" w:eastAsia="pl-PL"/>
              </w:rPr>
              <w:t>G</w:t>
            </w:r>
          </w:p>
        </w:tc>
        <w:tc>
          <w:tcPr>
            <w:tcW w:w="1559" w:type="dxa"/>
            <w:tcBorders>
              <w:top w:val="nil"/>
              <w:left w:val="nil"/>
              <w:bottom w:val="single" w:sz="4" w:space="0" w:color="auto"/>
              <w:right w:val="single" w:sz="4" w:space="0" w:color="auto"/>
            </w:tcBorders>
            <w:shd w:val="clear" w:color="000000" w:fill="C6EFCE"/>
            <w:vAlign w:val="center"/>
            <w:hideMark/>
          </w:tcPr>
          <w:p w14:paraId="4ACD1559"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F3.1 Poprawa warunków realizacji KPO</w:t>
            </w:r>
          </w:p>
        </w:tc>
        <w:tc>
          <w:tcPr>
            <w:tcW w:w="1276" w:type="dxa"/>
            <w:tcBorders>
              <w:top w:val="nil"/>
              <w:left w:val="nil"/>
              <w:bottom w:val="single" w:sz="4" w:space="0" w:color="auto"/>
              <w:right w:val="single" w:sz="4" w:space="0" w:color="auto"/>
            </w:tcBorders>
            <w:shd w:val="clear" w:color="000000" w:fill="C6EFCE"/>
            <w:vAlign w:val="center"/>
            <w:hideMark/>
          </w:tcPr>
          <w:p w14:paraId="38B8CB7A"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kamień milowy</w:t>
            </w:r>
          </w:p>
        </w:tc>
        <w:tc>
          <w:tcPr>
            <w:tcW w:w="1985" w:type="dxa"/>
            <w:tcBorders>
              <w:top w:val="nil"/>
              <w:left w:val="nil"/>
              <w:bottom w:val="single" w:sz="4" w:space="0" w:color="auto"/>
              <w:right w:val="single" w:sz="4" w:space="0" w:color="auto"/>
            </w:tcBorders>
            <w:shd w:val="clear" w:color="000000" w:fill="C6EFCE"/>
            <w:vAlign w:val="center"/>
            <w:hideMark/>
          </w:tcPr>
          <w:p w14:paraId="2462E07D" w14:textId="0169B2F9" w:rsidR="001052B5" w:rsidRPr="001F52AF" w:rsidRDefault="00A1387A" w:rsidP="00A20CA7">
            <w:pPr>
              <w:spacing w:after="0" w:line="240" w:lineRule="auto"/>
              <w:rPr>
                <w:rFonts w:ascii="Times New Roman" w:eastAsia="Times New Roman" w:hAnsi="Times New Roman" w:cs="Times New Roman"/>
                <w:sz w:val="18"/>
                <w:szCs w:val="18"/>
                <w:lang w:val="pl-PL" w:eastAsia="pl-PL"/>
              </w:rPr>
            </w:pPr>
            <w:r w:rsidRPr="00A1387A">
              <w:rPr>
                <w:rFonts w:ascii="Times New Roman" w:eastAsia="Times New Roman" w:hAnsi="Times New Roman" w:cs="Times New Roman"/>
                <w:sz w:val="18"/>
                <w:szCs w:val="18"/>
                <w:lang w:val="pl-PL" w:eastAsia="pl-PL"/>
              </w:rPr>
              <w:t>Zapewnienie skutecznego audytu i kontroli w ramach realizacji RRF chroniąc interesy finansowe Unii</w:t>
            </w:r>
          </w:p>
        </w:tc>
        <w:tc>
          <w:tcPr>
            <w:tcW w:w="1560" w:type="dxa"/>
            <w:tcBorders>
              <w:top w:val="nil"/>
              <w:left w:val="nil"/>
              <w:bottom w:val="single" w:sz="4" w:space="0" w:color="auto"/>
              <w:right w:val="single" w:sz="4" w:space="0" w:color="auto"/>
            </w:tcBorders>
            <w:shd w:val="clear" w:color="000000" w:fill="C6EFCE"/>
            <w:vAlign w:val="center"/>
            <w:hideMark/>
          </w:tcPr>
          <w:p w14:paraId="004AD4BC" w14:textId="4F03A2FE"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xml:space="preserve">Raport z audytu potwierdzający funkcjonalność systemu </w:t>
            </w:r>
            <w:r w:rsidR="00A1387A">
              <w:rPr>
                <w:rFonts w:ascii="Times New Roman" w:eastAsia="Times New Roman" w:hAnsi="Times New Roman" w:cs="Times New Roman"/>
                <w:sz w:val="18"/>
                <w:szCs w:val="18"/>
                <w:lang w:val="pl-PL" w:eastAsia="pl-PL"/>
              </w:rPr>
              <w:t>baz</w:t>
            </w:r>
          </w:p>
        </w:tc>
        <w:tc>
          <w:tcPr>
            <w:tcW w:w="993" w:type="dxa"/>
            <w:tcBorders>
              <w:top w:val="nil"/>
              <w:left w:val="nil"/>
              <w:bottom w:val="single" w:sz="4" w:space="0" w:color="auto"/>
              <w:right w:val="single" w:sz="4" w:space="0" w:color="auto"/>
            </w:tcBorders>
            <w:shd w:val="clear" w:color="000000" w:fill="C6EFCE"/>
            <w:vAlign w:val="center"/>
            <w:hideMark/>
          </w:tcPr>
          <w:p w14:paraId="51CFE20C"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993" w:type="dxa"/>
            <w:tcBorders>
              <w:top w:val="nil"/>
              <w:left w:val="nil"/>
              <w:bottom w:val="single" w:sz="4" w:space="0" w:color="auto"/>
              <w:right w:val="single" w:sz="4" w:space="0" w:color="auto"/>
            </w:tcBorders>
            <w:shd w:val="clear" w:color="000000" w:fill="C6EFCE"/>
            <w:vAlign w:val="center"/>
            <w:hideMark/>
          </w:tcPr>
          <w:p w14:paraId="2F1FD794"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710" w:type="dxa"/>
            <w:tcBorders>
              <w:top w:val="nil"/>
              <w:left w:val="nil"/>
              <w:bottom w:val="single" w:sz="4" w:space="0" w:color="auto"/>
              <w:right w:val="single" w:sz="4" w:space="0" w:color="auto"/>
            </w:tcBorders>
            <w:shd w:val="clear" w:color="000000" w:fill="C6EFCE"/>
            <w:vAlign w:val="center"/>
            <w:hideMark/>
          </w:tcPr>
          <w:p w14:paraId="739E1C3C"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 </w:t>
            </w:r>
          </w:p>
        </w:tc>
        <w:tc>
          <w:tcPr>
            <w:tcW w:w="568" w:type="dxa"/>
            <w:tcBorders>
              <w:top w:val="nil"/>
              <w:left w:val="nil"/>
              <w:bottom w:val="single" w:sz="4" w:space="0" w:color="auto"/>
              <w:right w:val="single" w:sz="4" w:space="0" w:color="auto"/>
            </w:tcBorders>
            <w:shd w:val="clear" w:color="000000" w:fill="C6EFCE"/>
            <w:vAlign w:val="center"/>
            <w:hideMark/>
          </w:tcPr>
          <w:p w14:paraId="13AE10FA"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Q2</w:t>
            </w:r>
          </w:p>
        </w:tc>
        <w:tc>
          <w:tcPr>
            <w:tcW w:w="851" w:type="dxa"/>
            <w:tcBorders>
              <w:top w:val="nil"/>
              <w:left w:val="nil"/>
              <w:bottom w:val="single" w:sz="4" w:space="0" w:color="auto"/>
              <w:right w:val="single" w:sz="4" w:space="0" w:color="auto"/>
            </w:tcBorders>
            <w:shd w:val="clear" w:color="000000" w:fill="C6EFCE"/>
            <w:vAlign w:val="center"/>
            <w:hideMark/>
          </w:tcPr>
          <w:p w14:paraId="17CDFEF2" w14:textId="77777777" w:rsidR="001052B5" w:rsidRPr="001F52AF" w:rsidRDefault="001052B5" w:rsidP="00A20CA7">
            <w:pPr>
              <w:spacing w:after="0" w:line="240" w:lineRule="auto"/>
              <w:rPr>
                <w:rFonts w:ascii="Times New Roman" w:eastAsia="Times New Roman" w:hAnsi="Times New Roman" w:cs="Times New Roman"/>
                <w:sz w:val="18"/>
                <w:szCs w:val="18"/>
                <w:lang w:val="pl-PL" w:eastAsia="pl-PL"/>
              </w:rPr>
            </w:pPr>
            <w:r w:rsidRPr="001F52AF">
              <w:rPr>
                <w:rFonts w:ascii="Times New Roman" w:eastAsia="Times New Roman" w:hAnsi="Times New Roman" w:cs="Times New Roman"/>
                <w:sz w:val="18"/>
                <w:szCs w:val="18"/>
                <w:lang w:val="pl-PL" w:eastAsia="pl-PL"/>
              </w:rPr>
              <w:t>2022</w:t>
            </w:r>
          </w:p>
        </w:tc>
        <w:tc>
          <w:tcPr>
            <w:tcW w:w="3969" w:type="dxa"/>
            <w:tcBorders>
              <w:top w:val="nil"/>
              <w:left w:val="nil"/>
              <w:bottom w:val="single" w:sz="4" w:space="0" w:color="auto"/>
              <w:right w:val="single" w:sz="4" w:space="0" w:color="auto"/>
            </w:tcBorders>
            <w:shd w:val="clear" w:color="000000" w:fill="C6EFCE"/>
            <w:vAlign w:val="center"/>
            <w:hideMark/>
          </w:tcPr>
          <w:p w14:paraId="54BA3F43" w14:textId="4D3B4619" w:rsidR="001052B5" w:rsidRPr="001F52AF" w:rsidRDefault="00A1387A" w:rsidP="00A20CA7">
            <w:pPr>
              <w:spacing w:after="0" w:line="240" w:lineRule="auto"/>
              <w:rPr>
                <w:rFonts w:ascii="Times New Roman" w:eastAsia="Times New Roman" w:hAnsi="Times New Roman" w:cs="Times New Roman"/>
                <w:sz w:val="18"/>
                <w:szCs w:val="18"/>
                <w:lang w:val="pl-PL" w:eastAsia="pl-PL"/>
              </w:rPr>
            </w:pPr>
            <w:r w:rsidRPr="00A1387A">
              <w:rPr>
                <w:rFonts w:ascii="Times New Roman" w:eastAsia="Times New Roman" w:hAnsi="Times New Roman" w:cs="Times New Roman"/>
                <w:sz w:val="18"/>
                <w:szCs w:val="18"/>
                <w:lang w:val="pl-PL" w:eastAsia="pl-PL"/>
              </w:rPr>
              <w:t xml:space="preserve">Powinien istnieć i działać system </w:t>
            </w:r>
            <w:r>
              <w:rPr>
                <w:rFonts w:ascii="Times New Roman" w:eastAsia="Times New Roman" w:hAnsi="Times New Roman" w:cs="Times New Roman"/>
                <w:sz w:val="18"/>
                <w:szCs w:val="18"/>
                <w:lang w:val="pl-PL" w:eastAsia="pl-PL"/>
              </w:rPr>
              <w:t>baz</w:t>
            </w:r>
            <w:r w:rsidRPr="00A1387A">
              <w:rPr>
                <w:rFonts w:ascii="Times New Roman" w:eastAsia="Times New Roman" w:hAnsi="Times New Roman" w:cs="Times New Roman"/>
                <w:sz w:val="18"/>
                <w:szCs w:val="18"/>
                <w:lang w:val="pl-PL" w:eastAsia="pl-PL"/>
              </w:rPr>
              <w:t xml:space="preserve"> monitorowania wdrażania </w:t>
            </w:r>
            <w:r>
              <w:rPr>
                <w:rFonts w:ascii="Times New Roman" w:eastAsia="Times New Roman" w:hAnsi="Times New Roman" w:cs="Times New Roman"/>
                <w:sz w:val="18"/>
                <w:szCs w:val="18"/>
                <w:lang w:val="pl-PL" w:eastAsia="pl-PL"/>
              </w:rPr>
              <w:t>KPO</w:t>
            </w:r>
            <w:r w:rsidRPr="00A1387A">
              <w:rPr>
                <w:rFonts w:ascii="Times New Roman" w:eastAsia="Times New Roman" w:hAnsi="Times New Roman" w:cs="Times New Roman"/>
                <w:sz w:val="18"/>
                <w:szCs w:val="18"/>
                <w:lang w:val="pl-PL" w:eastAsia="pl-PL"/>
              </w:rPr>
              <w:t>. System powinien zawierać co najmniej następujące funkcjonalności:</w:t>
            </w:r>
            <w:r w:rsidR="001052B5" w:rsidRPr="001F52AF">
              <w:rPr>
                <w:rFonts w:ascii="Times New Roman" w:eastAsia="Times New Roman" w:hAnsi="Times New Roman" w:cs="Times New Roman"/>
                <w:sz w:val="18"/>
                <w:szCs w:val="18"/>
                <w:lang w:val="pl-PL" w:eastAsia="pl-PL"/>
              </w:rPr>
              <w:br/>
              <w:t>a) gromadzenie danych i monitorowanie realizacji kamieni milowych i celów;</w:t>
            </w:r>
            <w:r w:rsidR="001052B5" w:rsidRPr="001F52AF">
              <w:rPr>
                <w:rFonts w:ascii="Times New Roman" w:eastAsia="Times New Roman" w:hAnsi="Times New Roman" w:cs="Times New Roman"/>
                <w:sz w:val="18"/>
                <w:szCs w:val="18"/>
                <w:lang w:val="pl-PL" w:eastAsia="pl-PL"/>
              </w:rPr>
              <w:br/>
              <w:t xml:space="preserve">b) gromadzenie, przechowywanie i zapewnianie dostępu do danych wymaganych na mocy art. 22 ust. 2 lit. d) </w:t>
            </w:r>
            <w:r w:rsidR="00D37AC6">
              <w:rPr>
                <w:rFonts w:ascii="Times New Roman" w:eastAsia="Times New Roman" w:hAnsi="Times New Roman" w:cs="Times New Roman"/>
                <w:sz w:val="18"/>
                <w:szCs w:val="18"/>
                <w:lang w:val="pl-PL" w:eastAsia="pl-PL"/>
              </w:rPr>
              <w:t xml:space="preserve">pkt </w:t>
            </w:r>
            <w:r w:rsidR="00D37AC6" w:rsidRPr="00D37AC6">
              <w:rPr>
                <w:rFonts w:ascii="Times New Roman" w:eastAsia="Times New Roman" w:hAnsi="Times New Roman" w:cs="Times New Roman"/>
                <w:sz w:val="18"/>
                <w:szCs w:val="18"/>
                <w:lang w:val="pl-PL" w:eastAsia="pl-PL"/>
              </w:rPr>
              <w:t xml:space="preserve">(i) </w:t>
            </w:r>
            <w:r w:rsidR="00D37AC6">
              <w:rPr>
                <w:rFonts w:ascii="Times New Roman" w:eastAsia="Times New Roman" w:hAnsi="Times New Roman" w:cs="Times New Roman"/>
                <w:sz w:val="18"/>
                <w:szCs w:val="18"/>
                <w:lang w:val="pl-PL" w:eastAsia="pl-PL"/>
              </w:rPr>
              <w:t>d</w:t>
            </w:r>
            <w:r w:rsidR="00D37AC6" w:rsidRPr="00D37AC6">
              <w:rPr>
                <w:rFonts w:ascii="Times New Roman" w:eastAsia="Times New Roman" w:hAnsi="Times New Roman" w:cs="Times New Roman"/>
                <w:sz w:val="18"/>
                <w:szCs w:val="18"/>
                <w:lang w:val="pl-PL" w:eastAsia="pl-PL"/>
              </w:rPr>
              <w:t xml:space="preserve">o (iii) </w:t>
            </w:r>
            <w:r w:rsidR="00D37AC6">
              <w:rPr>
                <w:rFonts w:ascii="Times New Roman" w:eastAsia="Times New Roman" w:hAnsi="Times New Roman" w:cs="Times New Roman"/>
                <w:sz w:val="18"/>
                <w:szCs w:val="18"/>
                <w:lang w:val="pl-PL" w:eastAsia="pl-PL"/>
              </w:rPr>
              <w:t xml:space="preserve"> </w:t>
            </w:r>
            <w:r w:rsidR="001052B5" w:rsidRPr="001F52AF">
              <w:rPr>
                <w:rFonts w:ascii="Times New Roman" w:eastAsia="Times New Roman" w:hAnsi="Times New Roman" w:cs="Times New Roman"/>
                <w:sz w:val="18"/>
                <w:szCs w:val="18"/>
                <w:lang w:val="pl-PL" w:eastAsia="pl-PL"/>
              </w:rPr>
              <w:t>rozporządzenia w sprawie RRF</w:t>
            </w:r>
            <w:r w:rsidR="001052B5" w:rsidRPr="001F52AF">
              <w:rPr>
                <w:rFonts w:ascii="Times New Roman" w:eastAsia="Times New Roman" w:hAnsi="Times New Roman" w:cs="Times New Roman"/>
                <w:sz w:val="18"/>
                <w:szCs w:val="18"/>
                <w:lang w:val="pl-PL" w:eastAsia="pl-PL"/>
              </w:rPr>
              <w:br/>
              <w:t xml:space="preserve">Dostęp do tych danych mają wszystkie właściwe organy krajowe i europejskie do celów audytu i kontroli. Dane pochodzące z tej </w:t>
            </w:r>
            <w:r w:rsidR="00D37AC6">
              <w:rPr>
                <w:rFonts w:ascii="Times New Roman" w:eastAsia="Times New Roman" w:hAnsi="Times New Roman" w:cs="Times New Roman"/>
                <w:sz w:val="18"/>
                <w:szCs w:val="18"/>
                <w:lang w:val="pl-PL" w:eastAsia="pl-PL"/>
              </w:rPr>
              <w:t>bazy</w:t>
            </w:r>
            <w:r w:rsidR="00D37AC6" w:rsidRPr="001F52AF">
              <w:rPr>
                <w:rFonts w:ascii="Times New Roman" w:eastAsia="Times New Roman" w:hAnsi="Times New Roman" w:cs="Times New Roman"/>
                <w:sz w:val="18"/>
                <w:szCs w:val="18"/>
                <w:lang w:val="pl-PL" w:eastAsia="pl-PL"/>
              </w:rPr>
              <w:t xml:space="preserve"> </w:t>
            </w:r>
            <w:r w:rsidR="001052B5" w:rsidRPr="001F52AF">
              <w:rPr>
                <w:rFonts w:ascii="Times New Roman" w:eastAsia="Times New Roman" w:hAnsi="Times New Roman" w:cs="Times New Roman"/>
                <w:sz w:val="18"/>
                <w:szCs w:val="18"/>
                <w:lang w:val="pl-PL" w:eastAsia="pl-PL"/>
              </w:rPr>
              <w:t xml:space="preserve">będą zasilać system Arachne co kwartał i będą wykorzystywane </w:t>
            </w:r>
            <w:r w:rsidR="00D37AC6" w:rsidRPr="00D37AC6">
              <w:rPr>
                <w:rFonts w:ascii="Times New Roman" w:eastAsia="Times New Roman" w:hAnsi="Times New Roman" w:cs="Times New Roman"/>
                <w:sz w:val="18"/>
                <w:szCs w:val="18"/>
                <w:lang w:val="pl-PL" w:eastAsia="pl-PL"/>
              </w:rPr>
              <w:t>podczas audytów i kontroli w celu zapobiegania, wykrywania i korygowania konfliktów interesów, oszustw, korupcji i podwójnego finansowania.</w:t>
            </w:r>
          </w:p>
        </w:tc>
      </w:tr>
    </w:tbl>
    <w:p w14:paraId="4324D5DD" w14:textId="77777777" w:rsidR="001052B5" w:rsidRPr="00AF7348" w:rsidRDefault="001052B5" w:rsidP="0033239E">
      <w:pPr>
        <w:tabs>
          <w:tab w:val="left" w:pos="567"/>
        </w:tabs>
        <w:jc w:val="both"/>
        <w:rPr>
          <w:rFonts w:ascii="Times New Roman" w:eastAsia="Times New Roman" w:hAnsi="Times New Roman" w:cs="Times New Roman"/>
          <w:color w:val="000000"/>
          <w:lang w:val="pl-PL"/>
        </w:rPr>
      </w:pPr>
    </w:p>
    <w:sectPr w:rsidR="001052B5" w:rsidRPr="00AF7348" w:rsidSect="009B6BB9">
      <w:headerReference w:type="even" r:id="rId129"/>
      <w:headerReference w:type="default" r:id="rId130"/>
      <w:footerReference w:type="even" r:id="rId131"/>
      <w:footerReference w:type="default" r:id="rId132"/>
      <w:headerReference w:type="first" r:id="rId133"/>
      <w:footerReference w:type="first" r:id="rId134"/>
      <w:pgSz w:w="16839" w:h="11907" w:orient="landscape"/>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7E9B" w14:textId="77777777" w:rsidR="00203C66" w:rsidRDefault="00203C66">
      <w:pPr>
        <w:spacing w:after="0" w:line="240" w:lineRule="auto"/>
      </w:pPr>
      <w:r>
        <w:separator/>
      </w:r>
    </w:p>
  </w:endnote>
  <w:endnote w:type="continuationSeparator" w:id="0">
    <w:p w14:paraId="47599BD1" w14:textId="77777777" w:rsidR="00203C66" w:rsidRDefault="00203C66">
      <w:pPr>
        <w:spacing w:after="0" w:line="240" w:lineRule="auto"/>
      </w:pPr>
      <w:r>
        <w:continuationSeparator/>
      </w:r>
    </w:p>
  </w:endnote>
  <w:endnote w:type="continuationNotice" w:id="1">
    <w:p w14:paraId="5C4D0CC2" w14:textId="77777777" w:rsidR="00203C66" w:rsidRDefault="00203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93D9" w14:textId="77777777" w:rsidR="0099737E" w:rsidRDefault="0099737E">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BA6"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C319" w14:textId="40B9C4A5" w:rsidR="00126FEB" w:rsidRDefault="00126FEB">
    <w:pPr>
      <w:pStyle w:val="Normal0"/>
      <w:pBdr>
        <w:top w:val="nil"/>
        <w:left w:val="nil"/>
        <w:bottom w:val="nil"/>
        <w:right w:val="nil"/>
        <w:between w:val="nil"/>
      </w:pBdr>
      <w:tabs>
        <w:tab w:val="center" w:pos="7285"/>
        <w:tab w:val="center" w:pos="10913"/>
        <w:tab w:val="right" w:pos="15137"/>
      </w:tabs>
      <w:spacing w:before="360" w:after="0" w:line="240" w:lineRule="auto"/>
      <w:ind w:left="-567" w:right="-567"/>
      <w:rPr>
        <w:rFonts w:ascii="Arial" w:eastAsia="Arial" w:hAnsi="Arial" w:cs="Arial"/>
        <w:b/>
        <w:color w:val="000000"/>
        <w:sz w:val="48"/>
        <w:szCs w:val="48"/>
      </w:rPr>
    </w:pPr>
    <w:r>
      <w:rPr>
        <w:lang w:val="pl"/>
      </w:rPr>
      <w:tab/>
    </w:r>
    <w:r>
      <w:rPr>
        <w:rFonts w:ascii="Times New Roman" w:hAnsi="Times New Roman"/>
        <w:color w:val="2B579A"/>
        <w:sz w:val="24"/>
        <w:szCs w:val="24"/>
        <w:shd w:val="clear" w:color="auto" w:fill="E6E6E6"/>
        <w:lang w:val="pl"/>
      </w:rPr>
      <w:fldChar w:fldCharType="begin"/>
    </w:r>
    <w:r>
      <w:rPr>
        <w:rFonts w:ascii="Times New Roman" w:hAnsi="Times New Roman"/>
        <w:sz w:val="24"/>
        <w:szCs w:val="24"/>
        <w:lang w:val="pl"/>
      </w:rPr>
      <w:instrText>PAGE</w:instrText>
    </w:r>
    <w:r>
      <w:rPr>
        <w:rFonts w:ascii="Times New Roman" w:hAnsi="Times New Roman"/>
        <w:color w:val="2B579A"/>
        <w:sz w:val="24"/>
        <w:szCs w:val="24"/>
        <w:shd w:val="clear" w:color="auto" w:fill="E6E6E6"/>
        <w:lang w:val="pl"/>
      </w:rPr>
      <w:fldChar w:fldCharType="separate"/>
    </w:r>
    <w:r w:rsidR="0099737E">
      <w:rPr>
        <w:rFonts w:ascii="Times New Roman" w:hAnsi="Times New Roman"/>
        <w:noProof/>
        <w:sz w:val="24"/>
        <w:szCs w:val="24"/>
        <w:lang w:val="pl"/>
      </w:rPr>
      <w:t>23</w:t>
    </w:r>
    <w:r>
      <w:rPr>
        <w:rFonts w:ascii="Times New Roman" w:hAnsi="Times New Roman"/>
        <w:color w:val="2B579A"/>
        <w:sz w:val="24"/>
        <w:szCs w:val="24"/>
        <w:shd w:val="clear" w:color="auto" w:fill="E6E6E6"/>
        <w:lang w:val="pl"/>
      </w:rPr>
      <w:fldChar w:fldCharType="end"/>
    </w:r>
    <w:r>
      <w:rPr>
        <w:rFonts w:ascii="Times New Roman" w:hAnsi="Times New Roman"/>
        <w:color w:val="000000"/>
        <w:sz w:val="24"/>
        <w:szCs w:val="24"/>
        <w:lang w:val="pl"/>
      </w:rPr>
      <w:tab/>
    </w:r>
    <w:r>
      <w:rPr>
        <w:rFonts w:ascii="Times New Roman" w:hAnsi="Times New Roman"/>
        <w:color w:val="000000"/>
        <w:sz w:val="24"/>
        <w:szCs w:val="24"/>
        <w:lang w:val="pl"/>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7268" w14:textId="77777777" w:rsidR="00126FEB" w:rsidRDefault="00126FEB">
    <w:pPr>
      <w:pStyle w:val="Normal0"/>
      <w:pBdr>
        <w:top w:val="nil"/>
        <w:left w:val="nil"/>
        <w:bottom w:val="nil"/>
        <w:right w:val="nil"/>
        <w:between w:val="nil"/>
      </w:pBdr>
      <w:tabs>
        <w:tab w:val="center" w:pos="7285"/>
        <w:tab w:val="center" w:pos="10913"/>
        <w:tab w:val="right" w:pos="15137"/>
      </w:tabs>
      <w:spacing w:before="360" w:after="0" w:line="240" w:lineRule="auto"/>
      <w:ind w:left="-567" w:right="-567"/>
      <w:rPr>
        <w:rFonts w:ascii="Times New Roman" w:eastAsia="Times New Roman" w:hAnsi="Times New Roman" w:cs="Times New Roman"/>
        <w:color w:val="000000"/>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F58C"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F312" w14:textId="6297459F" w:rsidR="00126FEB" w:rsidRPr="00212550"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Arial" w:eastAsia="Arial" w:hAnsi="Arial" w:cs="Arial"/>
        <w:b/>
        <w:color w:val="000000"/>
        <w:sz w:val="24"/>
        <w:szCs w:val="24"/>
      </w:rPr>
    </w:pPr>
    <w:r>
      <w:rPr>
        <w:lang w:val="pl"/>
      </w:rPr>
      <w:tab/>
    </w:r>
    <w:r>
      <w:rPr>
        <w:rFonts w:ascii="Times New Roman" w:hAnsi="Times New Roman"/>
        <w:color w:val="2B579A"/>
        <w:sz w:val="24"/>
        <w:szCs w:val="24"/>
        <w:shd w:val="clear" w:color="auto" w:fill="E6E6E6"/>
        <w:lang w:val="pl"/>
      </w:rPr>
      <w:fldChar w:fldCharType="begin"/>
    </w:r>
    <w:r>
      <w:rPr>
        <w:rFonts w:ascii="Times New Roman" w:hAnsi="Times New Roman"/>
        <w:sz w:val="24"/>
        <w:szCs w:val="24"/>
        <w:lang w:val="pl"/>
      </w:rPr>
      <w:instrText>PAGE</w:instrText>
    </w:r>
    <w:r>
      <w:rPr>
        <w:rFonts w:ascii="Times New Roman" w:hAnsi="Times New Roman"/>
        <w:color w:val="2B579A"/>
        <w:sz w:val="24"/>
        <w:szCs w:val="24"/>
        <w:shd w:val="clear" w:color="auto" w:fill="E6E6E6"/>
        <w:lang w:val="pl"/>
      </w:rPr>
      <w:fldChar w:fldCharType="separate"/>
    </w:r>
    <w:r w:rsidR="0099737E">
      <w:rPr>
        <w:rFonts w:ascii="Times New Roman" w:hAnsi="Times New Roman"/>
        <w:noProof/>
        <w:sz w:val="24"/>
        <w:szCs w:val="24"/>
        <w:lang w:val="pl"/>
      </w:rPr>
      <w:t>24</w:t>
    </w:r>
    <w:r>
      <w:rPr>
        <w:rFonts w:ascii="Times New Roman" w:hAnsi="Times New Roman"/>
        <w:color w:val="2B579A"/>
        <w:sz w:val="24"/>
        <w:szCs w:val="24"/>
        <w:shd w:val="clear" w:color="auto" w:fill="E6E6E6"/>
        <w:lang w:val="pl"/>
      </w:rPr>
      <w:fldChar w:fldCharType="end"/>
    </w:r>
    <w:r>
      <w:rPr>
        <w:rFonts w:ascii="Times New Roman" w:hAnsi="Times New Roman"/>
        <w:color w:val="000000"/>
        <w:sz w:val="24"/>
        <w:szCs w:val="24"/>
        <w:lang w:val="pl"/>
      </w:rPr>
      <w:tab/>
    </w:r>
    <w:r>
      <w:rPr>
        <w:rFonts w:ascii="Times New Roman" w:hAnsi="Times New Roman"/>
        <w:color w:val="000000"/>
        <w:sz w:val="24"/>
        <w:szCs w:val="24"/>
        <w:lang w:val="pl"/>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2604"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6C7C"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673530"/>
      <w:docPartObj>
        <w:docPartGallery w:val="Page Numbers (Bottom of Page)"/>
        <w:docPartUnique/>
      </w:docPartObj>
    </w:sdtPr>
    <w:sdtEndPr>
      <w:rPr>
        <w:noProof/>
      </w:rPr>
    </w:sdtEndPr>
    <w:sdtContent>
      <w:p w14:paraId="4F62A649" w14:textId="001DF02C"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32</w:t>
        </w:r>
        <w:r>
          <w:rPr>
            <w:noProof/>
            <w:color w:val="2B579A"/>
            <w:shd w:val="clear" w:color="auto" w:fill="E6E6E6"/>
            <w:lang w:val="pl"/>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7D4A"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F150"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51CA" w14:textId="77777777" w:rsidR="00126FEB" w:rsidRPr="00CB4693" w:rsidRDefault="00126FEB" w:rsidP="00CB4693">
    <w:pPr>
      <w:pStyle w:val="FooterCoverPage"/>
      <w:rPr>
        <w:rFonts w:ascii="Arial" w:hAnsi="Arial" w:cs="Arial"/>
        <w:b/>
        <w:sz w:val="48"/>
      </w:rPr>
    </w:pPr>
    <w:r>
      <w:rPr>
        <w:rFonts w:ascii="Arial" w:hAnsi="Arial"/>
        <w:b/>
        <w:bCs/>
        <w:sz w:val="48"/>
        <w:lang w:val="pl"/>
      </w:rPr>
      <w:t>PL</w:t>
    </w:r>
    <w:r>
      <w:rPr>
        <w:rFonts w:ascii="Arial" w:hAnsi="Arial"/>
        <w:b/>
        <w:bCs/>
        <w:sz w:val="48"/>
        <w:lang w:val="pl"/>
      </w:rPr>
      <w:tab/>
    </w:r>
    <w:r>
      <w:rPr>
        <w:rFonts w:ascii="Arial" w:hAnsi="Arial"/>
        <w:b/>
        <w:bCs/>
        <w:sz w:val="48"/>
        <w:lang w:val="pl"/>
      </w:rPr>
      <w:tab/>
    </w:r>
    <w:r>
      <w:rPr>
        <w:rFonts w:ascii="Arial" w:hAnsi="Arial"/>
        <w:b/>
        <w:bCs/>
        <w:sz w:val="48"/>
        <w:lang w:val="pl"/>
      </w:rPr>
      <w:tab/>
    </w:r>
    <w:proofErr w:type="spellStart"/>
    <w:r>
      <w:rPr>
        <w:rFonts w:ascii="Arial" w:hAnsi="Arial"/>
        <w:b/>
        <w:bCs/>
        <w:sz w:val="48"/>
        <w:lang w:val="pl"/>
      </w:rPr>
      <w:t>PL</w:t>
    </w:r>
    <w:proofErr w:type="spellEnd"/>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16959"/>
      <w:docPartObj>
        <w:docPartGallery w:val="Page Numbers (Bottom of Page)"/>
        <w:docPartUnique/>
      </w:docPartObj>
    </w:sdtPr>
    <w:sdtEndPr>
      <w:rPr>
        <w:noProof/>
      </w:rPr>
    </w:sdtEndPr>
    <w:sdtContent>
      <w:p w14:paraId="7A0CC696" w14:textId="7BF64933"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40</w:t>
        </w:r>
        <w:r>
          <w:rPr>
            <w:noProof/>
            <w:color w:val="2B579A"/>
            <w:shd w:val="clear" w:color="auto" w:fill="E6E6E6"/>
            <w:lang w:val="pl"/>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374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A7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487477"/>
      <w:docPartObj>
        <w:docPartGallery w:val="Page Numbers (Bottom of Page)"/>
        <w:docPartUnique/>
      </w:docPartObj>
    </w:sdtPr>
    <w:sdtEndPr>
      <w:rPr>
        <w:noProof/>
      </w:rPr>
    </w:sdtEndPr>
    <w:sdtContent>
      <w:p w14:paraId="13736902" w14:textId="6CFA3D84"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42</w:t>
        </w:r>
        <w:r>
          <w:rPr>
            <w:noProof/>
            <w:color w:val="2B579A"/>
            <w:shd w:val="clear" w:color="auto" w:fill="E6E6E6"/>
            <w:lang w:val="pl"/>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E9D9"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6A81"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175119"/>
      <w:docPartObj>
        <w:docPartGallery w:val="Page Numbers (Bottom of Page)"/>
        <w:docPartUnique/>
      </w:docPartObj>
    </w:sdtPr>
    <w:sdtEndPr>
      <w:rPr>
        <w:noProof/>
      </w:rPr>
    </w:sdtEndPr>
    <w:sdtContent>
      <w:p w14:paraId="450E11ED" w14:textId="1550DCC0"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43</w:t>
        </w:r>
        <w:r>
          <w:rPr>
            <w:noProof/>
            <w:color w:val="2B579A"/>
            <w:shd w:val="clear" w:color="auto" w:fill="E6E6E6"/>
            <w:lang w:val="pl"/>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7A80"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69A3"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7700"/>
      <w:docPartObj>
        <w:docPartGallery w:val="Page Numbers (Bottom of Page)"/>
        <w:docPartUnique/>
      </w:docPartObj>
    </w:sdtPr>
    <w:sdtEndPr>
      <w:rPr>
        <w:noProof/>
      </w:rPr>
    </w:sdtEndPr>
    <w:sdtContent>
      <w:p w14:paraId="71B5305F" w14:textId="1CBB44E2" w:rsidR="00126FEB" w:rsidRPr="00A27321" w:rsidRDefault="00126FEB" w:rsidP="00A2732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49</w:t>
        </w:r>
        <w:r>
          <w:rPr>
            <w:noProof/>
            <w:color w:val="2B579A"/>
            <w:shd w:val="clear" w:color="auto" w:fill="E6E6E6"/>
            <w:lang w:val="p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9B94" w14:textId="77777777" w:rsidR="0099737E" w:rsidRDefault="0099737E">
    <w:pPr>
      <w:pStyle w:val="Stopka"/>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887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3FC6"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09827"/>
      <w:docPartObj>
        <w:docPartGallery w:val="Page Numbers (Bottom of Page)"/>
        <w:docPartUnique/>
      </w:docPartObj>
    </w:sdtPr>
    <w:sdtEndPr>
      <w:rPr>
        <w:noProof/>
      </w:rPr>
    </w:sdtEndPr>
    <w:sdtContent>
      <w:p w14:paraId="152DD368" w14:textId="0BBBDC14" w:rsidR="00126FEB" w:rsidRPr="00294B61" w:rsidRDefault="00126FEB" w:rsidP="00294B6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51</w:t>
        </w:r>
        <w:r>
          <w:rPr>
            <w:noProof/>
            <w:color w:val="2B579A"/>
            <w:shd w:val="clear" w:color="auto" w:fill="E6E6E6"/>
            <w:lang w:val="pl"/>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0729"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DC78"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55458"/>
      <w:docPartObj>
        <w:docPartGallery w:val="Page Numbers (Bottom of Page)"/>
        <w:docPartUnique/>
      </w:docPartObj>
    </w:sdtPr>
    <w:sdtEndPr>
      <w:rPr>
        <w:noProof/>
      </w:rPr>
    </w:sdtEndPr>
    <w:sdtContent>
      <w:p w14:paraId="1440512C" w14:textId="6CBBEE98" w:rsidR="00126FEB" w:rsidRPr="00294B61" w:rsidRDefault="00126FEB" w:rsidP="00294B6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52</w:t>
        </w:r>
        <w:r>
          <w:rPr>
            <w:noProof/>
            <w:color w:val="2B579A"/>
            <w:shd w:val="clear" w:color="auto" w:fill="E6E6E6"/>
            <w:lang w:val="pl"/>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664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47C2"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397680"/>
      <w:docPartObj>
        <w:docPartGallery w:val="Page Numbers (Bottom of Page)"/>
        <w:docPartUnique/>
      </w:docPartObj>
    </w:sdtPr>
    <w:sdtEndPr>
      <w:rPr>
        <w:noProof/>
      </w:rPr>
    </w:sdtEndPr>
    <w:sdtContent>
      <w:p w14:paraId="4EAE0BE0" w14:textId="38E95455" w:rsidR="00126FEB" w:rsidRPr="00294B61" w:rsidRDefault="00126FEB" w:rsidP="00294B6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53</w:t>
        </w:r>
        <w:r>
          <w:rPr>
            <w:noProof/>
            <w:color w:val="2B579A"/>
            <w:shd w:val="clear" w:color="auto" w:fill="E6E6E6"/>
            <w:lang w:val="pl"/>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7C88"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D7A1"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E600"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610987"/>
      <w:docPartObj>
        <w:docPartGallery w:val="Page Numbers (Bottom of Page)"/>
        <w:docPartUnique/>
      </w:docPartObj>
    </w:sdtPr>
    <w:sdtEndPr>
      <w:rPr>
        <w:noProof/>
      </w:rPr>
    </w:sdtEndPr>
    <w:sdtContent>
      <w:p w14:paraId="364F94A9" w14:textId="6123D6F9" w:rsidR="00126FEB" w:rsidRPr="00294B61" w:rsidRDefault="00126FEB" w:rsidP="00294B61">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58</w:t>
        </w:r>
        <w:r>
          <w:rPr>
            <w:noProof/>
            <w:color w:val="2B579A"/>
            <w:shd w:val="clear" w:color="auto" w:fill="E6E6E6"/>
            <w:lang w:val="pl"/>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5D32"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3ED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617619"/>
      <w:docPartObj>
        <w:docPartGallery w:val="Page Numbers (Bottom of Page)"/>
        <w:docPartUnique/>
      </w:docPartObj>
    </w:sdtPr>
    <w:sdtEndPr>
      <w:rPr>
        <w:noProof/>
      </w:rPr>
    </w:sdtEndPr>
    <w:sdtContent>
      <w:p w14:paraId="7D403190" w14:textId="7EB33AE0"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60</w:t>
        </w:r>
        <w:r>
          <w:rPr>
            <w:noProof/>
            <w:color w:val="2B579A"/>
            <w:shd w:val="clear" w:color="auto" w:fill="E6E6E6"/>
            <w:lang w:val="pl"/>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CA98"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C4CD"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66540"/>
      <w:docPartObj>
        <w:docPartGallery w:val="Page Numbers (Bottom of Page)"/>
        <w:docPartUnique/>
      </w:docPartObj>
    </w:sdtPr>
    <w:sdtEndPr>
      <w:rPr>
        <w:noProof/>
      </w:rPr>
    </w:sdtEndPr>
    <w:sdtContent>
      <w:p w14:paraId="54DDE3D7" w14:textId="0F1A998F"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61</w:t>
        </w:r>
        <w:r>
          <w:rPr>
            <w:noProof/>
            <w:color w:val="2B579A"/>
            <w:shd w:val="clear" w:color="auto" w:fill="E6E6E6"/>
            <w:lang w:val="pl"/>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F9AD"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4643"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149870"/>
      <w:docPartObj>
        <w:docPartGallery w:val="Page Numbers (Bottom of Page)"/>
        <w:docPartUnique/>
      </w:docPartObj>
    </w:sdtPr>
    <w:sdtEndPr>
      <w:rPr>
        <w:noProof/>
      </w:rPr>
    </w:sdtEndPr>
    <w:sdtContent>
      <w:p w14:paraId="67DA496F" w14:textId="5B48C9C6" w:rsidR="00126FEB" w:rsidRPr="000B24F5" w:rsidRDefault="00126FEB" w:rsidP="000B24F5">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11</w:t>
        </w:r>
        <w:r>
          <w:rPr>
            <w:noProof/>
            <w:color w:val="2B579A"/>
            <w:shd w:val="clear" w:color="auto" w:fill="E6E6E6"/>
            <w:lang w:val="pl"/>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489413"/>
      <w:docPartObj>
        <w:docPartGallery w:val="Page Numbers (Bottom of Page)"/>
        <w:docPartUnique/>
      </w:docPartObj>
    </w:sdtPr>
    <w:sdtEndPr>
      <w:rPr>
        <w:noProof/>
      </w:rPr>
    </w:sdtEndPr>
    <w:sdtContent>
      <w:p w14:paraId="5FB81F85" w14:textId="0C5DD6F1"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67</w:t>
        </w:r>
        <w:r>
          <w:rPr>
            <w:noProof/>
            <w:color w:val="2B579A"/>
            <w:shd w:val="clear" w:color="auto" w:fill="E6E6E6"/>
            <w:lang w:val="pl"/>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568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3B4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21613"/>
      <w:docPartObj>
        <w:docPartGallery w:val="Page Numbers (Bottom of Page)"/>
        <w:docPartUnique/>
      </w:docPartObj>
    </w:sdtPr>
    <w:sdtEndPr>
      <w:rPr>
        <w:noProof/>
      </w:rPr>
    </w:sdtEndPr>
    <w:sdtContent>
      <w:p w14:paraId="36BFBA10" w14:textId="45795C0A"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68</w:t>
        </w:r>
        <w:r>
          <w:rPr>
            <w:noProof/>
            <w:color w:val="2B579A"/>
            <w:shd w:val="clear" w:color="auto" w:fill="E6E6E6"/>
            <w:lang w:val="pl"/>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F7AA"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251A"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588775"/>
      <w:docPartObj>
        <w:docPartGallery w:val="Page Numbers (Bottom of Page)"/>
        <w:docPartUnique/>
      </w:docPartObj>
    </w:sdtPr>
    <w:sdtEndPr>
      <w:rPr>
        <w:noProof/>
      </w:rPr>
    </w:sdtEndPr>
    <w:sdtContent>
      <w:p w14:paraId="79C4CA95" w14:textId="7C6F01F7"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69</w:t>
        </w:r>
        <w:r>
          <w:rPr>
            <w:noProof/>
            <w:color w:val="2B579A"/>
            <w:shd w:val="clear" w:color="auto" w:fill="E6E6E6"/>
            <w:lang w:val="pl"/>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FDB1"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30FB"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487481"/>
      <w:docPartObj>
        <w:docPartGallery w:val="Page Numbers (Bottom of Page)"/>
        <w:docPartUnique/>
      </w:docPartObj>
    </w:sdtPr>
    <w:sdtEndPr>
      <w:rPr>
        <w:noProof/>
      </w:rPr>
    </w:sdtEndPr>
    <w:sdtContent>
      <w:p w14:paraId="09D372ED" w14:textId="0F7ED6A2"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72</w:t>
        </w:r>
        <w:r>
          <w:rPr>
            <w:noProof/>
            <w:color w:val="2B579A"/>
            <w:shd w:val="clear" w:color="auto" w:fill="E6E6E6"/>
            <w:lang w:val="pl"/>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0F5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A0AC"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4A15"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23119"/>
      <w:docPartObj>
        <w:docPartGallery w:val="Page Numbers (Bottom of Page)"/>
        <w:docPartUnique/>
      </w:docPartObj>
    </w:sdtPr>
    <w:sdtEndPr>
      <w:rPr>
        <w:noProof/>
      </w:rPr>
    </w:sdtEndPr>
    <w:sdtContent>
      <w:p w14:paraId="22087588" w14:textId="7EF4D4FB" w:rsidR="00126FEB" w:rsidRPr="00687DF3" w:rsidRDefault="00126FEB" w:rsidP="00687DF3">
        <w:pPr>
          <w:pStyle w:val="Stopka"/>
          <w:jc w:val="center"/>
        </w:pPr>
        <w:r>
          <w:rPr>
            <w:color w:val="2B579A"/>
            <w:shd w:val="clear" w:color="auto" w:fill="E6E6E6"/>
            <w:lang w:val="pl"/>
          </w:rPr>
          <w:fldChar w:fldCharType="begin"/>
        </w:r>
        <w:r>
          <w:rPr>
            <w:lang w:val="pl"/>
          </w:rPr>
          <w:instrText xml:space="preserve"> PAGE   \* MERGEFORMAT </w:instrText>
        </w:r>
        <w:r>
          <w:rPr>
            <w:color w:val="2B579A"/>
            <w:shd w:val="clear" w:color="auto" w:fill="E6E6E6"/>
            <w:lang w:val="pl"/>
          </w:rPr>
          <w:fldChar w:fldCharType="separate"/>
        </w:r>
        <w:r w:rsidR="0099737E">
          <w:rPr>
            <w:noProof/>
            <w:lang w:val="pl"/>
          </w:rPr>
          <w:t>74</w:t>
        </w:r>
        <w:r>
          <w:rPr>
            <w:noProof/>
            <w:color w:val="2B579A"/>
            <w:shd w:val="clear" w:color="auto" w:fill="E6E6E6"/>
            <w:lang w:val="pl"/>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3F18"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11DD"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0A80" w14:textId="6767276E" w:rsidR="00126FEB" w:rsidRDefault="00126FEB" w:rsidP="006C352E">
    <w:pPr>
      <w:pStyle w:val="Normal0"/>
      <w:pBdr>
        <w:top w:val="nil"/>
        <w:left w:val="nil"/>
        <w:bottom w:val="nil"/>
        <w:right w:val="nil"/>
        <w:between w:val="nil"/>
      </w:pBdr>
      <w:tabs>
        <w:tab w:val="center" w:pos="4535"/>
        <w:tab w:val="right" w:pos="9071"/>
        <w:tab w:val="right" w:pos="9921"/>
      </w:tabs>
      <w:spacing w:before="360" w:after="0" w:line="240" w:lineRule="auto"/>
      <w:ind w:left="-850" w:right="-850"/>
      <w:jc w:val="center"/>
      <w:rPr>
        <w:rFonts w:ascii="Arial" w:eastAsia="Arial" w:hAnsi="Arial" w:cs="Arial"/>
        <w:b/>
        <w:color w:val="000000"/>
        <w:sz w:val="48"/>
        <w:szCs w:val="48"/>
      </w:rPr>
    </w:pPr>
    <w:r>
      <w:rPr>
        <w:rFonts w:ascii="Times New Roman" w:eastAsia="Times New Roman" w:hAnsi="Times New Roman" w:cs="Times New Roman"/>
        <w:color w:val="2B579A"/>
        <w:sz w:val="24"/>
        <w:szCs w:val="24"/>
        <w:shd w:val="clear" w:color="auto" w:fill="E6E6E6"/>
        <w:lang w:val="pl"/>
      </w:rPr>
      <w:fldChar w:fldCharType="begin"/>
    </w:r>
    <w:r>
      <w:rPr>
        <w:rFonts w:ascii="Times New Roman" w:eastAsia="Times New Roman" w:hAnsi="Times New Roman" w:cs="Times New Roman"/>
        <w:sz w:val="24"/>
        <w:szCs w:val="24"/>
        <w:lang w:val="pl"/>
      </w:rPr>
      <w:instrText>PAGE</w:instrText>
    </w:r>
    <w:r>
      <w:rPr>
        <w:rFonts w:ascii="Times New Roman" w:eastAsia="Times New Roman" w:hAnsi="Times New Roman" w:cs="Times New Roman"/>
        <w:color w:val="2B579A"/>
        <w:sz w:val="24"/>
        <w:szCs w:val="24"/>
        <w:shd w:val="clear" w:color="auto" w:fill="E6E6E6"/>
        <w:lang w:val="pl"/>
      </w:rPr>
      <w:fldChar w:fldCharType="separate"/>
    </w:r>
    <w:r w:rsidR="0099737E">
      <w:rPr>
        <w:rFonts w:ascii="Times New Roman" w:eastAsia="Times New Roman" w:hAnsi="Times New Roman" w:cs="Times New Roman"/>
        <w:noProof/>
        <w:sz w:val="24"/>
        <w:szCs w:val="24"/>
        <w:lang w:val="pl"/>
      </w:rPr>
      <w:t>22</w:t>
    </w:r>
    <w:r>
      <w:rPr>
        <w:rFonts w:ascii="Times New Roman" w:eastAsia="Times New Roman" w:hAnsi="Times New Roman" w:cs="Times New Roman"/>
        <w:color w:val="2B579A"/>
        <w:sz w:val="24"/>
        <w:szCs w:val="24"/>
        <w:shd w:val="clear" w:color="auto" w:fill="E6E6E6"/>
        <w:lang w:val="p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3B9E" w14:textId="77777777" w:rsidR="00126FEB" w:rsidRDefault="00126FEB">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D409" w14:textId="77777777" w:rsidR="00203C66" w:rsidRDefault="00203C66">
      <w:pPr>
        <w:spacing w:after="0" w:line="240" w:lineRule="auto"/>
      </w:pPr>
      <w:r>
        <w:separator/>
      </w:r>
    </w:p>
  </w:footnote>
  <w:footnote w:type="continuationSeparator" w:id="0">
    <w:p w14:paraId="19DD8ABF" w14:textId="77777777" w:rsidR="00203C66" w:rsidRDefault="00203C66">
      <w:pPr>
        <w:spacing w:after="0" w:line="240" w:lineRule="auto"/>
      </w:pPr>
      <w:r>
        <w:continuationSeparator/>
      </w:r>
    </w:p>
  </w:footnote>
  <w:footnote w:type="continuationNotice" w:id="1">
    <w:p w14:paraId="6E725C7D" w14:textId="77777777" w:rsidR="00203C66" w:rsidRDefault="00203C66">
      <w:pPr>
        <w:spacing w:after="0" w:line="240" w:lineRule="auto"/>
      </w:pPr>
    </w:p>
  </w:footnote>
  <w:footnote w:id="2">
    <w:p w14:paraId="75668183" w14:textId="79D50235" w:rsidR="00126FEB" w:rsidRPr="00AF7348" w:rsidRDefault="00126FEB" w:rsidP="00F07CEA">
      <w:pPr>
        <w:pStyle w:val="Tekstprzypisudolnego"/>
        <w:spacing w:after="240"/>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Komisja Europejska (2018), "Wytyczne dotyczące audytów odpadów prowadzonych przed rozpoczęciem prac związanych z rozbiórką i renowacją budynków” (</w:t>
      </w:r>
      <w:proofErr w:type="spellStart"/>
      <w:r>
        <w:rPr>
          <w:i/>
          <w:iCs/>
          <w:sz w:val="18"/>
          <w:szCs w:val="18"/>
          <w:lang w:val="pl"/>
        </w:rPr>
        <w:t>Guidelines</w:t>
      </w:r>
      <w:proofErr w:type="spellEnd"/>
      <w:r>
        <w:rPr>
          <w:i/>
          <w:iCs/>
          <w:sz w:val="18"/>
          <w:szCs w:val="18"/>
          <w:lang w:val="pl"/>
        </w:rPr>
        <w:t xml:space="preserve"> for the waste </w:t>
      </w:r>
      <w:proofErr w:type="spellStart"/>
      <w:r>
        <w:rPr>
          <w:i/>
          <w:iCs/>
          <w:sz w:val="18"/>
          <w:szCs w:val="18"/>
          <w:lang w:val="pl"/>
        </w:rPr>
        <w:t>audits</w:t>
      </w:r>
      <w:proofErr w:type="spellEnd"/>
      <w:r>
        <w:rPr>
          <w:i/>
          <w:iCs/>
          <w:sz w:val="18"/>
          <w:szCs w:val="18"/>
          <w:lang w:val="pl"/>
        </w:rPr>
        <w:t xml:space="preserve"> </w:t>
      </w:r>
      <w:proofErr w:type="spellStart"/>
      <w:r>
        <w:rPr>
          <w:i/>
          <w:iCs/>
          <w:sz w:val="18"/>
          <w:szCs w:val="18"/>
          <w:lang w:val="pl"/>
        </w:rPr>
        <w:t>before</w:t>
      </w:r>
      <w:proofErr w:type="spellEnd"/>
      <w:r>
        <w:rPr>
          <w:i/>
          <w:iCs/>
          <w:sz w:val="18"/>
          <w:szCs w:val="18"/>
          <w:lang w:val="pl"/>
        </w:rPr>
        <w:t xml:space="preserve"> </w:t>
      </w:r>
      <w:proofErr w:type="spellStart"/>
      <w:r>
        <w:rPr>
          <w:i/>
          <w:iCs/>
          <w:sz w:val="18"/>
          <w:szCs w:val="18"/>
          <w:lang w:val="pl"/>
        </w:rPr>
        <w:t>demolition</w:t>
      </w:r>
      <w:proofErr w:type="spellEnd"/>
      <w:r>
        <w:rPr>
          <w:i/>
          <w:iCs/>
          <w:sz w:val="18"/>
          <w:szCs w:val="18"/>
          <w:lang w:val="pl"/>
        </w:rPr>
        <w:t xml:space="preserve"> and </w:t>
      </w:r>
      <w:proofErr w:type="spellStart"/>
      <w:r>
        <w:rPr>
          <w:i/>
          <w:iCs/>
          <w:sz w:val="18"/>
          <w:szCs w:val="18"/>
          <w:lang w:val="pl"/>
        </w:rPr>
        <w:t>renovation</w:t>
      </w:r>
      <w:proofErr w:type="spellEnd"/>
      <w:r>
        <w:rPr>
          <w:i/>
          <w:iCs/>
          <w:sz w:val="18"/>
          <w:szCs w:val="18"/>
          <w:lang w:val="pl"/>
        </w:rPr>
        <w:t xml:space="preserve"> </w:t>
      </w:r>
      <w:proofErr w:type="spellStart"/>
      <w:r>
        <w:rPr>
          <w:i/>
          <w:iCs/>
          <w:sz w:val="18"/>
          <w:szCs w:val="18"/>
          <w:lang w:val="pl"/>
        </w:rPr>
        <w:t>works</w:t>
      </w:r>
      <w:proofErr w:type="spellEnd"/>
      <w:r>
        <w:rPr>
          <w:i/>
          <w:iCs/>
          <w:sz w:val="18"/>
          <w:szCs w:val="18"/>
          <w:lang w:val="pl"/>
        </w:rPr>
        <w:t xml:space="preserve"> of </w:t>
      </w:r>
      <w:proofErr w:type="spellStart"/>
      <w:r>
        <w:rPr>
          <w:i/>
          <w:iCs/>
          <w:sz w:val="18"/>
          <w:szCs w:val="18"/>
          <w:lang w:val="pl"/>
        </w:rPr>
        <w:t>buildings</w:t>
      </w:r>
      <w:proofErr w:type="spellEnd"/>
      <w:r>
        <w:rPr>
          <w:sz w:val="18"/>
          <w:szCs w:val="18"/>
          <w:lang w:val="pl"/>
        </w:rPr>
        <w:t>). Dostępne na stronie: https://ec.europa.eu/growth/content/eu-construction-and-demolition-waste-protocol-0_en (dostęp: listopad 2021).</w:t>
      </w:r>
    </w:p>
  </w:footnote>
  <w:footnote w:id="3">
    <w:p w14:paraId="0AF27CE1" w14:textId="168106ED" w:rsidR="00126FEB" w:rsidRPr="00AF7348" w:rsidRDefault="00126FEB" w:rsidP="00F14EAE">
      <w:pPr>
        <w:pStyle w:val="Tekstprzypisudolnego"/>
        <w:spacing w:after="240"/>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Z wyjątkiem projektów prowadzonych w ramach tego działania i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176103">
        <w:rPr>
          <w:sz w:val="18"/>
          <w:szCs w:val="18"/>
          <w:lang w:val="pl"/>
        </w:rPr>
        <w:t xml:space="preserve">Znaczącej </w:t>
      </w:r>
      <w:r>
        <w:rPr>
          <w:sz w:val="18"/>
          <w:szCs w:val="18"/>
          <w:lang w:val="pl"/>
        </w:rPr>
        <w:t>Szk</w:t>
      </w:r>
      <w:r w:rsidR="00176103">
        <w:rPr>
          <w:sz w:val="18"/>
          <w:szCs w:val="18"/>
          <w:lang w:val="pl"/>
        </w:rPr>
        <w:t>ody</w:t>
      </w:r>
      <w:r>
        <w:rPr>
          <w:sz w:val="18"/>
          <w:szCs w:val="18"/>
          <w:lang w:val="pl"/>
        </w:rPr>
        <w:t xml:space="preserve"> (</w:t>
      </w:r>
      <w:r>
        <w:rPr>
          <w:i/>
          <w:iCs/>
          <w:sz w:val="18"/>
          <w:szCs w:val="18"/>
          <w:lang w:val="pl"/>
        </w:rPr>
        <w:t xml:space="preserve">DNSH Technical </w:t>
      </w:r>
      <w:proofErr w:type="spellStart"/>
      <w:r>
        <w:rPr>
          <w:i/>
          <w:iCs/>
          <w:sz w:val="18"/>
          <w:szCs w:val="18"/>
          <w:lang w:val="pl"/>
        </w:rPr>
        <w:t>Guidance</w:t>
      </w:r>
      <w:proofErr w:type="spellEnd"/>
      <w:r>
        <w:rPr>
          <w:i/>
          <w:iCs/>
          <w:sz w:val="18"/>
          <w:szCs w:val="18"/>
          <w:lang w:val="pl"/>
        </w:rPr>
        <w:t>, 2021/C 58/01</w:t>
      </w:r>
      <w:r>
        <w:rPr>
          <w:sz w:val="18"/>
          <w:szCs w:val="18"/>
          <w:lang w:val="pl"/>
        </w:rPr>
        <w:t>).</w:t>
      </w:r>
    </w:p>
  </w:footnote>
  <w:footnote w:id="4">
    <w:p w14:paraId="50587B3E" w14:textId="6EF377C7" w:rsidR="00126FEB" w:rsidRPr="00AF7348" w:rsidRDefault="00126FEB" w:rsidP="00F14EAE">
      <w:pPr>
        <w:spacing w:after="240" w:line="240" w:lineRule="auto"/>
        <w:jc w:val="both"/>
        <w:rPr>
          <w:rFonts w:ascii="Times New Roman" w:eastAsia="Times New Roman" w:hAnsi="Times New Roman" w:cs="Times New Roman"/>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sz w:val="18"/>
          <w:szCs w:val="18"/>
          <w:lang w:val="pl"/>
        </w:rPr>
        <w:t xml:space="preserve"> Jeżeli wspierane działanie prowadzi do osiągnięcia prognozowanych emisji gazów cieplarnianych, które nie są znacząco niższe od odpowiednich poziomów odniesienia, </w:t>
      </w:r>
      <w:r w:rsidR="00663CF6">
        <w:rPr>
          <w:rFonts w:ascii="Times New Roman" w:hAnsi="Times New Roman" w:cs="Times New Roman"/>
          <w:sz w:val="18"/>
          <w:szCs w:val="18"/>
          <w:lang w:val="pl"/>
        </w:rPr>
        <w:t>zostanie przedstawione</w:t>
      </w:r>
      <w:r>
        <w:rPr>
          <w:rFonts w:ascii="Times New Roman" w:hAnsi="Times New Roman" w:cs="Times New Roman"/>
          <w:sz w:val="18"/>
          <w:szCs w:val="18"/>
          <w:lang w:val="pl"/>
        </w:rPr>
        <w:t xml:space="preserve">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5">
    <w:p w14:paraId="26F9A219" w14:textId="77777777" w:rsidR="00126FEB" w:rsidRPr="00AF7348" w:rsidRDefault="00126FEB" w:rsidP="00F14EAE">
      <w:pPr>
        <w:pStyle w:val="Tekstprzypisudolnego"/>
        <w:spacing w:after="240"/>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6">
    <w:p w14:paraId="44F31A46" w14:textId="77777777" w:rsidR="00126FEB" w:rsidRPr="00AF7348" w:rsidRDefault="00126FEB" w:rsidP="00F14EAE">
      <w:pPr>
        <w:pStyle w:val="Tekstprzypisudolnego"/>
        <w:spacing w:after="240"/>
        <w:ind w:left="0" w:firstLine="0"/>
        <w:rPr>
          <w:rFonts w:eastAsia="Times New Roman"/>
          <w:sz w:val="16"/>
          <w:szCs w:val="16"/>
          <w:lang w:val="pl-PL"/>
        </w:rPr>
      </w:pPr>
      <w:r>
        <w:rPr>
          <w:rStyle w:val="Odwoanieprzypisudolnego"/>
          <w:sz w:val="18"/>
          <w:szCs w:val="18"/>
          <w:lang w:val="pl"/>
        </w:rPr>
        <w:footnoteRef/>
      </w:r>
      <w:r>
        <w:rPr>
          <w:sz w:val="18"/>
          <w:szCs w:val="18"/>
          <w:lang w:val="pl"/>
        </w:rPr>
        <w:t xml:space="preserve"> Wyłączenie to nie dotyczy istniejących zakładów mechaniczno-biologicznego przetwarzania odpadów, w przypadku których działania prowadzone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7">
    <w:p w14:paraId="686E7D65" w14:textId="77777777" w:rsidR="00126FEB" w:rsidRPr="00AF7348" w:rsidRDefault="00126FEB" w:rsidP="00F14EAE">
      <w:pPr>
        <w:pStyle w:val="Tekstprzypisudolnego"/>
        <w:spacing w:after="240"/>
        <w:ind w:left="0" w:firstLine="0"/>
        <w:rPr>
          <w:sz w:val="18"/>
          <w:lang w:val="pl-PL"/>
        </w:rPr>
      </w:pPr>
      <w:r>
        <w:rPr>
          <w:rStyle w:val="Odwoanieprzypisudolnego"/>
          <w:sz w:val="18"/>
          <w:lang w:val="pl"/>
        </w:rPr>
        <w:footnoteRef/>
      </w:r>
      <w:r>
        <w:rPr>
          <w:sz w:val="18"/>
          <w:lang w:val="pl"/>
        </w:rPr>
        <w:t xml:space="preserve"> Zgodnie z definicją zawartą w art. 3(11) Rozporządzenia (UE) 2019/1242: pojazd ciężki nieposiadający silnika spalinowego wewnętrznego spalania lub posiadający silnik spalinowy wewnętrznego spalania emitujący mniej niż 1 g CO</w:t>
      </w:r>
      <w:r>
        <w:rPr>
          <w:sz w:val="18"/>
          <w:vertAlign w:val="subscript"/>
          <w:lang w:val="pl"/>
        </w:rPr>
        <w:t>2</w:t>
      </w:r>
      <w:r>
        <w:rPr>
          <w:sz w:val="18"/>
          <w:lang w:val="pl"/>
        </w:rPr>
        <w:t>/km.</w:t>
      </w:r>
    </w:p>
  </w:footnote>
  <w:footnote w:id="8">
    <w:p w14:paraId="62CABCB5" w14:textId="77777777" w:rsidR="00126FEB" w:rsidRPr="00AF7348" w:rsidRDefault="00126FEB" w:rsidP="00F14EAE">
      <w:pPr>
        <w:pStyle w:val="Tekstprzypisudolnego"/>
        <w:spacing w:after="240"/>
        <w:ind w:left="0" w:firstLine="0"/>
        <w:rPr>
          <w:lang w:val="pl-PL"/>
        </w:rPr>
      </w:pPr>
      <w:r>
        <w:rPr>
          <w:rStyle w:val="Odwoanieprzypisudolnego"/>
          <w:sz w:val="18"/>
          <w:lang w:val="pl"/>
        </w:rPr>
        <w:footnoteRef/>
      </w:r>
      <w:r>
        <w:rPr>
          <w:sz w:val="18"/>
          <w:lang w:val="pl"/>
        </w:rPr>
        <w:t xml:space="preserve"> Zgodnie z definicją zawartą w art. 3(12) Rozporządzenia (UE) 2019/1242: pojazd o emisji CO</w:t>
      </w:r>
      <w:r>
        <w:rPr>
          <w:sz w:val="18"/>
          <w:vertAlign w:val="subscript"/>
          <w:lang w:val="pl"/>
        </w:rPr>
        <w:t>2</w:t>
      </w:r>
      <w:r>
        <w:rPr>
          <w:sz w:val="18"/>
          <w:lang w:val="pl"/>
        </w:rPr>
        <w:t xml:space="preserve"> mniejszej niż połowa wartości emisji odniesienia CO</w:t>
      </w:r>
      <w:r>
        <w:rPr>
          <w:sz w:val="18"/>
          <w:vertAlign w:val="subscript"/>
          <w:lang w:val="pl"/>
        </w:rPr>
        <w:t>2</w:t>
      </w:r>
      <w:r>
        <w:rPr>
          <w:sz w:val="18"/>
          <w:lang w:val="pl"/>
        </w:rPr>
        <w:t xml:space="preserve"> dla wszystkich pojazdów w podgrupie pojazdów, do której należy ten pojazd; wartości referencyjne różnią się w zależności od typu samochodu ciężarowego.</w:t>
      </w:r>
    </w:p>
  </w:footnote>
  <w:footnote w:id="9">
    <w:p w14:paraId="63101451" w14:textId="797057CB" w:rsidR="00126FEB" w:rsidRPr="00AF7348" w:rsidRDefault="00126FEB" w:rsidP="00F14EA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color w:val="000000"/>
          <w:sz w:val="18"/>
          <w:szCs w:val="18"/>
          <w:lang w:val="pl"/>
        </w:rPr>
        <w:t xml:space="preserve"> Z wyjątkiem projektów w ramach tego działania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176103">
        <w:rPr>
          <w:rFonts w:ascii="Times New Roman" w:hAnsi="Times New Roman" w:cs="Times New Roman"/>
          <w:color w:val="000000"/>
          <w:sz w:val="18"/>
          <w:szCs w:val="18"/>
          <w:lang w:val="pl"/>
        </w:rPr>
        <w:t xml:space="preserve">Znaczącej </w:t>
      </w:r>
      <w:r>
        <w:rPr>
          <w:rFonts w:ascii="Times New Roman" w:hAnsi="Times New Roman" w:cs="Times New Roman"/>
          <w:color w:val="000000"/>
          <w:sz w:val="18"/>
          <w:szCs w:val="18"/>
          <w:lang w:val="pl"/>
        </w:rPr>
        <w:t>Szk</w:t>
      </w:r>
      <w:r w:rsidR="008577CD">
        <w:rPr>
          <w:rFonts w:ascii="Times New Roman" w:hAnsi="Times New Roman" w:cs="Times New Roman"/>
          <w:color w:val="000000"/>
          <w:sz w:val="18"/>
          <w:szCs w:val="18"/>
          <w:lang w:val="pl"/>
        </w:rPr>
        <w:t>ody</w:t>
      </w:r>
      <w:r>
        <w:rPr>
          <w:rFonts w:ascii="Times New Roman" w:hAnsi="Times New Roman" w:cs="Times New Roman"/>
          <w:color w:val="000000"/>
          <w:sz w:val="18"/>
          <w:szCs w:val="18"/>
          <w:lang w:val="pl"/>
        </w:rPr>
        <w:t xml:space="preserve"> (</w:t>
      </w:r>
      <w:r w:rsidRPr="00C770F4">
        <w:rPr>
          <w:rFonts w:ascii="Times New Roman" w:hAnsi="Times New Roman" w:cs="Times New Roman"/>
          <w:i/>
          <w:iCs/>
          <w:color w:val="000000"/>
          <w:sz w:val="18"/>
          <w:szCs w:val="18"/>
          <w:lang w:val="pl"/>
        </w:rPr>
        <w:t xml:space="preserve">DNSH Technical </w:t>
      </w:r>
      <w:proofErr w:type="spellStart"/>
      <w:r w:rsidRPr="00C770F4">
        <w:rPr>
          <w:rFonts w:ascii="Times New Roman" w:hAnsi="Times New Roman" w:cs="Times New Roman"/>
          <w:i/>
          <w:iCs/>
          <w:color w:val="000000"/>
          <w:sz w:val="18"/>
          <w:szCs w:val="18"/>
          <w:lang w:val="pl"/>
        </w:rPr>
        <w:t>Guidance</w:t>
      </w:r>
      <w:proofErr w:type="spellEnd"/>
      <w:r w:rsidRPr="00C770F4">
        <w:rPr>
          <w:rFonts w:ascii="Times New Roman" w:hAnsi="Times New Roman" w:cs="Times New Roman"/>
          <w:i/>
          <w:iCs/>
          <w:color w:val="000000"/>
          <w:sz w:val="18"/>
          <w:szCs w:val="18"/>
          <w:lang w:val="pl"/>
        </w:rPr>
        <w:t>, 2021/C 58/01</w:t>
      </w:r>
      <w:r>
        <w:rPr>
          <w:rFonts w:ascii="Times New Roman" w:hAnsi="Times New Roman" w:cs="Times New Roman"/>
          <w:color w:val="000000"/>
          <w:sz w:val="18"/>
          <w:szCs w:val="18"/>
          <w:lang w:val="pl"/>
        </w:rPr>
        <w:t>).</w:t>
      </w:r>
    </w:p>
  </w:footnote>
  <w:footnote w:id="10">
    <w:p w14:paraId="6296EAAA" w14:textId="65E5109D" w:rsidR="00126FEB" w:rsidRPr="00AF7348" w:rsidRDefault="00126FEB" w:rsidP="00F14EAE">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pl-PL"/>
        </w:rPr>
      </w:pPr>
      <w:r>
        <w:rPr>
          <w:rStyle w:val="Odwoanieprzypisudolnego"/>
          <w:rFonts w:ascii="Times New Roman" w:hAnsi="Times New Roman" w:cs="Times New Roman"/>
          <w:sz w:val="18"/>
          <w:szCs w:val="18"/>
          <w:lang w:val="pl"/>
        </w:rPr>
        <w:footnoteRef/>
      </w:r>
      <w:r>
        <w:rPr>
          <w:rFonts w:ascii="Times New Roman" w:eastAsia="Times New Roman" w:hAnsi="Times New Roman" w:cs="Times New Roman"/>
          <w:color w:val="000000"/>
          <w:sz w:val="18"/>
          <w:szCs w:val="18"/>
          <w:lang w:val="pl"/>
        </w:rPr>
        <w:t xml:space="preserve"> Jeżeli wspierane działanie prowadzi do osiągnięcia prognozowanych emisji gazów cieplarnianych, które nie są znacząco niższe od odpowiednich poziomów odniesienia, </w:t>
      </w:r>
      <w:r w:rsidR="00663CF6">
        <w:rPr>
          <w:rFonts w:ascii="Times New Roman" w:eastAsia="Times New Roman" w:hAnsi="Times New Roman" w:cs="Times New Roman"/>
          <w:color w:val="000000"/>
          <w:sz w:val="18"/>
          <w:szCs w:val="18"/>
          <w:lang w:val="pl"/>
        </w:rPr>
        <w:t xml:space="preserve"> zostanie przedstawione</w:t>
      </w:r>
      <w:r>
        <w:rPr>
          <w:rFonts w:ascii="Times New Roman" w:eastAsia="Times New Roman" w:hAnsi="Times New Roman" w:cs="Times New Roman"/>
          <w:color w:val="000000"/>
          <w:sz w:val="18"/>
          <w:szCs w:val="18"/>
          <w:lang w:val="pl"/>
        </w:rPr>
        <w:t xml:space="preserve">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11">
    <w:p w14:paraId="63F0BE5B" w14:textId="77777777" w:rsidR="00126FEB" w:rsidRPr="00AF7348" w:rsidRDefault="00126FEB" w:rsidP="004C514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color w:val="000000"/>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12">
    <w:p w14:paraId="508C08BD" w14:textId="77777777" w:rsidR="00126FEB" w:rsidRPr="00AF7348" w:rsidRDefault="00126FEB" w:rsidP="004C514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pl-PL"/>
        </w:rPr>
      </w:pPr>
      <w:r>
        <w:rPr>
          <w:rStyle w:val="Odwoanieprzypisudolnego"/>
          <w:rFonts w:ascii="Times New Roman" w:hAnsi="Times New Roman" w:cs="Times New Roman"/>
          <w:sz w:val="18"/>
          <w:szCs w:val="18"/>
          <w:lang w:val="pl"/>
        </w:rPr>
        <w:footnoteRef/>
      </w:r>
      <w:r>
        <w:rPr>
          <w:rFonts w:ascii="Times New Roman" w:eastAsia="Times New Roman" w:hAnsi="Times New Roman" w:cs="Times New Roman"/>
          <w:color w:val="000000"/>
          <w:sz w:val="18"/>
          <w:szCs w:val="18"/>
          <w:lang w:val="pl"/>
        </w:rPr>
        <w:t xml:space="preserve"> Wyłączenie to nie dotyczy działań w istniejących zakładach mechaniczno-biologicznego przetwarzania odpadów, w przypadku których działania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13">
    <w:p w14:paraId="49B71694" w14:textId="6C90C48F" w:rsidR="00126FEB" w:rsidRPr="00AF7348" w:rsidRDefault="00126FEB" w:rsidP="00141808">
      <w:pPr>
        <w:pStyle w:val="Tekstprzypisudolnego"/>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Z wyjątkiem projektów w ramach tego działania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8577CD">
        <w:rPr>
          <w:sz w:val="18"/>
          <w:szCs w:val="18"/>
          <w:lang w:val="pl"/>
        </w:rPr>
        <w:t xml:space="preserve">Znaczącej </w:t>
      </w:r>
      <w:r>
        <w:rPr>
          <w:sz w:val="18"/>
          <w:szCs w:val="18"/>
          <w:lang w:val="pl"/>
        </w:rPr>
        <w:t>Szk</w:t>
      </w:r>
      <w:r w:rsidR="008577CD">
        <w:rPr>
          <w:sz w:val="18"/>
          <w:szCs w:val="18"/>
          <w:lang w:val="pl"/>
        </w:rPr>
        <w:t>ody</w:t>
      </w:r>
      <w:r>
        <w:rPr>
          <w:sz w:val="18"/>
          <w:szCs w:val="18"/>
          <w:lang w:val="pl"/>
        </w:rPr>
        <w:t xml:space="preserve"> (</w:t>
      </w:r>
      <w:r w:rsidRPr="00A564DE">
        <w:rPr>
          <w:i/>
          <w:iCs/>
          <w:sz w:val="18"/>
          <w:szCs w:val="18"/>
          <w:lang w:val="pl"/>
        </w:rPr>
        <w:t xml:space="preserve">DNSH Technical </w:t>
      </w:r>
      <w:proofErr w:type="spellStart"/>
      <w:r w:rsidRPr="00A564DE">
        <w:rPr>
          <w:i/>
          <w:iCs/>
          <w:sz w:val="18"/>
          <w:szCs w:val="18"/>
          <w:lang w:val="pl"/>
        </w:rPr>
        <w:t>Guidance</w:t>
      </w:r>
      <w:proofErr w:type="spellEnd"/>
      <w:r w:rsidRPr="00A564DE">
        <w:rPr>
          <w:i/>
          <w:iCs/>
          <w:sz w:val="18"/>
          <w:szCs w:val="18"/>
          <w:lang w:val="pl"/>
        </w:rPr>
        <w:t>, 2021/C 58/01</w:t>
      </w:r>
      <w:r>
        <w:rPr>
          <w:sz w:val="18"/>
          <w:szCs w:val="18"/>
          <w:lang w:val="pl"/>
        </w:rPr>
        <w:t>).</w:t>
      </w:r>
    </w:p>
    <w:p w14:paraId="6D3D4F05" w14:textId="77777777" w:rsidR="00126FEB" w:rsidRPr="00AF7348" w:rsidRDefault="00126FEB" w:rsidP="00141808">
      <w:pPr>
        <w:pStyle w:val="Tekstprzypisudolnego"/>
        <w:ind w:left="0" w:firstLine="0"/>
        <w:rPr>
          <w:sz w:val="18"/>
          <w:szCs w:val="18"/>
          <w:lang w:val="pl-PL"/>
        </w:rPr>
      </w:pPr>
    </w:p>
  </w:footnote>
  <w:footnote w:id="14">
    <w:p w14:paraId="59C5F540" w14:textId="08D1A082" w:rsidR="00126FEB" w:rsidRPr="00AF7348" w:rsidRDefault="00126FEB" w:rsidP="00141808">
      <w:pPr>
        <w:pStyle w:val="Tekstprzypisudolnego"/>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odniesienia, </w:t>
      </w:r>
      <w:r w:rsidR="00663CF6">
        <w:rPr>
          <w:sz w:val="18"/>
          <w:szCs w:val="18"/>
          <w:lang w:val="pl"/>
        </w:rPr>
        <w:t xml:space="preserve"> zostanie przedstawione</w:t>
      </w:r>
      <w:r>
        <w:rPr>
          <w:sz w:val="18"/>
          <w:szCs w:val="18"/>
          <w:lang w:val="pl"/>
        </w:rPr>
        <w:t xml:space="preserve">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p w14:paraId="769306E1" w14:textId="77777777" w:rsidR="00126FEB" w:rsidRPr="00AF7348" w:rsidRDefault="00126FEB" w:rsidP="00141808">
      <w:pPr>
        <w:pStyle w:val="Tekstprzypisudolnego"/>
        <w:ind w:left="0" w:firstLine="0"/>
        <w:rPr>
          <w:sz w:val="18"/>
          <w:szCs w:val="18"/>
          <w:lang w:val="pl-PL"/>
        </w:rPr>
      </w:pPr>
    </w:p>
  </w:footnote>
  <w:footnote w:id="15">
    <w:p w14:paraId="484F65B7" w14:textId="4AFCA88E" w:rsidR="00126FEB" w:rsidRPr="00AF7348" w:rsidRDefault="00126FEB" w:rsidP="00141808">
      <w:pPr>
        <w:pStyle w:val="Tekstprzypisudolnego"/>
        <w:ind w:left="0" w:firstLine="0"/>
        <w:rPr>
          <w:rFonts w:eastAsia="Times New Roman"/>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p w14:paraId="59DB1D0F" w14:textId="77777777" w:rsidR="00126FEB" w:rsidRPr="00AF7348" w:rsidRDefault="00126FEB" w:rsidP="00141808">
      <w:pPr>
        <w:pStyle w:val="Tekstprzypisudolnego"/>
        <w:ind w:left="0" w:firstLine="0"/>
        <w:rPr>
          <w:sz w:val="18"/>
          <w:szCs w:val="18"/>
          <w:lang w:val="pl-PL"/>
        </w:rPr>
      </w:pPr>
    </w:p>
  </w:footnote>
  <w:footnote w:id="16">
    <w:p w14:paraId="2E46A04B" w14:textId="3E31E909" w:rsidR="00126FEB" w:rsidRPr="00AF7348" w:rsidRDefault="00126FEB" w:rsidP="00141808">
      <w:pPr>
        <w:spacing w:after="240" w:line="240" w:lineRule="auto"/>
        <w:jc w:val="both"/>
        <w:rPr>
          <w:rFonts w:ascii="Times New Roman" w:eastAsia="Times New Roman" w:hAnsi="Times New Roman" w:cs="Times New Roman"/>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sz w:val="18"/>
          <w:szCs w:val="18"/>
          <w:lang w:val="pl"/>
        </w:rPr>
        <w:t xml:space="preserve"> Wyłączenie to nie dotyczy działań w istniejących zakładach mechaniczno-biologicznego przetwarzania odpadów, w przypadku których działania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17">
    <w:p w14:paraId="143A90CC" w14:textId="4B326EC5" w:rsidR="00126FEB" w:rsidRPr="00AF7348" w:rsidRDefault="00126FEB" w:rsidP="00B5107C">
      <w:pPr>
        <w:pBdr>
          <w:top w:val="nil"/>
          <w:left w:val="nil"/>
          <w:bottom w:val="nil"/>
          <w:right w:val="nil"/>
          <w:between w:val="nil"/>
        </w:pBdr>
        <w:spacing w:after="120" w:line="257" w:lineRule="auto"/>
        <w:jc w:val="both"/>
        <w:rPr>
          <w:rFonts w:ascii="Times New Roman" w:eastAsia="Times New Roman" w:hAnsi="Times New Roman" w:cs="Times New Roman"/>
          <w:sz w:val="18"/>
          <w:szCs w:val="18"/>
          <w:lang w:val="pl-PL"/>
        </w:rPr>
      </w:pPr>
      <w:r>
        <w:rPr>
          <w:rStyle w:val="Odwoanieprzypisudolnego"/>
          <w:rFonts w:ascii="Times New Roman" w:hAnsi="Times New Roman" w:cs="Times New Roman"/>
          <w:sz w:val="18"/>
          <w:szCs w:val="18"/>
          <w:lang w:val="pl"/>
        </w:rPr>
        <w:footnoteRef/>
      </w:r>
      <w:r>
        <w:rPr>
          <w:rFonts w:ascii="Times New Roman" w:hAnsi="Times New Roman" w:cs="Times New Roman"/>
          <w:sz w:val="18"/>
          <w:szCs w:val="18"/>
          <w:lang w:val="pl"/>
        </w:rPr>
        <w:t xml:space="preserve"> Z wyjątkiem projektów w ramach tego działania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F6328D">
        <w:rPr>
          <w:rFonts w:ascii="Times New Roman" w:hAnsi="Times New Roman" w:cs="Times New Roman"/>
          <w:sz w:val="18"/>
          <w:szCs w:val="18"/>
          <w:lang w:val="pl"/>
        </w:rPr>
        <w:t xml:space="preserve">Znaczącej </w:t>
      </w:r>
      <w:r>
        <w:rPr>
          <w:rFonts w:ascii="Times New Roman" w:hAnsi="Times New Roman" w:cs="Times New Roman"/>
          <w:sz w:val="18"/>
          <w:szCs w:val="18"/>
          <w:lang w:val="pl"/>
        </w:rPr>
        <w:t>Szk</w:t>
      </w:r>
      <w:r w:rsidR="00F6328D">
        <w:rPr>
          <w:rFonts w:ascii="Times New Roman" w:hAnsi="Times New Roman" w:cs="Times New Roman"/>
          <w:sz w:val="18"/>
          <w:szCs w:val="18"/>
          <w:lang w:val="pl"/>
        </w:rPr>
        <w:t>ody</w:t>
      </w:r>
      <w:r>
        <w:rPr>
          <w:rFonts w:ascii="Times New Roman" w:hAnsi="Times New Roman" w:cs="Times New Roman"/>
          <w:sz w:val="18"/>
          <w:szCs w:val="18"/>
          <w:lang w:val="pl"/>
        </w:rPr>
        <w:t xml:space="preserve"> (</w:t>
      </w:r>
      <w:r w:rsidRPr="006810F7">
        <w:rPr>
          <w:rFonts w:ascii="Times New Roman" w:hAnsi="Times New Roman" w:cs="Times New Roman"/>
          <w:i/>
          <w:iCs/>
          <w:sz w:val="18"/>
          <w:szCs w:val="18"/>
          <w:lang w:val="pl"/>
        </w:rPr>
        <w:t xml:space="preserve">DNSH Technical </w:t>
      </w:r>
      <w:proofErr w:type="spellStart"/>
      <w:r w:rsidRPr="006810F7">
        <w:rPr>
          <w:rFonts w:ascii="Times New Roman" w:hAnsi="Times New Roman" w:cs="Times New Roman"/>
          <w:i/>
          <w:iCs/>
          <w:sz w:val="18"/>
          <w:szCs w:val="18"/>
          <w:lang w:val="pl"/>
        </w:rPr>
        <w:t>Guidance</w:t>
      </w:r>
      <w:proofErr w:type="spellEnd"/>
      <w:r w:rsidRPr="006810F7">
        <w:rPr>
          <w:rFonts w:ascii="Times New Roman" w:hAnsi="Times New Roman" w:cs="Times New Roman"/>
          <w:i/>
          <w:iCs/>
          <w:sz w:val="18"/>
          <w:szCs w:val="18"/>
          <w:lang w:val="pl"/>
        </w:rPr>
        <w:t>, 2021/C 58/01</w:t>
      </w:r>
      <w:r>
        <w:rPr>
          <w:rFonts w:ascii="Times New Roman" w:hAnsi="Times New Roman" w:cs="Times New Roman"/>
          <w:sz w:val="18"/>
          <w:szCs w:val="18"/>
          <w:lang w:val="pl"/>
        </w:rPr>
        <w:t>).</w:t>
      </w:r>
    </w:p>
  </w:footnote>
  <w:footnote w:id="18">
    <w:p w14:paraId="2D3A97D4" w14:textId="7856EAD5" w:rsidR="00126FEB" w:rsidRPr="00AF7348" w:rsidRDefault="00126FEB" w:rsidP="004F3C78">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odniesienia, należy przedstawić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19">
    <w:p w14:paraId="0458E323" w14:textId="77777777" w:rsidR="00126FEB" w:rsidRPr="00AF7348" w:rsidRDefault="00126FEB" w:rsidP="004F3C78">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20">
    <w:p w14:paraId="0CA2247E" w14:textId="77777777" w:rsidR="00126FEB" w:rsidRPr="00AF7348" w:rsidRDefault="00126FEB" w:rsidP="004F3C78">
      <w:pPr>
        <w:pBdr>
          <w:top w:val="nil"/>
          <w:left w:val="nil"/>
          <w:bottom w:val="nil"/>
          <w:right w:val="nil"/>
          <w:between w:val="nil"/>
        </w:pBdr>
        <w:spacing w:after="240" w:line="240" w:lineRule="auto"/>
        <w:jc w:val="both"/>
        <w:rPr>
          <w:rFonts w:ascii="Times New Roman" w:eastAsia="Times New Roman" w:hAnsi="Times New Roman" w:cs="Times New Roman"/>
          <w:sz w:val="16"/>
          <w:szCs w:val="16"/>
          <w:lang w:val="pl-PL"/>
        </w:rPr>
      </w:pPr>
      <w:r>
        <w:rPr>
          <w:rStyle w:val="Odwoanieprzypisudolnego"/>
          <w:rFonts w:ascii="Times New Roman" w:hAnsi="Times New Roman" w:cs="Times New Roman"/>
          <w:sz w:val="18"/>
          <w:szCs w:val="18"/>
          <w:lang w:val="pl"/>
        </w:rPr>
        <w:footnoteRef/>
      </w:r>
      <w:r>
        <w:rPr>
          <w:rFonts w:ascii="Times New Roman" w:hAnsi="Times New Roman" w:cs="Times New Roman"/>
          <w:sz w:val="18"/>
          <w:szCs w:val="18"/>
          <w:lang w:val="pl"/>
        </w:rPr>
        <w:t xml:space="preserve"> Wyłączenie to nie dotyczy działań w istniejących zakładach mechaniczno-biologicznego przetwarzania odpadów, w przypadku których działania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21">
    <w:p w14:paraId="17F6034B" w14:textId="1D912FA0" w:rsidR="00126FEB" w:rsidRPr="00AF7348" w:rsidRDefault="00126FEB" w:rsidP="00481E6D">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Z wyjątkiem projektów prowadzonych w ramach tego działania i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FC74FB">
        <w:rPr>
          <w:sz w:val="18"/>
          <w:szCs w:val="18"/>
          <w:lang w:val="pl"/>
        </w:rPr>
        <w:t xml:space="preserve">Znaczącej </w:t>
      </w:r>
      <w:r>
        <w:rPr>
          <w:sz w:val="18"/>
          <w:szCs w:val="18"/>
          <w:lang w:val="pl"/>
        </w:rPr>
        <w:t>Szk</w:t>
      </w:r>
      <w:r w:rsidR="00FC74FB">
        <w:rPr>
          <w:sz w:val="18"/>
          <w:szCs w:val="18"/>
          <w:lang w:val="pl"/>
        </w:rPr>
        <w:t>ody</w:t>
      </w:r>
      <w:r>
        <w:rPr>
          <w:sz w:val="18"/>
          <w:szCs w:val="18"/>
          <w:lang w:val="pl"/>
        </w:rPr>
        <w:t xml:space="preserve"> (</w:t>
      </w:r>
      <w:r>
        <w:rPr>
          <w:i/>
          <w:iCs/>
          <w:sz w:val="18"/>
          <w:szCs w:val="18"/>
          <w:lang w:val="pl"/>
        </w:rPr>
        <w:t xml:space="preserve">DNSH Technical </w:t>
      </w:r>
      <w:proofErr w:type="spellStart"/>
      <w:r>
        <w:rPr>
          <w:i/>
          <w:iCs/>
          <w:sz w:val="18"/>
          <w:szCs w:val="18"/>
          <w:lang w:val="pl"/>
        </w:rPr>
        <w:t>Guidance</w:t>
      </w:r>
      <w:proofErr w:type="spellEnd"/>
      <w:r>
        <w:rPr>
          <w:i/>
          <w:iCs/>
          <w:sz w:val="18"/>
          <w:szCs w:val="18"/>
          <w:lang w:val="pl"/>
        </w:rPr>
        <w:t>, 2021/C 58/01</w:t>
      </w:r>
      <w:r>
        <w:rPr>
          <w:sz w:val="18"/>
          <w:szCs w:val="18"/>
          <w:lang w:val="pl"/>
        </w:rPr>
        <w:t>).</w:t>
      </w:r>
    </w:p>
  </w:footnote>
  <w:footnote w:id="22">
    <w:p w14:paraId="1291BE33" w14:textId="3E5FB087" w:rsidR="00126FEB" w:rsidRPr="00AF7348" w:rsidRDefault="00126FEB" w:rsidP="00481E6D">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odniesienia, należy przedstawić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23">
    <w:p w14:paraId="7BB9DAC5" w14:textId="77777777" w:rsidR="00126FEB" w:rsidRPr="00AF7348" w:rsidRDefault="00126FEB" w:rsidP="00481E6D">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24">
    <w:p w14:paraId="132774F8" w14:textId="77777777" w:rsidR="00126FEB" w:rsidRPr="00AF7348" w:rsidRDefault="00126FEB" w:rsidP="00481E6D">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istniejących zakładów mechaniczno-biologicznego przetwarzania odpadów, w przypadku których działania prowadzone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25">
    <w:p w14:paraId="5B6F72E2" w14:textId="62EC4D90" w:rsidR="00126FEB" w:rsidRPr="00AF7348" w:rsidRDefault="00126FEB" w:rsidP="003D4B55">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Z wyjątkiem projektów prowadzonych w ramach tego działania i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w:t>
      </w:r>
      <w:r w:rsidR="00FC74FB">
        <w:rPr>
          <w:sz w:val="18"/>
          <w:szCs w:val="18"/>
          <w:lang w:val="pl"/>
        </w:rPr>
        <w:t xml:space="preserve">Znaczącej </w:t>
      </w:r>
      <w:r>
        <w:rPr>
          <w:sz w:val="18"/>
          <w:szCs w:val="18"/>
          <w:lang w:val="pl"/>
        </w:rPr>
        <w:t>Szk</w:t>
      </w:r>
      <w:r w:rsidR="00FC74FB">
        <w:rPr>
          <w:sz w:val="18"/>
          <w:szCs w:val="18"/>
          <w:lang w:val="pl"/>
        </w:rPr>
        <w:t>ody</w:t>
      </w:r>
      <w:r>
        <w:rPr>
          <w:sz w:val="18"/>
          <w:szCs w:val="18"/>
          <w:lang w:val="pl"/>
        </w:rPr>
        <w:t xml:space="preserve"> (</w:t>
      </w:r>
      <w:r>
        <w:rPr>
          <w:i/>
          <w:iCs/>
          <w:sz w:val="18"/>
          <w:szCs w:val="18"/>
          <w:lang w:val="pl"/>
        </w:rPr>
        <w:t xml:space="preserve">DNSH Technical </w:t>
      </w:r>
      <w:proofErr w:type="spellStart"/>
      <w:r>
        <w:rPr>
          <w:i/>
          <w:iCs/>
          <w:sz w:val="18"/>
          <w:szCs w:val="18"/>
          <w:lang w:val="pl"/>
        </w:rPr>
        <w:t>Guidance</w:t>
      </w:r>
      <w:proofErr w:type="spellEnd"/>
      <w:r>
        <w:rPr>
          <w:i/>
          <w:iCs/>
          <w:sz w:val="18"/>
          <w:szCs w:val="18"/>
          <w:lang w:val="pl"/>
        </w:rPr>
        <w:t>, 2021/C 58/01</w:t>
      </w:r>
      <w:r>
        <w:rPr>
          <w:sz w:val="18"/>
          <w:szCs w:val="18"/>
          <w:lang w:val="pl"/>
        </w:rPr>
        <w:t>).</w:t>
      </w:r>
    </w:p>
  </w:footnote>
  <w:footnote w:id="26">
    <w:p w14:paraId="43B9F8DB" w14:textId="61CC25FC" w:rsidR="00126FEB" w:rsidRPr="00AF7348" w:rsidRDefault="00126FEB" w:rsidP="003D4B55">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odniesienia, należy przedstawić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27">
    <w:p w14:paraId="06673560" w14:textId="77777777" w:rsidR="00126FEB" w:rsidRPr="00AF7348" w:rsidRDefault="00126FEB" w:rsidP="003D4B55">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28">
    <w:p w14:paraId="4F991F2B" w14:textId="77777777" w:rsidR="00126FEB" w:rsidRPr="00AF7348" w:rsidRDefault="00126FEB" w:rsidP="003D4B55">
      <w:pPr>
        <w:pStyle w:val="Tekstprzypisudolnego"/>
        <w:spacing w:after="240"/>
        <w:ind w:left="0" w:firstLine="0"/>
        <w:rPr>
          <w:lang w:val="pl-PL"/>
        </w:rPr>
      </w:pPr>
      <w:r>
        <w:rPr>
          <w:rStyle w:val="Odwoanieprzypisudolnego"/>
          <w:sz w:val="18"/>
          <w:szCs w:val="18"/>
          <w:lang w:val="pl"/>
        </w:rPr>
        <w:footnoteRef/>
      </w:r>
      <w:r>
        <w:rPr>
          <w:sz w:val="18"/>
          <w:szCs w:val="18"/>
          <w:lang w:val="pl"/>
        </w:rPr>
        <w:t xml:space="preserve"> Wyłączenie to nie dotyczy istniejących zakładów mechaniczno-biologicznego przetwarzania odpadów, w przypadku których działania prowadzone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 w:id="29">
    <w:p w14:paraId="08D2E802" w14:textId="77777777" w:rsidR="00126FEB" w:rsidRPr="00AF7348" w:rsidRDefault="00126FEB" w:rsidP="257B341F">
      <w:pPr>
        <w:jc w:val="both"/>
        <w:rPr>
          <w:rFonts w:ascii="Times New Roman" w:hAnsi="Times New Roman"/>
          <w:sz w:val="20"/>
          <w:szCs w:val="20"/>
          <w:lang w:val="pl-PL"/>
        </w:rPr>
      </w:pPr>
      <w:r>
        <w:rPr>
          <w:rStyle w:val="Odwoanieprzypisudolnego"/>
          <w:rFonts w:ascii="Times New Roman" w:hAnsi="Times New Roman" w:cs="Times New Roman"/>
          <w:lang w:val="pl"/>
        </w:rPr>
        <w:footnoteRef/>
      </w:r>
      <w:r>
        <w:rPr>
          <w:rFonts w:ascii="Times New Roman" w:hAnsi="Times New Roman"/>
          <w:lang w:val="pl"/>
        </w:rPr>
        <w:t xml:space="preserve"> </w:t>
      </w:r>
      <w:r>
        <w:rPr>
          <w:rFonts w:ascii="Times New Roman" w:hAnsi="Times New Roman"/>
          <w:sz w:val="20"/>
          <w:szCs w:val="20"/>
          <w:lang w:val="pl"/>
        </w:rPr>
        <w:t>W szczególności, działanie to wymaga, aby podmioty gospodarcze wykonujące roboty budowlane gwarantowały, że co najmniej 70% (wagowo) nie niebezpiecznych odpadów pochodzących z budowy i rozbiórki (z wyłączeniem materiałów występujących w naturze, o których mowa w kategorii 17 05 04 europejskiego wykazu odpadów ustanowionego decyzją 2000/532/WE z dnia 3 maja 2000 r. zastępującą decyzję 94/3/WE ustanawiającą wykaz odpadów zgodnie z art. 1 lit. a) dyrektywy Rady 75/442/EWG w sprawie odpadów, oraz decyzją Rady 94/904/WE ustanawiającą wykaz odpadów niebezpiecznych zgodnie z art. 1 ust. 4 dyrektywy Rady 91/689/EWG w sprawie odpadów niebezpiecznych (notyfikowanej jako dokument nr C(2000) 1147)), i wytworzonych na placu budowy, zostanie przygotowanych do ponownego wykorzystania, recyklingu czy też innego rodzaju odzysku materiałowego, w tym do operacji wypełniania wyrobisk przy użyciu tych odpadów jako substytutu innych materiałów, zgodnie z hierarchią postępowania z odpadami oraz Protokołem UE w sprawie postępowania z odpadami budowlanymi i pochodzącymi z rozbiórki (</w:t>
      </w:r>
      <w:r>
        <w:rPr>
          <w:rFonts w:ascii="Times New Roman" w:hAnsi="Times New Roman"/>
          <w:i/>
          <w:iCs/>
          <w:sz w:val="20"/>
          <w:szCs w:val="20"/>
          <w:lang w:val="pl"/>
        </w:rPr>
        <w:t xml:space="preserve">EU Construction and </w:t>
      </w:r>
      <w:proofErr w:type="spellStart"/>
      <w:r>
        <w:rPr>
          <w:rFonts w:ascii="Times New Roman" w:hAnsi="Times New Roman"/>
          <w:i/>
          <w:iCs/>
          <w:sz w:val="20"/>
          <w:szCs w:val="20"/>
          <w:lang w:val="pl"/>
        </w:rPr>
        <w:t>Demolition</w:t>
      </w:r>
      <w:proofErr w:type="spellEnd"/>
      <w:r>
        <w:rPr>
          <w:rFonts w:ascii="Times New Roman" w:hAnsi="Times New Roman"/>
          <w:i/>
          <w:iCs/>
          <w:sz w:val="20"/>
          <w:szCs w:val="20"/>
          <w:lang w:val="pl"/>
        </w:rPr>
        <w:t xml:space="preserve"> Waste Management </w:t>
      </w:r>
      <w:proofErr w:type="spellStart"/>
      <w:r>
        <w:rPr>
          <w:rFonts w:ascii="Times New Roman" w:hAnsi="Times New Roman"/>
          <w:i/>
          <w:iCs/>
          <w:sz w:val="20"/>
          <w:szCs w:val="20"/>
          <w:lang w:val="pl"/>
        </w:rPr>
        <w:t>Protocol</w:t>
      </w:r>
      <w:proofErr w:type="spellEnd"/>
      <w:r>
        <w:rPr>
          <w:rFonts w:ascii="Times New Roman" w:hAnsi="Times New Roman"/>
          <w:sz w:val="20"/>
          <w:szCs w:val="20"/>
          <w:lang w:val="pl"/>
        </w:rPr>
        <w:t>).</w:t>
      </w:r>
    </w:p>
    <w:p w14:paraId="478D7399" w14:textId="77777777" w:rsidR="00126FEB" w:rsidRPr="00AF7348" w:rsidRDefault="00126FEB" w:rsidP="257B341F">
      <w:pPr>
        <w:pStyle w:val="Tekstprzypisudolnego"/>
        <w:rPr>
          <w:lang w:val="pl-PL"/>
        </w:rPr>
      </w:pPr>
    </w:p>
  </w:footnote>
  <w:footnote w:id="30">
    <w:p w14:paraId="45FFCED8" w14:textId="77777777" w:rsidR="00126FEB" w:rsidRPr="00AF7348" w:rsidRDefault="00126FEB" w:rsidP="009D34ED">
      <w:pPr>
        <w:spacing w:line="240" w:lineRule="auto"/>
        <w:jc w:val="both"/>
        <w:rPr>
          <w:lang w:val="pl-PL"/>
        </w:rPr>
      </w:pPr>
      <w:r>
        <w:rPr>
          <w:rStyle w:val="Odwoanieprzypisudolnego"/>
          <w:rFonts w:ascii="Times New Roman" w:hAnsi="Times New Roman" w:cs="Times New Roman"/>
          <w:sz w:val="18"/>
          <w:szCs w:val="18"/>
          <w:lang w:val="pl"/>
        </w:rPr>
        <w:footnoteRef/>
      </w:r>
      <w:r>
        <w:rPr>
          <w:rFonts w:ascii="Times New Roman" w:hAnsi="Times New Roman"/>
          <w:sz w:val="18"/>
          <w:szCs w:val="18"/>
          <w:lang w:val="pl"/>
        </w:rPr>
        <w:t xml:space="preserve"> W szczególności, działanie to wymaga, aby podmioty gospodarcze wykonujące roboty budowlane gwarantowały, że co najmniej 70% (wagowo) nie niebezpiecznych odpadów pochodzących z budowy i rozbiórki (z wyłączeniem materiałów występujących w naturze, o których mowa w kategorii 17 05 04 europejskiego wykazu odpadów ustanowionego decyzją 2000/532/WE z dnia 3 maja 2000 r. zastępującą decyzję 94/3/WE ustanawiającą wykaz odpadów zgodnie z art. 1 lit. a) dyrektywy Rady 75/442/EWG w sprawie odpadów, oraz decyzją Rady 94/904/WE ustanawiającą wykaz odpadów niebezpiecznych zgodnie z art. 1 ust. 4 dyrektywy Rady 91/689/EWG w sprawie odpadów niebezpiecznych (notyfikowanej jako dokument nr C(2000) 1147)), i wytworzonych na placu budowy, zostanie przygotowanych do ponownego wykorzystania, recyklingu czy też innego rodzaju odzysku materiałowego, w tym do operacji wypełniania wyrobisk przy użyciu tych odpadów jako substytutu innych materiałów, zgodnie z hierarchią postępowania z odpadami oraz Protokołem UE w sprawie postępowania z odpadami budowlanymi i pochodzącymi z rozbiórki (</w:t>
      </w:r>
      <w:r>
        <w:rPr>
          <w:rFonts w:ascii="Times New Roman" w:hAnsi="Times New Roman"/>
          <w:i/>
          <w:iCs/>
          <w:sz w:val="18"/>
          <w:szCs w:val="18"/>
          <w:lang w:val="pl"/>
        </w:rPr>
        <w:t xml:space="preserve">EU Construction and </w:t>
      </w:r>
      <w:proofErr w:type="spellStart"/>
      <w:r>
        <w:rPr>
          <w:rFonts w:ascii="Times New Roman" w:hAnsi="Times New Roman"/>
          <w:i/>
          <w:iCs/>
          <w:sz w:val="18"/>
          <w:szCs w:val="18"/>
          <w:lang w:val="pl"/>
        </w:rPr>
        <w:t>Demolition</w:t>
      </w:r>
      <w:proofErr w:type="spellEnd"/>
      <w:r>
        <w:rPr>
          <w:rFonts w:ascii="Times New Roman" w:hAnsi="Times New Roman"/>
          <w:i/>
          <w:iCs/>
          <w:sz w:val="18"/>
          <w:szCs w:val="18"/>
          <w:lang w:val="pl"/>
        </w:rPr>
        <w:t xml:space="preserve"> Waste Management </w:t>
      </w:r>
      <w:proofErr w:type="spellStart"/>
      <w:r>
        <w:rPr>
          <w:rFonts w:ascii="Times New Roman" w:hAnsi="Times New Roman"/>
          <w:i/>
          <w:iCs/>
          <w:sz w:val="18"/>
          <w:szCs w:val="18"/>
          <w:lang w:val="pl"/>
        </w:rPr>
        <w:t>Protocol</w:t>
      </w:r>
      <w:proofErr w:type="spellEnd"/>
      <w:r>
        <w:rPr>
          <w:rFonts w:ascii="Times New Roman" w:hAnsi="Times New Roman"/>
          <w:sz w:val="18"/>
          <w:szCs w:val="18"/>
          <w:lang w:val="pl"/>
        </w:rPr>
        <w:t>).</w:t>
      </w:r>
    </w:p>
  </w:footnote>
  <w:footnote w:id="31">
    <w:p w14:paraId="52DE97BC" w14:textId="77777777" w:rsidR="00126FEB" w:rsidRPr="00AF7348" w:rsidRDefault="00126FEB" w:rsidP="009B56B2">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Z wyjątkiem projektów w ramach tego działania dotyczących wytwarzania energii elektrycznej i/lub cieplnej, a także związanej z tym infrastruktury przesyłowej i dystrybucyjnej, wykorzystujących gaz ziemny, które są zgodne z warunkami określonymi w załączniku III do Wytycznych Technicznych Dotyczących Zasady DNSH - Nie Czyń Poważnych Szkód (DNSH Technical </w:t>
      </w:r>
      <w:proofErr w:type="spellStart"/>
      <w:r>
        <w:rPr>
          <w:sz w:val="18"/>
          <w:szCs w:val="18"/>
          <w:lang w:val="pl"/>
        </w:rPr>
        <w:t>Guidance</w:t>
      </w:r>
      <w:proofErr w:type="spellEnd"/>
      <w:r>
        <w:rPr>
          <w:sz w:val="18"/>
          <w:szCs w:val="18"/>
          <w:lang w:val="pl"/>
        </w:rPr>
        <w:t>, 2021/C 58/01).</w:t>
      </w:r>
    </w:p>
  </w:footnote>
  <w:footnote w:id="32">
    <w:p w14:paraId="3DCE1FC5" w14:textId="4BEF9DCB" w:rsidR="00126FEB" w:rsidRPr="00AF7348" w:rsidRDefault="00126FEB" w:rsidP="009B56B2">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Jeżeli wspierane działanie prowadzi do osiągnięcia prognozowanych emisji gazów cieplarnianych, które nie są znacząco niższe od odpowiednich poziomów odniesienia, należy przedstawić wyjaśnienie powodów, dla których dalsze ograniczenie emisji nie jest możliwe. Poziomy odniesienia ustanowione na potrzeby bezpłatnego przydziału uprawnień dla działań wchodzących w zakres unijnego systemu handlu uprawnieniami do emisji, tak jak je określono w Rozporządzeniu Wykonawczym Komisji (UE) 2021/447.</w:t>
      </w:r>
    </w:p>
  </w:footnote>
  <w:footnote w:id="33">
    <w:p w14:paraId="1808029A" w14:textId="77777777" w:rsidR="00126FEB" w:rsidRPr="00AF7348" w:rsidRDefault="00126FEB" w:rsidP="009B56B2">
      <w:pPr>
        <w:pStyle w:val="Tekstprzypisudolnego"/>
        <w:spacing w:after="240"/>
        <w:ind w:left="0" w:firstLine="0"/>
        <w:rPr>
          <w:sz w:val="18"/>
          <w:szCs w:val="18"/>
          <w:lang w:val="pl-PL"/>
        </w:rPr>
      </w:pPr>
      <w:r>
        <w:rPr>
          <w:rStyle w:val="Odwoanieprzypisudolnego"/>
          <w:sz w:val="18"/>
          <w:szCs w:val="18"/>
          <w:lang w:val="pl"/>
        </w:rPr>
        <w:footnoteRef/>
      </w:r>
      <w:r>
        <w:rPr>
          <w:sz w:val="18"/>
          <w:szCs w:val="18"/>
          <w:lang w:val="pl"/>
        </w:rPr>
        <w:t xml:space="preserve"> Wyłączenie to nie dotyczy zakładów zajmujących się tylko przetwarzaniem odpadów niebezpiecznych, niepodlegających recyklingowi, oraz istniejących zakładów, w których działania prowadzone w ramach tego środka mają na celu zwiększenie efektywności energetycznej, wychwytywanie gazów spalinowych dla ich składowania lub wykorzystania, bądź odzyskiwanie materiałów z popiołów ze spalarni, pod warunkiem że takie działania nie powodują zwiększenia zdolności przerobowych zakładów w zakresie przetwarzania odpadów ani wydłużenia okresu ich eksploatacji, na co przedstawiono dowody na poziomie zakładu.</w:t>
      </w:r>
    </w:p>
  </w:footnote>
  <w:footnote w:id="34">
    <w:p w14:paraId="24283C8D" w14:textId="77777777" w:rsidR="00126FEB" w:rsidRPr="00AF7348" w:rsidRDefault="00126FEB" w:rsidP="009B56B2">
      <w:pPr>
        <w:pStyle w:val="Tekstprzypisudolnego"/>
        <w:spacing w:after="240"/>
        <w:ind w:left="0" w:firstLine="0"/>
        <w:rPr>
          <w:lang w:val="pl-PL"/>
        </w:rPr>
      </w:pPr>
      <w:r>
        <w:rPr>
          <w:rStyle w:val="Odwoanieprzypisudolnego"/>
          <w:sz w:val="18"/>
          <w:szCs w:val="18"/>
          <w:lang w:val="pl"/>
        </w:rPr>
        <w:footnoteRef/>
      </w:r>
      <w:r>
        <w:rPr>
          <w:sz w:val="18"/>
          <w:szCs w:val="18"/>
          <w:lang w:val="pl"/>
        </w:rPr>
        <w:t xml:space="preserve"> Wyłączenie to nie dotyczy istniejących zakładów mechaniczno-biologicznego przetwarzania odpadów, w przypadku których działania prowadzone w ramach tego środka mają za zadanie zwiększenie efektywności energetycznej lub dostosowanie do recyklingu bioodpadów wysegregowanych celem ich kompostowania oraz fermentacji beztlenowej, pod warunkiem że takie działania nie powodują zwiększenia zdolności przerobowych zakładów w zakresie przetwarzania odpadów ani wydłużenia okresu ich eksploatacji, na co przedstawiono dowody na poziomie zakładu.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3308" w14:textId="77777777" w:rsidR="0099737E" w:rsidRDefault="0099737E">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B8F9"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9836" w14:textId="77777777" w:rsidR="00126FEB" w:rsidRDefault="00126FEB">
    <w:pPr>
      <w:pStyle w:val="Normal0"/>
      <w:pBdr>
        <w:top w:val="nil"/>
        <w:left w:val="nil"/>
        <w:bottom w:val="nil"/>
        <w:right w:val="nil"/>
        <w:between w:val="nil"/>
      </w:pBdr>
      <w:tabs>
        <w:tab w:val="center" w:pos="7285"/>
        <w:tab w:val="right" w:pos="14003"/>
      </w:tabs>
      <w:spacing w:after="120" w:line="240" w:lineRule="auto"/>
      <w:jc w:val="both"/>
      <w:rPr>
        <w:rFonts w:ascii="Times New Roman" w:eastAsia="Times New Roman" w:hAnsi="Times New Roman" w:cs="Times New Roman"/>
        <w:color w:val="000000"/>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E008" w14:textId="77777777" w:rsidR="00126FEB" w:rsidRDefault="00126FEB">
    <w:pPr>
      <w:pStyle w:val="Normal0"/>
      <w:pBdr>
        <w:top w:val="nil"/>
        <w:left w:val="nil"/>
        <w:bottom w:val="nil"/>
        <w:right w:val="nil"/>
        <w:between w:val="nil"/>
      </w:pBdr>
      <w:tabs>
        <w:tab w:val="center" w:pos="7285"/>
        <w:tab w:val="right" w:pos="14003"/>
      </w:tabs>
      <w:spacing w:after="120" w:line="240" w:lineRule="auto"/>
      <w:jc w:val="both"/>
      <w:rPr>
        <w:rFonts w:ascii="Times New Roman" w:eastAsia="Times New Roman" w:hAnsi="Times New Roman" w:cs="Times New Roman"/>
        <w:color w:val="000000"/>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7A2C"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FC03"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D50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E7A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0C5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0FA"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30A4"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26FEB" w14:paraId="4CC8AA0D" w14:textId="77777777" w:rsidTr="00332A5B">
      <w:tc>
        <w:tcPr>
          <w:tcW w:w="3020" w:type="dxa"/>
        </w:tcPr>
        <w:p w14:paraId="0387D0D6" w14:textId="77777777" w:rsidR="00126FEB" w:rsidRDefault="00126FEB" w:rsidP="00332A5B">
          <w:pPr>
            <w:pStyle w:val="Nagwek"/>
            <w:ind w:left="-115"/>
            <w:jc w:val="left"/>
          </w:pPr>
        </w:p>
      </w:tc>
      <w:tc>
        <w:tcPr>
          <w:tcW w:w="3020" w:type="dxa"/>
        </w:tcPr>
        <w:p w14:paraId="565BFF5B" w14:textId="77777777" w:rsidR="00126FEB" w:rsidRDefault="00126FEB" w:rsidP="00332A5B">
          <w:pPr>
            <w:pStyle w:val="Nagwek"/>
            <w:jc w:val="center"/>
          </w:pPr>
        </w:p>
      </w:tc>
      <w:tc>
        <w:tcPr>
          <w:tcW w:w="3020" w:type="dxa"/>
        </w:tcPr>
        <w:p w14:paraId="34CDD9EB" w14:textId="77777777" w:rsidR="00126FEB" w:rsidRDefault="00126FEB" w:rsidP="00332A5B">
          <w:pPr>
            <w:pStyle w:val="Nagwek"/>
            <w:ind w:right="-115"/>
            <w:jc w:val="right"/>
          </w:pPr>
        </w:p>
      </w:tc>
    </w:tr>
  </w:tbl>
  <w:p w14:paraId="498AF0D8" w14:textId="77777777" w:rsidR="00126FEB" w:rsidRDefault="00126FEB" w:rsidP="00263F7A">
    <w:pPr>
      <w:pStyle w:val="Nagwek"/>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195"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A92C"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A83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860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833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C40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5555"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9C6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4B9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43C"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BB44" w14:textId="77777777" w:rsidR="0099737E" w:rsidRDefault="0099737E">
    <w:pPr>
      <w:pStyle w:val="Nagwek"/>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7778"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0334"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4CC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0CB3"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60B8"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AE0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98D5"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FC12"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610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D592"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7069"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70F0"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8F8C"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139D"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B4B9"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F948"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6D9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069A"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D364"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08E0"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C6EA"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2EC1" w14:textId="77777777" w:rsidR="00126FEB" w:rsidRDefault="00126FEB">
    <w:pPr>
      <w:pStyle w:val="Nagwek"/>
      <w:jc w:val="center"/>
    </w:pPr>
  </w:p>
  <w:p w14:paraId="6A2BC47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829D"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6F4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0C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EB4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3EA2"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E5E"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46EB"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AFED"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C48"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FEF"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47D9"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539F"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8924"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375"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47F7"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F98F"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60E1" w14:textId="77777777" w:rsidR="00126FEB" w:rsidRDefault="00126FEB">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intelligence.xml><?xml version="1.0" encoding="utf-8"?>
<int:Intelligence xmlns:int="http://schemas.microsoft.com/office/intelligence/2019/intelligence">
  <int:IntelligenceSettings/>
  <int:Manifest>
    <int:WordHash hashCode="4ilNJA7VQe2W4v" id="saK5d4xp"/>
    <int:ParagraphRange paragraphId="730702701" textId="1384402202" start="72" length="5" invalidationStart="72" invalidationLength="5" id="pegID2jZ"/>
  </int:Manifest>
  <int:Observations>
    <int:Content id="saK5d4xp">
      <int:Rejection type="LegacyProofing"/>
    </int:Content>
    <int:Content id="pegID2j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61"/>
    <w:lvl w:ilvl="0">
      <w:start w:val="1"/>
      <w:numFmt w:val="bullet"/>
      <w:lvlText w:val="-"/>
      <w:lvlJc w:val="left"/>
      <w:pPr>
        <w:tabs>
          <w:tab w:val="num" w:pos="0"/>
        </w:tabs>
        <w:ind w:left="720" w:hanging="360"/>
      </w:pPr>
      <w:rPr>
        <w:rFonts w:ascii="Courier New" w:hAnsi="Courier New" w:cs="Courier New"/>
      </w:rPr>
    </w:lvl>
  </w:abstractNum>
  <w:abstractNum w:abstractNumId="1" w15:restartNumberingAfterBreak="0">
    <w:nsid w:val="033C4423"/>
    <w:multiLevelType w:val="hybridMultilevel"/>
    <w:tmpl w:val="66D09DAA"/>
    <w:lvl w:ilvl="0" w:tplc="0D667F2A">
      <w:start w:val="1"/>
      <w:numFmt w:val="bullet"/>
      <w:lvlText w:val="-"/>
      <w:lvlJc w:val="left"/>
      <w:pPr>
        <w:ind w:left="720" w:hanging="360"/>
      </w:pPr>
      <w:rPr>
        <w:rFonts w:ascii="Calibri" w:hAnsi="Calibri" w:hint="default"/>
      </w:rPr>
    </w:lvl>
    <w:lvl w:ilvl="1" w:tplc="F29C1300">
      <w:start w:val="1"/>
      <w:numFmt w:val="bullet"/>
      <w:lvlText w:val="o"/>
      <w:lvlJc w:val="left"/>
      <w:pPr>
        <w:ind w:left="1440" w:hanging="360"/>
      </w:pPr>
      <w:rPr>
        <w:rFonts w:ascii="Courier New" w:hAnsi="Courier New" w:hint="default"/>
      </w:rPr>
    </w:lvl>
    <w:lvl w:ilvl="2" w:tplc="43CA055C">
      <w:start w:val="1"/>
      <w:numFmt w:val="bullet"/>
      <w:lvlText w:val=""/>
      <w:lvlJc w:val="left"/>
      <w:pPr>
        <w:ind w:left="2160" w:hanging="360"/>
      </w:pPr>
      <w:rPr>
        <w:rFonts w:ascii="Wingdings" w:hAnsi="Wingdings" w:hint="default"/>
      </w:rPr>
    </w:lvl>
    <w:lvl w:ilvl="3" w:tplc="10EEDF28">
      <w:start w:val="1"/>
      <w:numFmt w:val="bullet"/>
      <w:lvlText w:val=""/>
      <w:lvlJc w:val="left"/>
      <w:pPr>
        <w:ind w:left="2880" w:hanging="360"/>
      </w:pPr>
      <w:rPr>
        <w:rFonts w:ascii="Symbol" w:hAnsi="Symbol" w:hint="default"/>
      </w:rPr>
    </w:lvl>
    <w:lvl w:ilvl="4" w:tplc="BAC21754">
      <w:start w:val="1"/>
      <w:numFmt w:val="bullet"/>
      <w:lvlText w:val="o"/>
      <w:lvlJc w:val="left"/>
      <w:pPr>
        <w:ind w:left="3600" w:hanging="360"/>
      </w:pPr>
      <w:rPr>
        <w:rFonts w:ascii="Courier New" w:hAnsi="Courier New" w:hint="default"/>
      </w:rPr>
    </w:lvl>
    <w:lvl w:ilvl="5" w:tplc="46D6E1A4">
      <w:start w:val="1"/>
      <w:numFmt w:val="bullet"/>
      <w:lvlText w:val=""/>
      <w:lvlJc w:val="left"/>
      <w:pPr>
        <w:ind w:left="4320" w:hanging="360"/>
      </w:pPr>
      <w:rPr>
        <w:rFonts w:ascii="Wingdings" w:hAnsi="Wingdings" w:hint="default"/>
      </w:rPr>
    </w:lvl>
    <w:lvl w:ilvl="6" w:tplc="E0D613A0">
      <w:start w:val="1"/>
      <w:numFmt w:val="bullet"/>
      <w:lvlText w:val=""/>
      <w:lvlJc w:val="left"/>
      <w:pPr>
        <w:ind w:left="5040" w:hanging="360"/>
      </w:pPr>
      <w:rPr>
        <w:rFonts w:ascii="Symbol" w:hAnsi="Symbol" w:hint="default"/>
      </w:rPr>
    </w:lvl>
    <w:lvl w:ilvl="7" w:tplc="43846AF4">
      <w:start w:val="1"/>
      <w:numFmt w:val="bullet"/>
      <w:lvlText w:val="o"/>
      <w:lvlJc w:val="left"/>
      <w:pPr>
        <w:ind w:left="5760" w:hanging="360"/>
      </w:pPr>
      <w:rPr>
        <w:rFonts w:ascii="Courier New" w:hAnsi="Courier New" w:hint="default"/>
      </w:rPr>
    </w:lvl>
    <w:lvl w:ilvl="8" w:tplc="6B7A8322">
      <w:start w:val="1"/>
      <w:numFmt w:val="bullet"/>
      <w:lvlText w:val=""/>
      <w:lvlJc w:val="left"/>
      <w:pPr>
        <w:ind w:left="6480" w:hanging="360"/>
      </w:pPr>
      <w:rPr>
        <w:rFonts w:ascii="Wingdings" w:hAnsi="Wingdings" w:hint="default"/>
      </w:rPr>
    </w:lvl>
  </w:abstractNum>
  <w:abstractNum w:abstractNumId="2" w15:restartNumberingAfterBreak="0">
    <w:nsid w:val="07410739"/>
    <w:multiLevelType w:val="hybridMultilevel"/>
    <w:tmpl w:val="B11C12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D47ABD"/>
    <w:multiLevelType w:val="multilevel"/>
    <w:tmpl w:val="07D27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72F48"/>
    <w:multiLevelType w:val="hybridMultilevel"/>
    <w:tmpl w:val="455C57A4"/>
    <w:lvl w:ilvl="0" w:tplc="9F70F600">
      <w:start w:val="1"/>
      <w:numFmt w:val="lowerLetter"/>
      <w:lvlText w:val="%1."/>
      <w:lvlJc w:val="left"/>
      <w:pPr>
        <w:ind w:left="720" w:hanging="360"/>
      </w:pPr>
    </w:lvl>
    <w:lvl w:ilvl="1" w:tplc="057471C6">
      <w:start w:val="1"/>
      <w:numFmt w:val="decimal"/>
      <w:lvlText w:val="%2."/>
      <w:lvlJc w:val="left"/>
      <w:pPr>
        <w:ind w:left="1440" w:hanging="360"/>
      </w:pPr>
    </w:lvl>
    <w:lvl w:ilvl="2" w:tplc="384E726C">
      <w:start w:val="1"/>
      <w:numFmt w:val="lowerRoman"/>
      <w:lvlText w:val="%3."/>
      <w:lvlJc w:val="right"/>
      <w:pPr>
        <w:ind w:left="2160" w:hanging="180"/>
      </w:pPr>
    </w:lvl>
    <w:lvl w:ilvl="3" w:tplc="F962E26A">
      <w:start w:val="1"/>
      <w:numFmt w:val="decimal"/>
      <w:lvlText w:val="%4."/>
      <w:lvlJc w:val="left"/>
      <w:pPr>
        <w:ind w:left="2880" w:hanging="360"/>
      </w:pPr>
    </w:lvl>
    <w:lvl w:ilvl="4" w:tplc="92BEF75A">
      <w:start w:val="1"/>
      <w:numFmt w:val="lowerLetter"/>
      <w:lvlText w:val="%5."/>
      <w:lvlJc w:val="left"/>
      <w:pPr>
        <w:ind w:left="3600" w:hanging="360"/>
      </w:pPr>
    </w:lvl>
    <w:lvl w:ilvl="5" w:tplc="D4A8ED16">
      <w:start w:val="1"/>
      <w:numFmt w:val="lowerRoman"/>
      <w:lvlText w:val="%6."/>
      <w:lvlJc w:val="right"/>
      <w:pPr>
        <w:ind w:left="4320" w:hanging="180"/>
      </w:pPr>
    </w:lvl>
    <w:lvl w:ilvl="6" w:tplc="22F09220">
      <w:start w:val="1"/>
      <w:numFmt w:val="decimal"/>
      <w:lvlText w:val="%7."/>
      <w:lvlJc w:val="left"/>
      <w:pPr>
        <w:ind w:left="5040" w:hanging="360"/>
      </w:pPr>
    </w:lvl>
    <w:lvl w:ilvl="7" w:tplc="4FDAEA94">
      <w:start w:val="1"/>
      <w:numFmt w:val="lowerLetter"/>
      <w:lvlText w:val="%8."/>
      <w:lvlJc w:val="left"/>
      <w:pPr>
        <w:ind w:left="5760" w:hanging="360"/>
      </w:pPr>
    </w:lvl>
    <w:lvl w:ilvl="8" w:tplc="E1F65146">
      <w:start w:val="1"/>
      <w:numFmt w:val="lowerRoman"/>
      <w:lvlText w:val="%9."/>
      <w:lvlJc w:val="right"/>
      <w:pPr>
        <w:ind w:left="6480" w:hanging="180"/>
      </w:pPr>
    </w:lvl>
  </w:abstractNum>
  <w:abstractNum w:abstractNumId="5" w15:restartNumberingAfterBreak="0">
    <w:nsid w:val="0A1B6DF8"/>
    <w:multiLevelType w:val="hybridMultilevel"/>
    <w:tmpl w:val="5240D0E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A580A0E"/>
    <w:multiLevelType w:val="multilevel"/>
    <w:tmpl w:val="F7D096A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071F51"/>
    <w:multiLevelType w:val="hybridMultilevel"/>
    <w:tmpl w:val="173EF248"/>
    <w:lvl w:ilvl="0" w:tplc="7F5675B6">
      <w:start w:val="1"/>
      <w:numFmt w:val="lowerRoman"/>
      <w:lvlText w:val="%1."/>
      <w:lvlJc w:val="right"/>
      <w:pPr>
        <w:ind w:left="720" w:hanging="360"/>
      </w:pPr>
      <w:rPr>
        <w:rFonts w:hint="default"/>
      </w:rPr>
    </w:lvl>
    <w:lvl w:ilvl="1" w:tplc="40BA8482">
      <w:start w:val="1"/>
      <w:numFmt w:val="bullet"/>
      <w:lvlText w:val="o"/>
      <w:lvlJc w:val="left"/>
      <w:pPr>
        <w:ind w:left="1440" w:hanging="360"/>
      </w:pPr>
      <w:rPr>
        <w:rFonts w:ascii="Courier New" w:hAnsi="Courier New" w:hint="default"/>
      </w:rPr>
    </w:lvl>
    <w:lvl w:ilvl="2" w:tplc="0D9090EC">
      <w:start w:val="1"/>
      <w:numFmt w:val="bullet"/>
      <w:lvlText w:val=""/>
      <w:lvlJc w:val="left"/>
      <w:pPr>
        <w:ind w:left="2160" w:hanging="360"/>
      </w:pPr>
      <w:rPr>
        <w:rFonts w:ascii="Wingdings" w:hAnsi="Wingdings" w:hint="default"/>
      </w:rPr>
    </w:lvl>
    <w:lvl w:ilvl="3" w:tplc="2D0EDF68">
      <w:start w:val="1"/>
      <w:numFmt w:val="bullet"/>
      <w:lvlText w:val=""/>
      <w:lvlJc w:val="left"/>
      <w:pPr>
        <w:ind w:left="2880" w:hanging="360"/>
      </w:pPr>
      <w:rPr>
        <w:rFonts w:ascii="Symbol" w:hAnsi="Symbol" w:hint="default"/>
      </w:rPr>
    </w:lvl>
    <w:lvl w:ilvl="4" w:tplc="191C98C0">
      <w:start w:val="1"/>
      <w:numFmt w:val="bullet"/>
      <w:lvlText w:val="o"/>
      <w:lvlJc w:val="left"/>
      <w:pPr>
        <w:ind w:left="3600" w:hanging="360"/>
      </w:pPr>
      <w:rPr>
        <w:rFonts w:ascii="Courier New" w:hAnsi="Courier New" w:hint="default"/>
      </w:rPr>
    </w:lvl>
    <w:lvl w:ilvl="5" w:tplc="68A60C68">
      <w:start w:val="1"/>
      <w:numFmt w:val="bullet"/>
      <w:lvlText w:val=""/>
      <w:lvlJc w:val="left"/>
      <w:pPr>
        <w:ind w:left="4320" w:hanging="360"/>
      </w:pPr>
      <w:rPr>
        <w:rFonts w:ascii="Wingdings" w:hAnsi="Wingdings" w:hint="default"/>
      </w:rPr>
    </w:lvl>
    <w:lvl w:ilvl="6" w:tplc="489E2F40">
      <w:start w:val="1"/>
      <w:numFmt w:val="bullet"/>
      <w:lvlText w:val=""/>
      <w:lvlJc w:val="left"/>
      <w:pPr>
        <w:ind w:left="5040" w:hanging="360"/>
      </w:pPr>
      <w:rPr>
        <w:rFonts w:ascii="Symbol" w:hAnsi="Symbol" w:hint="default"/>
      </w:rPr>
    </w:lvl>
    <w:lvl w:ilvl="7" w:tplc="1AE87734">
      <w:start w:val="1"/>
      <w:numFmt w:val="bullet"/>
      <w:lvlText w:val="o"/>
      <w:lvlJc w:val="left"/>
      <w:pPr>
        <w:ind w:left="5760" w:hanging="360"/>
      </w:pPr>
      <w:rPr>
        <w:rFonts w:ascii="Courier New" w:hAnsi="Courier New" w:hint="default"/>
      </w:rPr>
    </w:lvl>
    <w:lvl w:ilvl="8" w:tplc="6E96DDEA">
      <w:start w:val="1"/>
      <w:numFmt w:val="bullet"/>
      <w:lvlText w:val=""/>
      <w:lvlJc w:val="left"/>
      <w:pPr>
        <w:ind w:left="6480" w:hanging="360"/>
      </w:pPr>
      <w:rPr>
        <w:rFonts w:ascii="Wingdings" w:hAnsi="Wingdings" w:hint="default"/>
      </w:rPr>
    </w:lvl>
  </w:abstractNum>
  <w:abstractNum w:abstractNumId="8" w15:restartNumberingAfterBreak="0">
    <w:nsid w:val="133039F6"/>
    <w:multiLevelType w:val="hybridMultilevel"/>
    <w:tmpl w:val="C276CC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4094407"/>
    <w:multiLevelType w:val="hybridMultilevel"/>
    <w:tmpl w:val="034CDBE4"/>
    <w:lvl w:ilvl="0" w:tplc="04150017">
      <w:start w:val="1"/>
      <w:numFmt w:val="lowerLetter"/>
      <w:lvlText w:val="%1)"/>
      <w:lvlJc w:val="left"/>
      <w:pPr>
        <w:ind w:left="720" w:hanging="360"/>
      </w:pPr>
    </w:lvl>
    <w:lvl w:ilvl="1" w:tplc="74681310">
      <w:start w:val="1"/>
      <w:numFmt w:val="lowerRoman"/>
      <w:lvlText w:val="(%2)"/>
      <w:lvlJc w:val="righ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8AE00A7"/>
    <w:multiLevelType w:val="hybridMultilevel"/>
    <w:tmpl w:val="7638D9F4"/>
    <w:lvl w:ilvl="0" w:tplc="81645C9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E4A9A"/>
    <w:multiLevelType w:val="hybridMultilevel"/>
    <w:tmpl w:val="79E020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BA5766"/>
    <w:multiLevelType w:val="multilevel"/>
    <w:tmpl w:val="6B0A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A36A7E"/>
    <w:multiLevelType w:val="hybridMultilevel"/>
    <w:tmpl w:val="819821EA"/>
    <w:lvl w:ilvl="0" w:tplc="94120FD4">
      <w:start w:val="1"/>
      <w:numFmt w:val="lowerLetter"/>
      <w:lvlText w:val="%1."/>
      <w:lvlJc w:val="left"/>
      <w:pPr>
        <w:ind w:left="720" w:hanging="360"/>
      </w:pPr>
    </w:lvl>
    <w:lvl w:ilvl="1" w:tplc="B6928194">
      <w:start w:val="1"/>
      <w:numFmt w:val="decimal"/>
      <w:lvlText w:val="%2."/>
      <w:lvlJc w:val="left"/>
      <w:pPr>
        <w:ind w:left="1440" w:hanging="360"/>
      </w:pPr>
    </w:lvl>
    <w:lvl w:ilvl="2" w:tplc="84F89C82">
      <w:start w:val="1"/>
      <w:numFmt w:val="lowerRoman"/>
      <w:lvlText w:val="%3."/>
      <w:lvlJc w:val="right"/>
      <w:pPr>
        <w:ind w:left="2160" w:hanging="180"/>
      </w:pPr>
    </w:lvl>
    <w:lvl w:ilvl="3" w:tplc="B278591C">
      <w:start w:val="1"/>
      <w:numFmt w:val="decimal"/>
      <w:lvlText w:val="%4."/>
      <w:lvlJc w:val="left"/>
      <w:pPr>
        <w:ind w:left="2880" w:hanging="360"/>
      </w:pPr>
    </w:lvl>
    <w:lvl w:ilvl="4" w:tplc="1EAC0A66">
      <w:start w:val="1"/>
      <w:numFmt w:val="lowerLetter"/>
      <w:lvlText w:val="%5."/>
      <w:lvlJc w:val="left"/>
      <w:pPr>
        <w:ind w:left="3600" w:hanging="360"/>
      </w:pPr>
    </w:lvl>
    <w:lvl w:ilvl="5" w:tplc="630649AC">
      <w:start w:val="1"/>
      <w:numFmt w:val="lowerRoman"/>
      <w:lvlText w:val="%6."/>
      <w:lvlJc w:val="right"/>
      <w:pPr>
        <w:ind w:left="4320" w:hanging="180"/>
      </w:pPr>
    </w:lvl>
    <w:lvl w:ilvl="6" w:tplc="A0186582">
      <w:start w:val="1"/>
      <w:numFmt w:val="decimal"/>
      <w:lvlText w:val="%7."/>
      <w:lvlJc w:val="left"/>
      <w:pPr>
        <w:ind w:left="5040" w:hanging="360"/>
      </w:pPr>
    </w:lvl>
    <w:lvl w:ilvl="7" w:tplc="8CFE7566">
      <w:start w:val="1"/>
      <w:numFmt w:val="lowerLetter"/>
      <w:lvlText w:val="%8."/>
      <w:lvlJc w:val="left"/>
      <w:pPr>
        <w:ind w:left="5760" w:hanging="360"/>
      </w:pPr>
    </w:lvl>
    <w:lvl w:ilvl="8" w:tplc="236E75E2">
      <w:start w:val="1"/>
      <w:numFmt w:val="lowerRoman"/>
      <w:lvlText w:val="%9."/>
      <w:lvlJc w:val="right"/>
      <w:pPr>
        <w:ind w:left="6480" w:hanging="180"/>
      </w:pPr>
    </w:lvl>
  </w:abstractNum>
  <w:abstractNum w:abstractNumId="14" w15:restartNumberingAfterBreak="0">
    <w:nsid w:val="2D512611"/>
    <w:multiLevelType w:val="multilevel"/>
    <w:tmpl w:val="05EC8D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CA161B"/>
    <w:multiLevelType w:val="hybridMultilevel"/>
    <w:tmpl w:val="639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47E66"/>
    <w:multiLevelType w:val="hybridMultilevel"/>
    <w:tmpl w:val="8156469A"/>
    <w:lvl w:ilvl="0" w:tplc="81645C9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526D73"/>
    <w:multiLevelType w:val="hybridMultilevel"/>
    <w:tmpl w:val="525C02D0"/>
    <w:lvl w:ilvl="0" w:tplc="5FAA74CA">
      <w:start w:val="1"/>
      <w:numFmt w:val="bullet"/>
      <w:lvlText w:val="-"/>
      <w:lvlJc w:val="left"/>
      <w:pPr>
        <w:ind w:left="720" w:hanging="360"/>
      </w:pPr>
      <w:rPr>
        <w:rFonts w:ascii="Calibri" w:hAnsi="Calibri" w:hint="default"/>
      </w:rPr>
    </w:lvl>
    <w:lvl w:ilvl="1" w:tplc="FAE24084">
      <w:start w:val="1"/>
      <w:numFmt w:val="bullet"/>
      <w:lvlText w:val="o"/>
      <w:lvlJc w:val="left"/>
      <w:pPr>
        <w:ind w:left="1440" w:hanging="360"/>
      </w:pPr>
      <w:rPr>
        <w:rFonts w:ascii="Courier New" w:hAnsi="Courier New" w:hint="default"/>
      </w:rPr>
    </w:lvl>
    <w:lvl w:ilvl="2" w:tplc="58DA2FF6">
      <w:start w:val="1"/>
      <w:numFmt w:val="bullet"/>
      <w:lvlText w:val=""/>
      <w:lvlJc w:val="left"/>
      <w:pPr>
        <w:ind w:left="2160" w:hanging="360"/>
      </w:pPr>
      <w:rPr>
        <w:rFonts w:ascii="Wingdings" w:hAnsi="Wingdings" w:hint="default"/>
      </w:rPr>
    </w:lvl>
    <w:lvl w:ilvl="3" w:tplc="73223F6E">
      <w:start w:val="1"/>
      <w:numFmt w:val="bullet"/>
      <w:lvlText w:val=""/>
      <w:lvlJc w:val="left"/>
      <w:pPr>
        <w:ind w:left="2880" w:hanging="360"/>
      </w:pPr>
      <w:rPr>
        <w:rFonts w:ascii="Symbol" w:hAnsi="Symbol" w:hint="default"/>
      </w:rPr>
    </w:lvl>
    <w:lvl w:ilvl="4" w:tplc="CCCA0798">
      <w:start w:val="1"/>
      <w:numFmt w:val="bullet"/>
      <w:lvlText w:val="o"/>
      <w:lvlJc w:val="left"/>
      <w:pPr>
        <w:ind w:left="3600" w:hanging="360"/>
      </w:pPr>
      <w:rPr>
        <w:rFonts w:ascii="Courier New" w:hAnsi="Courier New" w:hint="default"/>
      </w:rPr>
    </w:lvl>
    <w:lvl w:ilvl="5" w:tplc="B3C2ADC6">
      <w:start w:val="1"/>
      <w:numFmt w:val="bullet"/>
      <w:lvlText w:val=""/>
      <w:lvlJc w:val="left"/>
      <w:pPr>
        <w:ind w:left="4320" w:hanging="360"/>
      </w:pPr>
      <w:rPr>
        <w:rFonts w:ascii="Wingdings" w:hAnsi="Wingdings" w:hint="default"/>
      </w:rPr>
    </w:lvl>
    <w:lvl w:ilvl="6" w:tplc="F17CC668">
      <w:start w:val="1"/>
      <w:numFmt w:val="bullet"/>
      <w:lvlText w:val=""/>
      <w:lvlJc w:val="left"/>
      <w:pPr>
        <w:ind w:left="5040" w:hanging="360"/>
      </w:pPr>
      <w:rPr>
        <w:rFonts w:ascii="Symbol" w:hAnsi="Symbol" w:hint="default"/>
      </w:rPr>
    </w:lvl>
    <w:lvl w:ilvl="7" w:tplc="28C098C0">
      <w:start w:val="1"/>
      <w:numFmt w:val="bullet"/>
      <w:lvlText w:val="o"/>
      <w:lvlJc w:val="left"/>
      <w:pPr>
        <w:ind w:left="5760" w:hanging="360"/>
      </w:pPr>
      <w:rPr>
        <w:rFonts w:ascii="Courier New" w:hAnsi="Courier New" w:hint="default"/>
      </w:rPr>
    </w:lvl>
    <w:lvl w:ilvl="8" w:tplc="AA3A1F1E">
      <w:start w:val="1"/>
      <w:numFmt w:val="bullet"/>
      <w:lvlText w:val=""/>
      <w:lvlJc w:val="left"/>
      <w:pPr>
        <w:ind w:left="6480" w:hanging="360"/>
      </w:pPr>
      <w:rPr>
        <w:rFonts w:ascii="Wingdings" w:hAnsi="Wingdings" w:hint="default"/>
      </w:rPr>
    </w:lvl>
  </w:abstractNum>
  <w:abstractNum w:abstractNumId="18" w15:restartNumberingAfterBreak="0">
    <w:nsid w:val="3A7F4B78"/>
    <w:multiLevelType w:val="hybridMultilevel"/>
    <w:tmpl w:val="B546E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614DA5"/>
    <w:multiLevelType w:val="hybridMultilevel"/>
    <w:tmpl w:val="DEB2CC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0849DB"/>
    <w:multiLevelType w:val="hybridMultilevel"/>
    <w:tmpl w:val="41C21E80"/>
    <w:lvl w:ilvl="0" w:tplc="6C3476EA">
      <w:start w:val="1"/>
      <w:numFmt w:val="bullet"/>
      <w:lvlText w:val=""/>
      <w:lvlJc w:val="left"/>
      <w:pPr>
        <w:ind w:left="720" w:hanging="360"/>
      </w:pPr>
      <w:rPr>
        <w:rFonts w:ascii="Symbol" w:hAnsi="Symbol" w:hint="default"/>
      </w:rPr>
    </w:lvl>
    <w:lvl w:ilvl="1" w:tplc="6C600D02">
      <w:start w:val="1"/>
      <w:numFmt w:val="bullet"/>
      <w:lvlText w:val="o"/>
      <w:lvlJc w:val="left"/>
      <w:pPr>
        <w:ind w:left="1440" w:hanging="360"/>
      </w:pPr>
      <w:rPr>
        <w:rFonts w:ascii="Courier New" w:hAnsi="Courier New" w:hint="default"/>
      </w:rPr>
    </w:lvl>
    <w:lvl w:ilvl="2" w:tplc="71621E68">
      <w:start w:val="1"/>
      <w:numFmt w:val="bullet"/>
      <w:lvlText w:val=""/>
      <w:lvlJc w:val="left"/>
      <w:pPr>
        <w:ind w:left="2160" w:hanging="360"/>
      </w:pPr>
      <w:rPr>
        <w:rFonts w:ascii="Wingdings" w:hAnsi="Wingdings" w:hint="default"/>
      </w:rPr>
    </w:lvl>
    <w:lvl w:ilvl="3" w:tplc="DC98442A">
      <w:start w:val="1"/>
      <w:numFmt w:val="bullet"/>
      <w:lvlText w:val=""/>
      <w:lvlJc w:val="left"/>
      <w:pPr>
        <w:ind w:left="2880" w:hanging="360"/>
      </w:pPr>
      <w:rPr>
        <w:rFonts w:ascii="Symbol" w:hAnsi="Symbol" w:hint="default"/>
      </w:rPr>
    </w:lvl>
    <w:lvl w:ilvl="4" w:tplc="7C8A2134">
      <w:start w:val="1"/>
      <w:numFmt w:val="bullet"/>
      <w:lvlText w:val="o"/>
      <w:lvlJc w:val="left"/>
      <w:pPr>
        <w:ind w:left="3600" w:hanging="360"/>
      </w:pPr>
      <w:rPr>
        <w:rFonts w:ascii="Courier New" w:hAnsi="Courier New" w:hint="default"/>
      </w:rPr>
    </w:lvl>
    <w:lvl w:ilvl="5" w:tplc="483EF78C">
      <w:start w:val="1"/>
      <w:numFmt w:val="bullet"/>
      <w:lvlText w:val=""/>
      <w:lvlJc w:val="left"/>
      <w:pPr>
        <w:ind w:left="4320" w:hanging="360"/>
      </w:pPr>
      <w:rPr>
        <w:rFonts w:ascii="Wingdings" w:hAnsi="Wingdings" w:hint="default"/>
      </w:rPr>
    </w:lvl>
    <w:lvl w:ilvl="6" w:tplc="7084FADC">
      <w:start w:val="1"/>
      <w:numFmt w:val="bullet"/>
      <w:lvlText w:val=""/>
      <w:lvlJc w:val="left"/>
      <w:pPr>
        <w:ind w:left="5040" w:hanging="360"/>
      </w:pPr>
      <w:rPr>
        <w:rFonts w:ascii="Symbol" w:hAnsi="Symbol" w:hint="default"/>
      </w:rPr>
    </w:lvl>
    <w:lvl w:ilvl="7" w:tplc="6D2CABF0">
      <w:start w:val="1"/>
      <w:numFmt w:val="bullet"/>
      <w:lvlText w:val="o"/>
      <w:lvlJc w:val="left"/>
      <w:pPr>
        <w:ind w:left="5760" w:hanging="360"/>
      </w:pPr>
      <w:rPr>
        <w:rFonts w:ascii="Courier New" w:hAnsi="Courier New" w:hint="default"/>
      </w:rPr>
    </w:lvl>
    <w:lvl w:ilvl="8" w:tplc="8A58FCAE">
      <w:start w:val="1"/>
      <w:numFmt w:val="bullet"/>
      <w:lvlText w:val=""/>
      <w:lvlJc w:val="left"/>
      <w:pPr>
        <w:ind w:left="6480" w:hanging="360"/>
      </w:pPr>
      <w:rPr>
        <w:rFonts w:ascii="Wingdings" w:hAnsi="Wingdings" w:hint="default"/>
      </w:rPr>
    </w:lvl>
  </w:abstractNum>
  <w:abstractNum w:abstractNumId="21" w15:restartNumberingAfterBreak="0">
    <w:nsid w:val="409721F0"/>
    <w:multiLevelType w:val="multilevel"/>
    <w:tmpl w:val="52B204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3997DB0"/>
    <w:multiLevelType w:val="hybridMultilevel"/>
    <w:tmpl w:val="4D88F4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97F54CD"/>
    <w:multiLevelType w:val="hybridMultilevel"/>
    <w:tmpl w:val="034CDBE4"/>
    <w:lvl w:ilvl="0" w:tplc="04150017">
      <w:start w:val="1"/>
      <w:numFmt w:val="lowerLetter"/>
      <w:lvlText w:val="%1)"/>
      <w:lvlJc w:val="left"/>
      <w:pPr>
        <w:ind w:left="720" w:hanging="360"/>
      </w:pPr>
      <w:rPr>
        <w:rFonts w:hint="default"/>
      </w:rPr>
    </w:lvl>
    <w:lvl w:ilvl="1" w:tplc="74681310">
      <w:start w:val="1"/>
      <w:numFmt w:val="lowerRoman"/>
      <w:lvlText w:val="(%2)"/>
      <w:lvlJc w:val="righ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34547A"/>
    <w:multiLevelType w:val="multilevel"/>
    <w:tmpl w:val="3014E3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BC7E41"/>
    <w:multiLevelType w:val="multilevel"/>
    <w:tmpl w:val="8AF09968"/>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DE7956"/>
    <w:multiLevelType w:val="hybridMultilevel"/>
    <w:tmpl w:val="6AA47846"/>
    <w:lvl w:ilvl="0" w:tplc="84065250">
      <w:start w:val="1"/>
      <w:numFmt w:val="lowerLetter"/>
      <w:lvlText w:val="(%1)"/>
      <w:lvlJc w:val="left"/>
      <w:pPr>
        <w:ind w:left="720" w:hanging="360"/>
      </w:pPr>
    </w:lvl>
    <w:lvl w:ilvl="1" w:tplc="29AE67C6">
      <w:start w:val="1"/>
      <w:numFmt w:val="lowerLetter"/>
      <w:lvlText w:val="%2."/>
      <w:lvlJc w:val="left"/>
      <w:pPr>
        <w:ind w:left="1440" w:hanging="360"/>
      </w:pPr>
    </w:lvl>
    <w:lvl w:ilvl="2" w:tplc="7162470E">
      <w:start w:val="1"/>
      <w:numFmt w:val="lowerRoman"/>
      <w:lvlText w:val="%3."/>
      <w:lvlJc w:val="right"/>
      <w:pPr>
        <w:ind w:left="2160" w:hanging="180"/>
      </w:pPr>
    </w:lvl>
    <w:lvl w:ilvl="3" w:tplc="2FFC23BE">
      <w:start w:val="1"/>
      <w:numFmt w:val="decimal"/>
      <w:lvlText w:val="%4."/>
      <w:lvlJc w:val="left"/>
      <w:pPr>
        <w:ind w:left="2880" w:hanging="360"/>
      </w:pPr>
    </w:lvl>
    <w:lvl w:ilvl="4" w:tplc="AE56BE4A">
      <w:start w:val="1"/>
      <w:numFmt w:val="lowerLetter"/>
      <w:lvlText w:val="%5."/>
      <w:lvlJc w:val="left"/>
      <w:pPr>
        <w:ind w:left="3600" w:hanging="360"/>
      </w:pPr>
    </w:lvl>
    <w:lvl w:ilvl="5" w:tplc="958492A2">
      <w:start w:val="1"/>
      <w:numFmt w:val="lowerRoman"/>
      <w:lvlText w:val="%6."/>
      <w:lvlJc w:val="right"/>
      <w:pPr>
        <w:ind w:left="4320" w:hanging="180"/>
      </w:pPr>
    </w:lvl>
    <w:lvl w:ilvl="6" w:tplc="EB940DA0">
      <w:start w:val="1"/>
      <w:numFmt w:val="decimal"/>
      <w:lvlText w:val="%7."/>
      <w:lvlJc w:val="left"/>
      <w:pPr>
        <w:ind w:left="5040" w:hanging="360"/>
      </w:pPr>
    </w:lvl>
    <w:lvl w:ilvl="7" w:tplc="21B815F8">
      <w:start w:val="1"/>
      <w:numFmt w:val="lowerLetter"/>
      <w:lvlText w:val="%8."/>
      <w:lvlJc w:val="left"/>
      <w:pPr>
        <w:ind w:left="5760" w:hanging="360"/>
      </w:pPr>
    </w:lvl>
    <w:lvl w:ilvl="8" w:tplc="1F2899AE">
      <w:start w:val="1"/>
      <w:numFmt w:val="lowerRoman"/>
      <w:lvlText w:val="%9."/>
      <w:lvlJc w:val="right"/>
      <w:pPr>
        <w:ind w:left="6480" w:hanging="180"/>
      </w:pPr>
    </w:lvl>
  </w:abstractNum>
  <w:abstractNum w:abstractNumId="27" w15:restartNumberingAfterBreak="0">
    <w:nsid w:val="60E60FC9"/>
    <w:multiLevelType w:val="hybridMultilevel"/>
    <w:tmpl w:val="A3129590"/>
    <w:lvl w:ilvl="0" w:tplc="45148D22">
      <w:start w:val="1"/>
      <w:numFmt w:val="lowerLetter"/>
      <w:lvlText w:val="%1."/>
      <w:lvlJc w:val="left"/>
      <w:pPr>
        <w:ind w:left="720" w:hanging="360"/>
      </w:pPr>
    </w:lvl>
    <w:lvl w:ilvl="1" w:tplc="CC50AEEA">
      <w:start w:val="1"/>
      <w:numFmt w:val="lowerLetter"/>
      <w:lvlText w:val="%2."/>
      <w:lvlJc w:val="left"/>
      <w:pPr>
        <w:ind w:left="1440" w:hanging="360"/>
      </w:pPr>
    </w:lvl>
    <w:lvl w:ilvl="2" w:tplc="E95C0E52">
      <w:start w:val="1"/>
      <w:numFmt w:val="lowerRoman"/>
      <w:lvlText w:val="%3."/>
      <w:lvlJc w:val="right"/>
      <w:pPr>
        <w:ind w:left="2160" w:hanging="180"/>
      </w:pPr>
    </w:lvl>
    <w:lvl w:ilvl="3" w:tplc="B9B26E62">
      <w:start w:val="1"/>
      <w:numFmt w:val="decimal"/>
      <w:lvlText w:val="%4."/>
      <w:lvlJc w:val="left"/>
      <w:pPr>
        <w:ind w:left="2880" w:hanging="360"/>
      </w:pPr>
    </w:lvl>
    <w:lvl w:ilvl="4" w:tplc="0FB4B272">
      <w:start w:val="1"/>
      <w:numFmt w:val="lowerLetter"/>
      <w:lvlText w:val="%5."/>
      <w:lvlJc w:val="left"/>
      <w:pPr>
        <w:ind w:left="3600" w:hanging="360"/>
      </w:pPr>
    </w:lvl>
    <w:lvl w:ilvl="5" w:tplc="4476E41A">
      <w:start w:val="1"/>
      <w:numFmt w:val="lowerRoman"/>
      <w:lvlText w:val="%6."/>
      <w:lvlJc w:val="right"/>
      <w:pPr>
        <w:ind w:left="4320" w:hanging="180"/>
      </w:pPr>
    </w:lvl>
    <w:lvl w:ilvl="6" w:tplc="61DA4626">
      <w:start w:val="1"/>
      <w:numFmt w:val="decimal"/>
      <w:lvlText w:val="%7."/>
      <w:lvlJc w:val="left"/>
      <w:pPr>
        <w:ind w:left="5040" w:hanging="360"/>
      </w:pPr>
    </w:lvl>
    <w:lvl w:ilvl="7" w:tplc="B05C5168">
      <w:start w:val="1"/>
      <w:numFmt w:val="lowerLetter"/>
      <w:lvlText w:val="%8."/>
      <w:lvlJc w:val="left"/>
      <w:pPr>
        <w:ind w:left="5760" w:hanging="360"/>
      </w:pPr>
    </w:lvl>
    <w:lvl w:ilvl="8" w:tplc="5C56B110">
      <w:start w:val="1"/>
      <w:numFmt w:val="lowerRoman"/>
      <w:lvlText w:val="%9."/>
      <w:lvlJc w:val="right"/>
      <w:pPr>
        <w:ind w:left="6480" w:hanging="180"/>
      </w:pPr>
    </w:lvl>
  </w:abstractNum>
  <w:abstractNum w:abstractNumId="28" w15:restartNumberingAfterBreak="0">
    <w:nsid w:val="63016EA5"/>
    <w:multiLevelType w:val="multilevel"/>
    <w:tmpl w:val="05B438A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D91589"/>
    <w:multiLevelType w:val="hybridMultilevel"/>
    <w:tmpl w:val="C34A9C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E72AA6"/>
    <w:multiLevelType w:val="hybridMultilevel"/>
    <w:tmpl w:val="A6CECC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A03549E"/>
    <w:multiLevelType w:val="multilevel"/>
    <w:tmpl w:val="E022265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9D4E73"/>
    <w:multiLevelType w:val="hybridMultilevel"/>
    <w:tmpl w:val="8BEC5A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EC000B6"/>
    <w:multiLevelType w:val="multilevel"/>
    <w:tmpl w:val="ED52FD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703A52"/>
    <w:multiLevelType w:val="multilevel"/>
    <w:tmpl w:val="404AB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E614FF"/>
    <w:multiLevelType w:val="multilevel"/>
    <w:tmpl w:val="7B2232E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0"/>
  </w:num>
  <w:num w:numId="3">
    <w:abstractNumId w:val="17"/>
  </w:num>
  <w:num w:numId="4">
    <w:abstractNumId w:val="1"/>
  </w:num>
  <w:num w:numId="5">
    <w:abstractNumId w:val="31"/>
  </w:num>
  <w:num w:numId="6">
    <w:abstractNumId w:val="14"/>
  </w:num>
  <w:num w:numId="7">
    <w:abstractNumId w:val="35"/>
  </w:num>
  <w:num w:numId="8">
    <w:abstractNumId w:val="25"/>
  </w:num>
  <w:num w:numId="9">
    <w:abstractNumId w:val="21"/>
  </w:num>
  <w:num w:numId="10">
    <w:abstractNumId w:val="28"/>
  </w:num>
  <w:num w:numId="11">
    <w:abstractNumId w:val="24"/>
  </w:num>
  <w:num w:numId="12">
    <w:abstractNumId w:val="6"/>
  </w:num>
  <w:num w:numId="13">
    <w:abstractNumId w:val="3"/>
  </w:num>
  <w:num w:numId="14">
    <w:abstractNumId w:val="34"/>
  </w:num>
  <w:num w:numId="15">
    <w:abstractNumId w:val="33"/>
  </w:num>
  <w:num w:numId="16">
    <w:abstractNumId w:val="15"/>
  </w:num>
  <w:num w:numId="17">
    <w:abstractNumId w:val="16"/>
  </w:num>
  <w:num w:numId="18">
    <w:abstractNumId w:val="10"/>
  </w:num>
  <w:num w:numId="19">
    <w:abstractNumId w:val="5"/>
  </w:num>
  <w:num w:numId="20">
    <w:abstractNumId w:val="7"/>
  </w:num>
  <w:num w:numId="21">
    <w:abstractNumId w:val="12"/>
  </w:num>
  <w:num w:numId="22">
    <w:abstractNumId w:val="13"/>
  </w:num>
  <w:num w:numId="23">
    <w:abstractNumId w:val="26"/>
  </w:num>
  <w:num w:numId="24">
    <w:abstractNumId w:val="4"/>
  </w:num>
  <w:num w:numId="25">
    <w:abstractNumId w:val="18"/>
  </w:num>
  <w:num w:numId="26">
    <w:abstractNumId w:val="32"/>
  </w:num>
  <w:num w:numId="27">
    <w:abstractNumId w:val="22"/>
  </w:num>
  <w:num w:numId="28">
    <w:abstractNumId w:val="19"/>
  </w:num>
  <w:num w:numId="29">
    <w:abstractNumId w:val="30"/>
  </w:num>
  <w:num w:numId="30">
    <w:abstractNumId w:val="8"/>
  </w:num>
  <w:num w:numId="31">
    <w:abstractNumId w:val="2"/>
  </w:num>
  <w:num w:numId="32">
    <w:abstractNumId w:val="11"/>
  </w:num>
  <w:num w:numId="33">
    <w:abstractNumId w:val="23"/>
  </w:num>
  <w:num w:numId="3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l-PL"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99BD021E-7DFD-46E4-8D36-153A76FB34B9"/>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6"/>
    <w:docVar w:name="LW_LANGUE" w:val="EN"/>
    <w:docVar w:name="LW_LEVEL_OF_SENSITIVITY" w:val="Sensitive treatment"/>
    <w:docVar w:name="LW_NOM.INST" w:val="EUROPEAN COMMISSION"/>
    <w:docVar w:name="LW_NOM.INST_JOINTDOC" w:val="&lt;EMPTY&gt;"/>
    <w:docVar w:name="LW_OBJETACTEPRINCIPAL.CP" w:val="on the approval of the assessment of the recovery and resilience plan for Poland"/>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markingType=&quot;Sensitive&quot; displayInHeader=&quot;false&quot;&gt;_x000d__x000a_    &lt;distributionMarking xsi:nil=&quot;true&quot; /&gt;_x000d__x000a_    &lt;text&gt;&amp;lt;FMT:Bold&amp;gt;SENSITIVE&amp;lt;/FMT&amp;gt;&amp;lt;FMT:customFN=*&amp;gt;* 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amp;lt;/FMT:FN&amp;gt;&lt;/text&gt;_x000d__x000a_    &lt;footnoteText&gt;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Implementing Decision"/>
  </w:docVars>
  <w:rsids>
    <w:rsidRoot w:val="007C4506"/>
    <w:rsid w:val="00000F13"/>
    <w:rsid w:val="0000201A"/>
    <w:rsid w:val="00003DE6"/>
    <w:rsid w:val="00003EEA"/>
    <w:rsid w:val="00004A54"/>
    <w:rsid w:val="00005D7D"/>
    <w:rsid w:val="00006434"/>
    <w:rsid w:val="000065D8"/>
    <w:rsid w:val="00006A83"/>
    <w:rsid w:val="00007C3E"/>
    <w:rsid w:val="000109D4"/>
    <w:rsid w:val="00010FF8"/>
    <w:rsid w:val="00011C45"/>
    <w:rsid w:val="00012928"/>
    <w:rsid w:val="00013B2B"/>
    <w:rsid w:val="00014699"/>
    <w:rsid w:val="000146B5"/>
    <w:rsid w:val="00014D7D"/>
    <w:rsid w:val="000155F6"/>
    <w:rsid w:val="00015F05"/>
    <w:rsid w:val="00016051"/>
    <w:rsid w:val="00016EA7"/>
    <w:rsid w:val="000209E9"/>
    <w:rsid w:val="00020E45"/>
    <w:rsid w:val="0002330F"/>
    <w:rsid w:val="000261C6"/>
    <w:rsid w:val="00027240"/>
    <w:rsid w:val="000279F3"/>
    <w:rsid w:val="00027CC5"/>
    <w:rsid w:val="00030934"/>
    <w:rsid w:val="00033354"/>
    <w:rsid w:val="000344DA"/>
    <w:rsid w:val="00036205"/>
    <w:rsid w:val="00036B7F"/>
    <w:rsid w:val="00036E4C"/>
    <w:rsid w:val="00037773"/>
    <w:rsid w:val="00040D75"/>
    <w:rsid w:val="00042B90"/>
    <w:rsid w:val="00043499"/>
    <w:rsid w:val="00045B2B"/>
    <w:rsid w:val="00047575"/>
    <w:rsid w:val="00047702"/>
    <w:rsid w:val="00051524"/>
    <w:rsid w:val="000516A9"/>
    <w:rsid w:val="00052050"/>
    <w:rsid w:val="00053449"/>
    <w:rsid w:val="00053FD9"/>
    <w:rsid w:val="00055141"/>
    <w:rsid w:val="000563B5"/>
    <w:rsid w:val="00057B59"/>
    <w:rsid w:val="000609FE"/>
    <w:rsid w:val="00061E31"/>
    <w:rsid w:val="00064621"/>
    <w:rsid w:val="00065AAC"/>
    <w:rsid w:val="00070090"/>
    <w:rsid w:val="0007044B"/>
    <w:rsid w:val="000706B1"/>
    <w:rsid w:val="00072E03"/>
    <w:rsid w:val="00073550"/>
    <w:rsid w:val="00073B4C"/>
    <w:rsid w:val="00073CEA"/>
    <w:rsid w:val="000751CA"/>
    <w:rsid w:val="00077846"/>
    <w:rsid w:val="00077A75"/>
    <w:rsid w:val="00077A81"/>
    <w:rsid w:val="0008155F"/>
    <w:rsid w:val="000815FE"/>
    <w:rsid w:val="00081BE5"/>
    <w:rsid w:val="00082302"/>
    <w:rsid w:val="000827F5"/>
    <w:rsid w:val="00083D10"/>
    <w:rsid w:val="00084D74"/>
    <w:rsid w:val="00085100"/>
    <w:rsid w:val="000854CE"/>
    <w:rsid w:val="000857CF"/>
    <w:rsid w:val="000908E5"/>
    <w:rsid w:val="00091700"/>
    <w:rsid w:val="000933B3"/>
    <w:rsid w:val="0009389C"/>
    <w:rsid w:val="00095054"/>
    <w:rsid w:val="00095289"/>
    <w:rsid w:val="00095E06"/>
    <w:rsid w:val="000960E4"/>
    <w:rsid w:val="000962B9"/>
    <w:rsid w:val="0009738D"/>
    <w:rsid w:val="00097C37"/>
    <w:rsid w:val="0009E8E4"/>
    <w:rsid w:val="000A12F7"/>
    <w:rsid w:val="000A17EB"/>
    <w:rsid w:val="000A1F97"/>
    <w:rsid w:val="000A289B"/>
    <w:rsid w:val="000A364C"/>
    <w:rsid w:val="000A3B39"/>
    <w:rsid w:val="000A4317"/>
    <w:rsid w:val="000A637A"/>
    <w:rsid w:val="000A7B70"/>
    <w:rsid w:val="000B04B7"/>
    <w:rsid w:val="000B2237"/>
    <w:rsid w:val="000B22BC"/>
    <w:rsid w:val="000B24F5"/>
    <w:rsid w:val="000B284D"/>
    <w:rsid w:val="000B5E5B"/>
    <w:rsid w:val="000B5EA0"/>
    <w:rsid w:val="000B68E3"/>
    <w:rsid w:val="000B6E0B"/>
    <w:rsid w:val="000B7A20"/>
    <w:rsid w:val="000B7CB3"/>
    <w:rsid w:val="000C1FE7"/>
    <w:rsid w:val="000C2703"/>
    <w:rsid w:val="000C2FE4"/>
    <w:rsid w:val="000C4A90"/>
    <w:rsid w:val="000C5850"/>
    <w:rsid w:val="000C5954"/>
    <w:rsid w:val="000C7321"/>
    <w:rsid w:val="000C7746"/>
    <w:rsid w:val="000D0620"/>
    <w:rsid w:val="000D0CDA"/>
    <w:rsid w:val="000D1927"/>
    <w:rsid w:val="000D1A28"/>
    <w:rsid w:val="000D4DDF"/>
    <w:rsid w:val="000D54CA"/>
    <w:rsid w:val="000D664B"/>
    <w:rsid w:val="000D6E57"/>
    <w:rsid w:val="000D77B0"/>
    <w:rsid w:val="000D77D4"/>
    <w:rsid w:val="000E0CB2"/>
    <w:rsid w:val="000E0F86"/>
    <w:rsid w:val="000E336E"/>
    <w:rsid w:val="000E44AE"/>
    <w:rsid w:val="000E45FD"/>
    <w:rsid w:val="000E4E41"/>
    <w:rsid w:val="000E51CC"/>
    <w:rsid w:val="000E5FB2"/>
    <w:rsid w:val="000E64D1"/>
    <w:rsid w:val="000E66BE"/>
    <w:rsid w:val="000E6900"/>
    <w:rsid w:val="000E6E07"/>
    <w:rsid w:val="000E6FDE"/>
    <w:rsid w:val="000ECA4A"/>
    <w:rsid w:val="000F035C"/>
    <w:rsid w:val="000F33A8"/>
    <w:rsid w:val="000F3702"/>
    <w:rsid w:val="000F46D3"/>
    <w:rsid w:val="000F71C2"/>
    <w:rsid w:val="000F75AA"/>
    <w:rsid w:val="000F7CBB"/>
    <w:rsid w:val="000F7F78"/>
    <w:rsid w:val="000F7FDB"/>
    <w:rsid w:val="0010193F"/>
    <w:rsid w:val="00101C34"/>
    <w:rsid w:val="00102390"/>
    <w:rsid w:val="001023AA"/>
    <w:rsid w:val="001039D1"/>
    <w:rsid w:val="00103CF9"/>
    <w:rsid w:val="00104493"/>
    <w:rsid w:val="001052B5"/>
    <w:rsid w:val="00105D26"/>
    <w:rsid w:val="001069F5"/>
    <w:rsid w:val="00106E25"/>
    <w:rsid w:val="00106E4F"/>
    <w:rsid w:val="001102F9"/>
    <w:rsid w:val="00112410"/>
    <w:rsid w:val="0011404B"/>
    <w:rsid w:val="0011461E"/>
    <w:rsid w:val="00114943"/>
    <w:rsid w:val="0011514C"/>
    <w:rsid w:val="001160EA"/>
    <w:rsid w:val="0011762F"/>
    <w:rsid w:val="001200E5"/>
    <w:rsid w:val="001204D2"/>
    <w:rsid w:val="00120E42"/>
    <w:rsid w:val="00120EE2"/>
    <w:rsid w:val="001213B2"/>
    <w:rsid w:val="001225FF"/>
    <w:rsid w:val="001230E5"/>
    <w:rsid w:val="00123351"/>
    <w:rsid w:val="00123404"/>
    <w:rsid w:val="00123D51"/>
    <w:rsid w:val="00124546"/>
    <w:rsid w:val="00125370"/>
    <w:rsid w:val="00126FEB"/>
    <w:rsid w:val="0012753A"/>
    <w:rsid w:val="001303B2"/>
    <w:rsid w:val="00130410"/>
    <w:rsid w:val="0013307C"/>
    <w:rsid w:val="001333CA"/>
    <w:rsid w:val="00133751"/>
    <w:rsid w:val="00133926"/>
    <w:rsid w:val="00134B79"/>
    <w:rsid w:val="00140050"/>
    <w:rsid w:val="00141128"/>
    <w:rsid w:val="00141808"/>
    <w:rsid w:val="00142410"/>
    <w:rsid w:val="001428FB"/>
    <w:rsid w:val="00142FE5"/>
    <w:rsid w:val="00146F84"/>
    <w:rsid w:val="0014AD95"/>
    <w:rsid w:val="00151803"/>
    <w:rsid w:val="00152A10"/>
    <w:rsid w:val="00153B3E"/>
    <w:rsid w:val="00155E1C"/>
    <w:rsid w:val="001606C2"/>
    <w:rsid w:val="00160FF3"/>
    <w:rsid w:val="0016190E"/>
    <w:rsid w:val="001625AF"/>
    <w:rsid w:val="00162CD5"/>
    <w:rsid w:val="00164512"/>
    <w:rsid w:val="001647C2"/>
    <w:rsid w:val="00164C1F"/>
    <w:rsid w:val="0016502F"/>
    <w:rsid w:val="0016552E"/>
    <w:rsid w:val="00165A27"/>
    <w:rsid w:val="00166113"/>
    <w:rsid w:val="00166788"/>
    <w:rsid w:val="00171576"/>
    <w:rsid w:val="001716B0"/>
    <w:rsid w:val="001718F7"/>
    <w:rsid w:val="00171C47"/>
    <w:rsid w:val="001729CF"/>
    <w:rsid w:val="00176103"/>
    <w:rsid w:val="00177FC6"/>
    <w:rsid w:val="001815E9"/>
    <w:rsid w:val="00181AD8"/>
    <w:rsid w:val="001821DB"/>
    <w:rsid w:val="00182740"/>
    <w:rsid w:val="0018375D"/>
    <w:rsid w:val="00183AB5"/>
    <w:rsid w:val="00184765"/>
    <w:rsid w:val="00184F3D"/>
    <w:rsid w:val="00186B6E"/>
    <w:rsid w:val="00186D77"/>
    <w:rsid w:val="00187048"/>
    <w:rsid w:val="00187315"/>
    <w:rsid w:val="00187C43"/>
    <w:rsid w:val="00190409"/>
    <w:rsid w:val="001908B3"/>
    <w:rsid w:val="00190D83"/>
    <w:rsid w:val="001911AA"/>
    <w:rsid w:val="00192745"/>
    <w:rsid w:val="001930B5"/>
    <w:rsid w:val="001933E2"/>
    <w:rsid w:val="00193960"/>
    <w:rsid w:val="00196159"/>
    <w:rsid w:val="0019715D"/>
    <w:rsid w:val="00197489"/>
    <w:rsid w:val="001A2105"/>
    <w:rsid w:val="001A26E8"/>
    <w:rsid w:val="001A38BB"/>
    <w:rsid w:val="001A4527"/>
    <w:rsid w:val="001A5735"/>
    <w:rsid w:val="001A5E02"/>
    <w:rsid w:val="001A7078"/>
    <w:rsid w:val="001A713A"/>
    <w:rsid w:val="001A7FE3"/>
    <w:rsid w:val="001AB439"/>
    <w:rsid w:val="001B21E2"/>
    <w:rsid w:val="001B4BA2"/>
    <w:rsid w:val="001B5B89"/>
    <w:rsid w:val="001B60B9"/>
    <w:rsid w:val="001B645D"/>
    <w:rsid w:val="001B73F3"/>
    <w:rsid w:val="001B7DCD"/>
    <w:rsid w:val="001C0095"/>
    <w:rsid w:val="001C09E5"/>
    <w:rsid w:val="001C0FDA"/>
    <w:rsid w:val="001C10FA"/>
    <w:rsid w:val="001C1FBF"/>
    <w:rsid w:val="001C2CFE"/>
    <w:rsid w:val="001C36A4"/>
    <w:rsid w:val="001C389D"/>
    <w:rsid w:val="001C46B4"/>
    <w:rsid w:val="001C5C9C"/>
    <w:rsid w:val="001C6D6B"/>
    <w:rsid w:val="001D1AF1"/>
    <w:rsid w:val="001D2F6A"/>
    <w:rsid w:val="001D3960"/>
    <w:rsid w:val="001D4725"/>
    <w:rsid w:val="001D4C21"/>
    <w:rsid w:val="001D4F75"/>
    <w:rsid w:val="001D5D29"/>
    <w:rsid w:val="001D61F5"/>
    <w:rsid w:val="001D6B91"/>
    <w:rsid w:val="001D6DE5"/>
    <w:rsid w:val="001D78F3"/>
    <w:rsid w:val="001E09F3"/>
    <w:rsid w:val="001E139A"/>
    <w:rsid w:val="001E1A2C"/>
    <w:rsid w:val="001E1CD8"/>
    <w:rsid w:val="001E1F56"/>
    <w:rsid w:val="001E4088"/>
    <w:rsid w:val="001E45AF"/>
    <w:rsid w:val="001E652B"/>
    <w:rsid w:val="001E76ED"/>
    <w:rsid w:val="001F0323"/>
    <w:rsid w:val="001F0804"/>
    <w:rsid w:val="001F0A95"/>
    <w:rsid w:val="001F2A4D"/>
    <w:rsid w:val="001F5736"/>
    <w:rsid w:val="001F57FE"/>
    <w:rsid w:val="001F7211"/>
    <w:rsid w:val="001F7B10"/>
    <w:rsid w:val="001F7E6C"/>
    <w:rsid w:val="00200446"/>
    <w:rsid w:val="002014D4"/>
    <w:rsid w:val="0020267F"/>
    <w:rsid w:val="00202A91"/>
    <w:rsid w:val="0020372C"/>
    <w:rsid w:val="00203C66"/>
    <w:rsid w:val="0020613C"/>
    <w:rsid w:val="00206758"/>
    <w:rsid w:val="00207C1E"/>
    <w:rsid w:val="00210571"/>
    <w:rsid w:val="00211103"/>
    <w:rsid w:val="00212550"/>
    <w:rsid w:val="00212630"/>
    <w:rsid w:val="00212D6D"/>
    <w:rsid w:val="00212F3E"/>
    <w:rsid w:val="00213AB7"/>
    <w:rsid w:val="00213E0F"/>
    <w:rsid w:val="00213F05"/>
    <w:rsid w:val="002153DC"/>
    <w:rsid w:val="00216B70"/>
    <w:rsid w:val="00220646"/>
    <w:rsid w:val="002214FB"/>
    <w:rsid w:val="002216B7"/>
    <w:rsid w:val="002217D5"/>
    <w:rsid w:val="002224DC"/>
    <w:rsid w:val="00222B5F"/>
    <w:rsid w:val="0022381B"/>
    <w:rsid w:val="002248AA"/>
    <w:rsid w:val="00231DC3"/>
    <w:rsid w:val="00231EAC"/>
    <w:rsid w:val="002327A3"/>
    <w:rsid w:val="002330BA"/>
    <w:rsid w:val="00235A2F"/>
    <w:rsid w:val="00235CDC"/>
    <w:rsid w:val="00236612"/>
    <w:rsid w:val="002409D0"/>
    <w:rsid w:val="00242C43"/>
    <w:rsid w:val="00242E87"/>
    <w:rsid w:val="00243AF2"/>
    <w:rsid w:val="00247604"/>
    <w:rsid w:val="00247AE2"/>
    <w:rsid w:val="00250CF8"/>
    <w:rsid w:val="00256610"/>
    <w:rsid w:val="0025726C"/>
    <w:rsid w:val="00257C2D"/>
    <w:rsid w:val="00260AD4"/>
    <w:rsid w:val="00263F7A"/>
    <w:rsid w:val="00264430"/>
    <w:rsid w:val="00267240"/>
    <w:rsid w:val="002676E2"/>
    <w:rsid w:val="00271BFF"/>
    <w:rsid w:val="002727B1"/>
    <w:rsid w:val="00272EA0"/>
    <w:rsid w:val="002732CD"/>
    <w:rsid w:val="002738A2"/>
    <w:rsid w:val="0027522B"/>
    <w:rsid w:val="00277702"/>
    <w:rsid w:val="002804F4"/>
    <w:rsid w:val="002823EC"/>
    <w:rsid w:val="002841C1"/>
    <w:rsid w:val="0028436C"/>
    <w:rsid w:val="002846C1"/>
    <w:rsid w:val="002846CD"/>
    <w:rsid w:val="00284A8D"/>
    <w:rsid w:val="00284C81"/>
    <w:rsid w:val="00285D09"/>
    <w:rsid w:val="00286666"/>
    <w:rsid w:val="00286709"/>
    <w:rsid w:val="0029304A"/>
    <w:rsid w:val="00293225"/>
    <w:rsid w:val="00293735"/>
    <w:rsid w:val="0029434A"/>
    <w:rsid w:val="00294509"/>
    <w:rsid w:val="0029484E"/>
    <w:rsid w:val="00294B61"/>
    <w:rsid w:val="00295E32"/>
    <w:rsid w:val="002966BA"/>
    <w:rsid w:val="00296BF9"/>
    <w:rsid w:val="00297093"/>
    <w:rsid w:val="002973C8"/>
    <w:rsid w:val="002A15FE"/>
    <w:rsid w:val="002A2845"/>
    <w:rsid w:val="002A2F87"/>
    <w:rsid w:val="002A3744"/>
    <w:rsid w:val="002A565C"/>
    <w:rsid w:val="002B00B0"/>
    <w:rsid w:val="002B0562"/>
    <w:rsid w:val="002B09D0"/>
    <w:rsid w:val="002B0CF6"/>
    <w:rsid w:val="002B2068"/>
    <w:rsid w:val="002B22CB"/>
    <w:rsid w:val="002B3FDA"/>
    <w:rsid w:val="002B47CD"/>
    <w:rsid w:val="002B4CF0"/>
    <w:rsid w:val="002B532E"/>
    <w:rsid w:val="002B5FFB"/>
    <w:rsid w:val="002C0FC7"/>
    <w:rsid w:val="002C1C4F"/>
    <w:rsid w:val="002C1E3A"/>
    <w:rsid w:val="002C2EC4"/>
    <w:rsid w:val="002C2F1D"/>
    <w:rsid w:val="002C30FA"/>
    <w:rsid w:val="002C31EB"/>
    <w:rsid w:val="002C43E3"/>
    <w:rsid w:val="002C4406"/>
    <w:rsid w:val="002C476C"/>
    <w:rsid w:val="002C6E11"/>
    <w:rsid w:val="002C7B1A"/>
    <w:rsid w:val="002C7B44"/>
    <w:rsid w:val="002D099A"/>
    <w:rsid w:val="002D0B7C"/>
    <w:rsid w:val="002D17B9"/>
    <w:rsid w:val="002D3674"/>
    <w:rsid w:val="002D5F2E"/>
    <w:rsid w:val="002D5F5D"/>
    <w:rsid w:val="002D6E10"/>
    <w:rsid w:val="002D712A"/>
    <w:rsid w:val="002D7602"/>
    <w:rsid w:val="002D7D12"/>
    <w:rsid w:val="002E116B"/>
    <w:rsid w:val="002E1E70"/>
    <w:rsid w:val="002E2345"/>
    <w:rsid w:val="002E2494"/>
    <w:rsid w:val="002E39D1"/>
    <w:rsid w:val="002E6322"/>
    <w:rsid w:val="002E6748"/>
    <w:rsid w:val="002E7C0B"/>
    <w:rsid w:val="002F03F9"/>
    <w:rsid w:val="002F1F7A"/>
    <w:rsid w:val="002F2FA5"/>
    <w:rsid w:val="002F349D"/>
    <w:rsid w:val="002F3893"/>
    <w:rsid w:val="002F4B4F"/>
    <w:rsid w:val="002F5497"/>
    <w:rsid w:val="002F5E1E"/>
    <w:rsid w:val="00300796"/>
    <w:rsid w:val="0030092D"/>
    <w:rsid w:val="00301575"/>
    <w:rsid w:val="00301B80"/>
    <w:rsid w:val="00302C89"/>
    <w:rsid w:val="0030439F"/>
    <w:rsid w:val="00305099"/>
    <w:rsid w:val="0030771A"/>
    <w:rsid w:val="00307BA9"/>
    <w:rsid w:val="00307C95"/>
    <w:rsid w:val="0031096D"/>
    <w:rsid w:val="00311B05"/>
    <w:rsid w:val="00312598"/>
    <w:rsid w:val="00313011"/>
    <w:rsid w:val="00313291"/>
    <w:rsid w:val="00315BB2"/>
    <w:rsid w:val="00315EB3"/>
    <w:rsid w:val="00316A13"/>
    <w:rsid w:val="0032140B"/>
    <w:rsid w:val="0032168E"/>
    <w:rsid w:val="0032172E"/>
    <w:rsid w:val="00321CD8"/>
    <w:rsid w:val="00321D32"/>
    <w:rsid w:val="0032251A"/>
    <w:rsid w:val="00323A32"/>
    <w:rsid w:val="003249E4"/>
    <w:rsid w:val="00324C29"/>
    <w:rsid w:val="00325213"/>
    <w:rsid w:val="00325327"/>
    <w:rsid w:val="00325444"/>
    <w:rsid w:val="003255DD"/>
    <w:rsid w:val="00325AE2"/>
    <w:rsid w:val="00326832"/>
    <w:rsid w:val="00326F5E"/>
    <w:rsid w:val="00327BB3"/>
    <w:rsid w:val="0032DA66"/>
    <w:rsid w:val="003313D4"/>
    <w:rsid w:val="0033239E"/>
    <w:rsid w:val="00332402"/>
    <w:rsid w:val="00332A5B"/>
    <w:rsid w:val="00335049"/>
    <w:rsid w:val="003365BD"/>
    <w:rsid w:val="003405DC"/>
    <w:rsid w:val="003408AC"/>
    <w:rsid w:val="00340AD2"/>
    <w:rsid w:val="0034251D"/>
    <w:rsid w:val="00343308"/>
    <w:rsid w:val="0034413C"/>
    <w:rsid w:val="003448D6"/>
    <w:rsid w:val="00344F33"/>
    <w:rsid w:val="0034728B"/>
    <w:rsid w:val="00347B5C"/>
    <w:rsid w:val="003518A5"/>
    <w:rsid w:val="00353D32"/>
    <w:rsid w:val="00353FC9"/>
    <w:rsid w:val="00354476"/>
    <w:rsid w:val="003607C4"/>
    <w:rsid w:val="00360ACF"/>
    <w:rsid w:val="0036173B"/>
    <w:rsid w:val="003628C8"/>
    <w:rsid w:val="00362EC0"/>
    <w:rsid w:val="003630A6"/>
    <w:rsid w:val="003632BA"/>
    <w:rsid w:val="00363B72"/>
    <w:rsid w:val="00363C76"/>
    <w:rsid w:val="00364828"/>
    <w:rsid w:val="003700C0"/>
    <w:rsid w:val="00370ABD"/>
    <w:rsid w:val="0037202F"/>
    <w:rsid w:val="00372153"/>
    <w:rsid w:val="00373033"/>
    <w:rsid w:val="00373FE3"/>
    <w:rsid w:val="00376673"/>
    <w:rsid w:val="00376753"/>
    <w:rsid w:val="00376D45"/>
    <w:rsid w:val="0037713F"/>
    <w:rsid w:val="00380328"/>
    <w:rsid w:val="003805B3"/>
    <w:rsid w:val="00380785"/>
    <w:rsid w:val="0038182D"/>
    <w:rsid w:val="00381AF5"/>
    <w:rsid w:val="003823C9"/>
    <w:rsid w:val="00382FC1"/>
    <w:rsid w:val="00385DAB"/>
    <w:rsid w:val="003869B4"/>
    <w:rsid w:val="003876D9"/>
    <w:rsid w:val="003876DC"/>
    <w:rsid w:val="00387BDD"/>
    <w:rsid w:val="00390090"/>
    <w:rsid w:val="00392D91"/>
    <w:rsid w:val="00392E19"/>
    <w:rsid w:val="003940A0"/>
    <w:rsid w:val="0039500F"/>
    <w:rsid w:val="003968C1"/>
    <w:rsid w:val="00397C05"/>
    <w:rsid w:val="00397F1C"/>
    <w:rsid w:val="003A0BCA"/>
    <w:rsid w:val="003A183D"/>
    <w:rsid w:val="003A2B1D"/>
    <w:rsid w:val="003A506D"/>
    <w:rsid w:val="003A67D9"/>
    <w:rsid w:val="003B2C3F"/>
    <w:rsid w:val="003B3F6D"/>
    <w:rsid w:val="003B3FD6"/>
    <w:rsid w:val="003B4AA5"/>
    <w:rsid w:val="003B4F16"/>
    <w:rsid w:val="003B5B99"/>
    <w:rsid w:val="003B640C"/>
    <w:rsid w:val="003B6AC8"/>
    <w:rsid w:val="003C016F"/>
    <w:rsid w:val="003C12A9"/>
    <w:rsid w:val="003C2B74"/>
    <w:rsid w:val="003C2B8E"/>
    <w:rsid w:val="003C2BE5"/>
    <w:rsid w:val="003C51DE"/>
    <w:rsid w:val="003C5666"/>
    <w:rsid w:val="003C5670"/>
    <w:rsid w:val="003C7237"/>
    <w:rsid w:val="003D0D5B"/>
    <w:rsid w:val="003D3680"/>
    <w:rsid w:val="003D3851"/>
    <w:rsid w:val="003D41F7"/>
    <w:rsid w:val="003D4B55"/>
    <w:rsid w:val="003D5650"/>
    <w:rsid w:val="003D5717"/>
    <w:rsid w:val="003D6E0D"/>
    <w:rsid w:val="003D7174"/>
    <w:rsid w:val="003E12F4"/>
    <w:rsid w:val="003E16E0"/>
    <w:rsid w:val="003E1A05"/>
    <w:rsid w:val="003E2895"/>
    <w:rsid w:val="003E38D2"/>
    <w:rsid w:val="003E3FF4"/>
    <w:rsid w:val="003E4A37"/>
    <w:rsid w:val="003E5004"/>
    <w:rsid w:val="003E5891"/>
    <w:rsid w:val="003E5A52"/>
    <w:rsid w:val="003E64A2"/>
    <w:rsid w:val="003E64FF"/>
    <w:rsid w:val="003E7EB4"/>
    <w:rsid w:val="003F1B70"/>
    <w:rsid w:val="003F51BE"/>
    <w:rsid w:val="003F548D"/>
    <w:rsid w:val="003F5E57"/>
    <w:rsid w:val="003F6C45"/>
    <w:rsid w:val="003F7D92"/>
    <w:rsid w:val="0040012F"/>
    <w:rsid w:val="00400349"/>
    <w:rsid w:val="0040111E"/>
    <w:rsid w:val="00401D74"/>
    <w:rsid w:val="004030C6"/>
    <w:rsid w:val="004032D3"/>
    <w:rsid w:val="00406087"/>
    <w:rsid w:val="004062AF"/>
    <w:rsid w:val="004073CB"/>
    <w:rsid w:val="00407C49"/>
    <w:rsid w:val="00410628"/>
    <w:rsid w:val="00410C59"/>
    <w:rsid w:val="00410C5D"/>
    <w:rsid w:val="004119B5"/>
    <w:rsid w:val="00411AA5"/>
    <w:rsid w:val="00413CCF"/>
    <w:rsid w:val="00415F25"/>
    <w:rsid w:val="0042028C"/>
    <w:rsid w:val="00420679"/>
    <w:rsid w:val="004222F3"/>
    <w:rsid w:val="0042243C"/>
    <w:rsid w:val="004227AF"/>
    <w:rsid w:val="00423376"/>
    <w:rsid w:val="004233E1"/>
    <w:rsid w:val="00423EB6"/>
    <w:rsid w:val="0042429D"/>
    <w:rsid w:val="004243DF"/>
    <w:rsid w:val="00424C9D"/>
    <w:rsid w:val="00430C26"/>
    <w:rsid w:val="00430F89"/>
    <w:rsid w:val="0043106F"/>
    <w:rsid w:val="00431616"/>
    <w:rsid w:val="00432077"/>
    <w:rsid w:val="00434AC8"/>
    <w:rsid w:val="00434F79"/>
    <w:rsid w:val="004371C9"/>
    <w:rsid w:val="00442E8A"/>
    <w:rsid w:val="00443219"/>
    <w:rsid w:val="0044377D"/>
    <w:rsid w:val="00443836"/>
    <w:rsid w:val="00443D1A"/>
    <w:rsid w:val="00443DFD"/>
    <w:rsid w:val="004440CB"/>
    <w:rsid w:val="004449A1"/>
    <w:rsid w:val="00444AE9"/>
    <w:rsid w:val="00446B21"/>
    <w:rsid w:val="00447E22"/>
    <w:rsid w:val="00450F58"/>
    <w:rsid w:val="00451806"/>
    <w:rsid w:val="00451AF4"/>
    <w:rsid w:val="004534BF"/>
    <w:rsid w:val="0045374B"/>
    <w:rsid w:val="00453A3B"/>
    <w:rsid w:val="00454766"/>
    <w:rsid w:val="0045499C"/>
    <w:rsid w:val="00454AFC"/>
    <w:rsid w:val="004568EC"/>
    <w:rsid w:val="004606E8"/>
    <w:rsid w:val="00461111"/>
    <w:rsid w:val="004619C2"/>
    <w:rsid w:val="00462BE0"/>
    <w:rsid w:val="00463240"/>
    <w:rsid w:val="00464A9B"/>
    <w:rsid w:val="00464ED5"/>
    <w:rsid w:val="00465656"/>
    <w:rsid w:val="00465D1A"/>
    <w:rsid w:val="00465EE7"/>
    <w:rsid w:val="0046634F"/>
    <w:rsid w:val="00467522"/>
    <w:rsid w:val="00471496"/>
    <w:rsid w:val="00471764"/>
    <w:rsid w:val="00471FB8"/>
    <w:rsid w:val="00472888"/>
    <w:rsid w:val="004733EE"/>
    <w:rsid w:val="00474181"/>
    <w:rsid w:val="00474482"/>
    <w:rsid w:val="00474EF6"/>
    <w:rsid w:val="00476F25"/>
    <w:rsid w:val="004771CB"/>
    <w:rsid w:val="00480F4A"/>
    <w:rsid w:val="004810ED"/>
    <w:rsid w:val="004817E9"/>
    <w:rsid w:val="00481D1B"/>
    <w:rsid w:val="00481E6D"/>
    <w:rsid w:val="004820A6"/>
    <w:rsid w:val="00482632"/>
    <w:rsid w:val="00482CC0"/>
    <w:rsid w:val="00482D10"/>
    <w:rsid w:val="004831CF"/>
    <w:rsid w:val="00483BC3"/>
    <w:rsid w:val="00485263"/>
    <w:rsid w:val="00490517"/>
    <w:rsid w:val="00493684"/>
    <w:rsid w:val="00494C43"/>
    <w:rsid w:val="004970C3"/>
    <w:rsid w:val="00497998"/>
    <w:rsid w:val="004A022C"/>
    <w:rsid w:val="004A04A2"/>
    <w:rsid w:val="004A08BE"/>
    <w:rsid w:val="004A0E1D"/>
    <w:rsid w:val="004A1542"/>
    <w:rsid w:val="004A285C"/>
    <w:rsid w:val="004A3621"/>
    <w:rsid w:val="004A3769"/>
    <w:rsid w:val="004A3990"/>
    <w:rsid w:val="004A4F1E"/>
    <w:rsid w:val="004A5438"/>
    <w:rsid w:val="004A5E49"/>
    <w:rsid w:val="004A6815"/>
    <w:rsid w:val="004A717B"/>
    <w:rsid w:val="004AD14F"/>
    <w:rsid w:val="004AED6A"/>
    <w:rsid w:val="004B0F65"/>
    <w:rsid w:val="004B109B"/>
    <w:rsid w:val="004B3097"/>
    <w:rsid w:val="004B5A20"/>
    <w:rsid w:val="004B5EF2"/>
    <w:rsid w:val="004B719D"/>
    <w:rsid w:val="004B783F"/>
    <w:rsid w:val="004C223F"/>
    <w:rsid w:val="004C22FE"/>
    <w:rsid w:val="004C4AF0"/>
    <w:rsid w:val="004C514D"/>
    <w:rsid w:val="004C5C8D"/>
    <w:rsid w:val="004C61EA"/>
    <w:rsid w:val="004C6EEE"/>
    <w:rsid w:val="004C7187"/>
    <w:rsid w:val="004D19F0"/>
    <w:rsid w:val="004D1CD2"/>
    <w:rsid w:val="004D27D1"/>
    <w:rsid w:val="004D3536"/>
    <w:rsid w:val="004D3B28"/>
    <w:rsid w:val="004D4689"/>
    <w:rsid w:val="004D4DBB"/>
    <w:rsid w:val="004D576E"/>
    <w:rsid w:val="004D5FE2"/>
    <w:rsid w:val="004D6C78"/>
    <w:rsid w:val="004E05B2"/>
    <w:rsid w:val="004E0994"/>
    <w:rsid w:val="004E0E48"/>
    <w:rsid w:val="004E0F56"/>
    <w:rsid w:val="004E1167"/>
    <w:rsid w:val="004E2344"/>
    <w:rsid w:val="004E24A6"/>
    <w:rsid w:val="004E2AAA"/>
    <w:rsid w:val="004E51BD"/>
    <w:rsid w:val="004E5B4E"/>
    <w:rsid w:val="004E62C3"/>
    <w:rsid w:val="004E68FC"/>
    <w:rsid w:val="004F08A5"/>
    <w:rsid w:val="004F1586"/>
    <w:rsid w:val="004F3C78"/>
    <w:rsid w:val="004F49B9"/>
    <w:rsid w:val="004F53AA"/>
    <w:rsid w:val="004F5B9D"/>
    <w:rsid w:val="00500648"/>
    <w:rsid w:val="00500BE4"/>
    <w:rsid w:val="00501367"/>
    <w:rsid w:val="00502592"/>
    <w:rsid w:val="005026D6"/>
    <w:rsid w:val="00504700"/>
    <w:rsid w:val="00504751"/>
    <w:rsid w:val="0050607B"/>
    <w:rsid w:val="005069B9"/>
    <w:rsid w:val="0051053D"/>
    <w:rsid w:val="005122C3"/>
    <w:rsid w:val="005139FD"/>
    <w:rsid w:val="00513E25"/>
    <w:rsid w:val="00514A6F"/>
    <w:rsid w:val="00515006"/>
    <w:rsid w:val="00515C01"/>
    <w:rsid w:val="00515EBD"/>
    <w:rsid w:val="00516435"/>
    <w:rsid w:val="00516961"/>
    <w:rsid w:val="005176BA"/>
    <w:rsid w:val="00520413"/>
    <w:rsid w:val="00521D03"/>
    <w:rsid w:val="00523707"/>
    <w:rsid w:val="005246E6"/>
    <w:rsid w:val="00525036"/>
    <w:rsid w:val="005261C8"/>
    <w:rsid w:val="005272BB"/>
    <w:rsid w:val="005272F1"/>
    <w:rsid w:val="005274D7"/>
    <w:rsid w:val="00530E2A"/>
    <w:rsid w:val="00531692"/>
    <w:rsid w:val="00532903"/>
    <w:rsid w:val="00532E6C"/>
    <w:rsid w:val="00533749"/>
    <w:rsid w:val="00533EF8"/>
    <w:rsid w:val="00534191"/>
    <w:rsid w:val="00535081"/>
    <w:rsid w:val="00536625"/>
    <w:rsid w:val="00540E55"/>
    <w:rsid w:val="00541C45"/>
    <w:rsid w:val="00541FA6"/>
    <w:rsid w:val="00542550"/>
    <w:rsid w:val="005427AE"/>
    <w:rsid w:val="00544100"/>
    <w:rsid w:val="00544A69"/>
    <w:rsid w:val="00545616"/>
    <w:rsid w:val="00546865"/>
    <w:rsid w:val="0054691F"/>
    <w:rsid w:val="00547884"/>
    <w:rsid w:val="00550254"/>
    <w:rsid w:val="00550707"/>
    <w:rsid w:val="00550C14"/>
    <w:rsid w:val="00551E35"/>
    <w:rsid w:val="00552F4F"/>
    <w:rsid w:val="00553674"/>
    <w:rsid w:val="00553EE2"/>
    <w:rsid w:val="00556046"/>
    <w:rsid w:val="00556590"/>
    <w:rsid w:val="00562FB6"/>
    <w:rsid w:val="00563D38"/>
    <w:rsid w:val="00564A81"/>
    <w:rsid w:val="00564D86"/>
    <w:rsid w:val="00565618"/>
    <w:rsid w:val="005657D3"/>
    <w:rsid w:val="0056601A"/>
    <w:rsid w:val="0056668A"/>
    <w:rsid w:val="00566D5D"/>
    <w:rsid w:val="00567ECA"/>
    <w:rsid w:val="00570B4D"/>
    <w:rsid w:val="00570CFC"/>
    <w:rsid w:val="00571378"/>
    <w:rsid w:val="005714F9"/>
    <w:rsid w:val="00574ADA"/>
    <w:rsid w:val="005764F8"/>
    <w:rsid w:val="00577874"/>
    <w:rsid w:val="00580C83"/>
    <w:rsid w:val="00582592"/>
    <w:rsid w:val="00583DCA"/>
    <w:rsid w:val="005854E2"/>
    <w:rsid w:val="00585526"/>
    <w:rsid w:val="0058656B"/>
    <w:rsid w:val="005867C0"/>
    <w:rsid w:val="00587BAA"/>
    <w:rsid w:val="00590C8C"/>
    <w:rsid w:val="00590F2E"/>
    <w:rsid w:val="00592009"/>
    <w:rsid w:val="00592E12"/>
    <w:rsid w:val="00593858"/>
    <w:rsid w:val="00595F23"/>
    <w:rsid w:val="00596B6E"/>
    <w:rsid w:val="005979C3"/>
    <w:rsid w:val="00597A7D"/>
    <w:rsid w:val="005A0E17"/>
    <w:rsid w:val="005A147D"/>
    <w:rsid w:val="005A1AB5"/>
    <w:rsid w:val="005A24D4"/>
    <w:rsid w:val="005A254E"/>
    <w:rsid w:val="005A26EA"/>
    <w:rsid w:val="005A2D04"/>
    <w:rsid w:val="005A34B3"/>
    <w:rsid w:val="005A656A"/>
    <w:rsid w:val="005A6B79"/>
    <w:rsid w:val="005A7FC2"/>
    <w:rsid w:val="005B033E"/>
    <w:rsid w:val="005B0434"/>
    <w:rsid w:val="005B0B88"/>
    <w:rsid w:val="005B2BFA"/>
    <w:rsid w:val="005B2CDC"/>
    <w:rsid w:val="005B3448"/>
    <w:rsid w:val="005B39B6"/>
    <w:rsid w:val="005B3E32"/>
    <w:rsid w:val="005B421F"/>
    <w:rsid w:val="005B5FF4"/>
    <w:rsid w:val="005B62C1"/>
    <w:rsid w:val="005B6C59"/>
    <w:rsid w:val="005B6F46"/>
    <w:rsid w:val="005C1882"/>
    <w:rsid w:val="005C2E93"/>
    <w:rsid w:val="005C3030"/>
    <w:rsid w:val="005C3701"/>
    <w:rsid w:val="005C3B29"/>
    <w:rsid w:val="005C3C55"/>
    <w:rsid w:val="005C4563"/>
    <w:rsid w:val="005C4E62"/>
    <w:rsid w:val="005C52F9"/>
    <w:rsid w:val="005D01AB"/>
    <w:rsid w:val="005D0CD7"/>
    <w:rsid w:val="005D10C8"/>
    <w:rsid w:val="005D2A5B"/>
    <w:rsid w:val="005D337F"/>
    <w:rsid w:val="005D3423"/>
    <w:rsid w:val="005D3807"/>
    <w:rsid w:val="005D42B9"/>
    <w:rsid w:val="005D4A24"/>
    <w:rsid w:val="005D5494"/>
    <w:rsid w:val="005D5516"/>
    <w:rsid w:val="005D6EE9"/>
    <w:rsid w:val="005D7771"/>
    <w:rsid w:val="005D7D78"/>
    <w:rsid w:val="005E03A6"/>
    <w:rsid w:val="005E51F4"/>
    <w:rsid w:val="005E64B7"/>
    <w:rsid w:val="005E7513"/>
    <w:rsid w:val="005F228B"/>
    <w:rsid w:val="005F2B0F"/>
    <w:rsid w:val="005F48FA"/>
    <w:rsid w:val="005F7787"/>
    <w:rsid w:val="0060002F"/>
    <w:rsid w:val="00600036"/>
    <w:rsid w:val="00601585"/>
    <w:rsid w:val="00602C08"/>
    <w:rsid w:val="0061011C"/>
    <w:rsid w:val="00611E67"/>
    <w:rsid w:val="006122B5"/>
    <w:rsid w:val="00612B74"/>
    <w:rsid w:val="006136CD"/>
    <w:rsid w:val="00614C93"/>
    <w:rsid w:val="0061534E"/>
    <w:rsid w:val="00615B84"/>
    <w:rsid w:val="00616442"/>
    <w:rsid w:val="00616938"/>
    <w:rsid w:val="006178B8"/>
    <w:rsid w:val="00617B7A"/>
    <w:rsid w:val="00617C3D"/>
    <w:rsid w:val="00620121"/>
    <w:rsid w:val="006207BF"/>
    <w:rsid w:val="006208CA"/>
    <w:rsid w:val="00621D37"/>
    <w:rsid w:val="00621F91"/>
    <w:rsid w:val="00622C9C"/>
    <w:rsid w:val="00623A81"/>
    <w:rsid w:val="00623B98"/>
    <w:rsid w:val="006248E8"/>
    <w:rsid w:val="006260C2"/>
    <w:rsid w:val="00626720"/>
    <w:rsid w:val="00626BBA"/>
    <w:rsid w:val="00627CA6"/>
    <w:rsid w:val="0063029A"/>
    <w:rsid w:val="006306B7"/>
    <w:rsid w:val="00630909"/>
    <w:rsid w:val="006323EA"/>
    <w:rsid w:val="006324E4"/>
    <w:rsid w:val="00632EE3"/>
    <w:rsid w:val="00633A5B"/>
    <w:rsid w:val="00633CCE"/>
    <w:rsid w:val="006345FC"/>
    <w:rsid w:val="006348FE"/>
    <w:rsid w:val="006350D4"/>
    <w:rsid w:val="00635660"/>
    <w:rsid w:val="00635BEC"/>
    <w:rsid w:val="006368B5"/>
    <w:rsid w:val="00636FE5"/>
    <w:rsid w:val="006418EF"/>
    <w:rsid w:val="00644516"/>
    <w:rsid w:val="00645691"/>
    <w:rsid w:val="0064599D"/>
    <w:rsid w:val="00645D9C"/>
    <w:rsid w:val="006462C5"/>
    <w:rsid w:val="00646ED4"/>
    <w:rsid w:val="0064767C"/>
    <w:rsid w:val="0064794C"/>
    <w:rsid w:val="00647FDE"/>
    <w:rsid w:val="006511C3"/>
    <w:rsid w:val="006513DC"/>
    <w:rsid w:val="006547B4"/>
    <w:rsid w:val="0065520D"/>
    <w:rsid w:val="006552DB"/>
    <w:rsid w:val="00655ED0"/>
    <w:rsid w:val="00656583"/>
    <w:rsid w:val="00656D7B"/>
    <w:rsid w:val="006617E2"/>
    <w:rsid w:val="00661836"/>
    <w:rsid w:val="0066204A"/>
    <w:rsid w:val="0066357D"/>
    <w:rsid w:val="006637A4"/>
    <w:rsid w:val="00663CF6"/>
    <w:rsid w:val="006661DE"/>
    <w:rsid w:val="0066765D"/>
    <w:rsid w:val="00667860"/>
    <w:rsid w:val="00670393"/>
    <w:rsid w:val="00670902"/>
    <w:rsid w:val="00671212"/>
    <w:rsid w:val="00671BFF"/>
    <w:rsid w:val="00671C0A"/>
    <w:rsid w:val="00671F66"/>
    <w:rsid w:val="006738F3"/>
    <w:rsid w:val="00674445"/>
    <w:rsid w:val="00674E66"/>
    <w:rsid w:val="00675A36"/>
    <w:rsid w:val="00675E63"/>
    <w:rsid w:val="006767D3"/>
    <w:rsid w:val="00680D78"/>
    <w:rsid w:val="006810F7"/>
    <w:rsid w:val="00681118"/>
    <w:rsid w:val="00681267"/>
    <w:rsid w:val="006816EE"/>
    <w:rsid w:val="00682026"/>
    <w:rsid w:val="006862C6"/>
    <w:rsid w:val="00686304"/>
    <w:rsid w:val="00687DF3"/>
    <w:rsid w:val="00691AE0"/>
    <w:rsid w:val="00692439"/>
    <w:rsid w:val="00693604"/>
    <w:rsid w:val="00697373"/>
    <w:rsid w:val="00697DA8"/>
    <w:rsid w:val="00699E8F"/>
    <w:rsid w:val="006A0395"/>
    <w:rsid w:val="006A1012"/>
    <w:rsid w:val="006A362F"/>
    <w:rsid w:val="006A42B3"/>
    <w:rsid w:val="006A69AA"/>
    <w:rsid w:val="006A738C"/>
    <w:rsid w:val="006A765A"/>
    <w:rsid w:val="006B0393"/>
    <w:rsid w:val="006B13AF"/>
    <w:rsid w:val="006B1A57"/>
    <w:rsid w:val="006B2CD4"/>
    <w:rsid w:val="006B3000"/>
    <w:rsid w:val="006B3A2A"/>
    <w:rsid w:val="006B5081"/>
    <w:rsid w:val="006B7E37"/>
    <w:rsid w:val="006B7E76"/>
    <w:rsid w:val="006C0FDF"/>
    <w:rsid w:val="006C2B8A"/>
    <w:rsid w:val="006C30D6"/>
    <w:rsid w:val="006C352E"/>
    <w:rsid w:val="006C3805"/>
    <w:rsid w:val="006C3C81"/>
    <w:rsid w:val="006C4E9C"/>
    <w:rsid w:val="006C512A"/>
    <w:rsid w:val="006C513A"/>
    <w:rsid w:val="006C6079"/>
    <w:rsid w:val="006C65ED"/>
    <w:rsid w:val="006C6BDB"/>
    <w:rsid w:val="006C7DD7"/>
    <w:rsid w:val="006C7F4F"/>
    <w:rsid w:val="006D12A1"/>
    <w:rsid w:val="006D22F0"/>
    <w:rsid w:val="006D25EC"/>
    <w:rsid w:val="006D35B7"/>
    <w:rsid w:val="006D3E22"/>
    <w:rsid w:val="006D4E8F"/>
    <w:rsid w:val="006D4F67"/>
    <w:rsid w:val="006D5302"/>
    <w:rsid w:val="006D5696"/>
    <w:rsid w:val="006D5F1D"/>
    <w:rsid w:val="006D5F2F"/>
    <w:rsid w:val="006D6AF9"/>
    <w:rsid w:val="006E09F4"/>
    <w:rsid w:val="006E2805"/>
    <w:rsid w:val="006E486E"/>
    <w:rsid w:val="006E6BCE"/>
    <w:rsid w:val="006F01FB"/>
    <w:rsid w:val="006F02E5"/>
    <w:rsid w:val="006F0AD2"/>
    <w:rsid w:val="006F11CF"/>
    <w:rsid w:val="006F147D"/>
    <w:rsid w:val="006F335A"/>
    <w:rsid w:val="006F3646"/>
    <w:rsid w:val="006F389A"/>
    <w:rsid w:val="006F3D8D"/>
    <w:rsid w:val="006F3E36"/>
    <w:rsid w:val="006F5295"/>
    <w:rsid w:val="006F61DC"/>
    <w:rsid w:val="006F6C26"/>
    <w:rsid w:val="006F7C18"/>
    <w:rsid w:val="00700B33"/>
    <w:rsid w:val="00701D03"/>
    <w:rsid w:val="00701DA8"/>
    <w:rsid w:val="00702C4F"/>
    <w:rsid w:val="00703041"/>
    <w:rsid w:val="00704225"/>
    <w:rsid w:val="00704280"/>
    <w:rsid w:val="0070455C"/>
    <w:rsid w:val="00704D15"/>
    <w:rsid w:val="00705298"/>
    <w:rsid w:val="00705DFD"/>
    <w:rsid w:val="00706A95"/>
    <w:rsid w:val="007070D6"/>
    <w:rsid w:val="0071080B"/>
    <w:rsid w:val="00711265"/>
    <w:rsid w:val="00712D5D"/>
    <w:rsid w:val="00713766"/>
    <w:rsid w:val="00714232"/>
    <w:rsid w:val="00714523"/>
    <w:rsid w:val="00714732"/>
    <w:rsid w:val="00714F3F"/>
    <w:rsid w:val="007157DB"/>
    <w:rsid w:val="00716A7F"/>
    <w:rsid w:val="00717802"/>
    <w:rsid w:val="00717D1B"/>
    <w:rsid w:val="00718982"/>
    <w:rsid w:val="007208D4"/>
    <w:rsid w:val="007215C3"/>
    <w:rsid w:val="00722452"/>
    <w:rsid w:val="007232A1"/>
    <w:rsid w:val="0072341D"/>
    <w:rsid w:val="00723AE2"/>
    <w:rsid w:val="00724AD2"/>
    <w:rsid w:val="00724BDE"/>
    <w:rsid w:val="00724F28"/>
    <w:rsid w:val="007251D1"/>
    <w:rsid w:val="007256BA"/>
    <w:rsid w:val="007258D8"/>
    <w:rsid w:val="00726111"/>
    <w:rsid w:val="00733C75"/>
    <w:rsid w:val="0073422E"/>
    <w:rsid w:val="00734725"/>
    <w:rsid w:val="007366BB"/>
    <w:rsid w:val="00736BBF"/>
    <w:rsid w:val="00737FDE"/>
    <w:rsid w:val="0073B999"/>
    <w:rsid w:val="007403FE"/>
    <w:rsid w:val="007406D7"/>
    <w:rsid w:val="00740EC9"/>
    <w:rsid w:val="00741087"/>
    <w:rsid w:val="00743EAB"/>
    <w:rsid w:val="007510D3"/>
    <w:rsid w:val="0075238F"/>
    <w:rsid w:val="00752EB7"/>
    <w:rsid w:val="007539C8"/>
    <w:rsid w:val="00755B25"/>
    <w:rsid w:val="00755DD0"/>
    <w:rsid w:val="00756D59"/>
    <w:rsid w:val="00760D06"/>
    <w:rsid w:val="00761ACE"/>
    <w:rsid w:val="00761F25"/>
    <w:rsid w:val="00761F5A"/>
    <w:rsid w:val="0076250C"/>
    <w:rsid w:val="00766117"/>
    <w:rsid w:val="00766215"/>
    <w:rsid w:val="00771F80"/>
    <w:rsid w:val="00772800"/>
    <w:rsid w:val="0077516A"/>
    <w:rsid w:val="00775C43"/>
    <w:rsid w:val="00776716"/>
    <w:rsid w:val="007768A8"/>
    <w:rsid w:val="00777D0B"/>
    <w:rsid w:val="007801A9"/>
    <w:rsid w:val="00780329"/>
    <w:rsid w:val="00780E15"/>
    <w:rsid w:val="00782816"/>
    <w:rsid w:val="007829A1"/>
    <w:rsid w:val="00784782"/>
    <w:rsid w:val="007848F4"/>
    <w:rsid w:val="00786134"/>
    <w:rsid w:val="007868CA"/>
    <w:rsid w:val="00787E29"/>
    <w:rsid w:val="007888B8"/>
    <w:rsid w:val="00790026"/>
    <w:rsid w:val="0079058B"/>
    <w:rsid w:val="00790815"/>
    <w:rsid w:val="007909AE"/>
    <w:rsid w:val="007912AE"/>
    <w:rsid w:val="007929FE"/>
    <w:rsid w:val="00792C32"/>
    <w:rsid w:val="00792EB6"/>
    <w:rsid w:val="00792FFF"/>
    <w:rsid w:val="0079306E"/>
    <w:rsid w:val="007930E3"/>
    <w:rsid w:val="00794DCC"/>
    <w:rsid w:val="00796089"/>
    <w:rsid w:val="00796813"/>
    <w:rsid w:val="0079702F"/>
    <w:rsid w:val="007A0027"/>
    <w:rsid w:val="007A0B00"/>
    <w:rsid w:val="007A16DD"/>
    <w:rsid w:val="007A36A9"/>
    <w:rsid w:val="007A3960"/>
    <w:rsid w:val="007A5449"/>
    <w:rsid w:val="007A5476"/>
    <w:rsid w:val="007A55E3"/>
    <w:rsid w:val="007A5D2E"/>
    <w:rsid w:val="007A6228"/>
    <w:rsid w:val="007A654B"/>
    <w:rsid w:val="007ABAC1"/>
    <w:rsid w:val="007B00ED"/>
    <w:rsid w:val="007B5986"/>
    <w:rsid w:val="007B69F2"/>
    <w:rsid w:val="007C2752"/>
    <w:rsid w:val="007C3506"/>
    <w:rsid w:val="007C3637"/>
    <w:rsid w:val="007C4506"/>
    <w:rsid w:val="007C68EA"/>
    <w:rsid w:val="007C6EB5"/>
    <w:rsid w:val="007C7194"/>
    <w:rsid w:val="007CCCB2"/>
    <w:rsid w:val="007D109B"/>
    <w:rsid w:val="007D1669"/>
    <w:rsid w:val="007D2072"/>
    <w:rsid w:val="007D2AE7"/>
    <w:rsid w:val="007D2FAF"/>
    <w:rsid w:val="007D313B"/>
    <w:rsid w:val="007D3BA7"/>
    <w:rsid w:val="007D49D6"/>
    <w:rsid w:val="007D61A9"/>
    <w:rsid w:val="007D61E9"/>
    <w:rsid w:val="007D72BC"/>
    <w:rsid w:val="007D72EE"/>
    <w:rsid w:val="007D7DFB"/>
    <w:rsid w:val="007E0658"/>
    <w:rsid w:val="007E08A8"/>
    <w:rsid w:val="007E0AC2"/>
    <w:rsid w:val="007E2867"/>
    <w:rsid w:val="007E3E21"/>
    <w:rsid w:val="007E57E7"/>
    <w:rsid w:val="007E6206"/>
    <w:rsid w:val="007E6374"/>
    <w:rsid w:val="007E6915"/>
    <w:rsid w:val="007E6B99"/>
    <w:rsid w:val="007E7599"/>
    <w:rsid w:val="007F022F"/>
    <w:rsid w:val="007F1210"/>
    <w:rsid w:val="007F15FE"/>
    <w:rsid w:val="007F202B"/>
    <w:rsid w:val="007F2E79"/>
    <w:rsid w:val="007F3B54"/>
    <w:rsid w:val="007F4661"/>
    <w:rsid w:val="007F5E9E"/>
    <w:rsid w:val="007F68C2"/>
    <w:rsid w:val="007F6C11"/>
    <w:rsid w:val="007FBA49"/>
    <w:rsid w:val="008018AD"/>
    <w:rsid w:val="00801974"/>
    <w:rsid w:val="00801CE6"/>
    <w:rsid w:val="00802741"/>
    <w:rsid w:val="0080322D"/>
    <w:rsid w:val="00803DD5"/>
    <w:rsid w:val="00805E4B"/>
    <w:rsid w:val="0080622D"/>
    <w:rsid w:val="00806E97"/>
    <w:rsid w:val="008074C2"/>
    <w:rsid w:val="00807E21"/>
    <w:rsid w:val="00807FAA"/>
    <w:rsid w:val="00810B4E"/>
    <w:rsid w:val="0081110C"/>
    <w:rsid w:val="0081277F"/>
    <w:rsid w:val="00812EA0"/>
    <w:rsid w:val="008132A5"/>
    <w:rsid w:val="00815333"/>
    <w:rsid w:val="008156DC"/>
    <w:rsid w:val="0081570C"/>
    <w:rsid w:val="00816672"/>
    <w:rsid w:val="00816ECB"/>
    <w:rsid w:val="008214E1"/>
    <w:rsid w:val="00821959"/>
    <w:rsid w:val="0082201A"/>
    <w:rsid w:val="00822A78"/>
    <w:rsid w:val="00823603"/>
    <w:rsid w:val="00824093"/>
    <w:rsid w:val="008244CF"/>
    <w:rsid w:val="00825AC8"/>
    <w:rsid w:val="0082710E"/>
    <w:rsid w:val="008302F1"/>
    <w:rsid w:val="00830689"/>
    <w:rsid w:val="00831664"/>
    <w:rsid w:val="00831853"/>
    <w:rsid w:val="00831B29"/>
    <w:rsid w:val="00832310"/>
    <w:rsid w:val="008336FF"/>
    <w:rsid w:val="00834A8F"/>
    <w:rsid w:val="00834D25"/>
    <w:rsid w:val="00835B32"/>
    <w:rsid w:val="00835E1D"/>
    <w:rsid w:val="008360BC"/>
    <w:rsid w:val="0083687E"/>
    <w:rsid w:val="0083720B"/>
    <w:rsid w:val="008378BE"/>
    <w:rsid w:val="00840622"/>
    <w:rsid w:val="00841FF5"/>
    <w:rsid w:val="0084434B"/>
    <w:rsid w:val="00844856"/>
    <w:rsid w:val="00845B38"/>
    <w:rsid w:val="00845EFA"/>
    <w:rsid w:val="00847FDD"/>
    <w:rsid w:val="00850301"/>
    <w:rsid w:val="00850FCF"/>
    <w:rsid w:val="008511BC"/>
    <w:rsid w:val="008515D8"/>
    <w:rsid w:val="00851627"/>
    <w:rsid w:val="00851C91"/>
    <w:rsid w:val="00854269"/>
    <w:rsid w:val="008554A0"/>
    <w:rsid w:val="00856646"/>
    <w:rsid w:val="008577B9"/>
    <w:rsid w:val="008577CD"/>
    <w:rsid w:val="00857F9D"/>
    <w:rsid w:val="00860386"/>
    <w:rsid w:val="008615FE"/>
    <w:rsid w:val="00862F67"/>
    <w:rsid w:val="0086338E"/>
    <w:rsid w:val="0086359E"/>
    <w:rsid w:val="00865063"/>
    <w:rsid w:val="0086516C"/>
    <w:rsid w:val="0086655B"/>
    <w:rsid w:val="008669AC"/>
    <w:rsid w:val="008670FD"/>
    <w:rsid w:val="0086722D"/>
    <w:rsid w:val="00868611"/>
    <w:rsid w:val="00871B7A"/>
    <w:rsid w:val="00872393"/>
    <w:rsid w:val="008743C5"/>
    <w:rsid w:val="008746FD"/>
    <w:rsid w:val="0087572D"/>
    <w:rsid w:val="008763BF"/>
    <w:rsid w:val="008774C6"/>
    <w:rsid w:val="00877D6A"/>
    <w:rsid w:val="0088183C"/>
    <w:rsid w:val="0088413A"/>
    <w:rsid w:val="0088434D"/>
    <w:rsid w:val="008852B1"/>
    <w:rsid w:val="0088616A"/>
    <w:rsid w:val="008864B3"/>
    <w:rsid w:val="008869D5"/>
    <w:rsid w:val="0088711E"/>
    <w:rsid w:val="00887545"/>
    <w:rsid w:val="008901EE"/>
    <w:rsid w:val="0089083B"/>
    <w:rsid w:val="00890B64"/>
    <w:rsid w:val="00891494"/>
    <w:rsid w:val="008954CC"/>
    <w:rsid w:val="00895CDD"/>
    <w:rsid w:val="0089626E"/>
    <w:rsid w:val="0089663C"/>
    <w:rsid w:val="00896940"/>
    <w:rsid w:val="00896FE6"/>
    <w:rsid w:val="008A06F7"/>
    <w:rsid w:val="008A175C"/>
    <w:rsid w:val="008A22BF"/>
    <w:rsid w:val="008A260F"/>
    <w:rsid w:val="008A6B76"/>
    <w:rsid w:val="008B089E"/>
    <w:rsid w:val="008B1019"/>
    <w:rsid w:val="008B1CBA"/>
    <w:rsid w:val="008B24D6"/>
    <w:rsid w:val="008B4A67"/>
    <w:rsid w:val="008B4F52"/>
    <w:rsid w:val="008B665D"/>
    <w:rsid w:val="008B704E"/>
    <w:rsid w:val="008C0695"/>
    <w:rsid w:val="008C3100"/>
    <w:rsid w:val="008C3118"/>
    <w:rsid w:val="008C45D3"/>
    <w:rsid w:val="008C4858"/>
    <w:rsid w:val="008C4ADB"/>
    <w:rsid w:val="008C6EA4"/>
    <w:rsid w:val="008D0D9A"/>
    <w:rsid w:val="008D0E94"/>
    <w:rsid w:val="008D1E85"/>
    <w:rsid w:val="008D35D3"/>
    <w:rsid w:val="008D4111"/>
    <w:rsid w:val="008D5103"/>
    <w:rsid w:val="008D56A5"/>
    <w:rsid w:val="008D728D"/>
    <w:rsid w:val="008E0FC5"/>
    <w:rsid w:val="008E2325"/>
    <w:rsid w:val="008E25E3"/>
    <w:rsid w:val="008E3D30"/>
    <w:rsid w:val="008E58D8"/>
    <w:rsid w:val="008F0C6F"/>
    <w:rsid w:val="008F13A3"/>
    <w:rsid w:val="008F15C9"/>
    <w:rsid w:val="008F3279"/>
    <w:rsid w:val="008F4440"/>
    <w:rsid w:val="008F4911"/>
    <w:rsid w:val="008F4DEA"/>
    <w:rsid w:val="00902DB6"/>
    <w:rsid w:val="00904726"/>
    <w:rsid w:val="00904875"/>
    <w:rsid w:val="00904CE0"/>
    <w:rsid w:val="009068B0"/>
    <w:rsid w:val="00910F96"/>
    <w:rsid w:val="00911F56"/>
    <w:rsid w:val="00913408"/>
    <w:rsid w:val="0091584A"/>
    <w:rsid w:val="00915BB4"/>
    <w:rsid w:val="009170E2"/>
    <w:rsid w:val="00917F58"/>
    <w:rsid w:val="00921383"/>
    <w:rsid w:val="00921767"/>
    <w:rsid w:val="0092286D"/>
    <w:rsid w:val="009229F0"/>
    <w:rsid w:val="009235D6"/>
    <w:rsid w:val="00924B25"/>
    <w:rsid w:val="00924CC3"/>
    <w:rsid w:val="00925858"/>
    <w:rsid w:val="00925BCC"/>
    <w:rsid w:val="00925F61"/>
    <w:rsid w:val="009262D0"/>
    <w:rsid w:val="009271CD"/>
    <w:rsid w:val="0093146B"/>
    <w:rsid w:val="009331D9"/>
    <w:rsid w:val="0093351A"/>
    <w:rsid w:val="00933810"/>
    <w:rsid w:val="00933BDF"/>
    <w:rsid w:val="00935A34"/>
    <w:rsid w:val="009360C5"/>
    <w:rsid w:val="0093DA02"/>
    <w:rsid w:val="00941622"/>
    <w:rsid w:val="009421C0"/>
    <w:rsid w:val="00942994"/>
    <w:rsid w:val="00943A35"/>
    <w:rsid w:val="00946167"/>
    <w:rsid w:val="009462F2"/>
    <w:rsid w:val="00946432"/>
    <w:rsid w:val="00946959"/>
    <w:rsid w:val="00946DB3"/>
    <w:rsid w:val="0094727A"/>
    <w:rsid w:val="0094792B"/>
    <w:rsid w:val="00947F10"/>
    <w:rsid w:val="009504C3"/>
    <w:rsid w:val="00950963"/>
    <w:rsid w:val="00950A8C"/>
    <w:rsid w:val="00950AC5"/>
    <w:rsid w:val="00950C91"/>
    <w:rsid w:val="00951B81"/>
    <w:rsid w:val="00953B7A"/>
    <w:rsid w:val="009549EC"/>
    <w:rsid w:val="00954F5E"/>
    <w:rsid w:val="00955DF5"/>
    <w:rsid w:val="009579E1"/>
    <w:rsid w:val="0096244E"/>
    <w:rsid w:val="00963D1F"/>
    <w:rsid w:val="0096436A"/>
    <w:rsid w:val="00964814"/>
    <w:rsid w:val="00964AB3"/>
    <w:rsid w:val="00964D72"/>
    <w:rsid w:val="009660DC"/>
    <w:rsid w:val="009665BD"/>
    <w:rsid w:val="00970F35"/>
    <w:rsid w:val="00971050"/>
    <w:rsid w:val="0097216E"/>
    <w:rsid w:val="00973C70"/>
    <w:rsid w:val="009771A9"/>
    <w:rsid w:val="0097754F"/>
    <w:rsid w:val="00982E01"/>
    <w:rsid w:val="009840AE"/>
    <w:rsid w:val="00985A30"/>
    <w:rsid w:val="00985B67"/>
    <w:rsid w:val="00985E75"/>
    <w:rsid w:val="009860E5"/>
    <w:rsid w:val="009866AC"/>
    <w:rsid w:val="00990E60"/>
    <w:rsid w:val="00993F70"/>
    <w:rsid w:val="00994388"/>
    <w:rsid w:val="009947AC"/>
    <w:rsid w:val="00994DA5"/>
    <w:rsid w:val="009963A6"/>
    <w:rsid w:val="009966A5"/>
    <w:rsid w:val="00996DB8"/>
    <w:rsid w:val="0099737E"/>
    <w:rsid w:val="009A1120"/>
    <w:rsid w:val="009A15B7"/>
    <w:rsid w:val="009A25D2"/>
    <w:rsid w:val="009A3918"/>
    <w:rsid w:val="009A4562"/>
    <w:rsid w:val="009A49DD"/>
    <w:rsid w:val="009A4A19"/>
    <w:rsid w:val="009A4D1E"/>
    <w:rsid w:val="009A4E36"/>
    <w:rsid w:val="009A4E6F"/>
    <w:rsid w:val="009A50EB"/>
    <w:rsid w:val="009A5C07"/>
    <w:rsid w:val="009A6D66"/>
    <w:rsid w:val="009A79A8"/>
    <w:rsid w:val="009A7F54"/>
    <w:rsid w:val="009ABD25"/>
    <w:rsid w:val="009B0437"/>
    <w:rsid w:val="009B0F92"/>
    <w:rsid w:val="009B1780"/>
    <w:rsid w:val="009B22CE"/>
    <w:rsid w:val="009B56B2"/>
    <w:rsid w:val="009B6B53"/>
    <w:rsid w:val="009B6BB9"/>
    <w:rsid w:val="009C041A"/>
    <w:rsid w:val="009C19E8"/>
    <w:rsid w:val="009C27DF"/>
    <w:rsid w:val="009C2AD1"/>
    <w:rsid w:val="009C3D93"/>
    <w:rsid w:val="009C456C"/>
    <w:rsid w:val="009C4602"/>
    <w:rsid w:val="009C5018"/>
    <w:rsid w:val="009C68CD"/>
    <w:rsid w:val="009C6E78"/>
    <w:rsid w:val="009C7966"/>
    <w:rsid w:val="009C7E20"/>
    <w:rsid w:val="009D0408"/>
    <w:rsid w:val="009D174D"/>
    <w:rsid w:val="009D181A"/>
    <w:rsid w:val="009D25B3"/>
    <w:rsid w:val="009D34ED"/>
    <w:rsid w:val="009D378C"/>
    <w:rsid w:val="009D405A"/>
    <w:rsid w:val="009D4196"/>
    <w:rsid w:val="009D517F"/>
    <w:rsid w:val="009D535D"/>
    <w:rsid w:val="009D56BE"/>
    <w:rsid w:val="009D6EAF"/>
    <w:rsid w:val="009D7DAD"/>
    <w:rsid w:val="009E0995"/>
    <w:rsid w:val="009E25FD"/>
    <w:rsid w:val="009E2C21"/>
    <w:rsid w:val="009E3B9C"/>
    <w:rsid w:val="009E401C"/>
    <w:rsid w:val="009E4474"/>
    <w:rsid w:val="009E4B76"/>
    <w:rsid w:val="009E523E"/>
    <w:rsid w:val="009E59DA"/>
    <w:rsid w:val="009E6B17"/>
    <w:rsid w:val="009E7401"/>
    <w:rsid w:val="009E7863"/>
    <w:rsid w:val="009E7ABF"/>
    <w:rsid w:val="009E7D58"/>
    <w:rsid w:val="009F00E9"/>
    <w:rsid w:val="009F10D9"/>
    <w:rsid w:val="009F11D3"/>
    <w:rsid w:val="009F3063"/>
    <w:rsid w:val="009F5628"/>
    <w:rsid w:val="009F7F4B"/>
    <w:rsid w:val="00A003EE"/>
    <w:rsid w:val="00A00A66"/>
    <w:rsid w:val="00A011A7"/>
    <w:rsid w:val="00A01B38"/>
    <w:rsid w:val="00A01F44"/>
    <w:rsid w:val="00A05BD0"/>
    <w:rsid w:val="00A05F50"/>
    <w:rsid w:val="00A064B4"/>
    <w:rsid w:val="00A06BAC"/>
    <w:rsid w:val="00A07290"/>
    <w:rsid w:val="00A105C4"/>
    <w:rsid w:val="00A10F3F"/>
    <w:rsid w:val="00A1137A"/>
    <w:rsid w:val="00A12661"/>
    <w:rsid w:val="00A13379"/>
    <w:rsid w:val="00A13557"/>
    <w:rsid w:val="00A1387A"/>
    <w:rsid w:val="00A14381"/>
    <w:rsid w:val="00A146FB"/>
    <w:rsid w:val="00A14C87"/>
    <w:rsid w:val="00A1516A"/>
    <w:rsid w:val="00A1523C"/>
    <w:rsid w:val="00A1585A"/>
    <w:rsid w:val="00A164E8"/>
    <w:rsid w:val="00A169AD"/>
    <w:rsid w:val="00A17457"/>
    <w:rsid w:val="00A1766B"/>
    <w:rsid w:val="00A19CDF"/>
    <w:rsid w:val="00A2142E"/>
    <w:rsid w:val="00A22A4B"/>
    <w:rsid w:val="00A24817"/>
    <w:rsid w:val="00A2579A"/>
    <w:rsid w:val="00A26CB8"/>
    <w:rsid w:val="00A27321"/>
    <w:rsid w:val="00A301BB"/>
    <w:rsid w:val="00A30C25"/>
    <w:rsid w:val="00A31640"/>
    <w:rsid w:val="00A31EC3"/>
    <w:rsid w:val="00A3392A"/>
    <w:rsid w:val="00A34089"/>
    <w:rsid w:val="00A35EF9"/>
    <w:rsid w:val="00A35FFF"/>
    <w:rsid w:val="00A36D89"/>
    <w:rsid w:val="00A39D46"/>
    <w:rsid w:val="00A4173F"/>
    <w:rsid w:val="00A42699"/>
    <w:rsid w:val="00A43BC1"/>
    <w:rsid w:val="00A45AC6"/>
    <w:rsid w:val="00A470A7"/>
    <w:rsid w:val="00A50A51"/>
    <w:rsid w:val="00A5162B"/>
    <w:rsid w:val="00A51AF1"/>
    <w:rsid w:val="00A52411"/>
    <w:rsid w:val="00A532B8"/>
    <w:rsid w:val="00A53909"/>
    <w:rsid w:val="00A55D7E"/>
    <w:rsid w:val="00A564DE"/>
    <w:rsid w:val="00A5673E"/>
    <w:rsid w:val="00A57327"/>
    <w:rsid w:val="00A604DC"/>
    <w:rsid w:val="00A60A56"/>
    <w:rsid w:val="00A6139B"/>
    <w:rsid w:val="00A650C8"/>
    <w:rsid w:val="00A65523"/>
    <w:rsid w:val="00A661CF"/>
    <w:rsid w:val="00A66581"/>
    <w:rsid w:val="00A673CB"/>
    <w:rsid w:val="00A673E2"/>
    <w:rsid w:val="00A6797B"/>
    <w:rsid w:val="00A6B0AA"/>
    <w:rsid w:val="00A70188"/>
    <w:rsid w:val="00A709BD"/>
    <w:rsid w:val="00A70CBB"/>
    <w:rsid w:val="00A71F4E"/>
    <w:rsid w:val="00A7205C"/>
    <w:rsid w:val="00A73C5B"/>
    <w:rsid w:val="00A73CDB"/>
    <w:rsid w:val="00A74D05"/>
    <w:rsid w:val="00A75C54"/>
    <w:rsid w:val="00A75D3B"/>
    <w:rsid w:val="00A76903"/>
    <w:rsid w:val="00A778D9"/>
    <w:rsid w:val="00A77929"/>
    <w:rsid w:val="00A77A9B"/>
    <w:rsid w:val="00A80491"/>
    <w:rsid w:val="00A804D2"/>
    <w:rsid w:val="00A82998"/>
    <w:rsid w:val="00A8386D"/>
    <w:rsid w:val="00A83D32"/>
    <w:rsid w:val="00A842B1"/>
    <w:rsid w:val="00A85851"/>
    <w:rsid w:val="00A86DD4"/>
    <w:rsid w:val="00A91119"/>
    <w:rsid w:val="00A9143D"/>
    <w:rsid w:val="00A91C13"/>
    <w:rsid w:val="00A94B34"/>
    <w:rsid w:val="00A96002"/>
    <w:rsid w:val="00A96148"/>
    <w:rsid w:val="00A962F2"/>
    <w:rsid w:val="00A9675C"/>
    <w:rsid w:val="00AA0335"/>
    <w:rsid w:val="00AA2EAF"/>
    <w:rsid w:val="00AA321F"/>
    <w:rsid w:val="00AA4217"/>
    <w:rsid w:val="00AA46C5"/>
    <w:rsid w:val="00AA57E3"/>
    <w:rsid w:val="00AA6682"/>
    <w:rsid w:val="00AA6813"/>
    <w:rsid w:val="00AA6CB2"/>
    <w:rsid w:val="00AA6DE0"/>
    <w:rsid w:val="00AA76CF"/>
    <w:rsid w:val="00AA7766"/>
    <w:rsid w:val="00AA790B"/>
    <w:rsid w:val="00AB0369"/>
    <w:rsid w:val="00AB048F"/>
    <w:rsid w:val="00AB104F"/>
    <w:rsid w:val="00AB2C2D"/>
    <w:rsid w:val="00AB3276"/>
    <w:rsid w:val="00AB4BCD"/>
    <w:rsid w:val="00AB53A5"/>
    <w:rsid w:val="00AB5C41"/>
    <w:rsid w:val="00AB74DD"/>
    <w:rsid w:val="00AB76FB"/>
    <w:rsid w:val="00AC1810"/>
    <w:rsid w:val="00AC37B7"/>
    <w:rsid w:val="00AC3B27"/>
    <w:rsid w:val="00AC4410"/>
    <w:rsid w:val="00AC4A87"/>
    <w:rsid w:val="00AC4E21"/>
    <w:rsid w:val="00AD2683"/>
    <w:rsid w:val="00AD2710"/>
    <w:rsid w:val="00AD6945"/>
    <w:rsid w:val="00AD710F"/>
    <w:rsid w:val="00AD716F"/>
    <w:rsid w:val="00AD782E"/>
    <w:rsid w:val="00AD7B4E"/>
    <w:rsid w:val="00AD7BA1"/>
    <w:rsid w:val="00AE0EF2"/>
    <w:rsid w:val="00AE0FA9"/>
    <w:rsid w:val="00AE104A"/>
    <w:rsid w:val="00AE12A6"/>
    <w:rsid w:val="00AE1827"/>
    <w:rsid w:val="00AE2082"/>
    <w:rsid w:val="00AE2CCF"/>
    <w:rsid w:val="00AE47B8"/>
    <w:rsid w:val="00AE5559"/>
    <w:rsid w:val="00AE6780"/>
    <w:rsid w:val="00AE7097"/>
    <w:rsid w:val="00AE7458"/>
    <w:rsid w:val="00AF0A27"/>
    <w:rsid w:val="00AF20C9"/>
    <w:rsid w:val="00AF33CE"/>
    <w:rsid w:val="00AF35B6"/>
    <w:rsid w:val="00AF4B56"/>
    <w:rsid w:val="00AF552F"/>
    <w:rsid w:val="00AF7348"/>
    <w:rsid w:val="00AFE357"/>
    <w:rsid w:val="00B009A2"/>
    <w:rsid w:val="00B00D1F"/>
    <w:rsid w:val="00B011BC"/>
    <w:rsid w:val="00B02FCD"/>
    <w:rsid w:val="00B035BD"/>
    <w:rsid w:val="00B03AE6"/>
    <w:rsid w:val="00B03BC6"/>
    <w:rsid w:val="00B04E5D"/>
    <w:rsid w:val="00B06360"/>
    <w:rsid w:val="00B06520"/>
    <w:rsid w:val="00B0716F"/>
    <w:rsid w:val="00B07A6D"/>
    <w:rsid w:val="00B10ECB"/>
    <w:rsid w:val="00B1101D"/>
    <w:rsid w:val="00B114F2"/>
    <w:rsid w:val="00B11829"/>
    <w:rsid w:val="00B1345B"/>
    <w:rsid w:val="00B13763"/>
    <w:rsid w:val="00B13A08"/>
    <w:rsid w:val="00B13F72"/>
    <w:rsid w:val="00B1633B"/>
    <w:rsid w:val="00B1640A"/>
    <w:rsid w:val="00B1FCE7"/>
    <w:rsid w:val="00B20D54"/>
    <w:rsid w:val="00B21321"/>
    <w:rsid w:val="00B2422C"/>
    <w:rsid w:val="00B24470"/>
    <w:rsid w:val="00B24CD9"/>
    <w:rsid w:val="00B263A2"/>
    <w:rsid w:val="00B2CC38"/>
    <w:rsid w:val="00B30329"/>
    <w:rsid w:val="00B31117"/>
    <w:rsid w:val="00B31839"/>
    <w:rsid w:val="00B320A5"/>
    <w:rsid w:val="00B320D7"/>
    <w:rsid w:val="00B32BE2"/>
    <w:rsid w:val="00B33CB6"/>
    <w:rsid w:val="00B33D24"/>
    <w:rsid w:val="00B33DA2"/>
    <w:rsid w:val="00B34F46"/>
    <w:rsid w:val="00B35A50"/>
    <w:rsid w:val="00B35F7E"/>
    <w:rsid w:val="00B36DE0"/>
    <w:rsid w:val="00B376B5"/>
    <w:rsid w:val="00B418B2"/>
    <w:rsid w:val="00B4284D"/>
    <w:rsid w:val="00B42A24"/>
    <w:rsid w:val="00B42BD6"/>
    <w:rsid w:val="00B435FB"/>
    <w:rsid w:val="00B45742"/>
    <w:rsid w:val="00B45D93"/>
    <w:rsid w:val="00B4D341"/>
    <w:rsid w:val="00B50CE5"/>
    <w:rsid w:val="00B5107C"/>
    <w:rsid w:val="00B511E2"/>
    <w:rsid w:val="00B51A7E"/>
    <w:rsid w:val="00B52544"/>
    <w:rsid w:val="00B53BEF"/>
    <w:rsid w:val="00B543C4"/>
    <w:rsid w:val="00B55137"/>
    <w:rsid w:val="00B55F46"/>
    <w:rsid w:val="00B56787"/>
    <w:rsid w:val="00B569D3"/>
    <w:rsid w:val="00B60341"/>
    <w:rsid w:val="00B6139C"/>
    <w:rsid w:val="00B61CD0"/>
    <w:rsid w:val="00B62FBD"/>
    <w:rsid w:val="00B63745"/>
    <w:rsid w:val="00B6380D"/>
    <w:rsid w:val="00B64177"/>
    <w:rsid w:val="00B66469"/>
    <w:rsid w:val="00B67046"/>
    <w:rsid w:val="00B6742F"/>
    <w:rsid w:val="00B7030C"/>
    <w:rsid w:val="00B70B3C"/>
    <w:rsid w:val="00B70C07"/>
    <w:rsid w:val="00B71530"/>
    <w:rsid w:val="00B71AD6"/>
    <w:rsid w:val="00B72218"/>
    <w:rsid w:val="00B755EA"/>
    <w:rsid w:val="00B759E0"/>
    <w:rsid w:val="00B75CA0"/>
    <w:rsid w:val="00B75E81"/>
    <w:rsid w:val="00B766C8"/>
    <w:rsid w:val="00B767D4"/>
    <w:rsid w:val="00B80540"/>
    <w:rsid w:val="00B8083C"/>
    <w:rsid w:val="00B808A5"/>
    <w:rsid w:val="00B80C68"/>
    <w:rsid w:val="00B80F1D"/>
    <w:rsid w:val="00B8189B"/>
    <w:rsid w:val="00B823A0"/>
    <w:rsid w:val="00B82CBE"/>
    <w:rsid w:val="00B8408B"/>
    <w:rsid w:val="00B840D9"/>
    <w:rsid w:val="00B8431E"/>
    <w:rsid w:val="00B849A4"/>
    <w:rsid w:val="00B84DCC"/>
    <w:rsid w:val="00B853D8"/>
    <w:rsid w:val="00B8597C"/>
    <w:rsid w:val="00B86630"/>
    <w:rsid w:val="00B87B7A"/>
    <w:rsid w:val="00B91327"/>
    <w:rsid w:val="00B91A57"/>
    <w:rsid w:val="00B92C7F"/>
    <w:rsid w:val="00B94920"/>
    <w:rsid w:val="00B95770"/>
    <w:rsid w:val="00B960AD"/>
    <w:rsid w:val="00B9713B"/>
    <w:rsid w:val="00B976D4"/>
    <w:rsid w:val="00B97961"/>
    <w:rsid w:val="00BA01A5"/>
    <w:rsid w:val="00BA2471"/>
    <w:rsid w:val="00BA302D"/>
    <w:rsid w:val="00BA373E"/>
    <w:rsid w:val="00BA3E4D"/>
    <w:rsid w:val="00BA487C"/>
    <w:rsid w:val="00BA7898"/>
    <w:rsid w:val="00BA7BE5"/>
    <w:rsid w:val="00BA7DD3"/>
    <w:rsid w:val="00BB062D"/>
    <w:rsid w:val="00BB18E8"/>
    <w:rsid w:val="00BB1C54"/>
    <w:rsid w:val="00BB2FFF"/>
    <w:rsid w:val="00BB426D"/>
    <w:rsid w:val="00BB4D61"/>
    <w:rsid w:val="00BB500A"/>
    <w:rsid w:val="00BB6371"/>
    <w:rsid w:val="00BB65E2"/>
    <w:rsid w:val="00BB7FA4"/>
    <w:rsid w:val="00BC0930"/>
    <w:rsid w:val="00BC1F9E"/>
    <w:rsid w:val="00BC2509"/>
    <w:rsid w:val="00BC285C"/>
    <w:rsid w:val="00BC318C"/>
    <w:rsid w:val="00BC36FE"/>
    <w:rsid w:val="00BC3A5F"/>
    <w:rsid w:val="00BC448F"/>
    <w:rsid w:val="00BC5C89"/>
    <w:rsid w:val="00BC5CE5"/>
    <w:rsid w:val="00BC5CF9"/>
    <w:rsid w:val="00BC6749"/>
    <w:rsid w:val="00BC69E8"/>
    <w:rsid w:val="00BC7FE5"/>
    <w:rsid w:val="00BD0D02"/>
    <w:rsid w:val="00BD1013"/>
    <w:rsid w:val="00BD1A7F"/>
    <w:rsid w:val="00BD3126"/>
    <w:rsid w:val="00BD3522"/>
    <w:rsid w:val="00BD4DED"/>
    <w:rsid w:val="00BD6329"/>
    <w:rsid w:val="00BD6473"/>
    <w:rsid w:val="00BD7241"/>
    <w:rsid w:val="00BE01CD"/>
    <w:rsid w:val="00BE1068"/>
    <w:rsid w:val="00BE1B25"/>
    <w:rsid w:val="00BE1E61"/>
    <w:rsid w:val="00BE27BA"/>
    <w:rsid w:val="00BE56BE"/>
    <w:rsid w:val="00BE7865"/>
    <w:rsid w:val="00BF1EF4"/>
    <w:rsid w:val="00BF27A8"/>
    <w:rsid w:val="00BF29FF"/>
    <w:rsid w:val="00BF2A74"/>
    <w:rsid w:val="00BF36ED"/>
    <w:rsid w:val="00BF3A14"/>
    <w:rsid w:val="00BF40C3"/>
    <w:rsid w:val="00BF4867"/>
    <w:rsid w:val="00BF7CC4"/>
    <w:rsid w:val="00C00344"/>
    <w:rsid w:val="00C055B5"/>
    <w:rsid w:val="00C05DFD"/>
    <w:rsid w:val="00C05F6A"/>
    <w:rsid w:val="00C06EB1"/>
    <w:rsid w:val="00C07116"/>
    <w:rsid w:val="00C071C9"/>
    <w:rsid w:val="00C07F81"/>
    <w:rsid w:val="00C105B8"/>
    <w:rsid w:val="00C10D00"/>
    <w:rsid w:val="00C1105A"/>
    <w:rsid w:val="00C11BDB"/>
    <w:rsid w:val="00C11C83"/>
    <w:rsid w:val="00C120B8"/>
    <w:rsid w:val="00C12DF2"/>
    <w:rsid w:val="00C1362C"/>
    <w:rsid w:val="00C14B76"/>
    <w:rsid w:val="00C150B2"/>
    <w:rsid w:val="00C1743E"/>
    <w:rsid w:val="00C17F9C"/>
    <w:rsid w:val="00C1A2EB"/>
    <w:rsid w:val="00C22443"/>
    <w:rsid w:val="00C22800"/>
    <w:rsid w:val="00C22E75"/>
    <w:rsid w:val="00C23AF7"/>
    <w:rsid w:val="00C24151"/>
    <w:rsid w:val="00C2434E"/>
    <w:rsid w:val="00C2481B"/>
    <w:rsid w:val="00C24C91"/>
    <w:rsid w:val="00C24E7A"/>
    <w:rsid w:val="00C25CD6"/>
    <w:rsid w:val="00C25D51"/>
    <w:rsid w:val="00C26020"/>
    <w:rsid w:val="00C26347"/>
    <w:rsid w:val="00C27177"/>
    <w:rsid w:val="00C27605"/>
    <w:rsid w:val="00C27E48"/>
    <w:rsid w:val="00C321DB"/>
    <w:rsid w:val="00C32C00"/>
    <w:rsid w:val="00C32FFD"/>
    <w:rsid w:val="00C34C36"/>
    <w:rsid w:val="00C34E03"/>
    <w:rsid w:val="00C374A0"/>
    <w:rsid w:val="00C37F18"/>
    <w:rsid w:val="00C40339"/>
    <w:rsid w:val="00C419D6"/>
    <w:rsid w:val="00C4249E"/>
    <w:rsid w:val="00C434A6"/>
    <w:rsid w:val="00C440CD"/>
    <w:rsid w:val="00C44774"/>
    <w:rsid w:val="00C453FE"/>
    <w:rsid w:val="00C45AE7"/>
    <w:rsid w:val="00C47F77"/>
    <w:rsid w:val="00C4D2AD"/>
    <w:rsid w:val="00C5056C"/>
    <w:rsid w:val="00C50A3A"/>
    <w:rsid w:val="00C52992"/>
    <w:rsid w:val="00C55C79"/>
    <w:rsid w:val="00C564B3"/>
    <w:rsid w:val="00C572FD"/>
    <w:rsid w:val="00C60712"/>
    <w:rsid w:val="00C60B49"/>
    <w:rsid w:val="00C60BD6"/>
    <w:rsid w:val="00C61117"/>
    <w:rsid w:val="00C612C5"/>
    <w:rsid w:val="00C612E1"/>
    <w:rsid w:val="00C6157F"/>
    <w:rsid w:val="00C619C6"/>
    <w:rsid w:val="00C619EA"/>
    <w:rsid w:val="00C61F4D"/>
    <w:rsid w:val="00C64514"/>
    <w:rsid w:val="00C646EB"/>
    <w:rsid w:val="00C64D8A"/>
    <w:rsid w:val="00C650AD"/>
    <w:rsid w:val="00C66001"/>
    <w:rsid w:val="00C66840"/>
    <w:rsid w:val="00C66AF3"/>
    <w:rsid w:val="00C6743C"/>
    <w:rsid w:val="00C67C4B"/>
    <w:rsid w:val="00C70EB3"/>
    <w:rsid w:val="00C71C9F"/>
    <w:rsid w:val="00C727A8"/>
    <w:rsid w:val="00C729B1"/>
    <w:rsid w:val="00C74126"/>
    <w:rsid w:val="00C745FB"/>
    <w:rsid w:val="00C7502C"/>
    <w:rsid w:val="00C75822"/>
    <w:rsid w:val="00C76077"/>
    <w:rsid w:val="00C76455"/>
    <w:rsid w:val="00C76ACC"/>
    <w:rsid w:val="00C76F5D"/>
    <w:rsid w:val="00C770F4"/>
    <w:rsid w:val="00C7720E"/>
    <w:rsid w:val="00C77C57"/>
    <w:rsid w:val="00C80306"/>
    <w:rsid w:val="00C816C7"/>
    <w:rsid w:val="00C83418"/>
    <w:rsid w:val="00C84F9E"/>
    <w:rsid w:val="00C85A4D"/>
    <w:rsid w:val="00C85D1E"/>
    <w:rsid w:val="00C9073F"/>
    <w:rsid w:val="00C90770"/>
    <w:rsid w:val="00C925E8"/>
    <w:rsid w:val="00C92E75"/>
    <w:rsid w:val="00C932BC"/>
    <w:rsid w:val="00C94B6E"/>
    <w:rsid w:val="00CA0427"/>
    <w:rsid w:val="00CA39C5"/>
    <w:rsid w:val="00CA4631"/>
    <w:rsid w:val="00CA4999"/>
    <w:rsid w:val="00CA4A63"/>
    <w:rsid w:val="00CA7BCC"/>
    <w:rsid w:val="00CB09FA"/>
    <w:rsid w:val="00CB0BEA"/>
    <w:rsid w:val="00CB1206"/>
    <w:rsid w:val="00CB1FEB"/>
    <w:rsid w:val="00CB42C7"/>
    <w:rsid w:val="00CB4693"/>
    <w:rsid w:val="00CB6356"/>
    <w:rsid w:val="00CB6C46"/>
    <w:rsid w:val="00CB73F5"/>
    <w:rsid w:val="00CB75CC"/>
    <w:rsid w:val="00CB773E"/>
    <w:rsid w:val="00CB7E68"/>
    <w:rsid w:val="00CC18F5"/>
    <w:rsid w:val="00CC34AA"/>
    <w:rsid w:val="00CC3D58"/>
    <w:rsid w:val="00CC4F5D"/>
    <w:rsid w:val="00CC7D02"/>
    <w:rsid w:val="00CC8526"/>
    <w:rsid w:val="00CD0646"/>
    <w:rsid w:val="00CD1A8A"/>
    <w:rsid w:val="00CD2D5E"/>
    <w:rsid w:val="00CD5843"/>
    <w:rsid w:val="00CD5F68"/>
    <w:rsid w:val="00CD7E1C"/>
    <w:rsid w:val="00CE0333"/>
    <w:rsid w:val="00CE1B61"/>
    <w:rsid w:val="00CE1D52"/>
    <w:rsid w:val="00CE3008"/>
    <w:rsid w:val="00CE3AE2"/>
    <w:rsid w:val="00CE5C16"/>
    <w:rsid w:val="00CE5D81"/>
    <w:rsid w:val="00CE6153"/>
    <w:rsid w:val="00CE7385"/>
    <w:rsid w:val="00CF07C6"/>
    <w:rsid w:val="00CF4B80"/>
    <w:rsid w:val="00CF70EF"/>
    <w:rsid w:val="00CF77B2"/>
    <w:rsid w:val="00CFBDAF"/>
    <w:rsid w:val="00D01E78"/>
    <w:rsid w:val="00D0274B"/>
    <w:rsid w:val="00D02D09"/>
    <w:rsid w:val="00D03536"/>
    <w:rsid w:val="00D04024"/>
    <w:rsid w:val="00D044F0"/>
    <w:rsid w:val="00D04678"/>
    <w:rsid w:val="00D05079"/>
    <w:rsid w:val="00D05768"/>
    <w:rsid w:val="00D07940"/>
    <w:rsid w:val="00D0D34B"/>
    <w:rsid w:val="00D100B5"/>
    <w:rsid w:val="00D11312"/>
    <w:rsid w:val="00D11352"/>
    <w:rsid w:val="00D11A7F"/>
    <w:rsid w:val="00D1209A"/>
    <w:rsid w:val="00D14023"/>
    <w:rsid w:val="00D1535A"/>
    <w:rsid w:val="00D16CA6"/>
    <w:rsid w:val="00D20014"/>
    <w:rsid w:val="00D20E99"/>
    <w:rsid w:val="00D215C8"/>
    <w:rsid w:val="00D21AF2"/>
    <w:rsid w:val="00D231AF"/>
    <w:rsid w:val="00D23F6C"/>
    <w:rsid w:val="00D25A68"/>
    <w:rsid w:val="00D263D4"/>
    <w:rsid w:val="00D30A4E"/>
    <w:rsid w:val="00D314E8"/>
    <w:rsid w:val="00D31FFA"/>
    <w:rsid w:val="00D32041"/>
    <w:rsid w:val="00D32E39"/>
    <w:rsid w:val="00D33DF2"/>
    <w:rsid w:val="00D352DD"/>
    <w:rsid w:val="00D37AC6"/>
    <w:rsid w:val="00D37DF9"/>
    <w:rsid w:val="00D40814"/>
    <w:rsid w:val="00D42FEC"/>
    <w:rsid w:val="00D44D49"/>
    <w:rsid w:val="00D44ECC"/>
    <w:rsid w:val="00D45A0E"/>
    <w:rsid w:val="00D50A4A"/>
    <w:rsid w:val="00D512F9"/>
    <w:rsid w:val="00D515E4"/>
    <w:rsid w:val="00D51A4B"/>
    <w:rsid w:val="00D51DCC"/>
    <w:rsid w:val="00D522CE"/>
    <w:rsid w:val="00D537CA"/>
    <w:rsid w:val="00D559FB"/>
    <w:rsid w:val="00D574C1"/>
    <w:rsid w:val="00D6034D"/>
    <w:rsid w:val="00D60518"/>
    <w:rsid w:val="00D60567"/>
    <w:rsid w:val="00D60B96"/>
    <w:rsid w:val="00D62012"/>
    <w:rsid w:val="00D62CE0"/>
    <w:rsid w:val="00D63A91"/>
    <w:rsid w:val="00D64820"/>
    <w:rsid w:val="00D66D7F"/>
    <w:rsid w:val="00D6775A"/>
    <w:rsid w:val="00D67862"/>
    <w:rsid w:val="00D71C45"/>
    <w:rsid w:val="00D73800"/>
    <w:rsid w:val="00D74DEB"/>
    <w:rsid w:val="00D74F6E"/>
    <w:rsid w:val="00D75207"/>
    <w:rsid w:val="00D76813"/>
    <w:rsid w:val="00D824A6"/>
    <w:rsid w:val="00D82823"/>
    <w:rsid w:val="00D841BE"/>
    <w:rsid w:val="00D856BE"/>
    <w:rsid w:val="00D87022"/>
    <w:rsid w:val="00D87F6F"/>
    <w:rsid w:val="00D912CB"/>
    <w:rsid w:val="00D916F2"/>
    <w:rsid w:val="00D9224F"/>
    <w:rsid w:val="00D96CDF"/>
    <w:rsid w:val="00D971BA"/>
    <w:rsid w:val="00DA01D1"/>
    <w:rsid w:val="00DA0486"/>
    <w:rsid w:val="00DA06A8"/>
    <w:rsid w:val="00DA0B51"/>
    <w:rsid w:val="00DA163A"/>
    <w:rsid w:val="00DA3CBE"/>
    <w:rsid w:val="00DA4C60"/>
    <w:rsid w:val="00DA5109"/>
    <w:rsid w:val="00DA5786"/>
    <w:rsid w:val="00DA59EC"/>
    <w:rsid w:val="00DA5E18"/>
    <w:rsid w:val="00DA62E1"/>
    <w:rsid w:val="00DA76CC"/>
    <w:rsid w:val="00DB0348"/>
    <w:rsid w:val="00DB0543"/>
    <w:rsid w:val="00DB0A16"/>
    <w:rsid w:val="00DB1B4B"/>
    <w:rsid w:val="00DB21DD"/>
    <w:rsid w:val="00DB249A"/>
    <w:rsid w:val="00DB2970"/>
    <w:rsid w:val="00DB2AAD"/>
    <w:rsid w:val="00DB4259"/>
    <w:rsid w:val="00DB6674"/>
    <w:rsid w:val="00DB7FAF"/>
    <w:rsid w:val="00DC03E0"/>
    <w:rsid w:val="00DC1011"/>
    <w:rsid w:val="00DC1BF6"/>
    <w:rsid w:val="00DC486B"/>
    <w:rsid w:val="00DC58C6"/>
    <w:rsid w:val="00DC6178"/>
    <w:rsid w:val="00DC6339"/>
    <w:rsid w:val="00DC6C99"/>
    <w:rsid w:val="00DC73A1"/>
    <w:rsid w:val="00DD1125"/>
    <w:rsid w:val="00DD1EB3"/>
    <w:rsid w:val="00DD283A"/>
    <w:rsid w:val="00DD2885"/>
    <w:rsid w:val="00DD531E"/>
    <w:rsid w:val="00DD7DAC"/>
    <w:rsid w:val="00DDCBB1"/>
    <w:rsid w:val="00DDFC47"/>
    <w:rsid w:val="00DE007B"/>
    <w:rsid w:val="00DE01F8"/>
    <w:rsid w:val="00DE0923"/>
    <w:rsid w:val="00DE1706"/>
    <w:rsid w:val="00DE23F9"/>
    <w:rsid w:val="00DE2562"/>
    <w:rsid w:val="00DE3488"/>
    <w:rsid w:val="00DE389A"/>
    <w:rsid w:val="00DE46F4"/>
    <w:rsid w:val="00DE54E8"/>
    <w:rsid w:val="00DE561E"/>
    <w:rsid w:val="00DE66EA"/>
    <w:rsid w:val="00DE791D"/>
    <w:rsid w:val="00DF015B"/>
    <w:rsid w:val="00DF0D3E"/>
    <w:rsid w:val="00DF1075"/>
    <w:rsid w:val="00DF1BA0"/>
    <w:rsid w:val="00DF387A"/>
    <w:rsid w:val="00DF47B2"/>
    <w:rsid w:val="00DF4CDB"/>
    <w:rsid w:val="00DF57A1"/>
    <w:rsid w:val="00E008E6"/>
    <w:rsid w:val="00E0097B"/>
    <w:rsid w:val="00E00FD0"/>
    <w:rsid w:val="00E015C7"/>
    <w:rsid w:val="00E0352F"/>
    <w:rsid w:val="00E03CF2"/>
    <w:rsid w:val="00E03D0C"/>
    <w:rsid w:val="00E03ED7"/>
    <w:rsid w:val="00E047DB"/>
    <w:rsid w:val="00E047E1"/>
    <w:rsid w:val="00E06C60"/>
    <w:rsid w:val="00E104FA"/>
    <w:rsid w:val="00E10DAD"/>
    <w:rsid w:val="00E112AB"/>
    <w:rsid w:val="00E132C4"/>
    <w:rsid w:val="00E14A2E"/>
    <w:rsid w:val="00E15A8F"/>
    <w:rsid w:val="00E162E7"/>
    <w:rsid w:val="00E1658F"/>
    <w:rsid w:val="00E16D41"/>
    <w:rsid w:val="00E16D8C"/>
    <w:rsid w:val="00E17CF4"/>
    <w:rsid w:val="00E202C3"/>
    <w:rsid w:val="00E20BE8"/>
    <w:rsid w:val="00E23904"/>
    <w:rsid w:val="00E23E07"/>
    <w:rsid w:val="00E24580"/>
    <w:rsid w:val="00E25565"/>
    <w:rsid w:val="00E26141"/>
    <w:rsid w:val="00E272BE"/>
    <w:rsid w:val="00E27404"/>
    <w:rsid w:val="00E2757B"/>
    <w:rsid w:val="00E27B17"/>
    <w:rsid w:val="00E3000A"/>
    <w:rsid w:val="00E30F7B"/>
    <w:rsid w:val="00E31692"/>
    <w:rsid w:val="00E33560"/>
    <w:rsid w:val="00E33EC5"/>
    <w:rsid w:val="00E340D1"/>
    <w:rsid w:val="00E34228"/>
    <w:rsid w:val="00E34975"/>
    <w:rsid w:val="00E35002"/>
    <w:rsid w:val="00E35099"/>
    <w:rsid w:val="00E35224"/>
    <w:rsid w:val="00E37336"/>
    <w:rsid w:val="00E3756E"/>
    <w:rsid w:val="00E4173D"/>
    <w:rsid w:val="00E429FA"/>
    <w:rsid w:val="00E518C3"/>
    <w:rsid w:val="00E51945"/>
    <w:rsid w:val="00E523DF"/>
    <w:rsid w:val="00E52F6B"/>
    <w:rsid w:val="00E530E5"/>
    <w:rsid w:val="00E55187"/>
    <w:rsid w:val="00E557F9"/>
    <w:rsid w:val="00E56F3C"/>
    <w:rsid w:val="00E57273"/>
    <w:rsid w:val="00E5768F"/>
    <w:rsid w:val="00E6042A"/>
    <w:rsid w:val="00E61668"/>
    <w:rsid w:val="00E6219C"/>
    <w:rsid w:val="00E62A4A"/>
    <w:rsid w:val="00E639A2"/>
    <w:rsid w:val="00E650AF"/>
    <w:rsid w:val="00E66645"/>
    <w:rsid w:val="00E66C20"/>
    <w:rsid w:val="00E66CC8"/>
    <w:rsid w:val="00E66DEE"/>
    <w:rsid w:val="00E671DF"/>
    <w:rsid w:val="00E67426"/>
    <w:rsid w:val="00E675D1"/>
    <w:rsid w:val="00E67855"/>
    <w:rsid w:val="00E701F7"/>
    <w:rsid w:val="00E704BE"/>
    <w:rsid w:val="00E70F39"/>
    <w:rsid w:val="00E73198"/>
    <w:rsid w:val="00E731E4"/>
    <w:rsid w:val="00E73EFE"/>
    <w:rsid w:val="00E749BE"/>
    <w:rsid w:val="00E75A5B"/>
    <w:rsid w:val="00E7607A"/>
    <w:rsid w:val="00E77AD7"/>
    <w:rsid w:val="00E81501"/>
    <w:rsid w:val="00E83C29"/>
    <w:rsid w:val="00E842A2"/>
    <w:rsid w:val="00E84851"/>
    <w:rsid w:val="00E85282"/>
    <w:rsid w:val="00E8530F"/>
    <w:rsid w:val="00E859A4"/>
    <w:rsid w:val="00E85EE0"/>
    <w:rsid w:val="00E86976"/>
    <w:rsid w:val="00E86EE1"/>
    <w:rsid w:val="00E874D2"/>
    <w:rsid w:val="00E876B5"/>
    <w:rsid w:val="00E901F6"/>
    <w:rsid w:val="00E90437"/>
    <w:rsid w:val="00E9368B"/>
    <w:rsid w:val="00E93EF1"/>
    <w:rsid w:val="00E94669"/>
    <w:rsid w:val="00E950B7"/>
    <w:rsid w:val="00E953FC"/>
    <w:rsid w:val="00E9723C"/>
    <w:rsid w:val="00EA2017"/>
    <w:rsid w:val="00EA2BB7"/>
    <w:rsid w:val="00EA3290"/>
    <w:rsid w:val="00EA3727"/>
    <w:rsid w:val="00EA38B1"/>
    <w:rsid w:val="00EA4E8B"/>
    <w:rsid w:val="00EA4FAE"/>
    <w:rsid w:val="00EA5BB7"/>
    <w:rsid w:val="00EA6BA9"/>
    <w:rsid w:val="00EA7C0A"/>
    <w:rsid w:val="00EAC2CF"/>
    <w:rsid w:val="00EB5479"/>
    <w:rsid w:val="00EB6397"/>
    <w:rsid w:val="00EB6AB5"/>
    <w:rsid w:val="00EB6CB5"/>
    <w:rsid w:val="00EB72E2"/>
    <w:rsid w:val="00EB7DB7"/>
    <w:rsid w:val="00EC0C55"/>
    <w:rsid w:val="00EC278D"/>
    <w:rsid w:val="00EC2BFB"/>
    <w:rsid w:val="00EC533B"/>
    <w:rsid w:val="00EC55AF"/>
    <w:rsid w:val="00EC62CC"/>
    <w:rsid w:val="00EC7B38"/>
    <w:rsid w:val="00EC7BD1"/>
    <w:rsid w:val="00ED0884"/>
    <w:rsid w:val="00ED0DDC"/>
    <w:rsid w:val="00ED16F7"/>
    <w:rsid w:val="00ED3C37"/>
    <w:rsid w:val="00ED7FC5"/>
    <w:rsid w:val="00EE2304"/>
    <w:rsid w:val="00EE6255"/>
    <w:rsid w:val="00EE6D1A"/>
    <w:rsid w:val="00EE7997"/>
    <w:rsid w:val="00EE7D13"/>
    <w:rsid w:val="00EF1053"/>
    <w:rsid w:val="00EF115F"/>
    <w:rsid w:val="00EF29A7"/>
    <w:rsid w:val="00EF3C1D"/>
    <w:rsid w:val="00EF4152"/>
    <w:rsid w:val="00EF4661"/>
    <w:rsid w:val="00EF6773"/>
    <w:rsid w:val="00EF7D29"/>
    <w:rsid w:val="00F0080B"/>
    <w:rsid w:val="00F008D6"/>
    <w:rsid w:val="00F02C24"/>
    <w:rsid w:val="00F03401"/>
    <w:rsid w:val="00F0347E"/>
    <w:rsid w:val="00F0376D"/>
    <w:rsid w:val="00F05527"/>
    <w:rsid w:val="00F0616C"/>
    <w:rsid w:val="00F062E0"/>
    <w:rsid w:val="00F06B40"/>
    <w:rsid w:val="00F07088"/>
    <w:rsid w:val="00F07279"/>
    <w:rsid w:val="00F0745C"/>
    <w:rsid w:val="00F07CEA"/>
    <w:rsid w:val="00F100F1"/>
    <w:rsid w:val="00F1020B"/>
    <w:rsid w:val="00F104E1"/>
    <w:rsid w:val="00F1116A"/>
    <w:rsid w:val="00F12B7D"/>
    <w:rsid w:val="00F13576"/>
    <w:rsid w:val="00F1480C"/>
    <w:rsid w:val="00F14EAE"/>
    <w:rsid w:val="00F15137"/>
    <w:rsid w:val="00F17DFE"/>
    <w:rsid w:val="00F236F8"/>
    <w:rsid w:val="00F250F8"/>
    <w:rsid w:val="00F25FA5"/>
    <w:rsid w:val="00F2676F"/>
    <w:rsid w:val="00F2769C"/>
    <w:rsid w:val="00F30296"/>
    <w:rsid w:val="00F3039F"/>
    <w:rsid w:val="00F304D9"/>
    <w:rsid w:val="00F30C8A"/>
    <w:rsid w:val="00F32869"/>
    <w:rsid w:val="00F334A3"/>
    <w:rsid w:val="00F3432E"/>
    <w:rsid w:val="00F344E9"/>
    <w:rsid w:val="00F35438"/>
    <w:rsid w:val="00F359E4"/>
    <w:rsid w:val="00F40188"/>
    <w:rsid w:val="00F41641"/>
    <w:rsid w:val="00F440D2"/>
    <w:rsid w:val="00F449FD"/>
    <w:rsid w:val="00F44DB5"/>
    <w:rsid w:val="00F45022"/>
    <w:rsid w:val="00F45CCE"/>
    <w:rsid w:val="00F4640E"/>
    <w:rsid w:val="00F464C8"/>
    <w:rsid w:val="00F47505"/>
    <w:rsid w:val="00F47690"/>
    <w:rsid w:val="00F509ED"/>
    <w:rsid w:val="00F51475"/>
    <w:rsid w:val="00F5324F"/>
    <w:rsid w:val="00F5484D"/>
    <w:rsid w:val="00F55102"/>
    <w:rsid w:val="00F55FD8"/>
    <w:rsid w:val="00F56F85"/>
    <w:rsid w:val="00F60289"/>
    <w:rsid w:val="00F6328D"/>
    <w:rsid w:val="00F63D25"/>
    <w:rsid w:val="00F64B79"/>
    <w:rsid w:val="00F65102"/>
    <w:rsid w:val="00F6666E"/>
    <w:rsid w:val="00F6669D"/>
    <w:rsid w:val="00F667CA"/>
    <w:rsid w:val="00F668BA"/>
    <w:rsid w:val="00F66B8B"/>
    <w:rsid w:val="00F67B7D"/>
    <w:rsid w:val="00F67D03"/>
    <w:rsid w:val="00F69F8B"/>
    <w:rsid w:val="00F706E9"/>
    <w:rsid w:val="00F743D0"/>
    <w:rsid w:val="00F74FF4"/>
    <w:rsid w:val="00F75E48"/>
    <w:rsid w:val="00F764BC"/>
    <w:rsid w:val="00F76FFD"/>
    <w:rsid w:val="00F77747"/>
    <w:rsid w:val="00F77864"/>
    <w:rsid w:val="00F82079"/>
    <w:rsid w:val="00F8218C"/>
    <w:rsid w:val="00F8238A"/>
    <w:rsid w:val="00F826D1"/>
    <w:rsid w:val="00F826D4"/>
    <w:rsid w:val="00F832D2"/>
    <w:rsid w:val="00F83907"/>
    <w:rsid w:val="00F83E16"/>
    <w:rsid w:val="00F84242"/>
    <w:rsid w:val="00F84B9B"/>
    <w:rsid w:val="00F875EA"/>
    <w:rsid w:val="00F87C77"/>
    <w:rsid w:val="00F87FA2"/>
    <w:rsid w:val="00F920D3"/>
    <w:rsid w:val="00F92207"/>
    <w:rsid w:val="00F9294A"/>
    <w:rsid w:val="00F93B27"/>
    <w:rsid w:val="00F94BBD"/>
    <w:rsid w:val="00F94EF0"/>
    <w:rsid w:val="00F96BAE"/>
    <w:rsid w:val="00F9707F"/>
    <w:rsid w:val="00F97361"/>
    <w:rsid w:val="00F97576"/>
    <w:rsid w:val="00FA1C32"/>
    <w:rsid w:val="00FA1DE2"/>
    <w:rsid w:val="00FA261E"/>
    <w:rsid w:val="00FA2C5C"/>
    <w:rsid w:val="00FA31FB"/>
    <w:rsid w:val="00FA3ADC"/>
    <w:rsid w:val="00FA44DC"/>
    <w:rsid w:val="00FA48D6"/>
    <w:rsid w:val="00FA5605"/>
    <w:rsid w:val="00FA57D3"/>
    <w:rsid w:val="00FA58FE"/>
    <w:rsid w:val="00FA7281"/>
    <w:rsid w:val="00FB0063"/>
    <w:rsid w:val="00FB0EAB"/>
    <w:rsid w:val="00FB1CD8"/>
    <w:rsid w:val="00FB418E"/>
    <w:rsid w:val="00FB4263"/>
    <w:rsid w:val="00FC0A25"/>
    <w:rsid w:val="00FC0F02"/>
    <w:rsid w:val="00FC129E"/>
    <w:rsid w:val="00FC26A7"/>
    <w:rsid w:val="00FC32D0"/>
    <w:rsid w:val="00FC3A5D"/>
    <w:rsid w:val="00FC5C15"/>
    <w:rsid w:val="00FC74FB"/>
    <w:rsid w:val="00FD359E"/>
    <w:rsid w:val="00FD3803"/>
    <w:rsid w:val="00FD4F83"/>
    <w:rsid w:val="00FD539E"/>
    <w:rsid w:val="00FD5556"/>
    <w:rsid w:val="00FD7103"/>
    <w:rsid w:val="00FE0AF5"/>
    <w:rsid w:val="00FE1509"/>
    <w:rsid w:val="00FE1B00"/>
    <w:rsid w:val="00FE2133"/>
    <w:rsid w:val="00FE2799"/>
    <w:rsid w:val="00FE2CC0"/>
    <w:rsid w:val="00FE3916"/>
    <w:rsid w:val="00FE3B11"/>
    <w:rsid w:val="00FE5CAD"/>
    <w:rsid w:val="00FE71F9"/>
    <w:rsid w:val="00FE7C42"/>
    <w:rsid w:val="00FF03CE"/>
    <w:rsid w:val="00FF07E1"/>
    <w:rsid w:val="00FF1E0A"/>
    <w:rsid w:val="00FF34D2"/>
    <w:rsid w:val="00FF3740"/>
    <w:rsid w:val="00FF3CAB"/>
    <w:rsid w:val="00FF52B1"/>
    <w:rsid w:val="00FF78C9"/>
    <w:rsid w:val="00FF7DD3"/>
    <w:rsid w:val="00FF7DEE"/>
    <w:rsid w:val="01029B9D"/>
    <w:rsid w:val="01030C7C"/>
    <w:rsid w:val="01068F4E"/>
    <w:rsid w:val="01074A24"/>
    <w:rsid w:val="01096A6D"/>
    <w:rsid w:val="010C3CCE"/>
    <w:rsid w:val="010F9358"/>
    <w:rsid w:val="0112382E"/>
    <w:rsid w:val="01140D0A"/>
    <w:rsid w:val="0114AC8C"/>
    <w:rsid w:val="01157743"/>
    <w:rsid w:val="0118A718"/>
    <w:rsid w:val="0118C730"/>
    <w:rsid w:val="0119AFC1"/>
    <w:rsid w:val="011D3DC8"/>
    <w:rsid w:val="011DEE8F"/>
    <w:rsid w:val="011E2EF8"/>
    <w:rsid w:val="011EA084"/>
    <w:rsid w:val="012152F0"/>
    <w:rsid w:val="0121F287"/>
    <w:rsid w:val="0126E849"/>
    <w:rsid w:val="012D79CB"/>
    <w:rsid w:val="01307BF3"/>
    <w:rsid w:val="0131FDCA"/>
    <w:rsid w:val="0138DEB4"/>
    <w:rsid w:val="01407EF8"/>
    <w:rsid w:val="01430421"/>
    <w:rsid w:val="014661A2"/>
    <w:rsid w:val="01494013"/>
    <w:rsid w:val="014A8A34"/>
    <w:rsid w:val="014AA9ED"/>
    <w:rsid w:val="014B9DC1"/>
    <w:rsid w:val="014F33C7"/>
    <w:rsid w:val="014F54E8"/>
    <w:rsid w:val="01508A65"/>
    <w:rsid w:val="0152E8BB"/>
    <w:rsid w:val="0157F7E7"/>
    <w:rsid w:val="0158A1CF"/>
    <w:rsid w:val="015A2FB4"/>
    <w:rsid w:val="01616EBD"/>
    <w:rsid w:val="0161F244"/>
    <w:rsid w:val="01626C0F"/>
    <w:rsid w:val="0168A251"/>
    <w:rsid w:val="0171550B"/>
    <w:rsid w:val="01733F58"/>
    <w:rsid w:val="0173CAF7"/>
    <w:rsid w:val="0175ABE5"/>
    <w:rsid w:val="017ACCA5"/>
    <w:rsid w:val="017B26B2"/>
    <w:rsid w:val="017FA439"/>
    <w:rsid w:val="018917C0"/>
    <w:rsid w:val="0190563B"/>
    <w:rsid w:val="0193ADC3"/>
    <w:rsid w:val="0194437C"/>
    <w:rsid w:val="01956438"/>
    <w:rsid w:val="01976AD1"/>
    <w:rsid w:val="0199828A"/>
    <w:rsid w:val="019A6E67"/>
    <w:rsid w:val="019AE7BA"/>
    <w:rsid w:val="019D0DB2"/>
    <w:rsid w:val="01A26F39"/>
    <w:rsid w:val="01A81967"/>
    <w:rsid w:val="01A91219"/>
    <w:rsid w:val="01AA906D"/>
    <w:rsid w:val="01AAFCCE"/>
    <w:rsid w:val="01ADE73F"/>
    <w:rsid w:val="01B47779"/>
    <w:rsid w:val="01B7ABA1"/>
    <w:rsid w:val="01C2E1E2"/>
    <w:rsid w:val="01C83AC6"/>
    <w:rsid w:val="01C96880"/>
    <w:rsid w:val="01CF432C"/>
    <w:rsid w:val="01D06DEC"/>
    <w:rsid w:val="01D3AE86"/>
    <w:rsid w:val="01D3AEDE"/>
    <w:rsid w:val="01E13E32"/>
    <w:rsid w:val="01E15257"/>
    <w:rsid w:val="01E2AC56"/>
    <w:rsid w:val="01E35A10"/>
    <w:rsid w:val="01E513AE"/>
    <w:rsid w:val="01E555D1"/>
    <w:rsid w:val="01E85FD6"/>
    <w:rsid w:val="01EB842D"/>
    <w:rsid w:val="01EFFFED"/>
    <w:rsid w:val="01F03E43"/>
    <w:rsid w:val="01F12686"/>
    <w:rsid w:val="01F2019F"/>
    <w:rsid w:val="01F74B6E"/>
    <w:rsid w:val="02012E03"/>
    <w:rsid w:val="0203A837"/>
    <w:rsid w:val="0204604F"/>
    <w:rsid w:val="0204AA85"/>
    <w:rsid w:val="0205C287"/>
    <w:rsid w:val="0208F7FD"/>
    <w:rsid w:val="0208F8F7"/>
    <w:rsid w:val="020BFADD"/>
    <w:rsid w:val="020C3B08"/>
    <w:rsid w:val="020F81E7"/>
    <w:rsid w:val="020FE426"/>
    <w:rsid w:val="0212CAF7"/>
    <w:rsid w:val="0215ADE8"/>
    <w:rsid w:val="0219FB55"/>
    <w:rsid w:val="021BB816"/>
    <w:rsid w:val="02228273"/>
    <w:rsid w:val="022FB8D2"/>
    <w:rsid w:val="0232E7F6"/>
    <w:rsid w:val="02338C81"/>
    <w:rsid w:val="0236969E"/>
    <w:rsid w:val="023BD3FA"/>
    <w:rsid w:val="023E81F9"/>
    <w:rsid w:val="023F9BFF"/>
    <w:rsid w:val="023FF8AF"/>
    <w:rsid w:val="0240133A"/>
    <w:rsid w:val="024A4CFF"/>
    <w:rsid w:val="024A6472"/>
    <w:rsid w:val="024BF57B"/>
    <w:rsid w:val="02577E0F"/>
    <w:rsid w:val="025CF2F7"/>
    <w:rsid w:val="025FAE1A"/>
    <w:rsid w:val="02616D98"/>
    <w:rsid w:val="02637F7E"/>
    <w:rsid w:val="0264652D"/>
    <w:rsid w:val="026864C5"/>
    <w:rsid w:val="026CC46D"/>
    <w:rsid w:val="0272601F"/>
    <w:rsid w:val="0272FD92"/>
    <w:rsid w:val="0273EF88"/>
    <w:rsid w:val="02791077"/>
    <w:rsid w:val="027B7920"/>
    <w:rsid w:val="027DE061"/>
    <w:rsid w:val="027F4CFA"/>
    <w:rsid w:val="02823D15"/>
    <w:rsid w:val="02828B84"/>
    <w:rsid w:val="0286A5AD"/>
    <w:rsid w:val="0292F527"/>
    <w:rsid w:val="02930347"/>
    <w:rsid w:val="0293B5E9"/>
    <w:rsid w:val="02961396"/>
    <w:rsid w:val="029B3DBA"/>
    <w:rsid w:val="02A36DB0"/>
    <w:rsid w:val="02A52BE3"/>
    <w:rsid w:val="02A8A631"/>
    <w:rsid w:val="02B0CC7E"/>
    <w:rsid w:val="02B8C040"/>
    <w:rsid w:val="02BDE246"/>
    <w:rsid w:val="02C1DAA2"/>
    <w:rsid w:val="02C23779"/>
    <w:rsid w:val="02C7A9AD"/>
    <w:rsid w:val="02CD2D32"/>
    <w:rsid w:val="02CD9ED3"/>
    <w:rsid w:val="02D43C98"/>
    <w:rsid w:val="02D8120A"/>
    <w:rsid w:val="02D9E41B"/>
    <w:rsid w:val="02DA9FEB"/>
    <w:rsid w:val="02DC8C55"/>
    <w:rsid w:val="02E3BF6B"/>
    <w:rsid w:val="02E52237"/>
    <w:rsid w:val="02E5F010"/>
    <w:rsid w:val="02E812B1"/>
    <w:rsid w:val="02E8B26A"/>
    <w:rsid w:val="02E94612"/>
    <w:rsid w:val="02EFC4E3"/>
    <w:rsid w:val="02F3777F"/>
    <w:rsid w:val="02F962C4"/>
    <w:rsid w:val="02FD1EC3"/>
    <w:rsid w:val="03016E1E"/>
    <w:rsid w:val="0304C724"/>
    <w:rsid w:val="030861FF"/>
    <w:rsid w:val="030B12ED"/>
    <w:rsid w:val="030BA5BC"/>
    <w:rsid w:val="031045F9"/>
    <w:rsid w:val="0312D035"/>
    <w:rsid w:val="03167866"/>
    <w:rsid w:val="0316EB80"/>
    <w:rsid w:val="031BFC52"/>
    <w:rsid w:val="031CB378"/>
    <w:rsid w:val="032098BE"/>
    <w:rsid w:val="03241B99"/>
    <w:rsid w:val="0324B9E6"/>
    <w:rsid w:val="03252111"/>
    <w:rsid w:val="03282A8D"/>
    <w:rsid w:val="032A809C"/>
    <w:rsid w:val="032C269C"/>
    <w:rsid w:val="032EED7D"/>
    <w:rsid w:val="032F2FBA"/>
    <w:rsid w:val="032F7115"/>
    <w:rsid w:val="033160E1"/>
    <w:rsid w:val="03323848"/>
    <w:rsid w:val="0332A629"/>
    <w:rsid w:val="0334FE76"/>
    <w:rsid w:val="033AEA2A"/>
    <w:rsid w:val="033B678E"/>
    <w:rsid w:val="033D28F0"/>
    <w:rsid w:val="033D5C81"/>
    <w:rsid w:val="0341C518"/>
    <w:rsid w:val="03525B9D"/>
    <w:rsid w:val="0354DB4A"/>
    <w:rsid w:val="0355A383"/>
    <w:rsid w:val="0357D96A"/>
    <w:rsid w:val="035835E9"/>
    <w:rsid w:val="035F1E51"/>
    <w:rsid w:val="036718D3"/>
    <w:rsid w:val="0368006C"/>
    <w:rsid w:val="036D5222"/>
    <w:rsid w:val="036EC3FD"/>
    <w:rsid w:val="036FA6DA"/>
    <w:rsid w:val="037821D7"/>
    <w:rsid w:val="037A3877"/>
    <w:rsid w:val="037D2D63"/>
    <w:rsid w:val="03833E80"/>
    <w:rsid w:val="03876393"/>
    <w:rsid w:val="038B29B8"/>
    <w:rsid w:val="038F3241"/>
    <w:rsid w:val="03956733"/>
    <w:rsid w:val="03A03F2E"/>
    <w:rsid w:val="03A1D346"/>
    <w:rsid w:val="03A20C4A"/>
    <w:rsid w:val="03A2822E"/>
    <w:rsid w:val="03AAEB5A"/>
    <w:rsid w:val="03AEF19A"/>
    <w:rsid w:val="03B19318"/>
    <w:rsid w:val="03B1CA29"/>
    <w:rsid w:val="03B28BD7"/>
    <w:rsid w:val="03B2A55B"/>
    <w:rsid w:val="03B414A4"/>
    <w:rsid w:val="03B65998"/>
    <w:rsid w:val="03B7E89D"/>
    <w:rsid w:val="03B9F67C"/>
    <w:rsid w:val="03BA355A"/>
    <w:rsid w:val="03C26254"/>
    <w:rsid w:val="03C92360"/>
    <w:rsid w:val="03C94DFA"/>
    <w:rsid w:val="03CA4E3F"/>
    <w:rsid w:val="03CCE9F2"/>
    <w:rsid w:val="03CE80C1"/>
    <w:rsid w:val="03D0B4CB"/>
    <w:rsid w:val="03DED018"/>
    <w:rsid w:val="03E281E1"/>
    <w:rsid w:val="03E2ED73"/>
    <w:rsid w:val="03E38868"/>
    <w:rsid w:val="03E83770"/>
    <w:rsid w:val="03E8B89A"/>
    <w:rsid w:val="03EBEC2D"/>
    <w:rsid w:val="03F29760"/>
    <w:rsid w:val="03FC4D28"/>
    <w:rsid w:val="03FD2077"/>
    <w:rsid w:val="03FF37D4"/>
    <w:rsid w:val="0405AFA0"/>
    <w:rsid w:val="0407B623"/>
    <w:rsid w:val="04080109"/>
    <w:rsid w:val="04084F9A"/>
    <w:rsid w:val="0408DD1D"/>
    <w:rsid w:val="040BC241"/>
    <w:rsid w:val="040C1B0F"/>
    <w:rsid w:val="040E0D59"/>
    <w:rsid w:val="040F78FC"/>
    <w:rsid w:val="040F7D6E"/>
    <w:rsid w:val="04117AD0"/>
    <w:rsid w:val="04154E49"/>
    <w:rsid w:val="04164615"/>
    <w:rsid w:val="041A6209"/>
    <w:rsid w:val="041ED1C8"/>
    <w:rsid w:val="0422F8D3"/>
    <w:rsid w:val="042555F8"/>
    <w:rsid w:val="04266B30"/>
    <w:rsid w:val="0427ECC0"/>
    <w:rsid w:val="0429B733"/>
    <w:rsid w:val="0429FC12"/>
    <w:rsid w:val="042E0BBD"/>
    <w:rsid w:val="0430E4E2"/>
    <w:rsid w:val="043652A7"/>
    <w:rsid w:val="0438F697"/>
    <w:rsid w:val="04399740"/>
    <w:rsid w:val="043BFD44"/>
    <w:rsid w:val="043CEA3A"/>
    <w:rsid w:val="04426D4F"/>
    <w:rsid w:val="044412E3"/>
    <w:rsid w:val="044967D7"/>
    <w:rsid w:val="0449DF22"/>
    <w:rsid w:val="0449E5B3"/>
    <w:rsid w:val="044B2FA3"/>
    <w:rsid w:val="045475AB"/>
    <w:rsid w:val="0454C7DD"/>
    <w:rsid w:val="0461ADBD"/>
    <w:rsid w:val="0462ABB6"/>
    <w:rsid w:val="0464123F"/>
    <w:rsid w:val="04642BBE"/>
    <w:rsid w:val="04645963"/>
    <w:rsid w:val="0464656A"/>
    <w:rsid w:val="04652069"/>
    <w:rsid w:val="046BE46E"/>
    <w:rsid w:val="046D4847"/>
    <w:rsid w:val="0471BA43"/>
    <w:rsid w:val="04766F0C"/>
    <w:rsid w:val="0478A00F"/>
    <w:rsid w:val="04798E27"/>
    <w:rsid w:val="047B95FD"/>
    <w:rsid w:val="047F724E"/>
    <w:rsid w:val="04816E86"/>
    <w:rsid w:val="0486EA25"/>
    <w:rsid w:val="04876955"/>
    <w:rsid w:val="04879F70"/>
    <w:rsid w:val="0489A8E6"/>
    <w:rsid w:val="048A8F8F"/>
    <w:rsid w:val="049130E5"/>
    <w:rsid w:val="04923DE1"/>
    <w:rsid w:val="04940602"/>
    <w:rsid w:val="049C2C8A"/>
    <w:rsid w:val="04A1AEF1"/>
    <w:rsid w:val="04AC3A17"/>
    <w:rsid w:val="04AE588A"/>
    <w:rsid w:val="04AF1525"/>
    <w:rsid w:val="04B2C774"/>
    <w:rsid w:val="04B2DFE4"/>
    <w:rsid w:val="04B6C149"/>
    <w:rsid w:val="04B93ABA"/>
    <w:rsid w:val="04BA0F91"/>
    <w:rsid w:val="04BC3CA3"/>
    <w:rsid w:val="04BF60DF"/>
    <w:rsid w:val="04C1FA36"/>
    <w:rsid w:val="04C33013"/>
    <w:rsid w:val="04C81800"/>
    <w:rsid w:val="04CA9905"/>
    <w:rsid w:val="04CC32C7"/>
    <w:rsid w:val="04D1832B"/>
    <w:rsid w:val="04D264EB"/>
    <w:rsid w:val="04D28C68"/>
    <w:rsid w:val="04D35A82"/>
    <w:rsid w:val="04D53D22"/>
    <w:rsid w:val="04D74874"/>
    <w:rsid w:val="04D7C27B"/>
    <w:rsid w:val="04DBAA0D"/>
    <w:rsid w:val="04E47623"/>
    <w:rsid w:val="04E6065A"/>
    <w:rsid w:val="04E8F0D6"/>
    <w:rsid w:val="04EB980D"/>
    <w:rsid w:val="04EEE141"/>
    <w:rsid w:val="04EFE2E8"/>
    <w:rsid w:val="04F0803E"/>
    <w:rsid w:val="04F3AE71"/>
    <w:rsid w:val="04F8F9DA"/>
    <w:rsid w:val="04F9050A"/>
    <w:rsid w:val="04FCA6DB"/>
    <w:rsid w:val="04FE8B0F"/>
    <w:rsid w:val="0503FA78"/>
    <w:rsid w:val="0509376A"/>
    <w:rsid w:val="05095CD0"/>
    <w:rsid w:val="0509CDA6"/>
    <w:rsid w:val="050B8F74"/>
    <w:rsid w:val="050EC50E"/>
    <w:rsid w:val="05112E92"/>
    <w:rsid w:val="0512ACE1"/>
    <w:rsid w:val="0512F792"/>
    <w:rsid w:val="0512FC68"/>
    <w:rsid w:val="0514684A"/>
    <w:rsid w:val="0514898F"/>
    <w:rsid w:val="051B3F54"/>
    <w:rsid w:val="051E9599"/>
    <w:rsid w:val="05215248"/>
    <w:rsid w:val="052328EC"/>
    <w:rsid w:val="05239978"/>
    <w:rsid w:val="0523D2AB"/>
    <w:rsid w:val="0525F177"/>
    <w:rsid w:val="052616DD"/>
    <w:rsid w:val="05284531"/>
    <w:rsid w:val="052C17FF"/>
    <w:rsid w:val="052D3D1F"/>
    <w:rsid w:val="05315148"/>
    <w:rsid w:val="0535FEBB"/>
    <w:rsid w:val="05371AE2"/>
    <w:rsid w:val="05426AE4"/>
    <w:rsid w:val="05477464"/>
    <w:rsid w:val="05483AC3"/>
    <w:rsid w:val="05582174"/>
    <w:rsid w:val="05585C90"/>
    <w:rsid w:val="055A6F2B"/>
    <w:rsid w:val="055B1DD9"/>
    <w:rsid w:val="055BB386"/>
    <w:rsid w:val="055D8BFE"/>
    <w:rsid w:val="055E2C73"/>
    <w:rsid w:val="055E2F8B"/>
    <w:rsid w:val="055F7381"/>
    <w:rsid w:val="05619E05"/>
    <w:rsid w:val="0561E2BD"/>
    <w:rsid w:val="0569EF6A"/>
    <w:rsid w:val="056C5B40"/>
    <w:rsid w:val="05708F55"/>
    <w:rsid w:val="057581CA"/>
    <w:rsid w:val="05796F16"/>
    <w:rsid w:val="057B1071"/>
    <w:rsid w:val="057BC2EB"/>
    <w:rsid w:val="057E08B5"/>
    <w:rsid w:val="0580C9CB"/>
    <w:rsid w:val="05818F33"/>
    <w:rsid w:val="0585139B"/>
    <w:rsid w:val="058528E4"/>
    <w:rsid w:val="058632E3"/>
    <w:rsid w:val="05884C13"/>
    <w:rsid w:val="058B020D"/>
    <w:rsid w:val="058CF0DA"/>
    <w:rsid w:val="058EB8FC"/>
    <w:rsid w:val="0590669A"/>
    <w:rsid w:val="0597EFE3"/>
    <w:rsid w:val="059ED5D1"/>
    <w:rsid w:val="059F03A9"/>
    <w:rsid w:val="05A0B3B0"/>
    <w:rsid w:val="05A5E965"/>
    <w:rsid w:val="05AB898E"/>
    <w:rsid w:val="05AC5B5C"/>
    <w:rsid w:val="05AEB404"/>
    <w:rsid w:val="05B1DA3F"/>
    <w:rsid w:val="05B1F63E"/>
    <w:rsid w:val="05B54174"/>
    <w:rsid w:val="05B5546E"/>
    <w:rsid w:val="05BC9779"/>
    <w:rsid w:val="05BEB465"/>
    <w:rsid w:val="05C02CC1"/>
    <w:rsid w:val="05C57376"/>
    <w:rsid w:val="05C7829E"/>
    <w:rsid w:val="05CBCAC1"/>
    <w:rsid w:val="05D1A16D"/>
    <w:rsid w:val="05D3BB76"/>
    <w:rsid w:val="05D5F422"/>
    <w:rsid w:val="05D67678"/>
    <w:rsid w:val="05D9E402"/>
    <w:rsid w:val="05E046F3"/>
    <w:rsid w:val="05E16837"/>
    <w:rsid w:val="05E6294E"/>
    <w:rsid w:val="05E89BD8"/>
    <w:rsid w:val="05E96CB7"/>
    <w:rsid w:val="05ED88E8"/>
    <w:rsid w:val="05ED9495"/>
    <w:rsid w:val="05F479EC"/>
    <w:rsid w:val="05F7FB88"/>
    <w:rsid w:val="05F8871A"/>
    <w:rsid w:val="05FC57DC"/>
    <w:rsid w:val="060642C7"/>
    <w:rsid w:val="0607258A"/>
    <w:rsid w:val="060827C9"/>
    <w:rsid w:val="0608A69C"/>
    <w:rsid w:val="060B7848"/>
    <w:rsid w:val="060C21E5"/>
    <w:rsid w:val="060F7879"/>
    <w:rsid w:val="06141B50"/>
    <w:rsid w:val="0615B792"/>
    <w:rsid w:val="061899C3"/>
    <w:rsid w:val="0625116C"/>
    <w:rsid w:val="062ADEE1"/>
    <w:rsid w:val="062C49A5"/>
    <w:rsid w:val="062D9C96"/>
    <w:rsid w:val="062DC617"/>
    <w:rsid w:val="063493CB"/>
    <w:rsid w:val="063A0E5C"/>
    <w:rsid w:val="06410CC6"/>
    <w:rsid w:val="0643122B"/>
    <w:rsid w:val="064608DE"/>
    <w:rsid w:val="0646AA4F"/>
    <w:rsid w:val="064ACCCD"/>
    <w:rsid w:val="0650BBCA"/>
    <w:rsid w:val="0651AE78"/>
    <w:rsid w:val="065896FC"/>
    <w:rsid w:val="06596771"/>
    <w:rsid w:val="065B8E97"/>
    <w:rsid w:val="066BE940"/>
    <w:rsid w:val="066EF839"/>
    <w:rsid w:val="067384F7"/>
    <w:rsid w:val="0673E23F"/>
    <w:rsid w:val="067576BE"/>
    <w:rsid w:val="067928A6"/>
    <w:rsid w:val="067A7C06"/>
    <w:rsid w:val="067C4A95"/>
    <w:rsid w:val="067C5552"/>
    <w:rsid w:val="067D9FE3"/>
    <w:rsid w:val="067FE4C0"/>
    <w:rsid w:val="06802D92"/>
    <w:rsid w:val="068B2CE5"/>
    <w:rsid w:val="068CE486"/>
    <w:rsid w:val="069830A7"/>
    <w:rsid w:val="0699254F"/>
    <w:rsid w:val="069B2CE4"/>
    <w:rsid w:val="069B4EC2"/>
    <w:rsid w:val="069C2CF6"/>
    <w:rsid w:val="069C7175"/>
    <w:rsid w:val="069DA68A"/>
    <w:rsid w:val="069F309E"/>
    <w:rsid w:val="06A00A1D"/>
    <w:rsid w:val="06A1E83C"/>
    <w:rsid w:val="06A2759C"/>
    <w:rsid w:val="06A664C7"/>
    <w:rsid w:val="06AA4733"/>
    <w:rsid w:val="06AF0E3D"/>
    <w:rsid w:val="06AF60AA"/>
    <w:rsid w:val="06AFE04D"/>
    <w:rsid w:val="06B065E2"/>
    <w:rsid w:val="06B12D54"/>
    <w:rsid w:val="06B37903"/>
    <w:rsid w:val="06B445AA"/>
    <w:rsid w:val="06B47DBF"/>
    <w:rsid w:val="06B853AB"/>
    <w:rsid w:val="06BA1161"/>
    <w:rsid w:val="06C14DD7"/>
    <w:rsid w:val="06C37757"/>
    <w:rsid w:val="06C497A9"/>
    <w:rsid w:val="06C822DF"/>
    <w:rsid w:val="06C867CC"/>
    <w:rsid w:val="06C9BD9F"/>
    <w:rsid w:val="06CAD88D"/>
    <w:rsid w:val="06CC685D"/>
    <w:rsid w:val="06CF872B"/>
    <w:rsid w:val="06D39B9B"/>
    <w:rsid w:val="06D43F92"/>
    <w:rsid w:val="06D8B3B9"/>
    <w:rsid w:val="06DE225D"/>
    <w:rsid w:val="06DE54F3"/>
    <w:rsid w:val="06E13732"/>
    <w:rsid w:val="06E81AF2"/>
    <w:rsid w:val="06ED86A0"/>
    <w:rsid w:val="06EF8C7F"/>
    <w:rsid w:val="06F30D9A"/>
    <w:rsid w:val="06F628FA"/>
    <w:rsid w:val="06F8637D"/>
    <w:rsid w:val="06FA266E"/>
    <w:rsid w:val="0701D74E"/>
    <w:rsid w:val="070AA000"/>
    <w:rsid w:val="070F7DCA"/>
    <w:rsid w:val="071D57FA"/>
    <w:rsid w:val="071F2BFD"/>
    <w:rsid w:val="0720B3AE"/>
    <w:rsid w:val="0721130F"/>
    <w:rsid w:val="07292250"/>
    <w:rsid w:val="072B42EF"/>
    <w:rsid w:val="072E9A07"/>
    <w:rsid w:val="073090FC"/>
    <w:rsid w:val="07341688"/>
    <w:rsid w:val="0735AF74"/>
    <w:rsid w:val="07372259"/>
    <w:rsid w:val="0738B5EB"/>
    <w:rsid w:val="074401D4"/>
    <w:rsid w:val="074A512C"/>
    <w:rsid w:val="074C4F6B"/>
    <w:rsid w:val="07548DA3"/>
    <w:rsid w:val="075B2210"/>
    <w:rsid w:val="075BD89D"/>
    <w:rsid w:val="075E044B"/>
    <w:rsid w:val="075F5136"/>
    <w:rsid w:val="07618A07"/>
    <w:rsid w:val="0763EC3E"/>
    <w:rsid w:val="07641E17"/>
    <w:rsid w:val="07733BB7"/>
    <w:rsid w:val="0776BD37"/>
    <w:rsid w:val="077761B7"/>
    <w:rsid w:val="077A2444"/>
    <w:rsid w:val="077C2B64"/>
    <w:rsid w:val="077C6C3B"/>
    <w:rsid w:val="077DC847"/>
    <w:rsid w:val="077E4E85"/>
    <w:rsid w:val="077E99E8"/>
    <w:rsid w:val="0782056C"/>
    <w:rsid w:val="0786C7D9"/>
    <w:rsid w:val="0788411E"/>
    <w:rsid w:val="078BFFBB"/>
    <w:rsid w:val="078C66BB"/>
    <w:rsid w:val="078E02DD"/>
    <w:rsid w:val="078E0ECF"/>
    <w:rsid w:val="078F2FBE"/>
    <w:rsid w:val="07912CC2"/>
    <w:rsid w:val="0792D620"/>
    <w:rsid w:val="0797B3E1"/>
    <w:rsid w:val="079BB301"/>
    <w:rsid w:val="079BFEE1"/>
    <w:rsid w:val="079F8E6F"/>
    <w:rsid w:val="07A6BA35"/>
    <w:rsid w:val="07A7C403"/>
    <w:rsid w:val="07AC8FC5"/>
    <w:rsid w:val="07B22BF1"/>
    <w:rsid w:val="07B3FC82"/>
    <w:rsid w:val="07B9293A"/>
    <w:rsid w:val="07BAF7CB"/>
    <w:rsid w:val="07BF690E"/>
    <w:rsid w:val="07C47307"/>
    <w:rsid w:val="07C9ACBE"/>
    <w:rsid w:val="07CAC418"/>
    <w:rsid w:val="07D2F733"/>
    <w:rsid w:val="07D3AD93"/>
    <w:rsid w:val="07D70B23"/>
    <w:rsid w:val="07D787BB"/>
    <w:rsid w:val="07D7C7A2"/>
    <w:rsid w:val="07DB18E6"/>
    <w:rsid w:val="07DB480B"/>
    <w:rsid w:val="07DBC2AE"/>
    <w:rsid w:val="07DC42DA"/>
    <w:rsid w:val="07DCF92D"/>
    <w:rsid w:val="07E2F19F"/>
    <w:rsid w:val="07E3AC25"/>
    <w:rsid w:val="07E8835C"/>
    <w:rsid w:val="07E9D307"/>
    <w:rsid w:val="07ECAFD2"/>
    <w:rsid w:val="07F1DD74"/>
    <w:rsid w:val="07F2E661"/>
    <w:rsid w:val="07F6C10E"/>
    <w:rsid w:val="07F71B43"/>
    <w:rsid w:val="07F8A01D"/>
    <w:rsid w:val="07FA8CA7"/>
    <w:rsid w:val="07FE37EC"/>
    <w:rsid w:val="08013B07"/>
    <w:rsid w:val="0801F66A"/>
    <w:rsid w:val="0805373F"/>
    <w:rsid w:val="0805ECAB"/>
    <w:rsid w:val="0805F810"/>
    <w:rsid w:val="08063E2E"/>
    <w:rsid w:val="080D13A3"/>
    <w:rsid w:val="0814CCB5"/>
    <w:rsid w:val="08159179"/>
    <w:rsid w:val="0815DB71"/>
    <w:rsid w:val="08177929"/>
    <w:rsid w:val="081E5624"/>
    <w:rsid w:val="081ED267"/>
    <w:rsid w:val="081F5F36"/>
    <w:rsid w:val="082E48A5"/>
    <w:rsid w:val="082EBDA5"/>
    <w:rsid w:val="0833D504"/>
    <w:rsid w:val="083512F7"/>
    <w:rsid w:val="0836B342"/>
    <w:rsid w:val="083AD1D3"/>
    <w:rsid w:val="08417A92"/>
    <w:rsid w:val="084319B1"/>
    <w:rsid w:val="08441065"/>
    <w:rsid w:val="08470E2C"/>
    <w:rsid w:val="084BDC3F"/>
    <w:rsid w:val="084D1473"/>
    <w:rsid w:val="084E77B3"/>
    <w:rsid w:val="084FFBB2"/>
    <w:rsid w:val="0851E530"/>
    <w:rsid w:val="085240DF"/>
    <w:rsid w:val="085B32D8"/>
    <w:rsid w:val="085DAA26"/>
    <w:rsid w:val="085DF31D"/>
    <w:rsid w:val="08618517"/>
    <w:rsid w:val="0865875A"/>
    <w:rsid w:val="08680C31"/>
    <w:rsid w:val="0869729D"/>
    <w:rsid w:val="086F0E40"/>
    <w:rsid w:val="087093BB"/>
    <w:rsid w:val="08715781"/>
    <w:rsid w:val="08769F7B"/>
    <w:rsid w:val="0878E3C9"/>
    <w:rsid w:val="087B7FE7"/>
    <w:rsid w:val="087BCBA7"/>
    <w:rsid w:val="087CC2E0"/>
    <w:rsid w:val="08817EFF"/>
    <w:rsid w:val="0882B7AD"/>
    <w:rsid w:val="088397A6"/>
    <w:rsid w:val="0884E106"/>
    <w:rsid w:val="088AC011"/>
    <w:rsid w:val="088C94D3"/>
    <w:rsid w:val="089001C5"/>
    <w:rsid w:val="0890E0B4"/>
    <w:rsid w:val="089551D4"/>
    <w:rsid w:val="0896B683"/>
    <w:rsid w:val="089F26B3"/>
    <w:rsid w:val="08A01096"/>
    <w:rsid w:val="08A2C93A"/>
    <w:rsid w:val="08A63636"/>
    <w:rsid w:val="08A67D9A"/>
    <w:rsid w:val="08A6A20A"/>
    <w:rsid w:val="08AD215F"/>
    <w:rsid w:val="08AE03FD"/>
    <w:rsid w:val="08AFDBED"/>
    <w:rsid w:val="08B2531C"/>
    <w:rsid w:val="08B558BB"/>
    <w:rsid w:val="08B6817E"/>
    <w:rsid w:val="08B6831F"/>
    <w:rsid w:val="08BC3C96"/>
    <w:rsid w:val="08BC4483"/>
    <w:rsid w:val="08BDF031"/>
    <w:rsid w:val="08BFD4FB"/>
    <w:rsid w:val="08C23C82"/>
    <w:rsid w:val="08C815EA"/>
    <w:rsid w:val="08CFF705"/>
    <w:rsid w:val="08D66E04"/>
    <w:rsid w:val="08D721D4"/>
    <w:rsid w:val="08D98F8B"/>
    <w:rsid w:val="08DD975E"/>
    <w:rsid w:val="08E07E3C"/>
    <w:rsid w:val="08E241A7"/>
    <w:rsid w:val="08EACDAB"/>
    <w:rsid w:val="08F0B933"/>
    <w:rsid w:val="08F2C334"/>
    <w:rsid w:val="08F2E377"/>
    <w:rsid w:val="08FC31CE"/>
    <w:rsid w:val="08FC40B7"/>
    <w:rsid w:val="08FE7F90"/>
    <w:rsid w:val="0900C0A7"/>
    <w:rsid w:val="09057421"/>
    <w:rsid w:val="090A6CE0"/>
    <w:rsid w:val="0911D2D0"/>
    <w:rsid w:val="09124F9E"/>
    <w:rsid w:val="09135084"/>
    <w:rsid w:val="0916BEA7"/>
    <w:rsid w:val="09175E88"/>
    <w:rsid w:val="0918391B"/>
    <w:rsid w:val="0919051A"/>
    <w:rsid w:val="091D0A91"/>
    <w:rsid w:val="091EC1C2"/>
    <w:rsid w:val="09210FC0"/>
    <w:rsid w:val="0922A838"/>
    <w:rsid w:val="09240B52"/>
    <w:rsid w:val="092DCE1D"/>
    <w:rsid w:val="092EBA53"/>
    <w:rsid w:val="09309661"/>
    <w:rsid w:val="093113DF"/>
    <w:rsid w:val="09363977"/>
    <w:rsid w:val="093C58CF"/>
    <w:rsid w:val="093CFF8B"/>
    <w:rsid w:val="0944948D"/>
    <w:rsid w:val="0947A2F2"/>
    <w:rsid w:val="0947F472"/>
    <w:rsid w:val="0948756F"/>
    <w:rsid w:val="094A5401"/>
    <w:rsid w:val="094C670C"/>
    <w:rsid w:val="094D4F4C"/>
    <w:rsid w:val="095717FD"/>
    <w:rsid w:val="09592AF2"/>
    <w:rsid w:val="09598C75"/>
    <w:rsid w:val="095B18F5"/>
    <w:rsid w:val="095DB9D1"/>
    <w:rsid w:val="09666B06"/>
    <w:rsid w:val="09670439"/>
    <w:rsid w:val="096A0394"/>
    <w:rsid w:val="096E5EB4"/>
    <w:rsid w:val="096F4EBA"/>
    <w:rsid w:val="0973262C"/>
    <w:rsid w:val="09753FCC"/>
    <w:rsid w:val="09778501"/>
    <w:rsid w:val="097937BA"/>
    <w:rsid w:val="0982692A"/>
    <w:rsid w:val="09832ACF"/>
    <w:rsid w:val="09872128"/>
    <w:rsid w:val="09913FB8"/>
    <w:rsid w:val="09921487"/>
    <w:rsid w:val="0995332C"/>
    <w:rsid w:val="099F2C26"/>
    <w:rsid w:val="09A06567"/>
    <w:rsid w:val="09A2573C"/>
    <w:rsid w:val="09A26AED"/>
    <w:rsid w:val="09A3EDCE"/>
    <w:rsid w:val="09A41F24"/>
    <w:rsid w:val="09A95A0F"/>
    <w:rsid w:val="09A9FFD2"/>
    <w:rsid w:val="09AD39A9"/>
    <w:rsid w:val="09AF07D7"/>
    <w:rsid w:val="09B30234"/>
    <w:rsid w:val="09B88D20"/>
    <w:rsid w:val="09BB4C9B"/>
    <w:rsid w:val="09C3C108"/>
    <w:rsid w:val="09C71AEE"/>
    <w:rsid w:val="09C7C54E"/>
    <w:rsid w:val="09C80239"/>
    <w:rsid w:val="09C8D5F4"/>
    <w:rsid w:val="09C8D9D6"/>
    <w:rsid w:val="09CC2737"/>
    <w:rsid w:val="09CDCB7E"/>
    <w:rsid w:val="09CEBE44"/>
    <w:rsid w:val="09D001C7"/>
    <w:rsid w:val="09D23D17"/>
    <w:rsid w:val="09D283A3"/>
    <w:rsid w:val="09D3F91D"/>
    <w:rsid w:val="09D8424B"/>
    <w:rsid w:val="09DCD11F"/>
    <w:rsid w:val="09DDEF82"/>
    <w:rsid w:val="09E00556"/>
    <w:rsid w:val="09E2FC84"/>
    <w:rsid w:val="09E52199"/>
    <w:rsid w:val="09E797D5"/>
    <w:rsid w:val="09EBBC4A"/>
    <w:rsid w:val="09ECD90B"/>
    <w:rsid w:val="09ED7937"/>
    <w:rsid w:val="09EF2EF3"/>
    <w:rsid w:val="09F3E6E1"/>
    <w:rsid w:val="09F486DD"/>
    <w:rsid w:val="09F78E37"/>
    <w:rsid w:val="09FA7467"/>
    <w:rsid w:val="09FB329C"/>
    <w:rsid w:val="09FC9C86"/>
    <w:rsid w:val="09FD84EC"/>
    <w:rsid w:val="0A017056"/>
    <w:rsid w:val="0A0BFC0E"/>
    <w:rsid w:val="0A0D58B0"/>
    <w:rsid w:val="0A1039E6"/>
    <w:rsid w:val="0A14DAEF"/>
    <w:rsid w:val="0A157270"/>
    <w:rsid w:val="0A157EF2"/>
    <w:rsid w:val="0A16CE67"/>
    <w:rsid w:val="0A1D2C18"/>
    <w:rsid w:val="0A1F14AF"/>
    <w:rsid w:val="0A227701"/>
    <w:rsid w:val="0A23F0D3"/>
    <w:rsid w:val="0A25641D"/>
    <w:rsid w:val="0A26587F"/>
    <w:rsid w:val="0A293815"/>
    <w:rsid w:val="0A341D13"/>
    <w:rsid w:val="0A3B2198"/>
    <w:rsid w:val="0A3D1DC5"/>
    <w:rsid w:val="0A43A096"/>
    <w:rsid w:val="0A44A38D"/>
    <w:rsid w:val="0A4618BE"/>
    <w:rsid w:val="0A474BAF"/>
    <w:rsid w:val="0A483C98"/>
    <w:rsid w:val="0A4A0DF2"/>
    <w:rsid w:val="0A4E0556"/>
    <w:rsid w:val="0A516C51"/>
    <w:rsid w:val="0A58E5A7"/>
    <w:rsid w:val="0A5A93DB"/>
    <w:rsid w:val="0A5C82DD"/>
    <w:rsid w:val="0A5E63DE"/>
    <w:rsid w:val="0A5E693B"/>
    <w:rsid w:val="0A63DAFD"/>
    <w:rsid w:val="0A6C78E5"/>
    <w:rsid w:val="0A6CEBAD"/>
    <w:rsid w:val="0A714203"/>
    <w:rsid w:val="0A724D77"/>
    <w:rsid w:val="0A7EDA90"/>
    <w:rsid w:val="0A81AE27"/>
    <w:rsid w:val="0A87AE4D"/>
    <w:rsid w:val="0A87BA0A"/>
    <w:rsid w:val="0A8B263E"/>
    <w:rsid w:val="0A8CBDA0"/>
    <w:rsid w:val="0A8CBF04"/>
    <w:rsid w:val="0A8D943B"/>
    <w:rsid w:val="0A9165FC"/>
    <w:rsid w:val="0A99AABD"/>
    <w:rsid w:val="0A9D80E1"/>
    <w:rsid w:val="0A9E5173"/>
    <w:rsid w:val="0A9F371A"/>
    <w:rsid w:val="0AA38539"/>
    <w:rsid w:val="0AA50716"/>
    <w:rsid w:val="0AADC068"/>
    <w:rsid w:val="0AADF822"/>
    <w:rsid w:val="0AAF8506"/>
    <w:rsid w:val="0AB12E5C"/>
    <w:rsid w:val="0AB3F6CC"/>
    <w:rsid w:val="0AB5A2F5"/>
    <w:rsid w:val="0AB6AAA1"/>
    <w:rsid w:val="0ABC6CFF"/>
    <w:rsid w:val="0ABDA5A1"/>
    <w:rsid w:val="0AC26E21"/>
    <w:rsid w:val="0AC669B8"/>
    <w:rsid w:val="0ACACC3E"/>
    <w:rsid w:val="0AD0DD23"/>
    <w:rsid w:val="0AD27896"/>
    <w:rsid w:val="0AD4FA81"/>
    <w:rsid w:val="0AD53FAD"/>
    <w:rsid w:val="0AD6B531"/>
    <w:rsid w:val="0ADBC997"/>
    <w:rsid w:val="0ADC3C68"/>
    <w:rsid w:val="0AE19534"/>
    <w:rsid w:val="0AE4C30B"/>
    <w:rsid w:val="0AE6CD11"/>
    <w:rsid w:val="0AEB681A"/>
    <w:rsid w:val="0AEC7AC2"/>
    <w:rsid w:val="0AEDA54A"/>
    <w:rsid w:val="0AEDDFBE"/>
    <w:rsid w:val="0AEE9F89"/>
    <w:rsid w:val="0AF0697F"/>
    <w:rsid w:val="0AF0ADFB"/>
    <w:rsid w:val="0AF4F1F4"/>
    <w:rsid w:val="0AF696E3"/>
    <w:rsid w:val="0AF6C8D5"/>
    <w:rsid w:val="0AF981FB"/>
    <w:rsid w:val="0AFD3B16"/>
    <w:rsid w:val="0B0042FF"/>
    <w:rsid w:val="0B06C567"/>
    <w:rsid w:val="0B0962B9"/>
    <w:rsid w:val="0B0EDCDA"/>
    <w:rsid w:val="0B11B295"/>
    <w:rsid w:val="0B11C6FA"/>
    <w:rsid w:val="0B15EDCF"/>
    <w:rsid w:val="0B16D5C6"/>
    <w:rsid w:val="0B16FBEE"/>
    <w:rsid w:val="0B197E41"/>
    <w:rsid w:val="0B1EB149"/>
    <w:rsid w:val="0B2481ED"/>
    <w:rsid w:val="0B291A88"/>
    <w:rsid w:val="0B2F91A2"/>
    <w:rsid w:val="0B319D5F"/>
    <w:rsid w:val="0B384C79"/>
    <w:rsid w:val="0B39B8A8"/>
    <w:rsid w:val="0B3BC247"/>
    <w:rsid w:val="0B40F2B1"/>
    <w:rsid w:val="0B42E445"/>
    <w:rsid w:val="0B466024"/>
    <w:rsid w:val="0B4970D8"/>
    <w:rsid w:val="0B4F56E2"/>
    <w:rsid w:val="0B54A34B"/>
    <w:rsid w:val="0B59C916"/>
    <w:rsid w:val="0B59FA08"/>
    <w:rsid w:val="0B6104D8"/>
    <w:rsid w:val="0B6BB710"/>
    <w:rsid w:val="0B6C3977"/>
    <w:rsid w:val="0B719C62"/>
    <w:rsid w:val="0B7236B6"/>
    <w:rsid w:val="0B770BCE"/>
    <w:rsid w:val="0B7FB33B"/>
    <w:rsid w:val="0B800E7D"/>
    <w:rsid w:val="0B826973"/>
    <w:rsid w:val="0B8325F5"/>
    <w:rsid w:val="0B83D85A"/>
    <w:rsid w:val="0B890E66"/>
    <w:rsid w:val="0B8D12FF"/>
    <w:rsid w:val="0B932F5B"/>
    <w:rsid w:val="0B93EE7F"/>
    <w:rsid w:val="0B93F381"/>
    <w:rsid w:val="0B9496B9"/>
    <w:rsid w:val="0B96D20C"/>
    <w:rsid w:val="0B98E3A2"/>
    <w:rsid w:val="0B992D01"/>
    <w:rsid w:val="0B9A873A"/>
    <w:rsid w:val="0B9B9BFE"/>
    <w:rsid w:val="0B9C67D6"/>
    <w:rsid w:val="0B9FFCD4"/>
    <w:rsid w:val="0BA5A658"/>
    <w:rsid w:val="0BA6E133"/>
    <w:rsid w:val="0BA81A35"/>
    <w:rsid w:val="0BB5D90F"/>
    <w:rsid w:val="0BB894C3"/>
    <w:rsid w:val="0BB9E77A"/>
    <w:rsid w:val="0BBBFEC7"/>
    <w:rsid w:val="0BBDC532"/>
    <w:rsid w:val="0BBF338F"/>
    <w:rsid w:val="0BC1FC5F"/>
    <w:rsid w:val="0BC3D8FB"/>
    <w:rsid w:val="0BC6C5DC"/>
    <w:rsid w:val="0BC7A863"/>
    <w:rsid w:val="0BC82E02"/>
    <w:rsid w:val="0BCCECDE"/>
    <w:rsid w:val="0BD1B060"/>
    <w:rsid w:val="0BD46B69"/>
    <w:rsid w:val="0BD5F647"/>
    <w:rsid w:val="0BE2747A"/>
    <w:rsid w:val="0BE2B6D9"/>
    <w:rsid w:val="0BE7A201"/>
    <w:rsid w:val="0BE94668"/>
    <w:rsid w:val="0BEA31B7"/>
    <w:rsid w:val="0BEB0262"/>
    <w:rsid w:val="0BEBEEFC"/>
    <w:rsid w:val="0BED0C92"/>
    <w:rsid w:val="0BEECDA7"/>
    <w:rsid w:val="0BEF0213"/>
    <w:rsid w:val="0BF294B4"/>
    <w:rsid w:val="0BF4A5D2"/>
    <w:rsid w:val="0BF7EFD1"/>
    <w:rsid w:val="0BFAFF03"/>
    <w:rsid w:val="0BFE7335"/>
    <w:rsid w:val="0C02798D"/>
    <w:rsid w:val="0C02EAFB"/>
    <w:rsid w:val="0C03978E"/>
    <w:rsid w:val="0C0574D5"/>
    <w:rsid w:val="0C095C32"/>
    <w:rsid w:val="0C13CDF3"/>
    <w:rsid w:val="0C1EA039"/>
    <w:rsid w:val="0C1EC10C"/>
    <w:rsid w:val="0C1F85E3"/>
    <w:rsid w:val="0C20C05E"/>
    <w:rsid w:val="0C233691"/>
    <w:rsid w:val="0C2716FD"/>
    <w:rsid w:val="0C27B9B7"/>
    <w:rsid w:val="0C2AA0B1"/>
    <w:rsid w:val="0C2D4D9D"/>
    <w:rsid w:val="0C309FCC"/>
    <w:rsid w:val="0C3128B1"/>
    <w:rsid w:val="0C324E2E"/>
    <w:rsid w:val="0C34CA0F"/>
    <w:rsid w:val="0C355B52"/>
    <w:rsid w:val="0C36E93E"/>
    <w:rsid w:val="0C37BBC9"/>
    <w:rsid w:val="0C3844F5"/>
    <w:rsid w:val="0C3A2675"/>
    <w:rsid w:val="0C406193"/>
    <w:rsid w:val="0C4E1452"/>
    <w:rsid w:val="0C569FB4"/>
    <w:rsid w:val="0C598857"/>
    <w:rsid w:val="0C5AE678"/>
    <w:rsid w:val="0C5CF4F1"/>
    <w:rsid w:val="0C5FB42A"/>
    <w:rsid w:val="0C64F80A"/>
    <w:rsid w:val="0C692288"/>
    <w:rsid w:val="0C698EB8"/>
    <w:rsid w:val="0C6A9F2C"/>
    <w:rsid w:val="0C77911E"/>
    <w:rsid w:val="0C7FDFB7"/>
    <w:rsid w:val="0C80AD63"/>
    <w:rsid w:val="0C829429"/>
    <w:rsid w:val="0C874BE6"/>
    <w:rsid w:val="0C8A5F98"/>
    <w:rsid w:val="0C8E1950"/>
    <w:rsid w:val="0C924FB6"/>
    <w:rsid w:val="0C939104"/>
    <w:rsid w:val="0C95621F"/>
    <w:rsid w:val="0C9AC1F4"/>
    <w:rsid w:val="0C9E239F"/>
    <w:rsid w:val="0CA32036"/>
    <w:rsid w:val="0CB085D6"/>
    <w:rsid w:val="0CB480E2"/>
    <w:rsid w:val="0CB77476"/>
    <w:rsid w:val="0CBAA13F"/>
    <w:rsid w:val="0CBB89D1"/>
    <w:rsid w:val="0CC38B97"/>
    <w:rsid w:val="0CC46E61"/>
    <w:rsid w:val="0CC6BBC8"/>
    <w:rsid w:val="0CCAD72D"/>
    <w:rsid w:val="0CCC8185"/>
    <w:rsid w:val="0CD2661E"/>
    <w:rsid w:val="0CD424F5"/>
    <w:rsid w:val="0CDA0E80"/>
    <w:rsid w:val="0CDAA8B6"/>
    <w:rsid w:val="0CE082C8"/>
    <w:rsid w:val="0CE24745"/>
    <w:rsid w:val="0CE32B7A"/>
    <w:rsid w:val="0CE4177E"/>
    <w:rsid w:val="0CE7AAB0"/>
    <w:rsid w:val="0CE7E18D"/>
    <w:rsid w:val="0CF235A8"/>
    <w:rsid w:val="0CFAE899"/>
    <w:rsid w:val="0CFCD49E"/>
    <w:rsid w:val="0CFCD840"/>
    <w:rsid w:val="0D00FF80"/>
    <w:rsid w:val="0D01F452"/>
    <w:rsid w:val="0D057073"/>
    <w:rsid w:val="0D09CB4B"/>
    <w:rsid w:val="0D09DD9E"/>
    <w:rsid w:val="0D0AEEA9"/>
    <w:rsid w:val="0D0F35AC"/>
    <w:rsid w:val="0D1B952B"/>
    <w:rsid w:val="0D231B16"/>
    <w:rsid w:val="0D2838DA"/>
    <w:rsid w:val="0D29D78C"/>
    <w:rsid w:val="0D2BB582"/>
    <w:rsid w:val="0D2D2258"/>
    <w:rsid w:val="0D2F6D11"/>
    <w:rsid w:val="0D3447B5"/>
    <w:rsid w:val="0D345AA8"/>
    <w:rsid w:val="0D347941"/>
    <w:rsid w:val="0D34D5D2"/>
    <w:rsid w:val="0D352F5B"/>
    <w:rsid w:val="0D370F61"/>
    <w:rsid w:val="0D37DF3B"/>
    <w:rsid w:val="0D3CB10D"/>
    <w:rsid w:val="0D3F4CD3"/>
    <w:rsid w:val="0D417B46"/>
    <w:rsid w:val="0D467E5D"/>
    <w:rsid w:val="0D46CB12"/>
    <w:rsid w:val="0D46DABE"/>
    <w:rsid w:val="0D4C6C3B"/>
    <w:rsid w:val="0D4D0DE1"/>
    <w:rsid w:val="0D5017A5"/>
    <w:rsid w:val="0D50569F"/>
    <w:rsid w:val="0D514FB9"/>
    <w:rsid w:val="0D51B38C"/>
    <w:rsid w:val="0D541C58"/>
    <w:rsid w:val="0D54E88A"/>
    <w:rsid w:val="0D56F38C"/>
    <w:rsid w:val="0D57B34B"/>
    <w:rsid w:val="0D5E3504"/>
    <w:rsid w:val="0D627DFA"/>
    <w:rsid w:val="0D660608"/>
    <w:rsid w:val="0D672ECC"/>
    <w:rsid w:val="0D6F44ED"/>
    <w:rsid w:val="0D7147FD"/>
    <w:rsid w:val="0D7362CB"/>
    <w:rsid w:val="0D74E348"/>
    <w:rsid w:val="0D76B457"/>
    <w:rsid w:val="0D77CE9C"/>
    <w:rsid w:val="0D791BC7"/>
    <w:rsid w:val="0D7C5180"/>
    <w:rsid w:val="0D7E18B8"/>
    <w:rsid w:val="0D7F48CC"/>
    <w:rsid w:val="0D811449"/>
    <w:rsid w:val="0D827BB2"/>
    <w:rsid w:val="0D839BFE"/>
    <w:rsid w:val="0D86F683"/>
    <w:rsid w:val="0D8A656D"/>
    <w:rsid w:val="0D8C5E7D"/>
    <w:rsid w:val="0D8C9A8D"/>
    <w:rsid w:val="0D908669"/>
    <w:rsid w:val="0D963012"/>
    <w:rsid w:val="0D971403"/>
    <w:rsid w:val="0D999BCA"/>
    <w:rsid w:val="0D9D965C"/>
    <w:rsid w:val="0DA0D791"/>
    <w:rsid w:val="0DA2BF9F"/>
    <w:rsid w:val="0DA39E07"/>
    <w:rsid w:val="0DA40980"/>
    <w:rsid w:val="0DA46A61"/>
    <w:rsid w:val="0DA5AC52"/>
    <w:rsid w:val="0DA990CD"/>
    <w:rsid w:val="0DAF9A50"/>
    <w:rsid w:val="0DB0FF06"/>
    <w:rsid w:val="0DB3DA31"/>
    <w:rsid w:val="0DB453E8"/>
    <w:rsid w:val="0DB5A77E"/>
    <w:rsid w:val="0DB7D74D"/>
    <w:rsid w:val="0DB7D8C4"/>
    <w:rsid w:val="0DB8213A"/>
    <w:rsid w:val="0DBCE0AF"/>
    <w:rsid w:val="0DC311EB"/>
    <w:rsid w:val="0DC473DC"/>
    <w:rsid w:val="0DC6E7A8"/>
    <w:rsid w:val="0DC7453C"/>
    <w:rsid w:val="0DC7EBEE"/>
    <w:rsid w:val="0DC906BE"/>
    <w:rsid w:val="0DCDDDED"/>
    <w:rsid w:val="0DCEA8DA"/>
    <w:rsid w:val="0DD34906"/>
    <w:rsid w:val="0DDC6E95"/>
    <w:rsid w:val="0DDC7158"/>
    <w:rsid w:val="0DE17968"/>
    <w:rsid w:val="0DE5AF30"/>
    <w:rsid w:val="0DEDC35C"/>
    <w:rsid w:val="0DEE72C3"/>
    <w:rsid w:val="0DEEBA98"/>
    <w:rsid w:val="0DF2134C"/>
    <w:rsid w:val="0DF81A70"/>
    <w:rsid w:val="0DFB670A"/>
    <w:rsid w:val="0DFBCBF4"/>
    <w:rsid w:val="0DFF6FD6"/>
    <w:rsid w:val="0E021428"/>
    <w:rsid w:val="0E023B6C"/>
    <w:rsid w:val="0E05F43D"/>
    <w:rsid w:val="0E076113"/>
    <w:rsid w:val="0E0AFEEE"/>
    <w:rsid w:val="0E0C2597"/>
    <w:rsid w:val="0E0DFCBF"/>
    <w:rsid w:val="0E0F96C2"/>
    <w:rsid w:val="0E109AD2"/>
    <w:rsid w:val="0E1177AA"/>
    <w:rsid w:val="0E12B4BF"/>
    <w:rsid w:val="0E12B8C2"/>
    <w:rsid w:val="0E18C729"/>
    <w:rsid w:val="0E1B944D"/>
    <w:rsid w:val="0E1F30BD"/>
    <w:rsid w:val="0E254934"/>
    <w:rsid w:val="0E2EC4DD"/>
    <w:rsid w:val="0E30AD8A"/>
    <w:rsid w:val="0E34C1D7"/>
    <w:rsid w:val="0E388025"/>
    <w:rsid w:val="0E3A6322"/>
    <w:rsid w:val="0E3B822F"/>
    <w:rsid w:val="0E3C040C"/>
    <w:rsid w:val="0E3CB5F8"/>
    <w:rsid w:val="0E3DC2A9"/>
    <w:rsid w:val="0E3E287C"/>
    <w:rsid w:val="0E3F6191"/>
    <w:rsid w:val="0E42A26F"/>
    <w:rsid w:val="0E456532"/>
    <w:rsid w:val="0E46D483"/>
    <w:rsid w:val="0E48C65E"/>
    <w:rsid w:val="0E4A39C0"/>
    <w:rsid w:val="0E4DA39E"/>
    <w:rsid w:val="0E4FCACC"/>
    <w:rsid w:val="0E50DCDA"/>
    <w:rsid w:val="0E53F2D3"/>
    <w:rsid w:val="0E5458B9"/>
    <w:rsid w:val="0E55C1B8"/>
    <w:rsid w:val="0E56EDD4"/>
    <w:rsid w:val="0E5803CF"/>
    <w:rsid w:val="0E59ADCA"/>
    <w:rsid w:val="0E5C1137"/>
    <w:rsid w:val="0E5D8110"/>
    <w:rsid w:val="0E602AB2"/>
    <w:rsid w:val="0E612D82"/>
    <w:rsid w:val="0E62B85A"/>
    <w:rsid w:val="0E62E4BC"/>
    <w:rsid w:val="0E64CCC7"/>
    <w:rsid w:val="0E679886"/>
    <w:rsid w:val="0E67B22F"/>
    <w:rsid w:val="0E690F56"/>
    <w:rsid w:val="0E6974FE"/>
    <w:rsid w:val="0E69EDEC"/>
    <w:rsid w:val="0E6D1EB1"/>
    <w:rsid w:val="0E7033EE"/>
    <w:rsid w:val="0E71B223"/>
    <w:rsid w:val="0E728E27"/>
    <w:rsid w:val="0E73A71F"/>
    <w:rsid w:val="0E76CCE8"/>
    <w:rsid w:val="0E79DDEE"/>
    <w:rsid w:val="0E7ACD4F"/>
    <w:rsid w:val="0E81AAAB"/>
    <w:rsid w:val="0E88DCE0"/>
    <w:rsid w:val="0E8A821A"/>
    <w:rsid w:val="0E8ABC7C"/>
    <w:rsid w:val="0E8B9179"/>
    <w:rsid w:val="0E8E9D3F"/>
    <w:rsid w:val="0E920F9E"/>
    <w:rsid w:val="0E944013"/>
    <w:rsid w:val="0E95B24E"/>
    <w:rsid w:val="0E9AA140"/>
    <w:rsid w:val="0E9B6D53"/>
    <w:rsid w:val="0E9F11ED"/>
    <w:rsid w:val="0E9FB223"/>
    <w:rsid w:val="0EA18A30"/>
    <w:rsid w:val="0EAB60EE"/>
    <w:rsid w:val="0EACBE62"/>
    <w:rsid w:val="0EB10702"/>
    <w:rsid w:val="0EB75A4B"/>
    <w:rsid w:val="0EB7816A"/>
    <w:rsid w:val="0EBA952A"/>
    <w:rsid w:val="0EBBF362"/>
    <w:rsid w:val="0EBC6157"/>
    <w:rsid w:val="0EC1D1FF"/>
    <w:rsid w:val="0ECAA30F"/>
    <w:rsid w:val="0ECBFFD5"/>
    <w:rsid w:val="0ECEB557"/>
    <w:rsid w:val="0ED30D42"/>
    <w:rsid w:val="0EE9DE37"/>
    <w:rsid w:val="0EEBEBAE"/>
    <w:rsid w:val="0EEEA4BD"/>
    <w:rsid w:val="0EF54888"/>
    <w:rsid w:val="0EF77FB8"/>
    <w:rsid w:val="0EFD6138"/>
    <w:rsid w:val="0EFF0C79"/>
    <w:rsid w:val="0F06534B"/>
    <w:rsid w:val="0F0AB84D"/>
    <w:rsid w:val="0F10C81F"/>
    <w:rsid w:val="0F153623"/>
    <w:rsid w:val="0F188515"/>
    <w:rsid w:val="0F1DF0AF"/>
    <w:rsid w:val="0F1EC0B4"/>
    <w:rsid w:val="0F24AD54"/>
    <w:rsid w:val="0F25F33E"/>
    <w:rsid w:val="0F2681DD"/>
    <w:rsid w:val="0F26EDED"/>
    <w:rsid w:val="0F28506F"/>
    <w:rsid w:val="0F28544F"/>
    <w:rsid w:val="0F2C5ACF"/>
    <w:rsid w:val="0F2CBDAB"/>
    <w:rsid w:val="0F30C468"/>
    <w:rsid w:val="0F31329F"/>
    <w:rsid w:val="0F333600"/>
    <w:rsid w:val="0F358049"/>
    <w:rsid w:val="0F37BEA9"/>
    <w:rsid w:val="0F391C03"/>
    <w:rsid w:val="0F3BC183"/>
    <w:rsid w:val="0F3BF937"/>
    <w:rsid w:val="0F3F8D62"/>
    <w:rsid w:val="0F3F953D"/>
    <w:rsid w:val="0F458617"/>
    <w:rsid w:val="0F4944F2"/>
    <w:rsid w:val="0F494635"/>
    <w:rsid w:val="0F49B789"/>
    <w:rsid w:val="0F4C87B1"/>
    <w:rsid w:val="0F53F19B"/>
    <w:rsid w:val="0F552FD2"/>
    <w:rsid w:val="0F593CE6"/>
    <w:rsid w:val="0F5DD02C"/>
    <w:rsid w:val="0F5E03AC"/>
    <w:rsid w:val="0F5F2E69"/>
    <w:rsid w:val="0F616681"/>
    <w:rsid w:val="0F616CF6"/>
    <w:rsid w:val="0F6286E6"/>
    <w:rsid w:val="0F63095A"/>
    <w:rsid w:val="0F64CFF9"/>
    <w:rsid w:val="0F67337A"/>
    <w:rsid w:val="0F6768F0"/>
    <w:rsid w:val="0F6BE708"/>
    <w:rsid w:val="0F6CA2D5"/>
    <w:rsid w:val="0F6CFC14"/>
    <w:rsid w:val="0F6D74BA"/>
    <w:rsid w:val="0F6EC92F"/>
    <w:rsid w:val="0F6F8FF4"/>
    <w:rsid w:val="0F7A732F"/>
    <w:rsid w:val="0F7AC424"/>
    <w:rsid w:val="0F7F54A7"/>
    <w:rsid w:val="0F7FA918"/>
    <w:rsid w:val="0F86C4FD"/>
    <w:rsid w:val="0F90E787"/>
    <w:rsid w:val="0F922342"/>
    <w:rsid w:val="0F958780"/>
    <w:rsid w:val="0F96E094"/>
    <w:rsid w:val="0F979C55"/>
    <w:rsid w:val="0FA10CCC"/>
    <w:rsid w:val="0FA3F525"/>
    <w:rsid w:val="0FA46674"/>
    <w:rsid w:val="0FAE8238"/>
    <w:rsid w:val="0FAF3ABA"/>
    <w:rsid w:val="0FAFF833"/>
    <w:rsid w:val="0FB05491"/>
    <w:rsid w:val="0FB31E62"/>
    <w:rsid w:val="0FB45328"/>
    <w:rsid w:val="0FB7FDD7"/>
    <w:rsid w:val="0FBC68A0"/>
    <w:rsid w:val="0FBFBCCB"/>
    <w:rsid w:val="0FC2159B"/>
    <w:rsid w:val="0FC38035"/>
    <w:rsid w:val="0FC5971B"/>
    <w:rsid w:val="0FC7AD7D"/>
    <w:rsid w:val="0FCC072C"/>
    <w:rsid w:val="0FD024C7"/>
    <w:rsid w:val="0FD224DB"/>
    <w:rsid w:val="0FD91521"/>
    <w:rsid w:val="0FDFF613"/>
    <w:rsid w:val="0FE0A377"/>
    <w:rsid w:val="0FE1CFF5"/>
    <w:rsid w:val="0FE277FA"/>
    <w:rsid w:val="0FE4D4CB"/>
    <w:rsid w:val="0FE8EC28"/>
    <w:rsid w:val="0FF379D2"/>
    <w:rsid w:val="0FF3D430"/>
    <w:rsid w:val="0FF720C7"/>
    <w:rsid w:val="0FF8A82D"/>
    <w:rsid w:val="0FFB0DC2"/>
    <w:rsid w:val="0FFCB192"/>
    <w:rsid w:val="0FFE6068"/>
    <w:rsid w:val="10006BB0"/>
    <w:rsid w:val="10038274"/>
    <w:rsid w:val="1003EF99"/>
    <w:rsid w:val="1005B455"/>
    <w:rsid w:val="100DF489"/>
    <w:rsid w:val="1015D6AE"/>
    <w:rsid w:val="1015EC4A"/>
    <w:rsid w:val="101F772C"/>
    <w:rsid w:val="10223872"/>
    <w:rsid w:val="1022D272"/>
    <w:rsid w:val="1029DA2C"/>
    <w:rsid w:val="102FD729"/>
    <w:rsid w:val="10318F5C"/>
    <w:rsid w:val="1032576F"/>
    <w:rsid w:val="10395A8A"/>
    <w:rsid w:val="103AF9D5"/>
    <w:rsid w:val="103D7C82"/>
    <w:rsid w:val="103EE9A7"/>
    <w:rsid w:val="103F5F18"/>
    <w:rsid w:val="10404C72"/>
    <w:rsid w:val="104053C8"/>
    <w:rsid w:val="1041E73C"/>
    <w:rsid w:val="1042A169"/>
    <w:rsid w:val="1042C49D"/>
    <w:rsid w:val="1046232A"/>
    <w:rsid w:val="104CB82A"/>
    <w:rsid w:val="104D0969"/>
    <w:rsid w:val="104E3C47"/>
    <w:rsid w:val="104FB753"/>
    <w:rsid w:val="105306B9"/>
    <w:rsid w:val="1055EBF1"/>
    <w:rsid w:val="105C69B2"/>
    <w:rsid w:val="105F687C"/>
    <w:rsid w:val="105FA04D"/>
    <w:rsid w:val="10633E2F"/>
    <w:rsid w:val="10664126"/>
    <w:rsid w:val="1066530D"/>
    <w:rsid w:val="10684CAF"/>
    <w:rsid w:val="10686471"/>
    <w:rsid w:val="10691DE7"/>
    <w:rsid w:val="106D8591"/>
    <w:rsid w:val="10715D93"/>
    <w:rsid w:val="10739DD2"/>
    <w:rsid w:val="107A4C6B"/>
    <w:rsid w:val="107D1DE6"/>
    <w:rsid w:val="107E5D4A"/>
    <w:rsid w:val="107ED7AB"/>
    <w:rsid w:val="10842963"/>
    <w:rsid w:val="108A0381"/>
    <w:rsid w:val="10939D54"/>
    <w:rsid w:val="10999764"/>
    <w:rsid w:val="109A41DD"/>
    <w:rsid w:val="109E1137"/>
    <w:rsid w:val="109F5656"/>
    <w:rsid w:val="10A16183"/>
    <w:rsid w:val="10A4A09B"/>
    <w:rsid w:val="10A68A28"/>
    <w:rsid w:val="10A767C1"/>
    <w:rsid w:val="10AAEFCD"/>
    <w:rsid w:val="10B48D54"/>
    <w:rsid w:val="10B69F12"/>
    <w:rsid w:val="10B7258D"/>
    <w:rsid w:val="10B91973"/>
    <w:rsid w:val="10BC29CE"/>
    <w:rsid w:val="10BE0C24"/>
    <w:rsid w:val="10BF7BFB"/>
    <w:rsid w:val="10C11A9A"/>
    <w:rsid w:val="10C453C2"/>
    <w:rsid w:val="10C5B50A"/>
    <w:rsid w:val="10CC31FB"/>
    <w:rsid w:val="10CF1946"/>
    <w:rsid w:val="10CFBEA2"/>
    <w:rsid w:val="10CFFB90"/>
    <w:rsid w:val="10D0CE0E"/>
    <w:rsid w:val="10D34FAB"/>
    <w:rsid w:val="10D89302"/>
    <w:rsid w:val="10DA2ED3"/>
    <w:rsid w:val="10E3C754"/>
    <w:rsid w:val="10E3FB95"/>
    <w:rsid w:val="10EAAFF6"/>
    <w:rsid w:val="10EACD8E"/>
    <w:rsid w:val="10EC5F50"/>
    <w:rsid w:val="10EF85DF"/>
    <w:rsid w:val="10F59962"/>
    <w:rsid w:val="10F5FE6A"/>
    <w:rsid w:val="10F88D17"/>
    <w:rsid w:val="10F89B6B"/>
    <w:rsid w:val="10F9109E"/>
    <w:rsid w:val="10F931F6"/>
    <w:rsid w:val="10FCB8E6"/>
    <w:rsid w:val="11013A8C"/>
    <w:rsid w:val="11013D60"/>
    <w:rsid w:val="110E162E"/>
    <w:rsid w:val="110F4C56"/>
    <w:rsid w:val="111020B0"/>
    <w:rsid w:val="11102306"/>
    <w:rsid w:val="111DA98F"/>
    <w:rsid w:val="1125FC54"/>
    <w:rsid w:val="112652B4"/>
    <w:rsid w:val="112756E6"/>
    <w:rsid w:val="11297B79"/>
    <w:rsid w:val="11298939"/>
    <w:rsid w:val="112E325C"/>
    <w:rsid w:val="11320ABB"/>
    <w:rsid w:val="1133DD49"/>
    <w:rsid w:val="113435DD"/>
    <w:rsid w:val="113D665D"/>
    <w:rsid w:val="11408EF1"/>
    <w:rsid w:val="1140FF39"/>
    <w:rsid w:val="1144AA17"/>
    <w:rsid w:val="114A6A60"/>
    <w:rsid w:val="114B0B1B"/>
    <w:rsid w:val="114D52CC"/>
    <w:rsid w:val="1151C099"/>
    <w:rsid w:val="1152017F"/>
    <w:rsid w:val="1155339D"/>
    <w:rsid w:val="1158F7CC"/>
    <w:rsid w:val="115B2295"/>
    <w:rsid w:val="1161DBCC"/>
    <w:rsid w:val="116307E3"/>
    <w:rsid w:val="11645DC7"/>
    <w:rsid w:val="11654888"/>
    <w:rsid w:val="1165D2A5"/>
    <w:rsid w:val="1169B574"/>
    <w:rsid w:val="1170D518"/>
    <w:rsid w:val="1170F550"/>
    <w:rsid w:val="1174E066"/>
    <w:rsid w:val="1174F631"/>
    <w:rsid w:val="117ACB91"/>
    <w:rsid w:val="117EE754"/>
    <w:rsid w:val="1186B01D"/>
    <w:rsid w:val="1189A510"/>
    <w:rsid w:val="118CA241"/>
    <w:rsid w:val="11905D12"/>
    <w:rsid w:val="1191D2BD"/>
    <w:rsid w:val="119292B0"/>
    <w:rsid w:val="1197FDBF"/>
    <w:rsid w:val="119C2C76"/>
    <w:rsid w:val="119C46CD"/>
    <w:rsid w:val="119C887F"/>
    <w:rsid w:val="119D6860"/>
    <w:rsid w:val="11A6E8F9"/>
    <w:rsid w:val="11AD3E11"/>
    <w:rsid w:val="11AD92CC"/>
    <w:rsid w:val="11AEB119"/>
    <w:rsid w:val="11B0A059"/>
    <w:rsid w:val="11B2656C"/>
    <w:rsid w:val="11B37588"/>
    <w:rsid w:val="11B50DA9"/>
    <w:rsid w:val="11B7B299"/>
    <w:rsid w:val="11BBB848"/>
    <w:rsid w:val="11BE0869"/>
    <w:rsid w:val="11C20010"/>
    <w:rsid w:val="11C6972B"/>
    <w:rsid w:val="11D7D195"/>
    <w:rsid w:val="11DFC18D"/>
    <w:rsid w:val="11E346A1"/>
    <w:rsid w:val="11E3BCB6"/>
    <w:rsid w:val="11EA1552"/>
    <w:rsid w:val="11EC7D42"/>
    <w:rsid w:val="11F427E0"/>
    <w:rsid w:val="11F95878"/>
    <w:rsid w:val="11FAEA99"/>
    <w:rsid w:val="12004E94"/>
    <w:rsid w:val="1205AE8D"/>
    <w:rsid w:val="12097C1B"/>
    <w:rsid w:val="120A63E9"/>
    <w:rsid w:val="120B3589"/>
    <w:rsid w:val="120C6B35"/>
    <w:rsid w:val="120CB102"/>
    <w:rsid w:val="120CF48D"/>
    <w:rsid w:val="1211FE05"/>
    <w:rsid w:val="1214E1FF"/>
    <w:rsid w:val="12180DB9"/>
    <w:rsid w:val="121C22D5"/>
    <w:rsid w:val="121C6E7B"/>
    <w:rsid w:val="12212E93"/>
    <w:rsid w:val="122218F6"/>
    <w:rsid w:val="122675F6"/>
    <w:rsid w:val="122744B3"/>
    <w:rsid w:val="122A3F4E"/>
    <w:rsid w:val="122CBA45"/>
    <w:rsid w:val="122E6A5E"/>
    <w:rsid w:val="122FD06B"/>
    <w:rsid w:val="1233D454"/>
    <w:rsid w:val="123852E1"/>
    <w:rsid w:val="124506DB"/>
    <w:rsid w:val="12452FB1"/>
    <w:rsid w:val="12463EAC"/>
    <w:rsid w:val="1246A22C"/>
    <w:rsid w:val="12483970"/>
    <w:rsid w:val="1253F0CE"/>
    <w:rsid w:val="1255ECD5"/>
    <w:rsid w:val="125704A0"/>
    <w:rsid w:val="12579E75"/>
    <w:rsid w:val="125A7D07"/>
    <w:rsid w:val="125B9ED0"/>
    <w:rsid w:val="125C2FA2"/>
    <w:rsid w:val="125F2C24"/>
    <w:rsid w:val="126173B5"/>
    <w:rsid w:val="1262D138"/>
    <w:rsid w:val="1263EEDF"/>
    <w:rsid w:val="126520F1"/>
    <w:rsid w:val="12660FAC"/>
    <w:rsid w:val="1268CFB1"/>
    <w:rsid w:val="12693C2E"/>
    <w:rsid w:val="126995B3"/>
    <w:rsid w:val="126BAF8C"/>
    <w:rsid w:val="126EFD9C"/>
    <w:rsid w:val="1273E671"/>
    <w:rsid w:val="12789708"/>
    <w:rsid w:val="127D2636"/>
    <w:rsid w:val="127E6F23"/>
    <w:rsid w:val="12821AF5"/>
    <w:rsid w:val="12853584"/>
    <w:rsid w:val="12889439"/>
    <w:rsid w:val="1290BC6A"/>
    <w:rsid w:val="12988FE2"/>
    <w:rsid w:val="129B82EF"/>
    <w:rsid w:val="12A20E45"/>
    <w:rsid w:val="12A45905"/>
    <w:rsid w:val="12A5A19E"/>
    <w:rsid w:val="12A5F304"/>
    <w:rsid w:val="12B04CAC"/>
    <w:rsid w:val="12B88D03"/>
    <w:rsid w:val="12B8CE64"/>
    <w:rsid w:val="12B95D4A"/>
    <w:rsid w:val="12BBC6D8"/>
    <w:rsid w:val="12BC26E8"/>
    <w:rsid w:val="12C3C585"/>
    <w:rsid w:val="12C576CE"/>
    <w:rsid w:val="12C69A26"/>
    <w:rsid w:val="12C8BCC7"/>
    <w:rsid w:val="12CCEA87"/>
    <w:rsid w:val="12D05638"/>
    <w:rsid w:val="12D1DFCB"/>
    <w:rsid w:val="12D414C2"/>
    <w:rsid w:val="12D447EA"/>
    <w:rsid w:val="12D5621A"/>
    <w:rsid w:val="12DA8416"/>
    <w:rsid w:val="12DCD796"/>
    <w:rsid w:val="12DFC4BE"/>
    <w:rsid w:val="12E402B7"/>
    <w:rsid w:val="12E4D800"/>
    <w:rsid w:val="12F0DFA5"/>
    <w:rsid w:val="12F8B13B"/>
    <w:rsid w:val="12FA044F"/>
    <w:rsid w:val="12FC081A"/>
    <w:rsid w:val="12FCCA29"/>
    <w:rsid w:val="12FF86D2"/>
    <w:rsid w:val="12FF8D84"/>
    <w:rsid w:val="1300079D"/>
    <w:rsid w:val="13020052"/>
    <w:rsid w:val="13038FF6"/>
    <w:rsid w:val="13097774"/>
    <w:rsid w:val="130C5637"/>
    <w:rsid w:val="130E5C3F"/>
    <w:rsid w:val="13105913"/>
    <w:rsid w:val="1310E045"/>
    <w:rsid w:val="13131A8A"/>
    <w:rsid w:val="1314BCFB"/>
    <w:rsid w:val="13175066"/>
    <w:rsid w:val="131A0567"/>
    <w:rsid w:val="131BB335"/>
    <w:rsid w:val="131E9FFA"/>
    <w:rsid w:val="1320758A"/>
    <w:rsid w:val="132423F0"/>
    <w:rsid w:val="132737F8"/>
    <w:rsid w:val="1328E0AF"/>
    <w:rsid w:val="13299325"/>
    <w:rsid w:val="132C4F04"/>
    <w:rsid w:val="132C9983"/>
    <w:rsid w:val="1331F9E3"/>
    <w:rsid w:val="133A9D71"/>
    <w:rsid w:val="1342A661"/>
    <w:rsid w:val="1342EF04"/>
    <w:rsid w:val="134724F0"/>
    <w:rsid w:val="1349A93E"/>
    <w:rsid w:val="134B68CB"/>
    <w:rsid w:val="134D5DB9"/>
    <w:rsid w:val="13505463"/>
    <w:rsid w:val="13532A4B"/>
    <w:rsid w:val="1353BF57"/>
    <w:rsid w:val="13569174"/>
    <w:rsid w:val="135D00D9"/>
    <w:rsid w:val="135F83D5"/>
    <w:rsid w:val="135F924A"/>
    <w:rsid w:val="13620E62"/>
    <w:rsid w:val="136A4509"/>
    <w:rsid w:val="136D63C7"/>
    <w:rsid w:val="136E288B"/>
    <w:rsid w:val="13723EA4"/>
    <w:rsid w:val="1375CF2F"/>
    <w:rsid w:val="13778F5C"/>
    <w:rsid w:val="1378059A"/>
    <w:rsid w:val="137FD2A2"/>
    <w:rsid w:val="13820392"/>
    <w:rsid w:val="13832DDA"/>
    <w:rsid w:val="13869934"/>
    <w:rsid w:val="13884488"/>
    <w:rsid w:val="138A095F"/>
    <w:rsid w:val="138BCE7C"/>
    <w:rsid w:val="138C1B74"/>
    <w:rsid w:val="138E1471"/>
    <w:rsid w:val="1392E285"/>
    <w:rsid w:val="139B743D"/>
    <w:rsid w:val="139E124C"/>
    <w:rsid w:val="139F5CFB"/>
    <w:rsid w:val="139FAF01"/>
    <w:rsid w:val="13A60B33"/>
    <w:rsid w:val="13A84838"/>
    <w:rsid w:val="13AB0321"/>
    <w:rsid w:val="13B078E7"/>
    <w:rsid w:val="13B079B8"/>
    <w:rsid w:val="13B25673"/>
    <w:rsid w:val="13B3856B"/>
    <w:rsid w:val="13B3F6C6"/>
    <w:rsid w:val="13B82511"/>
    <w:rsid w:val="13BB66A4"/>
    <w:rsid w:val="13BF2579"/>
    <w:rsid w:val="13C21DC7"/>
    <w:rsid w:val="13C4F12F"/>
    <w:rsid w:val="13C5B2C1"/>
    <w:rsid w:val="13C63A0B"/>
    <w:rsid w:val="13C75D00"/>
    <w:rsid w:val="13CA61AE"/>
    <w:rsid w:val="13CCFBF9"/>
    <w:rsid w:val="13CEA35A"/>
    <w:rsid w:val="13D048CD"/>
    <w:rsid w:val="13D29FFB"/>
    <w:rsid w:val="13D2FC12"/>
    <w:rsid w:val="13D48B05"/>
    <w:rsid w:val="13D7CD29"/>
    <w:rsid w:val="13D97951"/>
    <w:rsid w:val="13DD80E1"/>
    <w:rsid w:val="13E10012"/>
    <w:rsid w:val="13F476F5"/>
    <w:rsid w:val="13F716FA"/>
    <w:rsid w:val="13F848E3"/>
    <w:rsid w:val="13FA7A25"/>
    <w:rsid w:val="14035AF3"/>
    <w:rsid w:val="14050E5D"/>
    <w:rsid w:val="1405466B"/>
    <w:rsid w:val="1405FBB6"/>
    <w:rsid w:val="140FD6A4"/>
    <w:rsid w:val="141C5603"/>
    <w:rsid w:val="141D6AFE"/>
    <w:rsid w:val="141DC34A"/>
    <w:rsid w:val="141EFD3E"/>
    <w:rsid w:val="14247D57"/>
    <w:rsid w:val="142515DE"/>
    <w:rsid w:val="14252231"/>
    <w:rsid w:val="142D466A"/>
    <w:rsid w:val="14317ECE"/>
    <w:rsid w:val="14329EAD"/>
    <w:rsid w:val="1434477D"/>
    <w:rsid w:val="1435330F"/>
    <w:rsid w:val="1435DA8E"/>
    <w:rsid w:val="143E29DF"/>
    <w:rsid w:val="143E2FE8"/>
    <w:rsid w:val="14404C10"/>
    <w:rsid w:val="1441F6FF"/>
    <w:rsid w:val="14468D97"/>
    <w:rsid w:val="144E1119"/>
    <w:rsid w:val="144F7339"/>
    <w:rsid w:val="14516064"/>
    <w:rsid w:val="14517FFC"/>
    <w:rsid w:val="14528159"/>
    <w:rsid w:val="1455FC31"/>
    <w:rsid w:val="1459F407"/>
    <w:rsid w:val="145CCBA5"/>
    <w:rsid w:val="145D314B"/>
    <w:rsid w:val="1467BD28"/>
    <w:rsid w:val="14694904"/>
    <w:rsid w:val="146DE937"/>
    <w:rsid w:val="146EC92A"/>
    <w:rsid w:val="1471476D"/>
    <w:rsid w:val="1477645C"/>
    <w:rsid w:val="1477FA51"/>
    <w:rsid w:val="147928E3"/>
    <w:rsid w:val="1481340D"/>
    <w:rsid w:val="14815596"/>
    <w:rsid w:val="148C626A"/>
    <w:rsid w:val="148C95A6"/>
    <w:rsid w:val="1494F751"/>
    <w:rsid w:val="1495C106"/>
    <w:rsid w:val="149FD886"/>
    <w:rsid w:val="14A472C7"/>
    <w:rsid w:val="14A4ED61"/>
    <w:rsid w:val="14A5218B"/>
    <w:rsid w:val="14A52D42"/>
    <w:rsid w:val="14A91A8C"/>
    <w:rsid w:val="14AD0A55"/>
    <w:rsid w:val="14ADA2F0"/>
    <w:rsid w:val="14AE8D4A"/>
    <w:rsid w:val="14AEE20E"/>
    <w:rsid w:val="14AF029A"/>
    <w:rsid w:val="14B59816"/>
    <w:rsid w:val="14B74922"/>
    <w:rsid w:val="14BAB80A"/>
    <w:rsid w:val="14BB46DA"/>
    <w:rsid w:val="14C09AE4"/>
    <w:rsid w:val="14C3F5FA"/>
    <w:rsid w:val="14C59511"/>
    <w:rsid w:val="14C80793"/>
    <w:rsid w:val="14CB92AE"/>
    <w:rsid w:val="14CCC294"/>
    <w:rsid w:val="14D61C43"/>
    <w:rsid w:val="14D83D5E"/>
    <w:rsid w:val="14DD635B"/>
    <w:rsid w:val="14DE0320"/>
    <w:rsid w:val="14DE1757"/>
    <w:rsid w:val="14DE2469"/>
    <w:rsid w:val="14EA09F1"/>
    <w:rsid w:val="14F85BEF"/>
    <w:rsid w:val="14FCA747"/>
    <w:rsid w:val="14FCC6AB"/>
    <w:rsid w:val="14FE8B84"/>
    <w:rsid w:val="14FFFE3F"/>
    <w:rsid w:val="15006A42"/>
    <w:rsid w:val="15076ED8"/>
    <w:rsid w:val="1508EC7D"/>
    <w:rsid w:val="150C3A67"/>
    <w:rsid w:val="151149E6"/>
    <w:rsid w:val="151158B5"/>
    <w:rsid w:val="151407CF"/>
    <w:rsid w:val="151581C5"/>
    <w:rsid w:val="151729A2"/>
    <w:rsid w:val="15193074"/>
    <w:rsid w:val="15202D33"/>
    <w:rsid w:val="1524C42E"/>
    <w:rsid w:val="1525B4F8"/>
    <w:rsid w:val="15270F6F"/>
    <w:rsid w:val="1528807B"/>
    <w:rsid w:val="1529BBF5"/>
    <w:rsid w:val="152CA115"/>
    <w:rsid w:val="152D58A4"/>
    <w:rsid w:val="1543DCEC"/>
    <w:rsid w:val="1544A358"/>
    <w:rsid w:val="1545F044"/>
    <w:rsid w:val="1546D9F7"/>
    <w:rsid w:val="154CB135"/>
    <w:rsid w:val="154DC7DC"/>
    <w:rsid w:val="154FE9B0"/>
    <w:rsid w:val="1551066E"/>
    <w:rsid w:val="155110C3"/>
    <w:rsid w:val="15596590"/>
    <w:rsid w:val="155A5BEF"/>
    <w:rsid w:val="155F8634"/>
    <w:rsid w:val="1560CBC3"/>
    <w:rsid w:val="156533F9"/>
    <w:rsid w:val="1567ED3C"/>
    <w:rsid w:val="1568968E"/>
    <w:rsid w:val="156C5894"/>
    <w:rsid w:val="156DD658"/>
    <w:rsid w:val="15703C94"/>
    <w:rsid w:val="15729B9A"/>
    <w:rsid w:val="157392BC"/>
    <w:rsid w:val="15741904"/>
    <w:rsid w:val="15780294"/>
    <w:rsid w:val="157FFB89"/>
    <w:rsid w:val="1582133E"/>
    <w:rsid w:val="1585BD53"/>
    <w:rsid w:val="158BA206"/>
    <w:rsid w:val="158FBC85"/>
    <w:rsid w:val="15959848"/>
    <w:rsid w:val="1598F53D"/>
    <w:rsid w:val="159A2D5D"/>
    <w:rsid w:val="159C87CD"/>
    <w:rsid w:val="159F03D2"/>
    <w:rsid w:val="15A2AD8F"/>
    <w:rsid w:val="15A5AD12"/>
    <w:rsid w:val="15A8F713"/>
    <w:rsid w:val="15B07172"/>
    <w:rsid w:val="15B1E851"/>
    <w:rsid w:val="15B66396"/>
    <w:rsid w:val="15BD2F99"/>
    <w:rsid w:val="15BD75C3"/>
    <w:rsid w:val="15BED39F"/>
    <w:rsid w:val="15C1B799"/>
    <w:rsid w:val="15C9F034"/>
    <w:rsid w:val="15CBF34D"/>
    <w:rsid w:val="15CCA824"/>
    <w:rsid w:val="15CECBA3"/>
    <w:rsid w:val="15CEFBDA"/>
    <w:rsid w:val="15D32191"/>
    <w:rsid w:val="15D48B81"/>
    <w:rsid w:val="15D4CEAA"/>
    <w:rsid w:val="15D5D29D"/>
    <w:rsid w:val="15D6D76F"/>
    <w:rsid w:val="15DA6428"/>
    <w:rsid w:val="15DDA756"/>
    <w:rsid w:val="15E0A148"/>
    <w:rsid w:val="15E33185"/>
    <w:rsid w:val="15E3D053"/>
    <w:rsid w:val="15E53698"/>
    <w:rsid w:val="15E7F57D"/>
    <w:rsid w:val="15E83CE3"/>
    <w:rsid w:val="15EDB506"/>
    <w:rsid w:val="15EFEBDB"/>
    <w:rsid w:val="15F07BC6"/>
    <w:rsid w:val="15F263E2"/>
    <w:rsid w:val="15F8E1C3"/>
    <w:rsid w:val="15FE4B25"/>
    <w:rsid w:val="1605A9EF"/>
    <w:rsid w:val="160613EC"/>
    <w:rsid w:val="1606B6F7"/>
    <w:rsid w:val="160DB917"/>
    <w:rsid w:val="160E74E7"/>
    <w:rsid w:val="161353F2"/>
    <w:rsid w:val="161D16DA"/>
    <w:rsid w:val="161DA936"/>
    <w:rsid w:val="16215BC5"/>
    <w:rsid w:val="16239FA1"/>
    <w:rsid w:val="1625B08E"/>
    <w:rsid w:val="1626BFD6"/>
    <w:rsid w:val="162832CB"/>
    <w:rsid w:val="1630D038"/>
    <w:rsid w:val="16334539"/>
    <w:rsid w:val="1639E391"/>
    <w:rsid w:val="163C7EDA"/>
    <w:rsid w:val="163D0B92"/>
    <w:rsid w:val="163E5CD1"/>
    <w:rsid w:val="1640155A"/>
    <w:rsid w:val="1640CC26"/>
    <w:rsid w:val="1640F087"/>
    <w:rsid w:val="16450C09"/>
    <w:rsid w:val="1647A766"/>
    <w:rsid w:val="164A8ED2"/>
    <w:rsid w:val="164BE4AD"/>
    <w:rsid w:val="164DD470"/>
    <w:rsid w:val="1650D6DB"/>
    <w:rsid w:val="1655B5F1"/>
    <w:rsid w:val="16581107"/>
    <w:rsid w:val="165C3E81"/>
    <w:rsid w:val="16601160"/>
    <w:rsid w:val="1660F2FB"/>
    <w:rsid w:val="1661E70A"/>
    <w:rsid w:val="1661FAA1"/>
    <w:rsid w:val="166586CB"/>
    <w:rsid w:val="1667457B"/>
    <w:rsid w:val="166A6DDD"/>
    <w:rsid w:val="166BAF9F"/>
    <w:rsid w:val="166C9D92"/>
    <w:rsid w:val="1670582A"/>
    <w:rsid w:val="1678EB3B"/>
    <w:rsid w:val="167A5BE8"/>
    <w:rsid w:val="167D3710"/>
    <w:rsid w:val="16809D36"/>
    <w:rsid w:val="168245B1"/>
    <w:rsid w:val="1683F363"/>
    <w:rsid w:val="16859507"/>
    <w:rsid w:val="16874B0C"/>
    <w:rsid w:val="16875C14"/>
    <w:rsid w:val="1687B1CB"/>
    <w:rsid w:val="168BACF7"/>
    <w:rsid w:val="168E66AF"/>
    <w:rsid w:val="169021F5"/>
    <w:rsid w:val="169109DC"/>
    <w:rsid w:val="1692F082"/>
    <w:rsid w:val="16A1706F"/>
    <w:rsid w:val="16AE31A3"/>
    <w:rsid w:val="16AF07A6"/>
    <w:rsid w:val="16B6FC20"/>
    <w:rsid w:val="16B816F3"/>
    <w:rsid w:val="16BCB004"/>
    <w:rsid w:val="16BD6518"/>
    <w:rsid w:val="16C87525"/>
    <w:rsid w:val="16CBA09E"/>
    <w:rsid w:val="16CBAB36"/>
    <w:rsid w:val="16D02669"/>
    <w:rsid w:val="16D25567"/>
    <w:rsid w:val="16D2CA0A"/>
    <w:rsid w:val="16DA4547"/>
    <w:rsid w:val="16DAD562"/>
    <w:rsid w:val="16DE853A"/>
    <w:rsid w:val="16E1095F"/>
    <w:rsid w:val="16E5E2B9"/>
    <w:rsid w:val="16E97332"/>
    <w:rsid w:val="16EB5F71"/>
    <w:rsid w:val="16ECB044"/>
    <w:rsid w:val="16EDA91D"/>
    <w:rsid w:val="16F32A96"/>
    <w:rsid w:val="16F4BB04"/>
    <w:rsid w:val="16F785B7"/>
    <w:rsid w:val="16F8B58A"/>
    <w:rsid w:val="1700C5CF"/>
    <w:rsid w:val="17019BF1"/>
    <w:rsid w:val="1702C481"/>
    <w:rsid w:val="1709B980"/>
    <w:rsid w:val="170E2312"/>
    <w:rsid w:val="170F3DE7"/>
    <w:rsid w:val="1710BE40"/>
    <w:rsid w:val="1714E7C6"/>
    <w:rsid w:val="1715BFDC"/>
    <w:rsid w:val="171A142C"/>
    <w:rsid w:val="171B736A"/>
    <w:rsid w:val="17223640"/>
    <w:rsid w:val="17255037"/>
    <w:rsid w:val="1728352A"/>
    <w:rsid w:val="17296F9D"/>
    <w:rsid w:val="17299A2E"/>
    <w:rsid w:val="172D32B0"/>
    <w:rsid w:val="172DBE00"/>
    <w:rsid w:val="172E9E9A"/>
    <w:rsid w:val="172EC2A9"/>
    <w:rsid w:val="172FE850"/>
    <w:rsid w:val="1737BC4C"/>
    <w:rsid w:val="1738C8D8"/>
    <w:rsid w:val="173A8D7C"/>
    <w:rsid w:val="173DBAEE"/>
    <w:rsid w:val="173F6EDC"/>
    <w:rsid w:val="1745B5DB"/>
    <w:rsid w:val="17480B02"/>
    <w:rsid w:val="17493922"/>
    <w:rsid w:val="17504B19"/>
    <w:rsid w:val="1750DE94"/>
    <w:rsid w:val="175E9EED"/>
    <w:rsid w:val="175F0B6E"/>
    <w:rsid w:val="176509E2"/>
    <w:rsid w:val="17679292"/>
    <w:rsid w:val="1769B20C"/>
    <w:rsid w:val="177030CD"/>
    <w:rsid w:val="177065F1"/>
    <w:rsid w:val="17713583"/>
    <w:rsid w:val="17714D8A"/>
    <w:rsid w:val="177306BA"/>
    <w:rsid w:val="177F9AFB"/>
    <w:rsid w:val="1780110B"/>
    <w:rsid w:val="1781FFEB"/>
    <w:rsid w:val="1783BC07"/>
    <w:rsid w:val="1784F5DE"/>
    <w:rsid w:val="1785BB42"/>
    <w:rsid w:val="178649A1"/>
    <w:rsid w:val="178C3824"/>
    <w:rsid w:val="1790264F"/>
    <w:rsid w:val="1791EAA2"/>
    <w:rsid w:val="17948C39"/>
    <w:rsid w:val="17950FE0"/>
    <w:rsid w:val="1795A8BE"/>
    <w:rsid w:val="17966743"/>
    <w:rsid w:val="1796C499"/>
    <w:rsid w:val="17973935"/>
    <w:rsid w:val="17973C56"/>
    <w:rsid w:val="1797CD0F"/>
    <w:rsid w:val="17981731"/>
    <w:rsid w:val="17998D55"/>
    <w:rsid w:val="179CAB38"/>
    <w:rsid w:val="179D4759"/>
    <w:rsid w:val="179F74E5"/>
    <w:rsid w:val="17A3D6C0"/>
    <w:rsid w:val="17A5E340"/>
    <w:rsid w:val="17ACB77E"/>
    <w:rsid w:val="17ACFF96"/>
    <w:rsid w:val="17B009C0"/>
    <w:rsid w:val="17B19704"/>
    <w:rsid w:val="17B1B1A4"/>
    <w:rsid w:val="17B2C520"/>
    <w:rsid w:val="17B350B4"/>
    <w:rsid w:val="17B57351"/>
    <w:rsid w:val="17B60579"/>
    <w:rsid w:val="17B820D3"/>
    <w:rsid w:val="17B8D4CF"/>
    <w:rsid w:val="17C965C6"/>
    <w:rsid w:val="17CA6714"/>
    <w:rsid w:val="17CB82BA"/>
    <w:rsid w:val="17D22F25"/>
    <w:rsid w:val="17D7338C"/>
    <w:rsid w:val="17E3C1EC"/>
    <w:rsid w:val="17E77E47"/>
    <w:rsid w:val="17E78F5A"/>
    <w:rsid w:val="17EF4823"/>
    <w:rsid w:val="17F392A3"/>
    <w:rsid w:val="17F8876E"/>
    <w:rsid w:val="17FAA970"/>
    <w:rsid w:val="17FE3E44"/>
    <w:rsid w:val="17FEE864"/>
    <w:rsid w:val="17FFA631"/>
    <w:rsid w:val="18008C00"/>
    <w:rsid w:val="180322F3"/>
    <w:rsid w:val="18040636"/>
    <w:rsid w:val="1804C737"/>
    <w:rsid w:val="180573A1"/>
    <w:rsid w:val="180B206B"/>
    <w:rsid w:val="180E09D0"/>
    <w:rsid w:val="180E4510"/>
    <w:rsid w:val="181470FF"/>
    <w:rsid w:val="18155D84"/>
    <w:rsid w:val="1815C921"/>
    <w:rsid w:val="18181937"/>
    <w:rsid w:val="181BECED"/>
    <w:rsid w:val="181CEC2F"/>
    <w:rsid w:val="181E585C"/>
    <w:rsid w:val="181EF356"/>
    <w:rsid w:val="1821F9FC"/>
    <w:rsid w:val="1822000E"/>
    <w:rsid w:val="18224779"/>
    <w:rsid w:val="182428D5"/>
    <w:rsid w:val="1824ACFF"/>
    <w:rsid w:val="18250D61"/>
    <w:rsid w:val="182D4D41"/>
    <w:rsid w:val="182EFBCD"/>
    <w:rsid w:val="1830D32F"/>
    <w:rsid w:val="18321391"/>
    <w:rsid w:val="1832B9F7"/>
    <w:rsid w:val="183608C8"/>
    <w:rsid w:val="1838FD0F"/>
    <w:rsid w:val="18393909"/>
    <w:rsid w:val="183B20E1"/>
    <w:rsid w:val="18400020"/>
    <w:rsid w:val="1841E76A"/>
    <w:rsid w:val="1842C0A9"/>
    <w:rsid w:val="18452050"/>
    <w:rsid w:val="1848A992"/>
    <w:rsid w:val="1849AB70"/>
    <w:rsid w:val="184D32D6"/>
    <w:rsid w:val="184E4C75"/>
    <w:rsid w:val="184F0E25"/>
    <w:rsid w:val="185088D0"/>
    <w:rsid w:val="18512B20"/>
    <w:rsid w:val="185A0630"/>
    <w:rsid w:val="185A07FC"/>
    <w:rsid w:val="185D1D45"/>
    <w:rsid w:val="185DAC4C"/>
    <w:rsid w:val="186070B3"/>
    <w:rsid w:val="1860BBDE"/>
    <w:rsid w:val="1862628C"/>
    <w:rsid w:val="1865E093"/>
    <w:rsid w:val="18671913"/>
    <w:rsid w:val="186770FF"/>
    <w:rsid w:val="1868277B"/>
    <w:rsid w:val="186936E1"/>
    <w:rsid w:val="1869714A"/>
    <w:rsid w:val="186BE79D"/>
    <w:rsid w:val="186C092E"/>
    <w:rsid w:val="1870D1FD"/>
    <w:rsid w:val="18714806"/>
    <w:rsid w:val="1873306F"/>
    <w:rsid w:val="1876A31F"/>
    <w:rsid w:val="18787665"/>
    <w:rsid w:val="187A743E"/>
    <w:rsid w:val="187AC392"/>
    <w:rsid w:val="187C4F81"/>
    <w:rsid w:val="187F63BC"/>
    <w:rsid w:val="18815F35"/>
    <w:rsid w:val="1884D4E1"/>
    <w:rsid w:val="188574E4"/>
    <w:rsid w:val="18889519"/>
    <w:rsid w:val="1888B72C"/>
    <w:rsid w:val="188A90EA"/>
    <w:rsid w:val="188E2CB4"/>
    <w:rsid w:val="188F3B65"/>
    <w:rsid w:val="188FD3F9"/>
    <w:rsid w:val="1890F9B4"/>
    <w:rsid w:val="1894FC77"/>
    <w:rsid w:val="1895438A"/>
    <w:rsid w:val="18980520"/>
    <w:rsid w:val="189886B0"/>
    <w:rsid w:val="1899ECE8"/>
    <w:rsid w:val="189A3B70"/>
    <w:rsid w:val="189EA545"/>
    <w:rsid w:val="18A22EA9"/>
    <w:rsid w:val="18A446BD"/>
    <w:rsid w:val="18A4C57E"/>
    <w:rsid w:val="18A583E0"/>
    <w:rsid w:val="18A7ED34"/>
    <w:rsid w:val="18AA18C5"/>
    <w:rsid w:val="18B075CF"/>
    <w:rsid w:val="18B4440D"/>
    <w:rsid w:val="18B81CEE"/>
    <w:rsid w:val="18B820DB"/>
    <w:rsid w:val="18BE5AAB"/>
    <w:rsid w:val="18C32F16"/>
    <w:rsid w:val="18C34EB5"/>
    <w:rsid w:val="18C95272"/>
    <w:rsid w:val="18CBC595"/>
    <w:rsid w:val="18CCC06B"/>
    <w:rsid w:val="18CD92A2"/>
    <w:rsid w:val="18CFE51C"/>
    <w:rsid w:val="18D51BED"/>
    <w:rsid w:val="18D69D38"/>
    <w:rsid w:val="18D73F4F"/>
    <w:rsid w:val="18D93F37"/>
    <w:rsid w:val="18DA1551"/>
    <w:rsid w:val="18DA7A66"/>
    <w:rsid w:val="18DBABB8"/>
    <w:rsid w:val="18DC8C3C"/>
    <w:rsid w:val="18DFED4D"/>
    <w:rsid w:val="18E00930"/>
    <w:rsid w:val="18E4351B"/>
    <w:rsid w:val="18E45023"/>
    <w:rsid w:val="18E7FA54"/>
    <w:rsid w:val="18E9D6B6"/>
    <w:rsid w:val="18EF459C"/>
    <w:rsid w:val="18F12ABD"/>
    <w:rsid w:val="18F214FA"/>
    <w:rsid w:val="18F2B35A"/>
    <w:rsid w:val="18F54F3B"/>
    <w:rsid w:val="18F56D50"/>
    <w:rsid w:val="18F8BDD5"/>
    <w:rsid w:val="18FA149E"/>
    <w:rsid w:val="18FB794F"/>
    <w:rsid w:val="18FD3F98"/>
    <w:rsid w:val="18FEC044"/>
    <w:rsid w:val="1905E73C"/>
    <w:rsid w:val="190671C4"/>
    <w:rsid w:val="19096DCE"/>
    <w:rsid w:val="19098145"/>
    <w:rsid w:val="190A4703"/>
    <w:rsid w:val="190C66DE"/>
    <w:rsid w:val="190E8C79"/>
    <w:rsid w:val="190F875A"/>
    <w:rsid w:val="191354A0"/>
    <w:rsid w:val="1914A8B9"/>
    <w:rsid w:val="1914DF59"/>
    <w:rsid w:val="191579FE"/>
    <w:rsid w:val="19186138"/>
    <w:rsid w:val="1919A8DB"/>
    <w:rsid w:val="1919B71A"/>
    <w:rsid w:val="191A501A"/>
    <w:rsid w:val="191AAD26"/>
    <w:rsid w:val="191EA5C5"/>
    <w:rsid w:val="19240BB2"/>
    <w:rsid w:val="1929A886"/>
    <w:rsid w:val="1929C9A1"/>
    <w:rsid w:val="192D3A59"/>
    <w:rsid w:val="192EEBA1"/>
    <w:rsid w:val="192F4FE5"/>
    <w:rsid w:val="19338BE8"/>
    <w:rsid w:val="19341849"/>
    <w:rsid w:val="1935EFCA"/>
    <w:rsid w:val="19363936"/>
    <w:rsid w:val="19368C65"/>
    <w:rsid w:val="1937B134"/>
    <w:rsid w:val="1937FE0D"/>
    <w:rsid w:val="19447CFE"/>
    <w:rsid w:val="19458CB6"/>
    <w:rsid w:val="19476C70"/>
    <w:rsid w:val="1948D6BA"/>
    <w:rsid w:val="194A9D5F"/>
    <w:rsid w:val="194AD2C6"/>
    <w:rsid w:val="194B18F8"/>
    <w:rsid w:val="194BAC5E"/>
    <w:rsid w:val="194E6096"/>
    <w:rsid w:val="194E666B"/>
    <w:rsid w:val="195318CD"/>
    <w:rsid w:val="195B5DFF"/>
    <w:rsid w:val="1962AE5E"/>
    <w:rsid w:val="19654F78"/>
    <w:rsid w:val="19672DF5"/>
    <w:rsid w:val="196DE3B7"/>
    <w:rsid w:val="196EF54A"/>
    <w:rsid w:val="196F1899"/>
    <w:rsid w:val="196F2537"/>
    <w:rsid w:val="19722F7C"/>
    <w:rsid w:val="197C49FA"/>
    <w:rsid w:val="197CEB7F"/>
    <w:rsid w:val="198288AE"/>
    <w:rsid w:val="198368A7"/>
    <w:rsid w:val="1983A88D"/>
    <w:rsid w:val="1985D0D3"/>
    <w:rsid w:val="198FD5A2"/>
    <w:rsid w:val="1992E804"/>
    <w:rsid w:val="199515F6"/>
    <w:rsid w:val="199521A8"/>
    <w:rsid w:val="1995E177"/>
    <w:rsid w:val="199AB540"/>
    <w:rsid w:val="199CD9D9"/>
    <w:rsid w:val="199D5F09"/>
    <w:rsid w:val="199FC75A"/>
    <w:rsid w:val="19A0E5DE"/>
    <w:rsid w:val="19A4103F"/>
    <w:rsid w:val="19A43E54"/>
    <w:rsid w:val="19A71C1E"/>
    <w:rsid w:val="19A9156B"/>
    <w:rsid w:val="19AEBC40"/>
    <w:rsid w:val="19AFDFDF"/>
    <w:rsid w:val="19B015BD"/>
    <w:rsid w:val="19B048F0"/>
    <w:rsid w:val="19B2A96B"/>
    <w:rsid w:val="19B67CF2"/>
    <w:rsid w:val="19B745EC"/>
    <w:rsid w:val="19B9CD8D"/>
    <w:rsid w:val="19BACD0E"/>
    <w:rsid w:val="19BB1743"/>
    <w:rsid w:val="19BC64D8"/>
    <w:rsid w:val="19C0B076"/>
    <w:rsid w:val="19C0C222"/>
    <w:rsid w:val="19C513D9"/>
    <w:rsid w:val="19C89E61"/>
    <w:rsid w:val="19CA617E"/>
    <w:rsid w:val="19D85FCF"/>
    <w:rsid w:val="19DBFCC6"/>
    <w:rsid w:val="19E0D08D"/>
    <w:rsid w:val="19E2D932"/>
    <w:rsid w:val="19E32A08"/>
    <w:rsid w:val="19E8BE93"/>
    <w:rsid w:val="19EA2794"/>
    <w:rsid w:val="19EA5366"/>
    <w:rsid w:val="19F0964A"/>
    <w:rsid w:val="19F23B40"/>
    <w:rsid w:val="19F7834D"/>
    <w:rsid w:val="19F7A084"/>
    <w:rsid w:val="19F92351"/>
    <w:rsid w:val="19FC3B30"/>
    <w:rsid w:val="1A03AD40"/>
    <w:rsid w:val="1A03F39F"/>
    <w:rsid w:val="1A0670F3"/>
    <w:rsid w:val="1A0C3722"/>
    <w:rsid w:val="1A0F0B0D"/>
    <w:rsid w:val="1A19D741"/>
    <w:rsid w:val="1A1ED8ED"/>
    <w:rsid w:val="1A1F8A64"/>
    <w:rsid w:val="1A2685AD"/>
    <w:rsid w:val="1A274AB3"/>
    <w:rsid w:val="1A2A2031"/>
    <w:rsid w:val="1A2F7B9C"/>
    <w:rsid w:val="1A32EAC7"/>
    <w:rsid w:val="1A353128"/>
    <w:rsid w:val="1A37FD47"/>
    <w:rsid w:val="1A38D29D"/>
    <w:rsid w:val="1A3A8C34"/>
    <w:rsid w:val="1A3AAF14"/>
    <w:rsid w:val="1A3CE14C"/>
    <w:rsid w:val="1A3D0CAE"/>
    <w:rsid w:val="1A3FBD93"/>
    <w:rsid w:val="1A412202"/>
    <w:rsid w:val="1A439CB2"/>
    <w:rsid w:val="1A472B04"/>
    <w:rsid w:val="1A49CFA1"/>
    <w:rsid w:val="1A4A90D0"/>
    <w:rsid w:val="1A4F47C6"/>
    <w:rsid w:val="1A500957"/>
    <w:rsid w:val="1A52800B"/>
    <w:rsid w:val="1A56273F"/>
    <w:rsid w:val="1A583C18"/>
    <w:rsid w:val="1A62FFE2"/>
    <w:rsid w:val="1A66587E"/>
    <w:rsid w:val="1A68A9A6"/>
    <w:rsid w:val="1A69C50C"/>
    <w:rsid w:val="1A725180"/>
    <w:rsid w:val="1A78708B"/>
    <w:rsid w:val="1A7A8E17"/>
    <w:rsid w:val="1A7D0CE9"/>
    <w:rsid w:val="1A7D3FC8"/>
    <w:rsid w:val="1A81E4A8"/>
    <w:rsid w:val="1A8282B1"/>
    <w:rsid w:val="1A84B577"/>
    <w:rsid w:val="1A85C522"/>
    <w:rsid w:val="1A861D0C"/>
    <w:rsid w:val="1A86E0F0"/>
    <w:rsid w:val="1A889ECB"/>
    <w:rsid w:val="1A8A8627"/>
    <w:rsid w:val="1A902560"/>
    <w:rsid w:val="1A926457"/>
    <w:rsid w:val="1A92BE02"/>
    <w:rsid w:val="1A9B1099"/>
    <w:rsid w:val="1A9C71D6"/>
    <w:rsid w:val="1A9CFD36"/>
    <w:rsid w:val="1AA213F5"/>
    <w:rsid w:val="1AA42C3A"/>
    <w:rsid w:val="1AA61F13"/>
    <w:rsid w:val="1AA76839"/>
    <w:rsid w:val="1AAA7EDE"/>
    <w:rsid w:val="1AABBA62"/>
    <w:rsid w:val="1AAEAFBE"/>
    <w:rsid w:val="1AB1667F"/>
    <w:rsid w:val="1AB8C80C"/>
    <w:rsid w:val="1AC1A46B"/>
    <w:rsid w:val="1AC1FA0C"/>
    <w:rsid w:val="1AC3C942"/>
    <w:rsid w:val="1AC6031F"/>
    <w:rsid w:val="1AC6B568"/>
    <w:rsid w:val="1ACA278F"/>
    <w:rsid w:val="1ACD0ADE"/>
    <w:rsid w:val="1ACD5474"/>
    <w:rsid w:val="1ACE538C"/>
    <w:rsid w:val="1AD30E69"/>
    <w:rsid w:val="1AD59385"/>
    <w:rsid w:val="1AD7DBB9"/>
    <w:rsid w:val="1AD9EB48"/>
    <w:rsid w:val="1ADC43E3"/>
    <w:rsid w:val="1ADD62EF"/>
    <w:rsid w:val="1AE0B28A"/>
    <w:rsid w:val="1AE6501F"/>
    <w:rsid w:val="1AE77B86"/>
    <w:rsid w:val="1AEA7D73"/>
    <w:rsid w:val="1AEAD1F6"/>
    <w:rsid w:val="1AED8C51"/>
    <w:rsid w:val="1AF05448"/>
    <w:rsid w:val="1AF0A87A"/>
    <w:rsid w:val="1AF1BA66"/>
    <w:rsid w:val="1AF1BE00"/>
    <w:rsid w:val="1AF4095D"/>
    <w:rsid w:val="1AF5BEC8"/>
    <w:rsid w:val="1AF648F8"/>
    <w:rsid w:val="1AF825D1"/>
    <w:rsid w:val="1AFC05EA"/>
    <w:rsid w:val="1B02EE52"/>
    <w:rsid w:val="1B093B2C"/>
    <w:rsid w:val="1B0B4965"/>
    <w:rsid w:val="1B0F0A5B"/>
    <w:rsid w:val="1B0FE26C"/>
    <w:rsid w:val="1B117666"/>
    <w:rsid w:val="1B14FBDC"/>
    <w:rsid w:val="1B168C41"/>
    <w:rsid w:val="1B19CFC8"/>
    <w:rsid w:val="1B1B7CAD"/>
    <w:rsid w:val="1B1E635E"/>
    <w:rsid w:val="1B1F94BB"/>
    <w:rsid w:val="1B227654"/>
    <w:rsid w:val="1B2DE99F"/>
    <w:rsid w:val="1B3204EB"/>
    <w:rsid w:val="1B32F487"/>
    <w:rsid w:val="1B330C5B"/>
    <w:rsid w:val="1B334DBA"/>
    <w:rsid w:val="1B3395CB"/>
    <w:rsid w:val="1B39C566"/>
    <w:rsid w:val="1B3BE194"/>
    <w:rsid w:val="1B3C395B"/>
    <w:rsid w:val="1B43F9BF"/>
    <w:rsid w:val="1B441519"/>
    <w:rsid w:val="1B49BDC6"/>
    <w:rsid w:val="1B49ECC0"/>
    <w:rsid w:val="1B4CA2D7"/>
    <w:rsid w:val="1B4DF654"/>
    <w:rsid w:val="1B4E13BC"/>
    <w:rsid w:val="1B4E3294"/>
    <w:rsid w:val="1B502293"/>
    <w:rsid w:val="1B50C4A9"/>
    <w:rsid w:val="1B518E20"/>
    <w:rsid w:val="1B544B5E"/>
    <w:rsid w:val="1B546649"/>
    <w:rsid w:val="1B562F6B"/>
    <w:rsid w:val="1B568B71"/>
    <w:rsid w:val="1B586DDA"/>
    <w:rsid w:val="1B5FF708"/>
    <w:rsid w:val="1B609B5E"/>
    <w:rsid w:val="1B670DDB"/>
    <w:rsid w:val="1B67E2D6"/>
    <w:rsid w:val="1B7772C2"/>
    <w:rsid w:val="1B798171"/>
    <w:rsid w:val="1B79C6AB"/>
    <w:rsid w:val="1B79C803"/>
    <w:rsid w:val="1B7D9691"/>
    <w:rsid w:val="1B7F573D"/>
    <w:rsid w:val="1B81901B"/>
    <w:rsid w:val="1B81A6FF"/>
    <w:rsid w:val="1B852F1B"/>
    <w:rsid w:val="1B89A279"/>
    <w:rsid w:val="1B8C10C1"/>
    <w:rsid w:val="1B937EBD"/>
    <w:rsid w:val="1B94EF87"/>
    <w:rsid w:val="1B95FDA8"/>
    <w:rsid w:val="1B96DF3A"/>
    <w:rsid w:val="1B985CA0"/>
    <w:rsid w:val="1B98CEF2"/>
    <w:rsid w:val="1B9A0E8C"/>
    <w:rsid w:val="1BA1806A"/>
    <w:rsid w:val="1BA371AE"/>
    <w:rsid w:val="1BA5A596"/>
    <w:rsid w:val="1BA84897"/>
    <w:rsid w:val="1BAA043F"/>
    <w:rsid w:val="1BAC0CE4"/>
    <w:rsid w:val="1BAD9FB6"/>
    <w:rsid w:val="1BAF1029"/>
    <w:rsid w:val="1BAF8E39"/>
    <w:rsid w:val="1BAF9670"/>
    <w:rsid w:val="1BB26E89"/>
    <w:rsid w:val="1BB410C7"/>
    <w:rsid w:val="1BB920BE"/>
    <w:rsid w:val="1BBFB6CE"/>
    <w:rsid w:val="1BC0BA0A"/>
    <w:rsid w:val="1BC98972"/>
    <w:rsid w:val="1BCC4AA3"/>
    <w:rsid w:val="1BCE819D"/>
    <w:rsid w:val="1BD14563"/>
    <w:rsid w:val="1BD179B5"/>
    <w:rsid w:val="1BD3EF52"/>
    <w:rsid w:val="1BD59B62"/>
    <w:rsid w:val="1BDC958A"/>
    <w:rsid w:val="1BE68DDC"/>
    <w:rsid w:val="1BEC39AE"/>
    <w:rsid w:val="1BED06BC"/>
    <w:rsid w:val="1BEDF976"/>
    <w:rsid w:val="1BF2F560"/>
    <w:rsid w:val="1BF7993A"/>
    <w:rsid w:val="1BFD8FC7"/>
    <w:rsid w:val="1BFF52E7"/>
    <w:rsid w:val="1C0A68C3"/>
    <w:rsid w:val="1C14E379"/>
    <w:rsid w:val="1C156698"/>
    <w:rsid w:val="1C1D39B1"/>
    <w:rsid w:val="1C1DC733"/>
    <w:rsid w:val="1C205BF5"/>
    <w:rsid w:val="1C21234F"/>
    <w:rsid w:val="1C25E4A5"/>
    <w:rsid w:val="1C25E672"/>
    <w:rsid w:val="1C28C1E0"/>
    <w:rsid w:val="1C2CDB98"/>
    <w:rsid w:val="1C2D04DE"/>
    <w:rsid w:val="1C3435F3"/>
    <w:rsid w:val="1C3A0639"/>
    <w:rsid w:val="1C3A986B"/>
    <w:rsid w:val="1C3B1A59"/>
    <w:rsid w:val="1C4081BB"/>
    <w:rsid w:val="1C484C9E"/>
    <w:rsid w:val="1C4A83CA"/>
    <w:rsid w:val="1C4D2EF9"/>
    <w:rsid w:val="1C4E497E"/>
    <w:rsid w:val="1C4FA3A6"/>
    <w:rsid w:val="1C53F0BD"/>
    <w:rsid w:val="1C54E2AE"/>
    <w:rsid w:val="1C551096"/>
    <w:rsid w:val="1C563A44"/>
    <w:rsid w:val="1C5A6A41"/>
    <w:rsid w:val="1C5A8462"/>
    <w:rsid w:val="1C654258"/>
    <w:rsid w:val="1C65EE18"/>
    <w:rsid w:val="1C667652"/>
    <w:rsid w:val="1C67FEE6"/>
    <w:rsid w:val="1C716F28"/>
    <w:rsid w:val="1C77838B"/>
    <w:rsid w:val="1C7DDD4F"/>
    <w:rsid w:val="1C825C83"/>
    <w:rsid w:val="1C869881"/>
    <w:rsid w:val="1C88C72C"/>
    <w:rsid w:val="1C8FF258"/>
    <w:rsid w:val="1C930200"/>
    <w:rsid w:val="1C94FA81"/>
    <w:rsid w:val="1C9B9BA2"/>
    <w:rsid w:val="1C9DF46A"/>
    <w:rsid w:val="1C9F6338"/>
    <w:rsid w:val="1CA47C86"/>
    <w:rsid w:val="1CA649EF"/>
    <w:rsid w:val="1CA70ACF"/>
    <w:rsid w:val="1CA7D32D"/>
    <w:rsid w:val="1CA8CEE3"/>
    <w:rsid w:val="1CAEED56"/>
    <w:rsid w:val="1CB0AA7C"/>
    <w:rsid w:val="1CB23934"/>
    <w:rsid w:val="1CB4556E"/>
    <w:rsid w:val="1CB7375D"/>
    <w:rsid w:val="1CB95C27"/>
    <w:rsid w:val="1CBB0588"/>
    <w:rsid w:val="1CC587BB"/>
    <w:rsid w:val="1CC9111C"/>
    <w:rsid w:val="1CD125A7"/>
    <w:rsid w:val="1CD43827"/>
    <w:rsid w:val="1CD64908"/>
    <w:rsid w:val="1CD664A0"/>
    <w:rsid w:val="1CD776C5"/>
    <w:rsid w:val="1CD91CF6"/>
    <w:rsid w:val="1CDD4A74"/>
    <w:rsid w:val="1CE35299"/>
    <w:rsid w:val="1CE52A89"/>
    <w:rsid w:val="1CE6B8F7"/>
    <w:rsid w:val="1CEA67C8"/>
    <w:rsid w:val="1CEBC2AD"/>
    <w:rsid w:val="1CEE0EAF"/>
    <w:rsid w:val="1CEEF361"/>
    <w:rsid w:val="1CEFE50A"/>
    <w:rsid w:val="1CF2B0E5"/>
    <w:rsid w:val="1CFA1D4E"/>
    <w:rsid w:val="1CFEC313"/>
    <w:rsid w:val="1D062230"/>
    <w:rsid w:val="1D0F93DD"/>
    <w:rsid w:val="1D103AE8"/>
    <w:rsid w:val="1D173A73"/>
    <w:rsid w:val="1D1D3F0A"/>
    <w:rsid w:val="1D1D738C"/>
    <w:rsid w:val="1D1E82B8"/>
    <w:rsid w:val="1D1FBF27"/>
    <w:rsid w:val="1D1FC0BE"/>
    <w:rsid w:val="1D20ADEC"/>
    <w:rsid w:val="1D21CD3A"/>
    <w:rsid w:val="1D223F00"/>
    <w:rsid w:val="1D268ED2"/>
    <w:rsid w:val="1D2EB82F"/>
    <w:rsid w:val="1D30625E"/>
    <w:rsid w:val="1D3172E8"/>
    <w:rsid w:val="1D3430F6"/>
    <w:rsid w:val="1D34E9EB"/>
    <w:rsid w:val="1D35D540"/>
    <w:rsid w:val="1D373F6C"/>
    <w:rsid w:val="1D3C62AA"/>
    <w:rsid w:val="1D3D4655"/>
    <w:rsid w:val="1D429FD2"/>
    <w:rsid w:val="1D46D3A3"/>
    <w:rsid w:val="1D4B14DA"/>
    <w:rsid w:val="1D4CBCC6"/>
    <w:rsid w:val="1D4D925F"/>
    <w:rsid w:val="1D4FD807"/>
    <w:rsid w:val="1D53CB52"/>
    <w:rsid w:val="1D56B0E4"/>
    <w:rsid w:val="1D56B270"/>
    <w:rsid w:val="1D59FF4A"/>
    <w:rsid w:val="1D5A5263"/>
    <w:rsid w:val="1D601745"/>
    <w:rsid w:val="1D637F27"/>
    <w:rsid w:val="1D64EE6E"/>
    <w:rsid w:val="1D666D4D"/>
    <w:rsid w:val="1D66C23C"/>
    <w:rsid w:val="1D68922C"/>
    <w:rsid w:val="1D68EA96"/>
    <w:rsid w:val="1D6D36AB"/>
    <w:rsid w:val="1D6D67BD"/>
    <w:rsid w:val="1D75993E"/>
    <w:rsid w:val="1D75D408"/>
    <w:rsid w:val="1D78FFCE"/>
    <w:rsid w:val="1D7927BA"/>
    <w:rsid w:val="1D793462"/>
    <w:rsid w:val="1D7A43B9"/>
    <w:rsid w:val="1D7C0293"/>
    <w:rsid w:val="1D7EA089"/>
    <w:rsid w:val="1D88D71D"/>
    <w:rsid w:val="1D89283A"/>
    <w:rsid w:val="1D8933BE"/>
    <w:rsid w:val="1D8A0641"/>
    <w:rsid w:val="1D90089F"/>
    <w:rsid w:val="1D95AA3F"/>
    <w:rsid w:val="1D998142"/>
    <w:rsid w:val="1D9AEA18"/>
    <w:rsid w:val="1D9DB0A3"/>
    <w:rsid w:val="1D9F7684"/>
    <w:rsid w:val="1DA2E910"/>
    <w:rsid w:val="1DA51B7C"/>
    <w:rsid w:val="1DA57B9B"/>
    <w:rsid w:val="1DA5C2DA"/>
    <w:rsid w:val="1DA87540"/>
    <w:rsid w:val="1DA87A13"/>
    <w:rsid w:val="1DA9C13C"/>
    <w:rsid w:val="1DAA29FE"/>
    <w:rsid w:val="1DAABB84"/>
    <w:rsid w:val="1DB3BE7F"/>
    <w:rsid w:val="1DBEF211"/>
    <w:rsid w:val="1DC03B9D"/>
    <w:rsid w:val="1DC1DEED"/>
    <w:rsid w:val="1DC6ED5E"/>
    <w:rsid w:val="1DCA36E8"/>
    <w:rsid w:val="1DD1028F"/>
    <w:rsid w:val="1DD2D6B3"/>
    <w:rsid w:val="1DD81F46"/>
    <w:rsid w:val="1DD8ED67"/>
    <w:rsid w:val="1DDD6881"/>
    <w:rsid w:val="1DE20959"/>
    <w:rsid w:val="1DE43841"/>
    <w:rsid w:val="1DE7BC07"/>
    <w:rsid w:val="1DE92100"/>
    <w:rsid w:val="1DED5D0A"/>
    <w:rsid w:val="1DEE7963"/>
    <w:rsid w:val="1DF0282A"/>
    <w:rsid w:val="1DF55569"/>
    <w:rsid w:val="1DF63481"/>
    <w:rsid w:val="1DF6BB98"/>
    <w:rsid w:val="1DF8E420"/>
    <w:rsid w:val="1DFB709B"/>
    <w:rsid w:val="1DFD3E1E"/>
    <w:rsid w:val="1E030C18"/>
    <w:rsid w:val="1E0A73C9"/>
    <w:rsid w:val="1E107630"/>
    <w:rsid w:val="1E1DF0E1"/>
    <w:rsid w:val="1E1ED2BF"/>
    <w:rsid w:val="1E1ED559"/>
    <w:rsid w:val="1E1F4878"/>
    <w:rsid w:val="1E241C29"/>
    <w:rsid w:val="1E24544D"/>
    <w:rsid w:val="1E2458E6"/>
    <w:rsid w:val="1E276CB3"/>
    <w:rsid w:val="1E293BF1"/>
    <w:rsid w:val="1E2E0317"/>
    <w:rsid w:val="1E2ED703"/>
    <w:rsid w:val="1E315DFF"/>
    <w:rsid w:val="1E317212"/>
    <w:rsid w:val="1E33B2CA"/>
    <w:rsid w:val="1E34E55E"/>
    <w:rsid w:val="1E3829BD"/>
    <w:rsid w:val="1E3830CF"/>
    <w:rsid w:val="1E39C4CB"/>
    <w:rsid w:val="1E3BA641"/>
    <w:rsid w:val="1E3D620F"/>
    <w:rsid w:val="1E3FCF86"/>
    <w:rsid w:val="1E40FEDE"/>
    <w:rsid w:val="1E41BB84"/>
    <w:rsid w:val="1E45D6CB"/>
    <w:rsid w:val="1E4C9CB4"/>
    <w:rsid w:val="1E4DC081"/>
    <w:rsid w:val="1E4E34AB"/>
    <w:rsid w:val="1E51961B"/>
    <w:rsid w:val="1E5275E5"/>
    <w:rsid w:val="1E52B8AC"/>
    <w:rsid w:val="1E52ED28"/>
    <w:rsid w:val="1E574BB0"/>
    <w:rsid w:val="1E622DD6"/>
    <w:rsid w:val="1E67AE08"/>
    <w:rsid w:val="1E69B672"/>
    <w:rsid w:val="1E69D6D6"/>
    <w:rsid w:val="1E6E1056"/>
    <w:rsid w:val="1E6E4EC3"/>
    <w:rsid w:val="1E6EB992"/>
    <w:rsid w:val="1E70FAA8"/>
    <w:rsid w:val="1E733C4C"/>
    <w:rsid w:val="1E7361B5"/>
    <w:rsid w:val="1E742B2E"/>
    <w:rsid w:val="1E7A4261"/>
    <w:rsid w:val="1E7BBB85"/>
    <w:rsid w:val="1E7CB412"/>
    <w:rsid w:val="1E7D672A"/>
    <w:rsid w:val="1E7D9997"/>
    <w:rsid w:val="1E8361BD"/>
    <w:rsid w:val="1E89DF10"/>
    <w:rsid w:val="1E8B79EB"/>
    <w:rsid w:val="1E8E81F4"/>
    <w:rsid w:val="1E901F80"/>
    <w:rsid w:val="1E98B85A"/>
    <w:rsid w:val="1E9B49A3"/>
    <w:rsid w:val="1E9C0072"/>
    <w:rsid w:val="1E9E250B"/>
    <w:rsid w:val="1EA01170"/>
    <w:rsid w:val="1EA13BDA"/>
    <w:rsid w:val="1EA2ED4D"/>
    <w:rsid w:val="1EA9C2C6"/>
    <w:rsid w:val="1EADE688"/>
    <w:rsid w:val="1EAE967E"/>
    <w:rsid w:val="1EB15FDC"/>
    <w:rsid w:val="1EB61F4A"/>
    <w:rsid w:val="1EB69B16"/>
    <w:rsid w:val="1EB88639"/>
    <w:rsid w:val="1EBDB772"/>
    <w:rsid w:val="1EBED165"/>
    <w:rsid w:val="1EBF9822"/>
    <w:rsid w:val="1ECD42E9"/>
    <w:rsid w:val="1ECE246B"/>
    <w:rsid w:val="1ED32427"/>
    <w:rsid w:val="1ED8D8FB"/>
    <w:rsid w:val="1ED92901"/>
    <w:rsid w:val="1EE4060E"/>
    <w:rsid w:val="1EE8C741"/>
    <w:rsid w:val="1EE8CE6D"/>
    <w:rsid w:val="1EEB6E2A"/>
    <w:rsid w:val="1EEC0FF4"/>
    <w:rsid w:val="1EEC54A1"/>
    <w:rsid w:val="1EEC63F8"/>
    <w:rsid w:val="1EEF0D10"/>
    <w:rsid w:val="1EF3F78F"/>
    <w:rsid w:val="1EF42729"/>
    <w:rsid w:val="1EF5EDBE"/>
    <w:rsid w:val="1EF6DDD2"/>
    <w:rsid w:val="1EF7C2E1"/>
    <w:rsid w:val="1EFDCC02"/>
    <w:rsid w:val="1EFF71C8"/>
    <w:rsid w:val="1F01348E"/>
    <w:rsid w:val="1F03134C"/>
    <w:rsid w:val="1F04A991"/>
    <w:rsid w:val="1F071F11"/>
    <w:rsid w:val="1F0EF91E"/>
    <w:rsid w:val="1F100A81"/>
    <w:rsid w:val="1F101FB5"/>
    <w:rsid w:val="1F1A952D"/>
    <w:rsid w:val="1F1B4780"/>
    <w:rsid w:val="1F23589D"/>
    <w:rsid w:val="1F251783"/>
    <w:rsid w:val="1F25AA5B"/>
    <w:rsid w:val="1F29C4D0"/>
    <w:rsid w:val="1F2BD900"/>
    <w:rsid w:val="1F2E596D"/>
    <w:rsid w:val="1F309B08"/>
    <w:rsid w:val="1F30E557"/>
    <w:rsid w:val="1F3275E2"/>
    <w:rsid w:val="1F328CED"/>
    <w:rsid w:val="1F360D4D"/>
    <w:rsid w:val="1F3CA5A7"/>
    <w:rsid w:val="1F3EC492"/>
    <w:rsid w:val="1F3EFC12"/>
    <w:rsid w:val="1F45F930"/>
    <w:rsid w:val="1F4689DA"/>
    <w:rsid w:val="1F49A08B"/>
    <w:rsid w:val="1F4CEF73"/>
    <w:rsid w:val="1F4DA2B6"/>
    <w:rsid w:val="1F500B7B"/>
    <w:rsid w:val="1F52A0CC"/>
    <w:rsid w:val="1F555D7D"/>
    <w:rsid w:val="1F597BEA"/>
    <w:rsid w:val="1F5AE765"/>
    <w:rsid w:val="1F5B9B94"/>
    <w:rsid w:val="1F5CCFC6"/>
    <w:rsid w:val="1F601463"/>
    <w:rsid w:val="1F643F82"/>
    <w:rsid w:val="1F645B21"/>
    <w:rsid w:val="1F6AAC3D"/>
    <w:rsid w:val="1F6EA328"/>
    <w:rsid w:val="1F70BAC2"/>
    <w:rsid w:val="1F764003"/>
    <w:rsid w:val="1F7D8BF2"/>
    <w:rsid w:val="1F7E5648"/>
    <w:rsid w:val="1F8BBB23"/>
    <w:rsid w:val="1F8D0402"/>
    <w:rsid w:val="1F8D9D1A"/>
    <w:rsid w:val="1F93E8E8"/>
    <w:rsid w:val="1F9453E4"/>
    <w:rsid w:val="1F95B0B0"/>
    <w:rsid w:val="1F96E02F"/>
    <w:rsid w:val="1FA0B6A8"/>
    <w:rsid w:val="1FA5E454"/>
    <w:rsid w:val="1FA62955"/>
    <w:rsid w:val="1FA65636"/>
    <w:rsid w:val="1FA97FE9"/>
    <w:rsid w:val="1FAA4E84"/>
    <w:rsid w:val="1FAD72A2"/>
    <w:rsid w:val="1FB3992C"/>
    <w:rsid w:val="1FB841BB"/>
    <w:rsid w:val="1FBBCD40"/>
    <w:rsid w:val="1FBC2F7F"/>
    <w:rsid w:val="1FC04335"/>
    <w:rsid w:val="1FC0DBF4"/>
    <w:rsid w:val="1FC0E32D"/>
    <w:rsid w:val="1FC16E92"/>
    <w:rsid w:val="1FC717FC"/>
    <w:rsid w:val="1FC73240"/>
    <w:rsid w:val="1FCD678C"/>
    <w:rsid w:val="1FD21B19"/>
    <w:rsid w:val="1FD4E595"/>
    <w:rsid w:val="1FD9BDDA"/>
    <w:rsid w:val="1FDC9AA4"/>
    <w:rsid w:val="1FDE2331"/>
    <w:rsid w:val="1FDE74DD"/>
    <w:rsid w:val="1FE08E22"/>
    <w:rsid w:val="1FE86CFF"/>
    <w:rsid w:val="1FE924E0"/>
    <w:rsid w:val="1FEA3EF1"/>
    <w:rsid w:val="1FEB1121"/>
    <w:rsid w:val="1FEDCB9D"/>
    <w:rsid w:val="1FF44DE5"/>
    <w:rsid w:val="1FFD24C9"/>
    <w:rsid w:val="1FFF9BC7"/>
    <w:rsid w:val="2000B4E8"/>
    <w:rsid w:val="200838B4"/>
    <w:rsid w:val="200B9DE5"/>
    <w:rsid w:val="200D04E8"/>
    <w:rsid w:val="200DB065"/>
    <w:rsid w:val="200DEC7A"/>
    <w:rsid w:val="200F065B"/>
    <w:rsid w:val="20105609"/>
    <w:rsid w:val="2012161B"/>
    <w:rsid w:val="20197B8B"/>
    <w:rsid w:val="201C638C"/>
    <w:rsid w:val="201E1631"/>
    <w:rsid w:val="201F8CA6"/>
    <w:rsid w:val="20227251"/>
    <w:rsid w:val="20293CB4"/>
    <w:rsid w:val="202AA48B"/>
    <w:rsid w:val="2033E91F"/>
    <w:rsid w:val="2038AAE3"/>
    <w:rsid w:val="203A8908"/>
    <w:rsid w:val="20429DE0"/>
    <w:rsid w:val="20458499"/>
    <w:rsid w:val="2047267E"/>
    <w:rsid w:val="2047FBC9"/>
    <w:rsid w:val="2049CCFF"/>
    <w:rsid w:val="204E1377"/>
    <w:rsid w:val="2050268E"/>
    <w:rsid w:val="20502EC2"/>
    <w:rsid w:val="205134C9"/>
    <w:rsid w:val="2051BA23"/>
    <w:rsid w:val="20558E6D"/>
    <w:rsid w:val="2056F275"/>
    <w:rsid w:val="2059D16A"/>
    <w:rsid w:val="205BE470"/>
    <w:rsid w:val="206455E9"/>
    <w:rsid w:val="206F81E8"/>
    <w:rsid w:val="20722C0C"/>
    <w:rsid w:val="20826EBA"/>
    <w:rsid w:val="2082AAA8"/>
    <w:rsid w:val="20881001"/>
    <w:rsid w:val="208D047E"/>
    <w:rsid w:val="2090CA1C"/>
    <w:rsid w:val="209198E7"/>
    <w:rsid w:val="20922E02"/>
    <w:rsid w:val="2094D3D9"/>
    <w:rsid w:val="209A2DA3"/>
    <w:rsid w:val="209BE5D7"/>
    <w:rsid w:val="209CB812"/>
    <w:rsid w:val="20A2BFF3"/>
    <w:rsid w:val="20A69935"/>
    <w:rsid w:val="20A95188"/>
    <w:rsid w:val="20AA3086"/>
    <w:rsid w:val="20AE675E"/>
    <w:rsid w:val="20B1F6AF"/>
    <w:rsid w:val="20B4875C"/>
    <w:rsid w:val="20B83349"/>
    <w:rsid w:val="20B92177"/>
    <w:rsid w:val="20BD8863"/>
    <w:rsid w:val="20BF2DF1"/>
    <w:rsid w:val="20C3311D"/>
    <w:rsid w:val="20C34DA7"/>
    <w:rsid w:val="20C46F8E"/>
    <w:rsid w:val="20C704AC"/>
    <w:rsid w:val="20CB2A31"/>
    <w:rsid w:val="20CE5E98"/>
    <w:rsid w:val="20CE751A"/>
    <w:rsid w:val="20D63A0C"/>
    <w:rsid w:val="20D67E47"/>
    <w:rsid w:val="20D74540"/>
    <w:rsid w:val="20D9DADE"/>
    <w:rsid w:val="20DA6BFE"/>
    <w:rsid w:val="20DDA769"/>
    <w:rsid w:val="20E039EE"/>
    <w:rsid w:val="20E96A41"/>
    <w:rsid w:val="20EB1E81"/>
    <w:rsid w:val="20F46B20"/>
    <w:rsid w:val="20F72587"/>
    <w:rsid w:val="20F8F2A9"/>
    <w:rsid w:val="20FBC668"/>
    <w:rsid w:val="20FF47B0"/>
    <w:rsid w:val="2101A197"/>
    <w:rsid w:val="210A13D9"/>
    <w:rsid w:val="210A96A2"/>
    <w:rsid w:val="210B95A9"/>
    <w:rsid w:val="210C1868"/>
    <w:rsid w:val="210EC57C"/>
    <w:rsid w:val="2112746D"/>
    <w:rsid w:val="21148A3B"/>
    <w:rsid w:val="2115307D"/>
    <w:rsid w:val="2117612A"/>
    <w:rsid w:val="211A10D1"/>
    <w:rsid w:val="211A5024"/>
    <w:rsid w:val="211AF2AE"/>
    <w:rsid w:val="211B2CAB"/>
    <w:rsid w:val="2123B433"/>
    <w:rsid w:val="21290E1E"/>
    <w:rsid w:val="212A8C0D"/>
    <w:rsid w:val="212BA447"/>
    <w:rsid w:val="212EEA1D"/>
    <w:rsid w:val="21305CAA"/>
    <w:rsid w:val="2132E6D9"/>
    <w:rsid w:val="213351EC"/>
    <w:rsid w:val="2136B41C"/>
    <w:rsid w:val="2139BC90"/>
    <w:rsid w:val="213B04FC"/>
    <w:rsid w:val="213CD103"/>
    <w:rsid w:val="213CF17E"/>
    <w:rsid w:val="213DD43E"/>
    <w:rsid w:val="213E892E"/>
    <w:rsid w:val="213E9BA4"/>
    <w:rsid w:val="21406BA9"/>
    <w:rsid w:val="214644DB"/>
    <w:rsid w:val="2147DFBD"/>
    <w:rsid w:val="21499AF2"/>
    <w:rsid w:val="2149C247"/>
    <w:rsid w:val="214A4C81"/>
    <w:rsid w:val="214B200C"/>
    <w:rsid w:val="214EA642"/>
    <w:rsid w:val="215C6CBE"/>
    <w:rsid w:val="21616999"/>
    <w:rsid w:val="21638C26"/>
    <w:rsid w:val="21671F2F"/>
    <w:rsid w:val="21674462"/>
    <w:rsid w:val="216C615A"/>
    <w:rsid w:val="2171465F"/>
    <w:rsid w:val="2172D9A1"/>
    <w:rsid w:val="2173CF74"/>
    <w:rsid w:val="217766EC"/>
    <w:rsid w:val="217ABBFC"/>
    <w:rsid w:val="217BB549"/>
    <w:rsid w:val="21842887"/>
    <w:rsid w:val="2184441C"/>
    <w:rsid w:val="2184FDEC"/>
    <w:rsid w:val="218514DE"/>
    <w:rsid w:val="2186D7F1"/>
    <w:rsid w:val="2188C368"/>
    <w:rsid w:val="218B2DCC"/>
    <w:rsid w:val="218B4164"/>
    <w:rsid w:val="218E8BE8"/>
    <w:rsid w:val="2192E110"/>
    <w:rsid w:val="21967509"/>
    <w:rsid w:val="2197ABC3"/>
    <w:rsid w:val="21986860"/>
    <w:rsid w:val="21989AEC"/>
    <w:rsid w:val="219C4D09"/>
    <w:rsid w:val="219D7B8C"/>
    <w:rsid w:val="219DD182"/>
    <w:rsid w:val="21A73FA5"/>
    <w:rsid w:val="21A76E46"/>
    <w:rsid w:val="21A97CA6"/>
    <w:rsid w:val="21AB8F2E"/>
    <w:rsid w:val="21AD367D"/>
    <w:rsid w:val="21B1C349"/>
    <w:rsid w:val="21B2486D"/>
    <w:rsid w:val="21B3483C"/>
    <w:rsid w:val="21B43AD2"/>
    <w:rsid w:val="21B6514B"/>
    <w:rsid w:val="21BCC391"/>
    <w:rsid w:val="21BEDB59"/>
    <w:rsid w:val="21BF5DF0"/>
    <w:rsid w:val="21C985FE"/>
    <w:rsid w:val="21C9F1EF"/>
    <w:rsid w:val="21CA0542"/>
    <w:rsid w:val="21CD0F22"/>
    <w:rsid w:val="21CFFFA8"/>
    <w:rsid w:val="21D59FC4"/>
    <w:rsid w:val="21D7C026"/>
    <w:rsid w:val="21D9B36D"/>
    <w:rsid w:val="21DD75A4"/>
    <w:rsid w:val="21E04C46"/>
    <w:rsid w:val="21E0B668"/>
    <w:rsid w:val="21E26ACC"/>
    <w:rsid w:val="21E69031"/>
    <w:rsid w:val="21ED2726"/>
    <w:rsid w:val="21EE1088"/>
    <w:rsid w:val="21F001DD"/>
    <w:rsid w:val="21FDD58D"/>
    <w:rsid w:val="21FFFE9C"/>
    <w:rsid w:val="2201B59B"/>
    <w:rsid w:val="22036EC4"/>
    <w:rsid w:val="22056A84"/>
    <w:rsid w:val="220990CA"/>
    <w:rsid w:val="220BAADC"/>
    <w:rsid w:val="220E854D"/>
    <w:rsid w:val="2210C582"/>
    <w:rsid w:val="22126EBC"/>
    <w:rsid w:val="221B3927"/>
    <w:rsid w:val="221C3B16"/>
    <w:rsid w:val="221D61B7"/>
    <w:rsid w:val="221EB1E2"/>
    <w:rsid w:val="222096C1"/>
    <w:rsid w:val="222BD1DA"/>
    <w:rsid w:val="222E24DE"/>
    <w:rsid w:val="22306CFE"/>
    <w:rsid w:val="22318EC3"/>
    <w:rsid w:val="22347A1A"/>
    <w:rsid w:val="22381525"/>
    <w:rsid w:val="22396099"/>
    <w:rsid w:val="2239EE53"/>
    <w:rsid w:val="223AB0DE"/>
    <w:rsid w:val="223C8986"/>
    <w:rsid w:val="223EAE5B"/>
    <w:rsid w:val="223F6CF5"/>
    <w:rsid w:val="2244491B"/>
    <w:rsid w:val="224A13DD"/>
    <w:rsid w:val="224B67FE"/>
    <w:rsid w:val="224C6137"/>
    <w:rsid w:val="224DBBA9"/>
    <w:rsid w:val="22502476"/>
    <w:rsid w:val="2252A6A7"/>
    <w:rsid w:val="2256F4FF"/>
    <w:rsid w:val="2259C30B"/>
    <w:rsid w:val="2259EA98"/>
    <w:rsid w:val="225B232D"/>
    <w:rsid w:val="225C995D"/>
    <w:rsid w:val="226B51A8"/>
    <w:rsid w:val="226D8B16"/>
    <w:rsid w:val="226DCF22"/>
    <w:rsid w:val="2271429D"/>
    <w:rsid w:val="22746CFE"/>
    <w:rsid w:val="2276993C"/>
    <w:rsid w:val="22777739"/>
    <w:rsid w:val="22779B24"/>
    <w:rsid w:val="227A5F66"/>
    <w:rsid w:val="227D1787"/>
    <w:rsid w:val="227ECD4E"/>
    <w:rsid w:val="22820944"/>
    <w:rsid w:val="2284C8AC"/>
    <w:rsid w:val="2286DCD6"/>
    <w:rsid w:val="22896D13"/>
    <w:rsid w:val="228B5210"/>
    <w:rsid w:val="2295E343"/>
    <w:rsid w:val="229653BE"/>
    <w:rsid w:val="229AFC77"/>
    <w:rsid w:val="229C338D"/>
    <w:rsid w:val="229FD667"/>
    <w:rsid w:val="22A1E43C"/>
    <w:rsid w:val="22A31182"/>
    <w:rsid w:val="22A45232"/>
    <w:rsid w:val="22A51EB1"/>
    <w:rsid w:val="22AAD21F"/>
    <w:rsid w:val="22B17ADC"/>
    <w:rsid w:val="22B28192"/>
    <w:rsid w:val="22B9A5C8"/>
    <w:rsid w:val="22C14E97"/>
    <w:rsid w:val="22C19528"/>
    <w:rsid w:val="22C1A550"/>
    <w:rsid w:val="22C4386D"/>
    <w:rsid w:val="22C7C62A"/>
    <w:rsid w:val="22C7E1C2"/>
    <w:rsid w:val="22CA743C"/>
    <w:rsid w:val="22CB68CB"/>
    <w:rsid w:val="22CB9095"/>
    <w:rsid w:val="22CBBDA3"/>
    <w:rsid w:val="22CC7533"/>
    <w:rsid w:val="22CEB73A"/>
    <w:rsid w:val="22D1313F"/>
    <w:rsid w:val="22D15575"/>
    <w:rsid w:val="22D3E56A"/>
    <w:rsid w:val="22D73769"/>
    <w:rsid w:val="22DB6BDB"/>
    <w:rsid w:val="22DED346"/>
    <w:rsid w:val="22DFCFE4"/>
    <w:rsid w:val="22E016DD"/>
    <w:rsid w:val="22E0318F"/>
    <w:rsid w:val="22E120AB"/>
    <w:rsid w:val="22E96D62"/>
    <w:rsid w:val="22ECA5F1"/>
    <w:rsid w:val="22F1C010"/>
    <w:rsid w:val="22F3D455"/>
    <w:rsid w:val="22F66A22"/>
    <w:rsid w:val="22F8285F"/>
    <w:rsid w:val="22F9198C"/>
    <w:rsid w:val="22FC5E8B"/>
    <w:rsid w:val="22FE9432"/>
    <w:rsid w:val="22FF732C"/>
    <w:rsid w:val="22FFAD0A"/>
    <w:rsid w:val="22FFFBD7"/>
    <w:rsid w:val="2304A27B"/>
    <w:rsid w:val="23053A52"/>
    <w:rsid w:val="230A0126"/>
    <w:rsid w:val="230E9618"/>
    <w:rsid w:val="230FC803"/>
    <w:rsid w:val="2310D95A"/>
    <w:rsid w:val="231C12FE"/>
    <w:rsid w:val="231DCC69"/>
    <w:rsid w:val="232032A0"/>
    <w:rsid w:val="23242EB9"/>
    <w:rsid w:val="2327AFF2"/>
    <w:rsid w:val="2329CCB1"/>
    <w:rsid w:val="232C0195"/>
    <w:rsid w:val="232E56CD"/>
    <w:rsid w:val="232EFA4C"/>
    <w:rsid w:val="23303505"/>
    <w:rsid w:val="2331F559"/>
    <w:rsid w:val="23320B8F"/>
    <w:rsid w:val="2335B8A2"/>
    <w:rsid w:val="2336A222"/>
    <w:rsid w:val="23399B81"/>
    <w:rsid w:val="233F5271"/>
    <w:rsid w:val="2340E995"/>
    <w:rsid w:val="234654C6"/>
    <w:rsid w:val="2346555B"/>
    <w:rsid w:val="2347F4BF"/>
    <w:rsid w:val="234B209A"/>
    <w:rsid w:val="234DE563"/>
    <w:rsid w:val="2350D2AC"/>
    <w:rsid w:val="2351528D"/>
    <w:rsid w:val="2351C836"/>
    <w:rsid w:val="23585E1C"/>
    <w:rsid w:val="23633555"/>
    <w:rsid w:val="23634CA9"/>
    <w:rsid w:val="236568A1"/>
    <w:rsid w:val="2367AE0F"/>
    <w:rsid w:val="2369BF0E"/>
    <w:rsid w:val="236BC13B"/>
    <w:rsid w:val="236BFB94"/>
    <w:rsid w:val="236C2C25"/>
    <w:rsid w:val="236E94D0"/>
    <w:rsid w:val="237048C1"/>
    <w:rsid w:val="2370DC5C"/>
    <w:rsid w:val="237385D6"/>
    <w:rsid w:val="23765F88"/>
    <w:rsid w:val="237A3C20"/>
    <w:rsid w:val="237A548C"/>
    <w:rsid w:val="237B2E6D"/>
    <w:rsid w:val="237B5453"/>
    <w:rsid w:val="237EB551"/>
    <w:rsid w:val="2382866D"/>
    <w:rsid w:val="23842972"/>
    <w:rsid w:val="238B54E4"/>
    <w:rsid w:val="238BC4A6"/>
    <w:rsid w:val="238BEDF3"/>
    <w:rsid w:val="23916262"/>
    <w:rsid w:val="2393965B"/>
    <w:rsid w:val="2395492D"/>
    <w:rsid w:val="23957A12"/>
    <w:rsid w:val="23978F1E"/>
    <w:rsid w:val="239ADDA0"/>
    <w:rsid w:val="239EAF1D"/>
    <w:rsid w:val="239F7D68"/>
    <w:rsid w:val="23A97C54"/>
    <w:rsid w:val="23AB6121"/>
    <w:rsid w:val="23B167A6"/>
    <w:rsid w:val="23B57673"/>
    <w:rsid w:val="23BC53B6"/>
    <w:rsid w:val="23BCB702"/>
    <w:rsid w:val="23BD7F7C"/>
    <w:rsid w:val="23BE673B"/>
    <w:rsid w:val="23C36741"/>
    <w:rsid w:val="23C4ED60"/>
    <w:rsid w:val="23C6B418"/>
    <w:rsid w:val="23CC749B"/>
    <w:rsid w:val="23D46DCD"/>
    <w:rsid w:val="23D4F420"/>
    <w:rsid w:val="23D7B143"/>
    <w:rsid w:val="23DB1392"/>
    <w:rsid w:val="23DCCC09"/>
    <w:rsid w:val="23DD27B2"/>
    <w:rsid w:val="23E0AD47"/>
    <w:rsid w:val="23E3069C"/>
    <w:rsid w:val="23E42FA7"/>
    <w:rsid w:val="23E4AF99"/>
    <w:rsid w:val="23ECB752"/>
    <w:rsid w:val="23F32241"/>
    <w:rsid w:val="23F60ABE"/>
    <w:rsid w:val="23F87D45"/>
    <w:rsid w:val="23F8DEC0"/>
    <w:rsid w:val="23F95647"/>
    <w:rsid w:val="23FA913C"/>
    <w:rsid w:val="23FBCBF7"/>
    <w:rsid w:val="23FE1EB9"/>
    <w:rsid w:val="24026597"/>
    <w:rsid w:val="24076FDC"/>
    <w:rsid w:val="240979DF"/>
    <w:rsid w:val="2410A752"/>
    <w:rsid w:val="2410E49D"/>
    <w:rsid w:val="24115212"/>
    <w:rsid w:val="2411C785"/>
    <w:rsid w:val="24130F06"/>
    <w:rsid w:val="241766A3"/>
    <w:rsid w:val="241BDE9D"/>
    <w:rsid w:val="241C20ED"/>
    <w:rsid w:val="242310D6"/>
    <w:rsid w:val="242C16E3"/>
    <w:rsid w:val="242EE115"/>
    <w:rsid w:val="242EF412"/>
    <w:rsid w:val="24313727"/>
    <w:rsid w:val="2435C7EC"/>
    <w:rsid w:val="2437A593"/>
    <w:rsid w:val="243ABD9B"/>
    <w:rsid w:val="243E575B"/>
    <w:rsid w:val="244A7469"/>
    <w:rsid w:val="244BD60B"/>
    <w:rsid w:val="244DE96A"/>
    <w:rsid w:val="24582418"/>
    <w:rsid w:val="245F834F"/>
    <w:rsid w:val="2461492E"/>
    <w:rsid w:val="2462D707"/>
    <w:rsid w:val="2465C97A"/>
    <w:rsid w:val="2466241B"/>
    <w:rsid w:val="24692694"/>
    <w:rsid w:val="246AE1F3"/>
    <w:rsid w:val="246DAC84"/>
    <w:rsid w:val="247259DF"/>
    <w:rsid w:val="247383A6"/>
    <w:rsid w:val="24788723"/>
    <w:rsid w:val="247915A9"/>
    <w:rsid w:val="24791896"/>
    <w:rsid w:val="247CA94E"/>
    <w:rsid w:val="248495E9"/>
    <w:rsid w:val="248BD5DB"/>
    <w:rsid w:val="248C24FE"/>
    <w:rsid w:val="248D89D3"/>
    <w:rsid w:val="24910C3F"/>
    <w:rsid w:val="2493142C"/>
    <w:rsid w:val="24935566"/>
    <w:rsid w:val="24952F3F"/>
    <w:rsid w:val="2495EE45"/>
    <w:rsid w:val="24964141"/>
    <w:rsid w:val="249862D3"/>
    <w:rsid w:val="24992D4D"/>
    <w:rsid w:val="249A07A2"/>
    <w:rsid w:val="249C4A0D"/>
    <w:rsid w:val="249D82FF"/>
    <w:rsid w:val="24A7DA8C"/>
    <w:rsid w:val="24B14CD2"/>
    <w:rsid w:val="24B34FB1"/>
    <w:rsid w:val="24B7410F"/>
    <w:rsid w:val="24B976CB"/>
    <w:rsid w:val="24BA76B7"/>
    <w:rsid w:val="24C37495"/>
    <w:rsid w:val="24C4D249"/>
    <w:rsid w:val="24C5CD24"/>
    <w:rsid w:val="24CBE31B"/>
    <w:rsid w:val="24D4EC30"/>
    <w:rsid w:val="24D9EEA1"/>
    <w:rsid w:val="24DB86F4"/>
    <w:rsid w:val="24DF2601"/>
    <w:rsid w:val="24E0D8C5"/>
    <w:rsid w:val="24E46E17"/>
    <w:rsid w:val="24E5F8DA"/>
    <w:rsid w:val="24E6F0FB"/>
    <w:rsid w:val="24E7A87E"/>
    <w:rsid w:val="24E9640B"/>
    <w:rsid w:val="24EE561E"/>
    <w:rsid w:val="24F049B1"/>
    <w:rsid w:val="24F08A65"/>
    <w:rsid w:val="24F2DF87"/>
    <w:rsid w:val="24F3901C"/>
    <w:rsid w:val="24F50E7D"/>
    <w:rsid w:val="24F786C5"/>
    <w:rsid w:val="24FBA6DF"/>
    <w:rsid w:val="24FBCF6B"/>
    <w:rsid w:val="24FC87E2"/>
    <w:rsid w:val="24FD19E1"/>
    <w:rsid w:val="24FF35B8"/>
    <w:rsid w:val="2500FDB7"/>
    <w:rsid w:val="2506CD76"/>
    <w:rsid w:val="2508BB03"/>
    <w:rsid w:val="250C48A8"/>
    <w:rsid w:val="250F619F"/>
    <w:rsid w:val="251B690F"/>
    <w:rsid w:val="2520ADC7"/>
    <w:rsid w:val="2521AE0A"/>
    <w:rsid w:val="25231152"/>
    <w:rsid w:val="2526D7B6"/>
    <w:rsid w:val="25330EE8"/>
    <w:rsid w:val="25335F7F"/>
    <w:rsid w:val="2534AABC"/>
    <w:rsid w:val="2538D2C2"/>
    <w:rsid w:val="253F3EE6"/>
    <w:rsid w:val="253F412C"/>
    <w:rsid w:val="254AA4B7"/>
    <w:rsid w:val="255452AD"/>
    <w:rsid w:val="255A7011"/>
    <w:rsid w:val="255CA37A"/>
    <w:rsid w:val="255E94BD"/>
    <w:rsid w:val="255F641C"/>
    <w:rsid w:val="2564A367"/>
    <w:rsid w:val="25650AE7"/>
    <w:rsid w:val="2565C7C7"/>
    <w:rsid w:val="2567190C"/>
    <w:rsid w:val="2567341A"/>
    <w:rsid w:val="256B6238"/>
    <w:rsid w:val="256E4BE7"/>
    <w:rsid w:val="2573834C"/>
    <w:rsid w:val="257B341F"/>
    <w:rsid w:val="257BBEDD"/>
    <w:rsid w:val="257CE1BB"/>
    <w:rsid w:val="257D60CC"/>
    <w:rsid w:val="2582CFD0"/>
    <w:rsid w:val="25868C48"/>
    <w:rsid w:val="258CB45D"/>
    <w:rsid w:val="2593B831"/>
    <w:rsid w:val="2594BC8E"/>
    <w:rsid w:val="25954ACB"/>
    <w:rsid w:val="259BA644"/>
    <w:rsid w:val="259BD1AE"/>
    <w:rsid w:val="25ABE72B"/>
    <w:rsid w:val="25B129E5"/>
    <w:rsid w:val="25B8241F"/>
    <w:rsid w:val="25B9DFE7"/>
    <w:rsid w:val="25BB3611"/>
    <w:rsid w:val="25BEED37"/>
    <w:rsid w:val="25BF8964"/>
    <w:rsid w:val="25C289F5"/>
    <w:rsid w:val="25C30584"/>
    <w:rsid w:val="25C94EFD"/>
    <w:rsid w:val="25CECA45"/>
    <w:rsid w:val="25CEE857"/>
    <w:rsid w:val="25D15BCD"/>
    <w:rsid w:val="25D46ECE"/>
    <w:rsid w:val="25D6E010"/>
    <w:rsid w:val="25D78E79"/>
    <w:rsid w:val="25D91B48"/>
    <w:rsid w:val="25DB03EF"/>
    <w:rsid w:val="25DEF7A9"/>
    <w:rsid w:val="25DF1FCF"/>
    <w:rsid w:val="25E47065"/>
    <w:rsid w:val="25E8C2E1"/>
    <w:rsid w:val="25F02A34"/>
    <w:rsid w:val="25F1D576"/>
    <w:rsid w:val="25F39972"/>
    <w:rsid w:val="25FBF05D"/>
    <w:rsid w:val="2602FD0D"/>
    <w:rsid w:val="260466F0"/>
    <w:rsid w:val="260590F5"/>
    <w:rsid w:val="2605D08A"/>
    <w:rsid w:val="2606A7F6"/>
    <w:rsid w:val="260D1AE4"/>
    <w:rsid w:val="2612823B"/>
    <w:rsid w:val="2612D4C7"/>
    <w:rsid w:val="26181532"/>
    <w:rsid w:val="261A95EA"/>
    <w:rsid w:val="262167B5"/>
    <w:rsid w:val="26218B3F"/>
    <w:rsid w:val="262DE7CB"/>
    <w:rsid w:val="262E4161"/>
    <w:rsid w:val="262E71AA"/>
    <w:rsid w:val="263225C7"/>
    <w:rsid w:val="26338DDA"/>
    <w:rsid w:val="2639C192"/>
    <w:rsid w:val="26407D4D"/>
    <w:rsid w:val="26452EA7"/>
    <w:rsid w:val="26467120"/>
    <w:rsid w:val="26499FC0"/>
    <w:rsid w:val="264CADDF"/>
    <w:rsid w:val="264D1368"/>
    <w:rsid w:val="264D97BE"/>
    <w:rsid w:val="264EFD74"/>
    <w:rsid w:val="2652F955"/>
    <w:rsid w:val="2657EE7F"/>
    <w:rsid w:val="265B9664"/>
    <w:rsid w:val="265E3AB5"/>
    <w:rsid w:val="2661E668"/>
    <w:rsid w:val="2667ECC2"/>
    <w:rsid w:val="26694761"/>
    <w:rsid w:val="266DBDAF"/>
    <w:rsid w:val="266F5643"/>
    <w:rsid w:val="2671347D"/>
    <w:rsid w:val="26741E52"/>
    <w:rsid w:val="267643F0"/>
    <w:rsid w:val="267B2D5A"/>
    <w:rsid w:val="267EDFAE"/>
    <w:rsid w:val="2684B136"/>
    <w:rsid w:val="268DB6D7"/>
    <w:rsid w:val="268E9BA4"/>
    <w:rsid w:val="2690305F"/>
    <w:rsid w:val="26940DF0"/>
    <w:rsid w:val="26985843"/>
    <w:rsid w:val="2698CCF1"/>
    <w:rsid w:val="26994679"/>
    <w:rsid w:val="26998E78"/>
    <w:rsid w:val="269998B6"/>
    <w:rsid w:val="269F72DB"/>
    <w:rsid w:val="26A4E302"/>
    <w:rsid w:val="26A88C0C"/>
    <w:rsid w:val="26AD7AAF"/>
    <w:rsid w:val="26AE5061"/>
    <w:rsid w:val="26B2C2F8"/>
    <w:rsid w:val="26B89765"/>
    <w:rsid w:val="26BBB69C"/>
    <w:rsid w:val="26BE479B"/>
    <w:rsid w:val="26BE881E"/>
    <w:rsid w:val="26BFFD62"/>
    <w:rsid w:val="26C0AA84"/>
    <w:rsid w:val="26C406F2"/>
    <w:rsid w:val="26CA6D7D"/>
    <w:rsid w:val="26CA9FC0"/>
    <w:rsid w:val="26D34A56"/>
    <w:rsid w:val="26DC2429"/>
    <w:rsid w:val="26DCD7F4"/>
    <w:rsid w:val="26E1715C"/>
    <w:rsid w:val="26E8BC15"/>
    <w:rsid w:val="26E9CA33"/>
    <w:rsid w:val="26ED8402"/>
    <w:rsid w:val="26EE2767"/>
    <w:rsid w:val="26F3D949"/>
    <w:rsid w:val="26F9C077"/>
    <w:rsid w:val="26FB7A1C"/>
    <w:rsid w:val="26FD7062"/>
    <w:rsid w:val="26FF4B5C"/>
    <w:rsid w:val="270395A7"/>
    <w:rsid w:val="2706AD26"/>
    <w:rsid w:val="27070131"/>
    <w:rsid w:val="2719F4EE"/>
    <w:rsid w:val="271B1D62"/>
    <w:rsid w:val="271C348E"/>
    <w:rsid w:val="271CD365"/>
    <w:rsid w:val="2726EC82"/>
    <w:rsid w:val="272A0305"/>
    <w:rsid w:val="272AF6A5"/>
    <w:rsid w:val="272B04EA"/>
    <w:rsid w:val="272CE120"/>
    <w:rsid w:val="272E49CF"/>
    <w:rsid w:val="27310414"/>
    <w:rsid w:val="2731C2FB"/>
    <w:rsid w:val="27325B6A"/>
    <w:rsid w:val="27342C6A"/>
    <w:rsid w:val="273C51A2"/>
    <w:rsid w:val="273CEF00"/>
    <w:rsid w:val="274167C2"/>
    <w:rsid w:val="274AFD59"/>
    <w:rsid w:val="274D525B"/>
    <w:rsid w:val="274DFEE9"/>
    <w:rsid w:val="274F33C7"/>
    <w:rsid w:val="2751F247"/>
    <w:rsid w:val="275396D8"/>
    <w:rsid w:val="2754FE5E"/>
    <w:rsid w:val="2758697F"/>
    <w:rsid w:val="275B1C3D"/>
    <w:rsid w:val="275DEEDC"/>
    <w:rsid w:val="275E9EBF"/>
    <w:rsid w:val="2762B826"/>
    <w:rsid w:val="27665662"/>
    <w:rsid w:val="276795CC"/>
    <w:rsid w:val="276E639E"/>
    <w:rsid w:val="276FC2E7"/>
    <w:rsid w:val="2773CB0D"/>
    <w:rsid w:val="2774F1EF"/>
    <w:rsid w:val="277880A8"/>
    <w:rsid w:val="2778BB34"/>
    <w:rsid w:val="277A8AB3"/>
    <w:rsid w:val="277C8E17"/>
    <w:rsid w:val="277D1603"/>
    <w:rsid w:val="2781CCF9"/>
    <w:rsid w:val="278E2C18"/>
    <w:rsid w:val="278E6C6B"/>
    <w:rsid w:val="27988FEA"/>
    <w:rsid w:val="279AD3DA"/>
    <w:rsid w:val="27A6BB91"/>
    <w:rsid w:val="27A7617A"/>
    <w:rsid w:val="27A7972D"/>
    <w:rsid w:val="27AA44AB"/>
    <w:rsid w:val="27AE06A5"/>
    <w:rsid w:val="27B730A9"/>
    <w:rsid w:val="27C03082"/>
    <w:rsid w:val="27C051FC"/>
    <w:rsid w:val="27C10E0B"/>
    <w:rsid w:val="27C2A9E7"/>
    <w:rsid w:val="27C2E64F"/>
    <w:rsid w:val="27C4AAB0"/>
    <w:rsid w:val="27C71B11"/>
    <w:rsid w:val="27CD2A0A"/>
    <w:rsid w:val="27CF7F9D"/>
    <w:rsid w:val="27E0989C"/>
    <w:rsid w:val="27E222DC"/>
    <w:rsid w:val="27E903D6"/>
    <w:rsid w:val="27F12286"/>
    <w:rsid w:val="27F48621"/>
    <w:rsid w:val="27F5E586"/>
    <w:rsid w:val="27FA8E51"/>
    <w:rsid w:val="27FD8D5C"/>
    <w:rsid w:val="27FE394A"/>
    <w:rsid w:val="27FF0B70"/>
    <w:rsid w:val="280244C1"/>
    <w:rsid w:val="280282A9"/>
    <w:rsid w:val="2802F1F8"/>
    <w:rsid w:val="2804F737"/>
    <w:rsid w:val="2805743B"/>
    <w:rsid w:val="28084A41"/>
    <w:rsid w:val="28085FCA"/>
    <w:rsid w:val="280B2D96"/>
    <w:rsid w:val="280BCA0D"/>
    <w:rsid w:val="28118F63"/>
    <w:rsid w:val="2816AFCA"/>
    <w:rsid w:val="2818F766"/>
    <w:rsid w:val="2819178A"/>
    <w:rsid w:val="2819C9F3"/>
    <w:rsid w:val="281A7F33"/>
    <w:rsid w:val="281BEA9F"/>
    <w:rsid w:val="281E91BD"/>
    <w:rsid w:val="281F7B8C"/>
    <w:rsid w:val="28217632"/>
    <w:rsid w:val="282A5DE3"/>
    <w:rsid w:val="282C549A"/>
    <w:rsid w:val="282FE9D3"/>
    <w:rsid w:val="2833E4C0"/>
    <w:rsid w:val="28349D52"/>
    <w:rsid w:val="28373BCD"/>
    <w:rsid w:val="2841E9B6"/>
    <w:rsid w:val="28427413"/>
    <w:rsid w:val="2842A9E9"/>
    <w:rsid w:val="28436149"/>
    <w:rsid w:val="284ABD82"/>
    <w:rsid w:val="284B848E"/>
    <w:rsid w:val="284BA89E"/>
    <w:rsid w:val="284BB5E7"/>
    <w:rsid w:val="28521683"/>
    <w:rsid w:val="285ADE55"/>
    <w:rsid w:val="2862F796"/>
    <w:rsid w:val="2867B40B"/>
    <w:rsid w:val="2869FB06"/>
    <w:rsid w:val="286A4E3D"/>
    <w:rsid w:val="286AB3B4"/>
    <w:rsid w:val="286BC0B5"/>
    <w:rsid w:val="286D3620"/>
    <w:rsid w:val="28713E10"/>
    <w:rsid w:val="2876D86C"/>
    <w:rsid w:val="287C29E8"/>
    <w:rsid w:val="28824732"/>
    <w:rsid w:val="2885C939"/>
    <w:rsid w:val="2887D8B9"/>
    <w:rsid w:val="288ABF33"/>
    <w:rsid w:val="28982DD6"/>
    <w:rsid w:val="2899D028"/>
    <w:rsid w:val="289B25EC"/>
    <w:rsid w:val="28A270B3"/>
    <w:rsid w:val="28A61186"/>
    <w:rsid w:val="28AC825B"/>
    <w:rsid w:val="28ACA278"/>
    <w:rsid w:val="28AD79E3"/>
    <w:rsid w:val="28B0D0B4"/>
    <w:rsid w:val="28B23DC5"/>
    <w:rsid w:val="28BA4EED"/>
    <w:rsid w:val="28BE3228"/>
    <w:rsid w:val="28C1C60E"/>
    <w:rsid w:val="28C22359"/>
    <w:rsid w:val="28CF86CE"/>
    <w:rsid w:val="28D0ECD1"/>
    <w:rsid w:val="28D3687D"/>
    <w:rsid w:val="28D88FFF"/>
    <w:rsid w:val="28D8F76D"/>
    <w:rsid w:val="28D94F35"/>
    <w:rsid w:val="28D96692"/>
    <w:rsid w:val="28DE1629"/>
    <w:rsid w:val="28E040C2"/>
    <w:rsid w:val="28E06562"/>
    <w:rsid w:val="28E41911"/>
    <w:rsid w:val="28E67F4E"/>
    <w:rsid w:val="28E70389"/>
    <w:rsid w:val="28E70FA5"/>
    <w:rsid w:val="28ECF9E3"/>
    <w:rsid w:val="28EF56B9"/>
    <w:rsid w:val="28F072DE"/>
    <w:rsid w:val="28F0B66D"/>
    <w:rsid w:val="28F112B9"/>
    <w:rsid w:val="28F45688"/>
    <w:rsid w:val="28F4EBB7"/>
    <w:rsid w:val="28F84ADF"/>
    <w:rsid w:val="28F9DBDF"/>
    <w:rsid w:val="28FB4DD2"/>
    <w:rsid w:val="28FCACE9"/>
    <w:rsid w:val="28FFC116"/>
    <w:rsid w:val="29008195"/>
    <w:rsid w:val="29017171"/>
    <w:rsid w:val="2909EE96"/>
    <w:rsid w:val="290BB515"/>
    <w:rsid w:val="290CF3A7"/>
    <w:rsid w:val="290EBBC2"/>
    <w:rsid w:val="291043A7"/>
    <w:rsid w:val="291224ED"/>
    <w:rsid w:val="2914C24F"/>
    <w:rsid w:val="2915BA0A"/>
    <w:rsid w:val="2917FEC8"/>
    <w:rsid w:val="292034D6"/>
    <w:rsid w:val="2924F26B"/>
    <w:rsid w:val="29251C17"/>
    <w:rsid w:val="2925AF79"/>
    <w:rsid w:val="292E35EA"/>
    <w:rsid w:val="2932EE2F"/>
    <w:rsid w:val="2935F28D"/>
    <w:rsid w:val="29385F53"/>
    <w:rsid w:val="293B3422"/>
    <w:rsid w:val="293C2883"/>
    <w:rsid w:val="2941775E"/>
    <w:rsid w:val="2944A5A9"/>
    <w:rsid w:val="294795E5"/>
    <w:rsid w:val="29491BEF"/>
    <w:rsid w:val="294B0EBF"/>
    <w:rsid w:val="294B9475"/>
    <w:rsid w:val="294DDE1A"/>
    <w:rsid w:val="29587C30"/>
    <w:rsid w:val="29588FBF"/>
    <w:rsid w:val="2959228C"/>
    <w:rsid w:val="2961FFD6"/>
    <w:rsid w:val="29634FF2"/>
    <w:rsid w:val="2963A70C"/>
    <w:rsid w:val="2966D83D"/>
    <w:rsid w:val="2967E74C"/>
    <w:rsid w:val="296C1081"/>
    <w:rsid w:val="2971539E"/>
    <w:rsid w:val="297337AF"/>
    <w:rsid w:val="2974C757"/>
    <w:rsid w:val="297622E0"/>
    <w:rsid w:val="29774B31"/>
    <w:rsid w:val="297B29DE"/>
    <w:rsid w:val="2981565A"/>
    <w:rsid w:val="2981B0FC"/>
    <w:rsid w:val="2984498E"/>
    <w:rsid w:val="29870931"/>
    <w:rsid w:val="29883567"/>
    <w:rsid w:val="298981F3"/>
    <w:rsid w:val="298A98FB"/>
    <w:rsid w:val="299923AC"/>
    <w:rsid w:val="299A31FD"/>
    <w:rsid w:val="299D2CFE"/>
    <w:rsid w:val="29AD8DE7"/>
    <w:rsid w:val="29B2089E"/>
    <w:rsid w:val="29B455B8"/>
    <w:rsid w:val="29B50114"/>
    <w:rsid w:val="29BC0657"/>
    <w:rsid w:val="29BD7401"/>
    <w:rsid w:val="29BDDD52"/>
    <w:rsid w:val="29C28C7F"/>
    <w:rsid w:val="29C71A8F"/>
    <w:rsid w:val="29CA5751"/>
    <w:rsid w:val="29CD1CEC"/>
    <w:rsid w:val="29CDDADB"/>
    <w:rsid w:val="29D4BAB1"/>
    <w:rsid w:val="29DC516C"/>
    <w:rsid w:val="29DDBF94"/>
    <w:rsid w:val="29E10759"/>
    <w:rsid w:val="29E1E22F"/>
    <w:rsid w:val="29EF9BB8"/>
    <w:rsid w:val="29FCB3FB"/>
    <w:rsid w:val="29FDCAB5"/>
    <w:rsid w:val="2A0358DD"/>
    <w:rsid w:val="2A05C1D1"/>
    <w:rsid w:val="2A06F329"/>
    <w:rsid w:val="2A07DB59"/>
    <w:rsid w:val="2A0A06A2"/>
    <w:rsid w:val="2A0ABE3F"/>
    <w:rsid w:val="2A0AF461"/>
    <w:rsid w:val="2A0DA9AF"/>
    <w:rsid w:val="2A103317"/>
    <w:rsid w:val="2A11FAFD"/>
    <w:rsid w:val="2A142550"/>
    <w:rsid w:val="2A16F83F"/>
    <w:rsid w:val="2A173F84"/>
    <w:rsid w:val="2A1EF726"/>
    <w:rsid w:val="2A2822C7"/>
    <w:rsid w:val="2A2E4108"/>
    <w:rsid w:val="2A324E5A"/>
    <w:rsid w:val="2A32F07D"/>
    <w:rsid w:val="2A3674EF"/>
    <w:rsid w:val="2A370D63"/>
    <w:rsid w:val="2A38A871"/>
    <w:rsid w:val="2A3ACB53"/>
    <w:rsid w:val="2A3C4514"/>
    <w:rsid w:val="2A3E45FC"/>
    <w:rsid w:val="2A3EC0F6"/>
    <w:rsid w:val="2A41B00F"/>
    <w:rsid w:val="2A4323B2"/>
    <w:rsid w:val="2A500113"/>
    <w:rsid w:val="2A51BC75"/>
    <w:rsid w:val="2A53FFFC"/>
    <w:rsid w:val="2A55128D"/>
    <w:rsid w:val="2A5EFE85"/>
    <w:rsid w:val="2A5F6465"/>
    <w:rsid w:val="2A65043D"/>
    <w:rsid w:val="2A67423C"/>
    <w:rsid w:val="2A6B420B"/>
    <w:rsid w:val="2A73D318"/>
    <w:rsid w:val="2A79FC7A"/>
    <w:rsid w:val="2A7AB30B"/>
    <w:rsid w:val="2A7B419B"/>
    <w:rsid w:val="2A7BD457"/>
    <w:rsid w:val="2A7E7C9C"/>
    <w:rsid w:val="2A8246B6"/>
    <w:rsid w:val="2A83AF56"/>
    <w:rsid w:val="2A8AF2C7"/>
    <w:rsid w:val="2A8C433F"/>
    <w:rsid w:val="2A8D0F2E"/>
    <w:rsid w:val="2A8E887D"/>
    <w:rsid w:val="2A8EA18A"/>
    <w:rsid w:val="2A941A33"/>
    <w:rsid w:val="2A9671B0"/>
    <w:rsid w:val="2A971497"/>
    <w:rsid w:val="2A97A8D7"/>
    <w:rsid w:val="2A9808DE"/>
    <w:rsid w:val="2A99BC5F"/>
    <w:rsid w:val="2A9C3007"/>
    <w:rsid w:val="2A9E1A4C"/>
    <w:rsid w:val="2AA0CAE0"/>
    <w:rsid w:val="2AA19292"/>
    <w:rsid w:val="2AA1AB97"/>
    <w:rsid w:val="2AA2F682"/>
    <w:rsid w:val="2AA32661"/>
    <w:rsid w:val="2AA58916"/>
    <w:rsid w:val="2AB26A65"/>
    <w:rsid w:val="2AB30FAA"/>
    <w:rsid w:val="2AB93DC0"/>
    <w:rsid w:val="2AB959FA"/>
    <w:rsid w:val="2ABA6F84"/>
    <w:rsid w:val="2ABDB14F"/>
    <w:rsid w:val="2AC36A72"/>
    <w:rsid w:val="2AC46A4B"/>
    <w:rsid w:val="2AC48FB1"/>
    <w:rsid w:val="2AC7B57D"/>
    <w:rsid w:val="2AC857F9"/>
    <w:rsid w:val="2ACEF62B"/>
    <w:rsid w:val="2AD0EE5A"/>
    <w:rsid w:val="2AD53EB7"/>
    <w:rsid w:val="2ADB6E60"/>
    <w:rsid w:val="2ADDBB8F"/>
    <w:rsid w:val="2AE42E7C"/>
    <w:rsid w:val="2AE8EDDB"/>
    <w:rsid w:val="2AEB72AE"/>
    <w:rsid w:val="2AEDAD1A"/>
    <w:rsid w:val="2AEE91AD"/>
    <w:rsid w:val="2AEF7920"/>
    <w:rsid w:val="2AEFA465"/>
    <w:rsid w:val="2AF15F6C"/>
    <w:rsid w:val="2AF55491"/>
    <w:rsid w:val="2AF5CE83"/>
    <w:rsid w:val="2AF6CD04"/>
    <w:rsid w:val="2AF7247D"/>
    <w:rsid w:val="2AFA283C"/>
    <w:rsid w:val="2AFE810D"/>
    <w:rsid w:val="2AFFA5B5"/>
    <w:rsid w:val="2B0228E9"/>
    <w:rsid w:val="2B0395D4"/>
    <w:rsid w:val="2B07138F"/>
    <w:rsid w:val="2B084EFD"/>
    <w:rsid w:val="2B0C1699"/>
    <w:rsid w:val="2B0DDF00"/>
    <w:rsid w:val="2B0E86E1"/>
    <w:rsid w:val="2B10355D"/>
    <w:rsid w:val="2B11602F"/>
    <w:rsid w:val="2B15B099"/>
    <w:rsid w:val="2B16F0C6"/>
    <w:rsid w:val="2B19C40C"/>
    <w:rsid w:val="2B1ACAC5"/>
    <w:rsid w:val="2B1BC954"/>
    <w:rsid w:val="2B1D7DFE"/>
    <w:rsid w:val="2B210083"/>
    <w:rsid w:val="2B266762"/>
    <w:rsid w:val="2B27E638"/>
    <w:rsid w:val="2B2834A6"/>
    <w:rsid w:val="2B2AAAE8"/>
    <w:rsid w:val="2B2ABE19"/>
    <w:rsid w:val="2B2EDFDC"/>
    <w:rsid w:val="2B321ADE"/>
    <w:rsid w:val="2B356485"/>
    <w:rsid w:val="2B3BCA0A"/>
    <w:rsid w:val="2B3F6B02"/>
    <w:rsid w:val="2B44BD69"/>
    <w:rsid w:val="2B45AA68"/>
    <w:rsid w:val="2B47C774"/>
    <w:rsid w:val="2B4C4087"/>
    <w:rsid w:val="2B4EF451"/>
    <w:rsid w:val="2B51900E"/>
    <w:rsid w:val="2B51ED2E"/>
    <w:rsid w:val="2B5C1878"/>
    <w:rsid w:val="2B5C67C9"/>
    <w:rsid w:val="2B5CD629"/>
    <w:rsid w:val="2B5FB73F"/>
    <w:rsid w:val="2B619382"/>
    <w:rsid w:val="2B650187"/>
    <w:rsid w:val="2B652BD6"/>
    <w:rsid w:val="2B6650DE"/>
    <w:rsid w:val="2B68409F"/>
    <w:rsid w:val="2B6BCDBB"/>
    <w:rsid w:val="2B6C2E69"/>
    <w:rsid w:val="2B6F9815"/>
    <w:rsid w:val="2B6FB0C6"/>
    <w:rsid w:val="2B71EA79"/>
    <w:rsid w:val="2B72EF1F"/>
    <w:rsid w:val="2B77C7D3"/>
    <w:rsid w:val="2B7BE323"/>
    <w:rsid w:val="2B863314"/>
    <w:rsid w:val="2B86DE40"/>
    <w:rsid w:val="2B8E0E9E"/>
    <w:rsid w:val="2B8F28E4"/>
    <w:rsid w:val="2B92112E"/>
    <w:rsid w:val="2B9351DE"/>
    <w:rsid w:val="2B96258E"/>
    <w:rsid w:val="2B9AE0A1"/>
    <w:rsid w:val="2B9E107F"/>
    <w:rsid w:val="2B9E5EB7"/>
    <w:rsid w:val="2B9FEF31"/>
    <w:rsid w:val="2BA0FDBD"/>
    <w:rsid w:val="2BA4D9C0"/>
    <w:rsid w:val="2BAA2BDB"/>
    <w:rsid w:val="2BAA76B1"/>
    <w:rsid w:val="2BAB72EA"/>
    <w:rsid w:val="2BAD89B6"/>
    <w:rsid w:val="2BAEDACC"/>
    <w:rsid w:val="2BB1A560"/>
    <w:rsid w:val="2BB1FF80"/>
    <w:rsid w:val="2BB4963C"/>
    <w:rsid w:val="2BBB1448"/>
    <w:rsid w:val="2BBFE1AC"/>
    <w:rsid w:val="2BC70C93"/>
    <w:rsid w:val="2BCAA0D0"/>
    <w:rsid w:val="2BCB2AA1"/>
    <w:rsid w:val="2BD372E4"/>
    <w:rsid w:val="2BD3BC99"/>
    <w:rsid w:val="2BDE1202"/>
    <w:rsid w:val="2BDEDDE4"/>
    <w:rsid w:val="2BE015EC"/>
    <w:rsid w:val="2BE035AC"/>
    <w:rsid w:val="2BE43E96"/>
    <w:rsid w:val="2BE44BCB"/>
    <w:rsid w:val="2BE54EDA"/>
    <w:rsid w:val="2BE7814A"/>
    <w:rsid w:val="2BE8D8C7"/>
    <w:rsid w:val="2BE8FC3D"/>
    <w:rsid w:val="2BEAD5F7"/>
    <w:rsid w:val="2BEC233F"/>
    <w:rsid w:val="2BF3B112"/>
    <w:rsid w:val="2BF9EFF0"/>
    <w:rsid w:val="2BFAE906"/>
    <w:rsid w:val="2BFDD912"/>
    <w:rsid w:val="2C00DB01"/>
    <w:rsid w:val="2C060C0D"/>
    <w:rsid w:val="2C0972DD"/>
    <w:rsid w:val="2C0A1C8B"/>
    <w:rsid w:val="2C0A86CA"/>
    <w:rsid w:val="2C0B1AEC"/>
    <w:rsid w:val="2C0B9711"/>
    <w:rsid w:val="2C0DD0F3"/>
    <w:rsid w:val="2C12EEB9"/>
    <w:rsid w:val="2C1574C0"/>
    <w:rsid w:val="2C1B4B31"/>
    <w:rsid w:val="2C1CA411"/>
    <w:rsid w:val="2C20CA27"/>
    <w:rsid w:val="2C2AE3F2"/>
    <w:rsid w:val="2C2BB830"/>
    <w:rsid w:val="2C2C4D9E"/>
    <w:rsid w:val="2C2D759E"/>
    <w:rsid w:val="2C2DAD84"/>
    <w:rsid w:val="2C2DD4A9"/>
    <w:rsid w:val="2C313EBC"/>
    <w:rsid w:val="2C3584F3"/>
    <w:rsid w:val="2C3C23EB"/>
    <w:rsid w:val="2C3D2148"/>
    <w:rsid w:val="2C3DA5BF"/>
    <w:rsid w:val="2C42F897"/>
    <w:rsid w:val="2C4446DF"/>
    <w:rsid w:val="2C470327"/>
    <w:rsid w:val="2C4941CF"/>
    <w:rsid w:val="2C4B055D"/>
    <w:rsid w:val="2C4B0BD1"/>
    <w:rsid w:val="2C4D9DD7"/>
    <w:rsid w:val="2C4EE38C"/>
    <w:rsid w:val="2C515091"/>
    <w:rsid w:val="2C54F24A"/>
    <w:rsid w:val="2C54FFD2"/>
    <w:rsid w:val="2C598EF5"/>
    <w:rsid w:val="2C66E300"/>
    <w:rsid w:val="2C677BB3"/>
    <w:rsid w:val="2C6A653C"/>
    <w:rsid w:val="2C6D87BF"/>
    <w:rsid w:val="2C6F3CEC"/>
    <w:rsid w:val="2C70DBDA"/>
    <w:rsid w:val="2C714FA8"/>
    <w:rsid w:val="2C71705A"/>
    <w:rsid w:val="2C71A1B9"/>
    <w:rsid w:val="2C75789F"/>
    <w:rsid w:val="2C7F3BDB"/>
    <w:rsid w:val="2C802B3F"/>
    <w:rsid w:val="2C802C1C"/>
    <w:rsid w:val="2C82D6DC"/>
    <w:rsid w:val="2C852942"/>
    <w:rsid w:val="2C863F4D"/>
    <w:rsid w:val="2C870556"/>
    <w:rsid w:val="2C93632A"/>
    <w:rsid w:val="2C9407AC"/>
    <w:rsid w:val="2C94607A"/>
    <w:rsid w:val="2C963571"/>
    <w:rsid w:val="2C971C57"/>
    <w:rsid w:val="2C9E184F"/>
    <w:rsid w:val="2C9FF536"/>
    <w:rsid w:val="2CA0528E"/>
    <w:rsid w:val="2CA17940"/>
    <w:rsid w:val="2CA377F8"/>
    <w:rsid w:val="2CA7EBE2"/>
    <w:rsid w:val="2CA95A41"/>
    <w:rsid w:val="2CA96114"/>
    <w:rsid w:val="2CABBCDE"/>
    <w:rsid w:val="2CAC844D"/>
    <w:rsid w:val="2CB09172"/>
    <w:rsid w:val="2CB0B0C0"/>
    <w:rsid w:val="2CB20565"/>
    <w:rsid w:val="2CB22BBF"/>
    <w:rsid w:val="2CB6E866"/>
    <w:rsid w:val="2CB7869A"/>
    <w:rsid w:val="2CBD947F"/>
    <w:rsid w:val="2CC08CCC"/>
    <w:rsid w:val="2CC11DBF"/>
    <w:rsid w:val="2CC63A9E"/>
    <w:rsid w:val="2CCD2527"/>
    <w:rsid w:val="2CD6778C"/>
    <w:rsid w:val="2CDF92B5"/>
    <w:rsid w:val="2CE23367"/>
    <w:rsid w:val="2CE3890A"/>
    <w:rsid w:val="2CE587B4"/>
    <w:rsid w:val="2CE82652"/>
    <w:rsid w:val="2CE89699"/>
    <w:rsid w:val="2CEA1990"/>
    <w:rsid w:val="2CEB2361"/>
    <w:rsid w:val="2CEE2684"/>
    <w:rsid w:val="2CF26E07"/>
    <w:rsid w:val="2CF64252"/>
    <w:rsid w:val="2CF7F52F"/>
    <w:rsid w:val="2CFB835E"/>
    <w:rsid w:val="2CFBBF75"/>
    <w:rsid w:val="2CFCD6B4"/>
    <w:rsid w:val="2CFDA423"/>
    <w:rsid w:val="2CFEE9E2"/>
    <w:rsid w:val="2D00A26E"/>
    <w:rsid w:val="2D04D432"/>
    <w:rsid w:val="2D05095C"/>
    <w:rsid w:val="2D0B1EAA"/>
    <w:rsid w:val="2D0B3888"/>
    <w:rsid w:val="2D0BCC1B"/>
    <w:rsid w:val="2D0CC262"/>
    <w:rsid w:val="2D0F9FF4"/>
    <w:rsid w:val="2D1131D7"/>
    <w:rsid w:val="2D1216EA"/>
    <w:rsid w:val="2D164AEA"/>
    <w:rsid w:val="2D173FCA"/>
    <w:rsid w:val="2D19A873"/>
    <w:rsid w:val="2D1D81FB"/>
    <w:rsid w:val="2D1E0D1C"/>
    <w:rsid w:val="2D280A16"/>
    <w:rsid w:val="2D285741"/>
    <w:rsid w:val="2D2A6134"/>
    <w:rsid w:val="2D2C476C"/>
    <w:rsid w:val="2D2D4BA6"/>
    <w:rsid w:val="2D351F4E"/>
    <w:rsid w:val="2D3A17D1"/>
    <w:rsid w:val="2D3C5F47"/>
    <w:rsid w:val="2D3D36CD"/>
    <w:rsid w:val="2D40F0FE"/>
    <w:rsid w:val="2D430C48"/>
    <w:rsid w:val="2D45B4CA"/>
    <w:rsid w:val="2D46A852"/>
    <w:rsid w:val="2D4AC4B1"/>
    <w:rsid w:val="2D4B4CAD"/>
    <w:rsid w:val="2D4B7E4E"/>
    <w:rsid w:val="2D4D36BF"/>
    <w:rsid w:val="2D505E9A"/>
    <w:rsid w:val="2D5AAAE5"/>
    <w:rsid w:val="2D62443D"/>
    <w:rsid w:val="2D6281C1"/>
    <w:rsid w:val="2D62E765"/>
    <w:rsid w:val="2D6457E9"/>
    <w:rsid w:val="2D70322A"/>
    <w:rsid w:val="2D71CA64"/>
    <w:rsid w:val="2D75FA43"/>
    <w:rsid w:val="2D764722"/>
    <w:rsid w:val="2D7A2451"/>
    <w:rsid w:val="2D7E3AF8"/>
    <w:rsid w:val="2D822455"/>
    <w:rsid w:val="2D8719AA"/>
    <w:rsid w:val="2D8B6AD8"/>
    <w:rsid w:val="2D8D3156"/>
    <w:rsid w:val="2D8E02B8"/>
    <w:rsid w:val="2D95D0C7"/>
    <w:rsid w:val="2D976D57"/>
    <w:rsid w:val="2DA52F9A"/>
    <w:rsid w:val="2DA7DB27"/>
    <w:rsid w:val="2DA8561C"/>
    <w:rsid w:val="2DA91E1E"/>
    <w:rsid w:val="2DAA8393"/>
    <w:rsid w:val="2DABADCA"/>
    <w:rsid w:val="2DAD2AC9"/>
    <w:rsid w:val="2DAEC081"/>
    <w:rsid w:val="2DAF8E4C"/>
    <w:rsid w:val="2DBB73C2"/>
    <w:rsid w:val="2DBCC632"/>
    <w:rsid w:val="2DBCCC56"/>
    <w:rsid w:val="2DC1F148"/>
    <w:rsid w:val="2DC85D80"/>
    <w:rsid w:val="2DCA2019"/>
    <w:rsid w:val="2DCD1556"/>
    <w:rsid w:val="2DCD733F"/>
    <w:rsid w:val="2DD04432"/>
    <w:rsid w:val="2DD1196A"/>
    <w:rsid w:val="2DD44AA9"/>
    <w:rsid w:val="2DD675E8"/>
    <w:rsid w:val="2DD6F885"/>
    <w:rsid w:val="2DD8E7E9"/>
    <w:rsid w:val="2DDE4AD4"/>
    <w:rsid w:val="2DDF20E6"/>
    <w:rsid w:val="2DE3C4A3"/>
    <w:rsid w:val="2DE3E980"/>
    <w:rsid w:val="2DE6755F"/>
    <w:rsid w:val="2DE77543"/>
    <w:rsid w:val="2DEA27AE"/>
    <w:rsid w:val="2DEA44AB"/>
    <w:rsid w:val="2DEC2563"/>
    <w:rsid w:val="2DECAD90"/>
    <w:rsid w:val="2DF1D985"/>
    <w:rsid w:val="2DF321AE"/>
    <w:rsid w:val="2DF47472"/>
    <w:rsid w:val="2DF9D03B"/>
    <w:rsid w:val="2E00ED70"/>
    <w:rsid w:val="2E04D321"/>
    <w:rsid w:val="2E07515D"/>
    <w:rsid w:val="2E1380EA"/>
    <w:rsid w:val="2E15D928"/>
    <w:rsid w:val="2E15DFB5"/>
    <w:rsid w:val="2E1C048E"/>
    <w:rsid w:val="2E1D3C3F"/>
    <w:rsid w:val="2E203AF5"/>
    <w:rsid w:val="2E204928"/>
    <w:rsid w:val="2E24F3D0"/>
    <w:rsid w:val="2E25B878"/>
    <w:rsid w:val="2E268492"/>
    <w:rsid w:val="2E2F4A88"/>
    <w:rsid w:val="2E318A37"/>
    <w:rsid w:val="2E38082C"/>
    <w:rsid w:val="2E390FCA"/>
    <w:rsid w:val="2E3CFF00"/>
    <w:rsid w:val="2E45F623"/>
    <w:rsid w:val="2E4674CC"/>
    <w:rsid w:val="2E478C77"/>
    <w:rsid w:val="2E482022"/>
    <w:rsid w:val="2E4C71EF"/>
    <w:rsid w:val="2E4DE398"/>
    <w:rsid w:val="2E54F2A8"/>
    <w:rsid w:val="2E586E6E"/>
    <w:rsid w:val="2E5A9E80"/>
    <w:rsid w:val="2E5FDE5D"/>
    <w:rsid w:val="2E61A40C"/>
    <w:rsid w:val="2E63DC52"/>
    <w:rsid w:val="2E6A9901"/>
    <w:rsid w:val="2E6C55DA"/>
    <w:rsid w:val="2E6DF235"/>
    <w:rsid w:val="2E6FB49F"/>
    <w:rsid w:val="2E711636"/>
    <w:rsid w:val="2E747060"/>
    <w:rsid w:val="2E74D453"/>
    <w:rsid w:val="2E758A5D"/>
    <w:rsid w:val="2E7A6D9D"/>
    <w:rsid w:val="2E7B6B54"/>
    <w:rsid w:val="2E7F63F1"/>
    <w:rsid w:val="2E7F7FFB"/>
    <w:rsid w:val="2E7F9E33"/>
    <w:rsid w:val="2E7FADAF"/>
    <w:rsid w:val="2E7FCA30"/>
    <w:rsid w:val="2E8258BF"/>
    <w:rsid w:val="2E860C79"/>
    <w:rsid w:val="2E8C5140"/>
    <w:rsid w:val="2E90980A"/>
    <w:rsid w:val="2E9520A5"/>
    <w:rsid w:val="2E972C25"/>
    <w:rsid w:val="2E9D629A"/>
    <w:rsid w:val="2EA4C261"/>
    <w:rsid w:val="2EAA09B7"/>
    <w:rsid w:val="2EABF7B7"/>
    <w:rsid w:val="2EB0A126"/>
    <w:rsid w:val="2EB2AE53"/>
    <w:rsid w:val="2EB30CE5"/>
    <w:rsid w:val="2EB34017"/>
    <w:rsid w:val="2EB63DDE"/>
    <w:rsid w:val="2EB89C1D"/>
    <w:rsid w:val="2EBB1DC2"/>
    <w:rsid w:val="2EC31B7A"/>
    <w:rsid w:val="2EC420CE"/>
    <w:rsid w:val="2EC795DA"/>
    <w:rsid w:val="2ED065D5"/>
    <w:rsid w:val="2ED2359F"/>
    <w:rsid w:val="2ED5CB59"/>
    <w:rsid w:val="2ED75903"/>
    <w:rsid w:val="2ED84B2F"/>
    <w:rsid w:val="2EDC6977"/>
    <w:rsid w:val="2EDE5F76"/>
    <w:rsid w:val="2EE53F07"/>
    <w:rsid w:val="2EE64AE1"/>
    <w:rsid w:val="2EE82915"/>
    <w:rsid w:val="2EE8C452"/>
    <w:rsid w:val="2EEAB1AC"/>
    <w:rsid w:val="2EEC3644"/>
    <w:rsid w:val="2EEC70DD"/>
    <w:rsid w:val="2EED318C"/>
    <w:rsid w:val="2EEF15F2"/>
    <w:rsid w:val="2EF0602B"/>
    <w:rsid w:val="2EF17A18"/>
    <w:rsid w:val="2EF34D24"/>
    <w:rsid w:val="2EF3D59D"/>
    <w:rsid w:val="2EF4CE6B"/>
    <w:rsid w:val="2EF54AB6"/>
    <w:rsid w:val="2EF64F77"/>
    <w:rsid w:val="2EF762C3"/>
    <w:rsid w:val="2EF7A2D7"/>
    <w:rsid w:val="2EF94533"/>
    <w:rsid w:val="2EFE3E37"/>
    <w:rsid w:val="2F00C818"/>
    <w:rsid w:val="2F024A48"/>
    <w:rsid w:val="2F0CE83F"/>
    <w:rsid w:val="2F0F2742"/>
    <w:rsid w:val="2F10792D"/>
    <w:rsid w:val="2F17F13B"/>
    <w:rsid w:val="2F1CE450"/>
    <w:rsid w:val="2F20A56F"/>
    <w:rsid w:val="2F26D9E2"/>
    <w:rsid w:val="2F27B4A2"/>
    <w:rsid w:val="2F27CB1A"/>
    <w:rsid w:val="2F2802BC"/>
    <w:rsid w:val="2F288AF6"/>
    <w:rsid w:val="2F28F903"/>
    <w:rsid w:val="2F2A56BD"/>
    <w:rsid w:val="2F2CC55B"/>
    <w:rsid w:val="2F2FD00F"/>
    <w:rsid w:val="2F338C78"/>
    <w:rsid w:val="2F34FBAA"/>
    <w:rsid w:val="2F3F0BD1"/>
    <w:rsid w:val="2F3F7DFD"/>
    <w:rsid w:val="2F464FC1"/>
    <w:rsid w:val="2F4E648D"/>
    <w:rsid w:val="2F4E66FB"/>
    <w:rsid w:val="2F4F082F"/>
    <w:rsid w:val="2F52FE92"/>
    <w:rsid w:val="2F571467"/>
    <w:rsid w:val="2F577655"/>
    <w:rsid w:val="2F5896EA"/>
    <w:rsid w:val="2F597F02"/>
    <w:rsid w:val="2F59F4CD"/>
    <w:rsid w:val="2F5AA4BF"/>
    <w:rsid w:val="2F5B380F"/>
    <w:rsid w:val="2F5FB429"/>
    <w:rsid w:val="2F6179DB"/>
    <w:rsid w:val="2F6347BE"/>
    <w:rsid w:val="2F69C3B0"/>
    <w:rsid w:val="2F69FFF9"/>
    <w:rsid w:val="2F707002"/>
    <w:rsid w:val="2F7BFCD0"/>
    <w:rsid w:val="2F7C570C"/>
    <w:rsid w:val="2F7ED8F1"/>
    <w:rsid w:val="2F7FAF33"/>
    <w:rsid w:val="2F81E30E"/>
    <w:rsid w:val="2F828C1C"/>
    <w:rsid w:val="2F87C3FF"/>
    <w:rsid w:val="2F89F581"/>
    <w:rsid w:val="2F8AC09F"/>
    <w:rsid w:val="2F909626"/>
    <w:rsid w:val="2F937FAD"/>
    <w:rsid w:val="2F958BFF"/>
    <w:rsid w:val="2F9ABFD8"/>
    <w:rsid w:val="2F9B5B16"/>
    <w:rsid w:val="2F9BB5B3"/>
    <w:rsid w:val="2F9D9DC3"/>
    <w:rsid w:val="2F9E0A00"/>
    <w:rsid w:val="2F9F118C"/>
    <w:rsid w:val="2FA287C1"/>
    <w:rsid w:val="2FA3EE9F"/>
    <w:rsid w:val="2FA63B04"/>
    <w:rsid w:val="2FA673E7"/>
    <w:rsid w:val="2FAD64C6"/>
    <w:rsid w:val="2FB1BCF3"/>
    <w:rsid w:val="2FB264EE"/>
    <w:rsid w:val="2FB558EF"/>
    <w:rsid w:val="2FB5BCA7"/>
    <w:rsid w:val="2FB6ED2B"/>
    <w:rsid w:val="2FBA3168"/>
    <w:rsid w:val="2FBFA888"/>
    <w:rsid w:val="2FC2BFD9"/>
    <w:rsid w:val="2FC428C8"/>
    <w:rsid w:val="2FC59D35"/>
    <w:rsid w:val="2FC8EBDD"/>
    <w:rsid w:val="2FCCFF7D"/>
    <w:rsid w:val="2FCD52B5"/>
    <w:rsid w:val="2FCE5D58"/>
    <w:rsid w:val="2FD1A000"/>
    <w:rsid w:val="2FD458EF"/>
    <w:rsid w:val="2FD4821A"/>
    <w:rsid w:val="2FD7E845"/>
    <w:rsid w:val="2FDBE94A"/>
    <w:rsid w:val="2FDD1417"/>
    <w:rsid w:val="2FDF0D17"/>
    <w:rsid w:val="2FE3DA73"/>
    <w:rsid w:val="2FE3F075"/>
    <w:rsid w:val="2FE74E09"/>
    <w:rsid w:val="2FE999B2"/>
    <w:rsid w:val="2FED00BA"/>
    <w:rsid w:val="2FEF18C0"/>
    <w:rsid w:val="2FF094BC"/>
    <w:rsid w:val="2FF0BACC"/>
    <w:rsid w:val="2FFA5231"/>
    <w:rsid w:val="2FFB4B7B"/>
    <w:rsid w:val="2FFC2327"/>
    <w:rsid w:val="2FFCDCB4"/>
    <w:rsid w:val="2FFF406E"/>
    <w:rsid w:val="3001BD59"/>
    <w:rsid w:val="300641EE"/>
    <w:rsid w:val="3008822B"/>
    <w:rsid w:val="3009AB15"/>
    <w:rsid w:val="300B100C"/>
    <w:rsid w:val="30115ABE"/>
    <w:rsid w:val="3011802B"/>
    <w:rsid w:val="30177AD8"/>
    <w:rsid w:val="3018B847"/>
    <w:rsid w:val="3020E2CA"/>
    <w:rsid w:val="3021510D"/>
    <w:rsid w:val="3024DE4C"/>
    <w:rsid w:val="3026DAA0"/>
    <w:rsid w:val="30294CCA"/>
    <w:rsid w:val="302A310D"/>
    <w:rsid w:val="302AED87"/>
    <w:rsid w:val="302C16B2"/>
    <w:rsid w:val="302F291D"/>
    <w:rsid w:val="30303A77"/>
    <w:rsid w:val="30310C3F"/>
    <w:rsid w:val="3031B15A"/>
    <w:rsid w:val="3031DDCD"/>
    <w:rsid w:val="303295FF"/>
    <w:rsid w:val="3032E4AC"/>
    <w:rsid w:val="30361CDE"/>
    <w:rsid w:val="30365A46"/>
    <w:rsid w:val="3036BD4B"/>
    <w:rsid w:val="303776E6"/>
    <w:rsid w:val="303A221B"/>
    <w:rsid w:val="303AA0E2"/>
    <w:rsid w:val="303B5115"/>
    <w:rsid w:val="303EFF25"/>
    <w:rsid w:val="3040B95D"/>
    <w:rsid w:val="3042BAFB"/>
    <w:rsid w:val="30488DE8"/>
    <w:rsid w:val="304C3D5E"/>
    <w:rsid w:val="304EE8AB"/>
    <w:rsid w:val="3050B7F3"/>
    <w:rsid w:val="30517EEC"/>
    <w:rsid w:val="30529BB7"/>
    <w:rsid w:val="3052E04D"/>
    <w:rsid w:val="3057FDA8"/>
    <w:rsid w:val="3058D070"/>
    <w:rsid w:val="3059821B"/>
    <w:rsid w:val="305CCB5D"/>
    <w:rsid w:val="30604493"/>
    <w:rsid w:val="30679B95"/>
    <w:rsid w:val="306803FF"/>
    <w:rsid w:val="306A1688"/>
    <w:rsid w:val="306AE319"/>
    <w:rsid w:val="30725A7A"/>
    <w:rsid w:val="30760FFA"/>
    <w:rsid w:val="30768462"/>
    <w:rsid w:val="30774AD5"/>
    <w:rsid w:val="30794A53"/>
    <w:rsid w:val="307C40E4"/>
    <w:rsid w:val="307C976B"/>
    <w:rsid w:val="307F0F81"/>
    <w:rsid w:val="30825DAC"/>
    <w:rsid w:val="3091D6AB"/>
    <w:rsid w:val="30956360"/>
    <w:rsid w:val="309A63CA"/>
    <w:rsid w:val="309B5856"/>
    <w:rsid w:val="309F3D40"/>
    <w:rsid w:val="30A6F7C7"/>
    <w:rsid w:val="30A83EFE"/>
    <w:rsid w:val="30A87BC5"/>
    <w:rsid w:val="30AB6422"/>
    <w:rsid w:val="30AEB10A"/>
    <w:rsid w:val="30B4935E"/>
    <w:rsid w:val="30B50C47"/>
    <w:rsid w:val="30B64695"/>
    <w:rsid w:val="30B99FA9"/>
    <w:rsid w:val="30BBE09F"/>
    <w:rsid w:val="30BC9CF6"/>
    <w:rsid w:val="30BD804D"/>
    <w:rsid w:val="30BE8526"/>
    <w:rsid w:val="30BFF11F"/>
    <w:rsid w:val="30C488F2"/>
    <w:rsid w:val="30D318FF"/>
    <w:rsid w:val="30D42198"/>
    <w:rsid w:val="30D5C5C7"/>
    <w:rsid w:val="30D68E86"/>
    <w:rsid w:val="30D72A31"/>
    <w:rsid w:val="30D77D8C"/>
    <w:rsid w:val="30DAFAEC"/>
    <w:rsid w:val="30DF1CD4"/>
    <w:rsid w:val="30E263E9"/>
    <w:rsid w:val="30E41787"/>
    <w:rsid w:val="30E4C4D9"/>
    <w:rsid w:val="30E68E27"/>
    <w:rsid w:val="30E9959A"/>
    <w:rsid w:val="30EAA751"/>
    <w:rsid w:val="30ECE7C1"/>
    <w:rsid w:val="30EDBFE6"/>
    <w:rsid w:val="30EFAA2B"/>
    <w:rsid w:val="30F208D6"/>
    <w:rsid w:val="30F426EC"/>
    <w:rsid w:val="30F573E8"/>
    <w:rsid w:val="31050455"/>
    <w:rsid w:val="31053C9C"/>
    <w:rsid w:val="3106B148"/>
    <w:rsid w:val="31076E01"/>
    <w:rsid w:val="310777D2"/>
    <w:rsid w:val="310AC7D3"/>
    <w:rsid w:val="310B37DE"/>
    <w:rsid w:val="310DA1B4"/>
    <w:rsid w:val="310DAF6A"/>
    <w:rsid w:val="3114DA4D"/>
    <w:rsid w:val="311BAE59"/>
    <w:rsid w:val="31207603"/>
    <w:rsid w:val="31245489"/>
    <w:rsid w:val="3129625F"/>
    <w:rsid w:val="31299C6D"/>
    <w:rsid w:val="312D9E5F"/>
    <w:rsid w:val="312E1099"/>
    <w:rsid w:val="312FDD6F"/>
    <w:rsid w:val="31303C9E"/>
    <w:rsid w:val="31308028"/>
    <w:rsid w:val="31354137"/>
    <w:rsid w:val="313DDB01"/>
    <w:rsid w:val="31437274"/>
    <w:rsid w:val="314613D2"/>
    <w:rsid w:val="3147BB48"/>
    <w:rsid w:val="314B83D5"/>
    <w:rsid w:val="314BBB1D"/>
    <w:rsid w:val="314DDA8F"/>
    <w:rsid w:val="3150101D"/>
    <w:rsid w:val="3150A8E2"/>
    <w:rsid w:val="31520C7E"/>
    <w:rsid w:val="3154F0CA"/>
    <w:rsid w:val="3155088D"/>
    <w:rsid w:val="3159C94C"/>
    <w:rsid w:val="315B422C"/>
    <w:rsid w:val="315BD064"/>
    <w:rsid w:val="315CB718"/>
    <w:rsid w:val="3161BE65"/>
    <w:rsid w:val="31646450"/>
    <w:rsid w:val="316C8EDC"/>
    <w:rsid w:val="316CBF22"/>
    <w:rsid w:val="316E67F9"/>
    <w:rsid w:val="3172945D"/>
    <w:rsid w:val="31740FDE"/>
    <w:rsid w:val="31779B24"/>
    <w:rsid w:val="317B007B"/>
    <w:rsid w:val="317D4123"/>
    <w:rsid w:val="317F0540"/>
    <w:rsid w:val="3180E26B"/>
    <w:rsid w:val="3181C2DF"/>
    <w:rsid w:val="3182BDA9"/>
    <w:rsid w:val="31881C71"/>
    <w:rsid w:val="318BDFB3"/>
    <w:rsid w:val="318CFAA5"/>
    <w:rsid w:val="318FF4DE"/>
    <w:rsid w:val="31906782"/>
    <w:rsid w:val="319086DD"/>
    <w:rsid w:val="3190FF0E"/>
    <w:rsid w:val="319927B5"/>
    <w:rsid w:val="3199AD89"/>
    <w:rsid w:val="319C3316"/>
    <w:rsid w:val="319EB748"/>
    <w:rsid w:val="319FBC69"/>
    <w:rsid w:val="31A046AF"/>
    <w:rsid w:val="31A06EF8"/>
    <w:rsid w:val="31A1B5E3"/>
    <w:rsid w:val="31A46C8B"/>
    <w:rsid w:val="31A69C42"/>
    <w:rsid w:val="31A777B4"/>
    <w:rsid w:val="31A92047"/>
    <w:rsid w:val="31AB3252"/>
    <w:rsid w:val="31AE3767"/>
    <w:rsid w:val="31B7062B"/>
    <w:rsid w:val="31B90AD7"/>
    <w:rsid w:val="31BA48A5"/>
    <w:rsid w:val="31BADAE4"/>
    <w:rsid w:val="31BC16E1"/>
    <w:rsid w:val="31BEDB81"/>
    <w:rsid w:val="31C05F2F"/>
    <w:rsid w:val="31C16F1B"/>
    <w:rsid w:val="31C26754"/>
    <w:rsid w:val="31C371CF"/>
    <w:rsid w:val="31C803A0"/>
    <w:rsid w:val="31CA00D6"/>
    <w:rsid w:val="31CB4774"/>
    <w:rsid w:val="31CDCE13"/>
    <w:rsid w:val="31CDE95D"/>
    <w:rsid w:val="31D1B3AF"/>
    <w:rsid w:val="31D229ED"/>
    <w:rsid w:val="31D8062C"/>
    <w:rsid w:val="31D95F47"/>
    <w:rsid w:val="31D9C06A"/>
    <w:rsid w:val="31DECECA"/>
    <w:rsid w:val="31E065AB"/>
    <w:rsid w:val="31E0DB2A"/>
    <w:rsid w:val="31E54CF6"/>
    <w:rsid w:val="31E6C8FC"/>
    <w:rsid w:val="31EBBE6D"/>
    <w:rsid w:val="31EC5F9D"/>
    <w:rsid w:val="31EC6263"/>
    <w:rsid w:val="31EDB0B9"/>
    <w:rsid w:val="31EF7611"/>
    <w:rsid w:val="31EF8144"/>
    <w:rsid w:val="31F1BD94"/>
    <w:rsid w:val="31F2A9C2"/>
    <w:rsid w:val="31F4100C"/>
    <w:rsid w:val="31F41380"/>
    <w:rsid w:val="31F4A502"/>
    <w:rsid w:val="31F663D9"/>
    <w:rsid w:val="31F85101"/>
    <w:rsid w:val="31FA9E32"/>
    <w:rsid w:val="31FDAFA8"/>
    <w:rsid w:val="31FDD280"/>
    <w:rsid w:val="32028417"/>
    <w:rsid w:val="3204E3DF"/>
    <w:rsid w:val="32051965"/>
    <w:rsid w:val="320703A7"/>
    <w:rsid w:val="32079B5C"/>
    <w:rsid w:val="320D8554"/>
    <w:rsid w:val="320DDB49"/>
    <w:rsid w:val="320DF701"/>
    <w:rsid w:val="32124023"/>
    <w:rsid w:val="3212D7F0"/>
    <w:rsid w:val="32131C94"/>
    <w:rsid w:val="32136984"/>
    <w:rsid w:val="3215E5A3"/>
    <w:rsid w:val="3216909A"/>
    <w:rsid w:val="32192CB5"/>
    <w:rsid w:val="321CF5D9"/>
    <w:rsid w:val="321FBF59"/>
    <w:rsid w:val="32225AA6"/>
    <w:rsid w:val="32247AE6"/>
    <w:rsid w:val="3236BAB4"/>
    <w:rsid w:val="323EDDC3"/>
    <w:rsid w:val="32403D92"/>
    <w:rsid w:val="3240E679"/>
    <w:rsid w:val="32442F28"/>
    <w:rsid w:val="3247C274"/>
    <w:rsid w:val="324B635B"/>
    <w:rsid w:val="324E8979"/>
    <w:rsid w:val="32514E68"/>
    <w:rsid w:val="32531B9E"/>
    <w:rsid w:val="3255B538"/>
    <w:rsid w:val="3261A77B"/>
    <w:rsid w:val="326379EB"/>
    <w:rsid w:val="3265E7F0"/>
    <w:rsid w:val="32669782"/>
    <w:rsid w:val="3268F2CB"/>
    <w:rsid w:val="32692DF1"/>
    <w:rsid w:val="3269EFA1"/>
    <w:rsid w:val="326D1884"/>
    <w:rsid w:val="327032FC"/>
    <w:rsid w:val="32711D3C"/>
    <w:rsid w:val="32783A7E"/>
    <w:rsid w:val="3278FE3B"/>
    <w:rsid w:val="327A2405"/>
    <w:rsid w:val="327DDB18"/>
    <w:rsid w:val="3282F2F3"/>
    <w:rsid w:val="32890844"/>
    <w:rsid w:val="3289E3A3"/>
    <w:rsid w:val="328A0364"/>
    <w:rsid w:val="3292E841"/>
    <w:rsid w:val="3293428B"/>
    <w:rsid w:val="32968B28"/>
    <w:rsid w:val="3296C1B5"/>
    <w:rsid w:val="329C1A80"/>
    <w:rsid w:val="329C7E62"/>
    <w:rsid w:val="329DDEE4"/>
    <w:rsid w:val="329DE5CF"/>
    <w:rsid w:val="32A86DA7"/>
    <w:rsid w:val="32AB7BFE"/>
    <w:rsid w:val="32ADA66D"/>
    <w:rsid w:val="32AF5A36"/>
    <w:rsid w:val="32B18639"/>
    <w:rsid w:val="32B33C66"/>
    <w:rsid w:val="32B43854"/>
    <w:rsid w:val="32B91FD7"/>
    <w:rsid w:val="32BABDC1"/>
    <w:rsid w:val="32BB0D16"/>
    <w:rsid w:val="32BEE06C"/>
    <w:rsid w:val="32C83A4B"/>
    <w:rsid w:val="32CB66B7"/>
    <w:rsid w:val="32CE1EDB"/>
    <w:rsid w:val="32D0F8F4"/>
    <w:rsid w:val="32D95E18"/>
    <w:rsid w:val="32DC7FE4"/>
    <w:rsid w:val="32DDEC0F"/>
    <w:rsid w:val="32DF5C58"/>
    <w:rsid w:val="32E1165B"/>
    <w:rsid w:val="32E21ED8"/>
    <w:rsid w:val="32EAAF97"/>
    <w:rsid w:val="32EAB3AA"/>
    <w:rsid w:val="32EC2CBA"/>
    <w:rsid w:val="32EE0BE6"/>
    <w:rsid w:val="32EFC7F2"/>
    <w:rsid w:val="32F0AFF6"/>
    <w:rsid w:val="32F236F9"/>
    <w:rsid w:val="32F3AB7D"/>
    <w:rsid w:val="32F432B8"/>
    <w:rsid w:val="32F4947F"/>
    <w:rsid w:val="32FA6E7D"/>
    <w:rsid w:val="32FC26A4"/>
    <w:rsid w:val="330291A7"/>
    <w:rsid w:val="33066690"/>
    <w:rsid w:val="33090598"/>
    <w:rsid w:val="33092C37"/>
    <w:rsid w:val="33099B39"/>
    <w:rsid w:val="330F7127"/>
    <w:rsid w:val="33157F63"/>
    <w:rsid w:val="3317F420"/>
    <w:rsid w:val="33189A5F"/>
    <w:rsid w:val="33196C7A"/>
    <w:rsid w:val="331B8170"/>
    <w:rsid w:val="331E22E0"/>
    <w:rsid w:val="331E981F"/>
    <w:rsid w:val="3322C2F9"/>
    <w:rsid w:val="3324530F"/>
    <w:rsid w:val="332523E1"/>
    <w:rsid w:val="332657A3"/>
    <w:rsid w:val="3332D693"/>
    <w:rsid w:val="3346985B"/>
    <w:rsid w:val="33473093"/>
    <w:rsid w:val="3347AC61"/>
    <w:rsid w:val="334B2B64"/>
    <w:rsid w:val="33510C9C"/>
    <w:rsid w:val="3354E6D4"/>
    <w:rsid w:val="33554CAA"/>
    <w:rsid w:val="335AF07D"/>
    <w:rsid w:val="335D3F7C"/>
    <w:rsid w:val="335DD1DC"/>
    <w:rsid w:val="335EEFFC"/>
    <w:rsid w:val="335F2D65"/>
    <w:rsid w:val="33609EFB"/>
    <w:rsid w:val="3361D635"/>
    <w:rsid w:val="33628006"/>
    <w:rsid w:val="3364B58C"/>
    <w:rsid w:val="33668626"/>
    <w:rsid w:val="3367C1C5"/>
    <w:rsid w:val="33687153"/>
    <w:rsid w:val="3368EEBA"/>
    <w:rsid w:val="336A9D48"/>
    <w:rsid w:val="336C84A3"/>
    <w:rsid w:val="336EDA51"/>
    <w:rsid w:val="337019A7"/>
    <w:rsid w:val="3370910A"/>
    <w:rsid w:val="33710B7D"/>
    <w:rsid w:val="3374894F"/>
    <w:rsid w:val="337B9A7C"/>
    <w:rsid w:val="337BD547"/>
    <w:rsid w:val="337CC4B3"/>
    <w:rsid w:val="337DC242"/>
    <w:rsid w:val="3380ED30"/>
    <w:rsid w:val="33849FFA"/>
    <w:rsid w:val="3389DDC0"/>
    <w:rsid w:val="338B4BB5"/>
    <w:rsid w:val="338CBDAA"/>
    <w:rsid w:val="338FB56A"/>
    <w:rsid w:val="33920248"/>
    <w:rsid w:val="33926567"/>
    <w:rsid w:val="3398BC25"/>
    <w:rsid w:val="3399BA86"/>
    <w:rsid w:val="339A5BA9"/>
    <w:rsid w:val="339B6818"/>
    <w:rsid w:val="339BF9BF"/>
    <w:rsid w:val="33A0E9C6"/>
    <w:rsid w:val="33A1B853"/>
    <w:rsid w:val="33A2A458"/>
    <w:rsid w:val="33A48CD5"/>
    <w:rsid w:val="33A56A1D"/>
    <w:rsid w:val="33A7214A"/>
    <w:rsid w:val="33ABD23A"/>
    <w:rsid w:val="33ABD2C2"/>
    <w:rsid w:val="33AE40CC"/>
    <w:rsid w:val="33B07FB1"/>
    <w:rsid w:val="33B1EF53"/>
    <w:rsid w:val="33B203B0"/>
    <w:rsid w:val="33B3E1A6"/>
    <w:rsid w:val="33BA83EA"/>
    <w:rsid w:val="33BC64FF"/>
    <w:rsid w:val="33BCB2EC"/>
    <w:rsid w:val="33BDAD6F"/>
    <w:rsid w:val="33C4425A"/>
    <w:rsid w:val="33C998F7"/>
    <w:rsid w:val="33CECDB4"/>
    <w:rsid w:val="33D150CA"/>
    <w:rsid w:val="33D3318A"/>
    <w:rsid w:val="33D37E8B"/>
    <w:rsid w:val="33D750BB"/>
    <w:rsid w:val="33DDD5BA"/>
    <w:rsid w:val="33DFADA8"/>
    <w:rsid w:val="33E05ACB"/>
    <w:rsid w:val="33E392FE"/>
    <w:rsid w:val="33E47055"/>
    <w:rsid w:val="33F1108E"/>
    <w:rsid w:val="33F27DE0"/>
    <w:rsid w:val="33F28495"/>
    <w:rsid w:val="33F4736F"/>
    <w:rsid w:val="33F4A473"/>
    <w:rsid w:val="33F4C1E2"/>
    <w:rsid w:val="33F4F9E8"/>
    <w:rsid w:val="33F4FA65"/>
    <w:rsid w:val="33F5D5BB"/>
    <w:rsid w:val="33F793AF"/>
    <w:rsid w:val="33FA1217"/>
    <w:rsid w:val="33FAF6D5"/>
    <w:rsid w:val="33FB4987"/>
    <w:rsid w:val="33FE4998"/>
    <w:rsid w:val="33FF0D97"/>
    <w:rsid w:val="33FFE275"/>
    <w:rsid w:val="340438E4"/>
    <w:rsid w:val="34056FBF"/>
    <w:rsid w:val="34066A28"/>
    <w:rsid w:val="340C9252"/>
    <w:rsid w:val="3410FA0E"/>
    <w:rsid w:val="34159045"/>
    <w:rsid w:val="341741FA"/>
    <w:rsid w:val="341C9097"/>
    <w:rsid w:val="341C99D9"/>
    <w:rsid w:val="341D47B1"/>
    <w:rsid w:val="34280A1B"/>
    <w:rsid w:val="3429D07E"/>
    <w:rsid w:val="342B95AA"/>
    <w:rsid w:val="342D02D0"/>
    <w:rsid w:val="342F8287"/>
    <w:rsid w:val="343105D1"/>
    <w:rsid w:val="34333E96"/>
    <w:rsid w:val="3435DF13"/>
    <w:rsid w:val="3437981D"/>
    <w:rsid w:val="3437E8B7"/>
    <w:rsid w:val="3438E7CA"/>
    <w:rsid w:val="3439A0AD"/>
    <w:rsid w:val="343ADE93"/>
    <w:rsid w:val="343BE439"/>
    <w:rsid w:val="343D3F59"/>
    <w:rsid w:val="3448B9AE"/>
    <w:rsid w:val="344AD496"/>
    <w:rsid w:val="34549EDD"/>
    <w:rsid w:val="345A76C2"/>
    <w:rsid w:val="34616CF1"/>
    <w:rsid w:val="34625A0D"/>
    <w:rsid w:val="3462863A"/>
    <w:rsid w:val="3465179B"/>
    <w:rsid w:val="346821F2"/>
    <w:rsid w:val="346956C5"/>
    <w:rsid w:val="3471DA0E"/>
    <w:rsid w:val="347C27AB"/>
    <w:rsid w:val="347D2749"/>
    <w:rsid w:val="347D4F01"/>
    <w:rsid w:val="347D6228"/>
    <w:rsid w:val="34824C1C"/>
    <w:rsid w:val="348626ED"/>
    <w:rsid w:val="348AA13B"/>
    <w:rsid w:val="348C0AC7"/>
    <w:rsid w:val="348F3059"/>
    <w:rsid w:val="3497E5B4"/>
    <w:rsid w:val="349C9D46"/>
    <w:rsid w:val="34A06B0D"/>
    <w:rsid w:val="34A72486"/>
    <w:rsid w:val="34A8F433"/>
    <w:rsid w:val="34A98FDB"/>
    <w:rsid w:val="34A99E96"/>
    <w:rsid w:val="34B414FB"/>
    <w:rsid w:val="34B807F9"/>
    <w:rsid w:val="34BA7911"/>
    <w:rsid w:val="34BA90E6"/>
    <w:rsid w:val="34BABA5E"/>
    <w:rsid w:val="34BEA72D"/>
    <w:rsid w:val="34C26C02"/>
    <w:rsid w:val="34C5DE3C"/>
    <w:rsid w:val="34C87D8D"/>
    <w:rsid w:val="34CC21A2"/>
    <w:rsid w:val="34CC43B1"/>
    <w:rsid w:val="34CE5B00"/>
    <w:rsid w:val="34D00704"/>
    <w:rsid w:val="34D504C0"/>
    <w:rsid w:val="34DA3DA8"/>
    <w:rsid w:val="34DD647A"/>
    <w:rsid w:val="34E043EE"/>
    <w:rsid w:val="34E0E49C"/>
    <w:rsid w:val="34E32296"/>
    <w:rsid w:val="34E90FBB"/>
    <w:rsid w:val="34EAEBFB"/>
    <w:rsid w:val="34EB38DE"/>
    <w:rsid w:val="34ED147A"/>
    <w:rsid w:val="34F14A4D"/>
    <w:rsid w:val="34F1917F"/>
    <w:rsid w:val="34F1EB7A"/>
    <w:rsid w:val="34F53D6A"/>
    <w:rsid w:val="34F648AD"/>
    <w:rsid w:val="34FD08A7"/>
    <w:rsid w:val="34FD0A7E"/>
    <w:rsid w:val="34FD794A"/>
    <w:rsid w:val="34FDBC17"/>
    <w:rsid w:val="35000EC0"/>
    <w:rsid w:val="35007F4A"/>
    <w:rsid w:val="35021558"/>
    <w:rsid w:val="35040072"/>
    <w:rsid w:val="35042241"/>
    <w:rsid w:val="350978BC"/>
    <w:rsid w:val="3509C21D"/>
    <w:rsid w:val="350B2680"/>
    <w:rsid w:val="350FBAFA"/>
    <w:rsid w:val="351137A0"/>
    <w:rsid w:val="35129A8D"/>
    <w:rsid w:val="35164C07"/>
    <w:rsid w:val="35193626"/>
    <w:rsid w:val="351C1E12"/>
    <w:rsid w:val="351C2B51"/>
    <w:rsid w:val="351F2656"/>
    <w:rsid w:val="35212D43"/>
    <w:rsid w:val="3526C8E5"/>
    <w:rsid w:val="3527F8EA"/>
    <w:rsid w:val="352A4A84"/>
    <w:rsid w:val="352D2221"/>
    <w:rsid w:val="3530A269"/>
    <w:rsid w:val="353234DE"/>
    <w:rsid w:val="3532FC84"/>
    <w:rsid w:val="35386E0A"/>
    <w:rsid w:val="3539491D"/>
    <w:rsid w:val="353CB8A7"/>
    <w:rsid w:val="353DF9A1"/>
    <w:rsid w:val="353E03E3"/>
    <w:rsid w:val="3541F420"/>
    <w:rsid w:val="3542A047"/>
    <w:rsid w:val="3544530C"/>
    <w:rsid w:val="354642DF"/>
    <w:rsid w:val="354BE387"/>
    <w:rsid w:val="354DC0D8"/>
    <w:rsid w:val="354F63B5"/>
    <w:rsid w:val="354FECB1"/>
    <w:rsid w:val="3550CA62"/>
    <w:rsid w:val="3550F0CF"/>
    <w:rsid w:val="355712C1"/>
    <w:rsid w:val="3559FFEE"/>
    <w:rsid w:val="355DC2DC"/>
    <w:rsid w:val="355E0035"/>
    <w:rsid w:val="355F7796"/>
    <w:rsid w:val="356000B8"/>
    <w:rsid w:val="3562AF03"/>
    <w:rsid w:val="35643054"/>
    <w:rsid w:val="3564F5FB"/>
    <w:rsid w:val="356D6DB0"/>
    <w:rsid w:val="356DC955"/>
    <w:rsid w:val="35714394"/>
    <w:rsid w:val="35733134"/>
    <w:rsid w:val="3574E0A9"/>
    <w:rsid w:val="357A6AD9"/>
    <w:rsid w:val="357BA174"/>
    <w:rsid w:val="357D241A"/>
    <w:rsid w:val="358747C9"/>
    <w:rsid w:val="358DD620"/>
    <w:rsid w:val="359033C1"/>
    <w:rsid w:val="3590B04E"/>
    <w:rsid w:val="35969806"/>
    <w:rsid w:val="35980C9B"/>
    <w:rsid w:val="359A023F"/>
    <w:rsid w:val="359C3D4A"/>
    <w:rsid w:val="359C4A56"/>
    <w:rsid w:val="35AA742C"/>
    <w:rsid w:val="35ADED0A"/>
    <w:rsid w:val="35AF695F"/>
    <w:rsid w:val="35B50912"/>
    <w:rsid w:val="35B689D4"/>
    <w:rsid w:val="35B7B61C"/>
    <w:rsid w:val="35C0DA2D"/>
    <w:rsid w:val="35C25A63"/>
    <w:rsid w:val="35C514E9"/>
    <w:rsid w:val="35C7DFE2"/>
    <w:rsid w:val="35D1631A"/>
    <w:rsid w:val="35D52C77"/>
    <w:rsid w:val="35D7AF5B"/>
    <w:rsid w:val="35D97AB3"/>
    <w:rsid w:val="35D9A4B3"/>
    <w:rsid w:val="35DEE84B"/>
    <w:rsid w:val="35E4920B"/>
    <w:rsid w:val="35E55BBC"/>
    <w:rsid w:val="35E879D5"/>
    <w:rsid w:val="35E8EE68"/>
    <w:rsid w:val="35EA4FCA"/>
    <w:rsid w:val="35EC92A0"/>
    <w:rsid w:val="35F3D171"/>
    <w:rsid w:val="35F40362"/>
    <w:rsid w:val="35F75BA9"/>
    <w:rsid w:val="35FDBDD1"/>
    <w:rsid w:val="360203B3"/>
    <w:rsid w:val="3607C8EA"/>
    <w:rsid w:val="3608BD2E"/>
    <w:rsid w:val="36094D84"/>
    <w:rsid w:val="36110A6D"/>
    <w:rsid w:val="361737AB"/>
    <w:rsid w:val="3617D408"/>
    <w:rsid w:val="3618D8D1"/>
    <w:rsid w:val="361E5CF6"/>
    <w:rsid w:val="361F4622"/>
    <w:rsid w:val="3624CC7E"/>
    <w:rsid w:val="3628C3F7"/>
    <w:rsid w:val="36293C97"/>
    <w:rsid w:val="36302F2A"/>
    <w:rsid w:val="3633833F"/>
    <w:rsid w:val="36358762"/>
    <w:rsid w:val="36366781"/>
    <w:rsid w:val="3636D2BD"/>
    <w:rsid w:val="3638BAB1"/>
    <w:rsid w:val="363E044B"/>
    <w:rsid w:val="364925A3"/>
    <w:rsid w:val="364999E1"/>
    <w:rsid w:val="364F8013"/>
    <w:rsid w:val="365298DC"/>
    <w:rsid w:val="3657B83B"/>
    <w:rsid w:val="3658743C"/>
    <w:rsid w:val="366576D4"/>
    <w:rsid w:val="36663305"/>
    <w:rsid w:val="366A25F8"/>
    <w:rsid w:val="3673419D"/>
    <w:rsid w:val="367526D2"/>
    <w:rsid w:val="36769E67"/>
    <w:rsid w:val="367934DB"/>
    <w:rsid w:val="3679F3A6"/>
    <w:rsid w:val="3682058C"/>
    <w:rsid w:val="36836816"/>
    <w:rsid w:val="36850677"/>
    <w:rsid w:val="3688F566"/>
    <w:rsid w:val="368A213C"/>
    <w:rsid w:val="368FD8A6"/>
    <w:rsid w:val="3692B52F"/>
    <w:rsid w:val="3694B846"/>
    <w:rsid w:val="3696411A"/>
    <w:rsid w:val="3696E4C5"/>
    <w:rsid w:val="36976DA2"/>
    <w:rsid w:val="3698D698"/>
    <w:rsid w:val="369AEF28"/>
    <w:rsid w:val="369B5EA1"/>
    <w:rsid w:val="369D5A11"/>
    <w:rsid w:val="369E7996"/>
    <w:rsid w:val="369FE21C"/>
    <w:rsid w:val="36A23E0A"/>
    <w:rsid w:val="36A2DB2E"/>
    <w:rsid w:val="36A58C8C"/>
    <w:rsid w:val="36A6268F"/>
    <w:rsid w:val="36A81752"/>
    <w:rsid w:val="36AB421F"/>
    <w:rsid w:val="36B4D9F8"/>
    <w:rsid w:val="36BC95E4"/>
    <w:rsid w:val="36C07546"/>
    <w:rsid w:val="36C25530"/>
    <w:rsid w:val="36C28861"/>
    <w:rsid w:val="36C3905B"/>
    <w:rsid w:val="36C51AAC"/>
    <w:rsid w:val="36C53FB6"/>
    <w:rsid w:val="36C65FD5"/>
    <w:rsid w:val="36CFAACB"/>
    <w:rsid w:val="36D3A577"/>
    <w:rsid w:val="36D4E3CE"/>
    <w:rsid w:val="36D5F07F"/>
    <w:rsid w:val="36D906B9"/>
    <w:rsid w:val="36DC0332"/>
    <w:rsid w:val="36DC400F"/>
    <w:rsid w:val="36DF71EE"/>
    <w:rsid w:val="36DFBC93"/>
    <w:rsid w:val="36E2E0B0"/>
    <w:rsid w:val="36E6E3E9"/>
    <w:rsid w:val="36ED6C1C"/>
    <w:rsid w:val="36ED9C20"/>
    <w:rsid w:val="36EDE9B8"/>
    <w:rsid w:val="36EE0DDC"/>
    <w:rsid w:val="36F77E49"/>
    <w:rsid w:val="36FB16D5"/>
    <w:rsid w:val="370B8DBA"/>
    <w:rsid w:val="370C08F5"/>
    <w:rsid w:val="37197BCC"/>
    <w:rsid w:val="371B149B"/>
    <w:rsid w:val="371B35A3"/>
    <w:rsid w:val="371D2AA2"/>
    <w:rsid w:val="3723790B"/>
    <w:rsid w:val="3726F45F"/>
    <w:rsid w:val="3729E6DF"/>
    <w:rsid w:val="372C7ECC"/>
    <w:rsid w:val="372CE68F"/>
    <w:rsid w:val="3732E983"/>
    <w:rsid w:val="373424C5"/>
    <w:rsid w:val="3735F578"/>
    <w:rsid w:val="3737ABE7"/>
    <w:rsid w:val="373B6DB7"/>
    <w:rsid w:val="373C177E"/>
    <w:rsid w:val="373CE1B4"/>
    <w:rsid w:val="373F2244"/>
    <w:rsid w:val="3740B6E7"/>
    <w:rsid w:val="37411416"/>
    <w:rsid w:val="37447220"/>
    <w:rsid w:val="374672E6"/>
    <w:rsid w:val="374A99F2"/>
    <w:rsid w:val="374CB18F"/>
    <w:rsid w:val="374F4118"/>
    <w:rsid w:val="375293AC"/>
    <w:rsid w:val="375A5E33"/>
    <w:rsid w:val="375F8C85"/>
    <w:rsid w:val="3763044E"/>
    <w:rsid w:val="376634A9"/>
    <w:rsid w:val="3767C0A5"/>
    <w:rsid w:val="376BEF52"/>
    <w:rsid w:val="37715B81"/>
    <w:rsid w:val="37777D3F"/>
    <w:rsid w:val="377C1CCE"/>
    <w:rsid w:val="377FCCD4"/>
    <w:rsid w:val="378161CB"/>
    <w:rsid w:val="37831175"/>
    <w:rsid w:val="3783E50E"/>
    <w:rsid w:val="37890084"/>
    <w:rsid w:val="3789FEAF"/>
    <w:rsid w:val="378C24D3"/>
    <w:rsid w:val="378C82B1"/>
    <w:rsid w:val="378D087F"/>
    <w:rsid w:val="378F3228"/>
    <w:rsid w:val="37939B4C"/>
    <w:rsid w:val="37971F54"/>
    <w:rsid w:val="379AFFCD"/>
    <w:rsid w:val="379CE417"/>
    <w:rsid w:val="379F7E22"/>
    <w:rsid w:val="37A18F5D"/>
    <w:rsid w:val="37A2DBE4"/>
    <w:rsid w:val="37AB55A3"/>
    <w:rsid w:val="37AE8E46"/>
    <w:rsid w:val="37AF741D"/>
    <w:rsid w:val="37BB581B"/>
    <w:rsid w:val="37BB78D4"/>
    <w:rsid w:val="37BF4420"/>
    <w:rsid w:val="37C6535E"/>
    <w:rsid w:val="37C7D4B5"/>
    <w:rsid w:val="37C927CB"/>
    <w:rsid w:val="37CDEDD6"/>
    <w:rsid w:val="37CFF55B"/>
    <w:rsid w:val="37D56AD4"/>
    <w:rsid w:val="37D6198E"/>
    <w:rsid w:val="37DC5010"/>
    <w:rsid w:val="37E4C6A9"/>
    <w:rsid w:val="37E64465"/>
    <w:rsid w:val="37E7964D"/>
    <w:rsid w:val="37E7C74A"/>
    <w:rsid w:val="37F0CC23"/>
    <w:rsid w:val="37F81A91"/>
    <w:rsid w:val="37F82FAE"/>
    <w:rsid w:val="380216E5"/>
    <w:rsid w:val="3804162C"/>
    <w:rsid w:val="3805B851"/>
    <w:rsid w:val="3807E684"/>
    <w:rsid w:val="38084EAE"/>
    <w:rsid w:val="3812853D"/>
    <w:rsid w:val="3814F82B"/>
    <w:rsid w:val="3815053C"/>
    <w:rsid w:val="381CFEBE"/>
    <w:rsid w:val="382167F7"/>
    <w:rsid w:val="382AF660"/>
    <w:rsid w:val="382BE3FB"/>
    <w:rsid w:val="383011DD"/>
    <w:rsid w:val="38321508"/>
    <w:rsid w:val="3834A6F9"/>
    <w:rsid w:val="3834F99A"/>
    <w:rsid w:val="3834FBCC"/>
    <w:rsid w:val="38351797"/>
    <w:rsid w:val="3837B948"/>
    <w:rsid w:val="38390484"/>
    <w:rsid w:val="38393085"/>
    <w:rsid w:val="383BF87C"/>
    <w:rsid w:val="383CDFE8"/>
    <w:rsid w:val="383CE1A2"/>
    <w:rsid w:val="3840683C"/>
    <w:rsid w:val="3843E61B"/>
    <w:rsid w:val="3848A678"/>
    <w:rsid w:val="384B9C64"/>
    <w:rsid w:val="384CD348"/>
    <w:rsid w:val="384E7BBE"/>
    <w:rsid w:val="3850E5D9"/>
    <w:rsid w:val="3850E771"/>
    <w:rsid w:val="38539FCD"/>
    <w:rsid w:val="38572D38"/>
    <w:rsid w:val="38586F2C"/>
    <w:rsid w:val="3862A066"/>
    <w:rsid w:val="3863097D"/>
    <w:rsid w:val="38684113"/>
    <w:rsid w:val="3869E4F4"/>
    <w:rsid w:val="386B3E10"/>
    <w:rsid w:val="386F2B3C"/>
    <w:rsid w:val="38726A67"/>
    <w:rsid w:val="38738D22"/>
    <w:rsid w:val="387753A9"/>
    <w:rsid w:val="3878D5A9"/>
    <w:rsid w:val="38810A5E"/>
    <w:rsid w:val="38828235"/>
    <w:rsid w:val="3882C41D"/>
    <w:rsid w:val="3885BEEF"/>
    <w:rsid w:val="3886A414"/>
    <w:rsid w:val="388D7E44"/>
    <w:rsid w:val="3891A246"/>
    <w:rsid w:val="3891B40C"/>
    <w:rsid w:val="3894A18E"/>
    <w:rsid w:val="3896B7FD"/>
    <w:rsid w:val="38999635"/>
    <w:rsid w:val="389BC8C2"/>
    <w:rsid w:val="389F0E2E"/>
    <w:rsid w:val="38A1457B"/>
    <w:rsid w:val="38A38D62"/>
    <w:rsid w:val="38A3F695"/>
    <w:rsid w:val="38A4A275"/>
    <w:rsid w:val="38A78690"/>
    <w:rsid w:val="38A967FD"/>
    <w:rsid w:val="38AC3BBF"/>
    <w:rsid w:val="38B7D3C7"/>
    <w:rsid w:val="38B91D42"/>
    <w:rsid w:val="38BD421D"/>
    <w:rsid w:val="38C1C9B1"/>
    <w:rsid w:val="38C350D8"/>
    <w:rsid w:val="38C5E5F9"/>
    <w:rsid w:val="38C65053"/>
    <w:rsid w:val="38C892B1"/>
    <w:rsid w:val="38CAB41E"/>
    <w:rsid w:val="38CCBEF6"/>
    <w:rsid w:val="38CD4AC6"/>
    <w:rsid w:val="38D14E36"/>
    <w:rsid w:val="38D30488"/>
    <w:rsid w:val="38D30EEA"/>
    <w:rsid w:val="38D3CD5D"/>
    <w:rsid w:val="38D48F65"/>
    <w:rsid w:val="38D98F20"/>
    <w:rsid w:val="38DBE4A3"/>
    <w:rsid w:val="38DE13BF"/>
    <w:rsid w:val="38E0FD5D"/>
    <w:rsid w:val="38E17201"/>
    <w:rsid w:val="38E374A4"/>
    <w:rsid w:val="38EC9EAC"/>
    <w:rsid w:val="38ED2DF2"/>
    <w:rsid w:val="38EE50B4"/>
    <w:rsid w:val="38F3264E"/>
    <w:rsid w:val="38F4874C"/>
    <w:rsid w:val="38F4EE2E"/>
    <w:rsid w:val="38F944EF"/>
    <w:rsid w:val="38FB5044"/>
    <w:rsid w:val="39027E82"/>
    <w:rsid w:val="390C4496"/>
    <w:rsid w:val="39145E82"/>
    <w:rsid w:val="391717F2"/>
    <w:rsid w:val="391A1642"/>
    <w:rsid w:val="392E37C3"/>
    <w:rsid w:val="392E88F4"/>
    <w:rsid w:val="392F4C30"/>
    <w:rsid w:val="393B33EB"/>
    <w:rsid w:val="39432A58"/>
    <w:rsid w:val="39486BEE"/>
    <w:rsid w:val="39487A49"/>
    <w:rsid w:val="394D1AC2"/>
    <w:rsid w:val="394E3D32"/>
    <w:rsid w:val="394EAA2D"/>
    <w:rsid w:val="395225F5"/>
    <w:rsid w:val="3954470C"/>
    <w:rsid w:val="3958A00D"/>
    <w:rsid w:val="396212DB"/>
    <w:rsid w:val="396B129F"/>
    <w:rsid w:val="396B2401"/>
    <w:rsid w:val="396FC928"/>
    <w:rsid w:val="39714124"/>
    <w:rsid w:val="39740AED"/>
    <w:rsid w:val="39782A66"/>
    <w:rsid w:val="397A6A61"/>
    <w:rsid w:val="397B3FE5"/>
    <w:rsid w:val="39875895"/>
    <w:rsid w:val="398E645F"/>
    <w:rsid w:val="398F0480"/>
    <w:rsid w:val="39930715"/>
    <w:rsid w:val="39983EDF"/>
    <w:rsid w:val="3999F481"/>
    <w:rsid w:val="399BBE96"/>
    <w:rsid w:val="399C1787"/>
    <w:rsid w:val="399D6354"/>
    <w:rsid w:val="399D87AA"/>
    <w:rsid w:val="39A2347C"/>
    <w:rsid w:val="39A2783A"/>
    <w:rsid w:val="39A33C68"/>
    <w:rsid w:val="39A3788B"/>
    <w:rsid w:val="39A40057"/>
    <w:rsid w:val="39A7FA92"/>
    <w:rsid w:val="39A965D2"/>
    <w:rsid w:val="39ABF208"/>
    <w:rsid w:val="39AF3008"/>
    <w:rsid w:val="39B031D4"/>
    <w:rsid w:val="39B2AD3A"/>
    <w:rsid w:val="39B459FC"/>
    <w:rsid w:val="39B87344"/>
    <w:rsid w:val="39B9B0BA"/>
    <w:rsid w:val="39BE38EE"/>
    <w:rsid w:val="39BEECF5"/>
    <w:rsid w:val="39BF5C95"/>
    <w:rsid w:val="39C30FCF"/>
    <w:rsid w:val="39C7FC52"/>
    <w:rsid w:val="39C889D9"/>
    <w:rsid w:val="39CF5EEF"/>
    <w:rsid w:val="39DC1AA4"/>
    <w:rsid w:val="39DE2860"/>
    <w:rsid w:val="39E057B6"/>
    <w:rsid w:val="39E0B891"/>
    <w:rsid w:val="39E1DDFF"/>
    <w:rsid w:val="39EFA5A4"/>
    <w:rsid w:val="39F64B2B"/>
    <w:rsid w:val="39F863B4"/>
    <w:rsid w:val="3A004F81"/>
    <w:rsid w:val="3A01EE96"/>
    <w:rsid w:val="3A0353FF"/>
    <w:rsid w:val="3A043F1B"/>
    <w:rsid w:val="3A04819F"/>
    <w:rsid w:val="3A06CB80"/>
    <w:rsid w:val="3A07AE1B"/>
    <w:rsid w:val="3A0997BB"/>
    <w:rsid w:val="3A0C1D49"/>
    <w:rsid w:val="3A0DA8A0"/>
    <w:rsid w:val="3A1BB0FD"/>
    <w:rsid w:val="3A21E821"/>
    <w:rsid w:val="3A227475"/>
    <w:rsid w:val="3A2437D2"/>
    <w:rsid w:val="3A29444C"/>
    <w:rsid w:val="3A297364"/>
    <w:rsid w:val="3A29A98A"/>
    <w:rsid w:val="3A29EEB2"/>
    <w:rsid w:val="3A2B8C29"/>
    <w:rsid w:val="3A2F30D2"/>
    <w:rsid w:val="3A321D07"/>
    <w:rsid w:val="3A365D71"/>
    <w:rsid w:val="3A38F882"/>
    <w:rsid w:val="3A3C4B73"/>
    <w:rsid w:val="3A418086"/>
    <w:rsid w:val="3A42EF30"/>
    <w:rsid w:val="3A48109C"/>
    <w:rsid w:val="3A4D7AFF"/>
    <w:rsid w:val="3A51512F"/>
    <w:rsid w:val="3A572D04"/>
    <w:rsid w:val="3A57D707"/>
    <w:rsid w:val="3A5853D8"/>
    <w:rsid w:val="3A61220A"/>
    <w:rsid w:val="3A620DA1"/>
    <w:rsid w:val="3A72238E"/>
    <w:rsid w:val="3A74EE6F"/>
    <w:rsid w:val="3A7E9FFA"/>
    <w:rsid w:val="3A7FB768"/>
    <w:rsid w:val="3A8325C2"/>
    <w:rsid w:val="3A84162D"/>
    <w:rsid w:val="3A8A4D74"/>
    <w:rsid w:val="3A9A2A4E"/>
    <w:rsid w:val="3A9A647D"/>
    <w:rsid w:val="3A9DF28E"/>
    <w:rsid w:val="3AA09B40"/>
    <w:rsid w:val="3AA169E2"/>
    <w:rsid w:val="3AA63294"/>
    <w:rsid w:val="3AA7999D"/>
    <w:rsid w:val="3AA7AC40"/>
    <w:rsid w:val="3AA7C6EE"/>
    <w:rsid w:val="3AACA5D7"/>
    <w:rsid w:val="3AACC3A3"/>
    <w:rsid w:val="3AB20D8C"/>
    <w:rsid w:val="3AB22011"/>
    <w:rsid w:val="3AB5B71D"/>
    <w:rsid w:val="3AB5F377"/>
    <w:rsid w:val="3ABBB562"/>
    <w:rsid w:val="3ABE3072"/>
    <w:rsid w:val="3AC103B2"/>
    <w:rsid w:val="3AC1D167"/>
    <w:rsid w:val="3AC1DCC2"/>
    <w:rsid w:val="3AC292AE"/>
    <w:rsid w:val="3ACD65CB"/>
    <w:rsid w:val="3AD266A7"/>
    <w:rsid w:val="3AD322DF"/>
    <w:rsid w:val="3AD5E3D6"/>
    <w:rsid w:val="3ADD4F7A"/>
    <w:rsid w:val="3AE01E15"/>
    <w:rsid w:val="3AE0D1C0"/>
    <w:rsid w:val="3AE260EE"/>
    <w:rsid w:val="3AED8A6D"/>
    <w:rsid w:val="3AF556B2"/>
    <w:rsid w:val="3AF6E4E2"/>
    <w:rsid w:val="3B017499"/>
    <w:rsid w:val="3B0197EE"/>
    <w:rsid w:val="3B0BF4E6"/>
    <w:rsid w:val="3B121BA8"/>
    <w:rsid w:val="3B128B65"/>
    <w:rsid w:val="3B1A67C1"/>
    <w:rsid w:val="3B1D0946"/>
    <w:rsid w:val="3B1D7D38"/>
    <w:rsid w:val="3B1DE680"/>
    <w:rsid w:val="3B24E33B"/>
    <w:rsid w:val="3B26ACF9"/>
    <w:rsid w:val="3B2F9BC6"/>
    <w:rsid w:val="3B312C12"/>
    <w:rsid w:val="3B328611"/>
    <w:rsid w:val="3B3431A4"/>
    <w:rsid w:val="3B3973F2"/>
    <w:rsid w:val="3B39C29D"/>
    <w:rsid w:val="3B3AAD11"/>
    <w:rsid w:val="3B3D66A0"/>
    <w:rsid w:val="3B3E0FD6"/>
    <w:rsid w:val="3B441FEE"/>
    <w:rsid w:val="3B44E517"/>
    <w:rsid w:val="3B4C46F4"/>
    <w:rsid w:val="3B4C88A5"/>
    <w:rsid w:val="3B50600F"/>
    <w:rsid w:val="3B5236A6"/>
    <w:rsid w:val="3B52AE5E"/>
    <w:rsid w:val="3B5D0F2B"/>
    <w:rsid w:val="3B5F00F8"/>
    <w:rsid w:val="3B5FB750"/>
    <w:rsid w:val="3B602F05"/>
    <w:rsid w:val="3B665573"/>
    <w:rsid w:val="3B699DA0"/>
    <w:rsid w:val="3B6AC8CF"/>
    <w:rsid w:val="3B714BDC"/>
    <w:rsid w:val="3B7271D1"/>
    <w:rsid w:val="3B72F2DE"/>
    <w:rsid w:val="3B7354D0"/>
    <w:rsid w:val="3B73626E"/>
    <w:rsid w:val="3B75214F"/>
    <w:rsid w:val="3B76D82E"/>
    <w:rsid w:val="3B77B67F"/>
    <w:rsid w:val="3B795154"/>
    <w:rsid w:val="3B849166"/>
    <w:rsid w:val="3B855497"/>
    <w:rsid w:val="3B87074B"/>
    <w:rsid w:val="3B89DF8A"/>
    <w:rsid w:val="3B8B21EC"/>
    <w:rsid w:val="3B8C1170"/>
    <w:rsid w:val="3B8E0977"/>
    <w:rsid w:val="3B8F9A1A"/>
    <w:rsid w:val="3B90A9AA"/>
    <w:rsid w:val="3B92AD75"/>
    <w:rsid w:val="3B99EA69"/>
    <w:rsid w:val="3B9A9DB0"/>
    <w:rsid w:val="3B9CA90B"/>
    <w:rsid w:val="3B9CF10C"/>
    <w:rsid w:val="3BA85161"/>
    <w:rsid w:val="3BACF73D"/>
    <w:rsid w:val="3BADDCC8"/>
    <w:rsid w:val="3BB477A6"/>
    <w:rsid w:val="3BB49219"/>
    <w:rsid w:val="3BB60FCB"/>
    <w:rsid w:val="3BB728BB"/>
    <w:rsid w:val="3BBA0D88"/>
    <w:rsid w:val="3BBD33D3"/>
    <w:rsid w:val="3BC21502"/>
    <w:rsid w:val="3BC4ADE2"/>
    <w:rsid w:val="3BCA5136"/>
    <w:rsid w:val="3BCC8694"/>
    <w:rsid w:val="3BD02CBC"/>
    <w:rsid w:val="3BD23AD0"/>
    <w:rsid w:val="3BDFE358"/>
    <w:rsid w:val="3BECCC00"/>
    <w:rsid w:val="3BFD1814"/>
    <w:rsid w:val="3BFE5A59"/>
    <w:rsid w:val="3BFECE3E"/>
    <w:rsid w:val="3C0584EE"/>
    <w:rsid w:val="3C06FE1E"/>
    <w:rsid w:val="3C0728F5"/>
    <w:rsid w:val="3C086E0E"/>
    <w:rsid w:val="3C1175D8"/>
    <w:rsid w:val="3C142ADA"/>
    <w:rsid w:val="3C143308"/>
    <w:rsid w:val="3C143B38"/>
    <w:rsid w:val="3C168160"/>
    <w:rsid w:val="3C1AEA77"/>
    <w:rsid w:val="3C1B37A5"/>
    <w:rsid w:val="3C249960"/>
    <w:rsid w:val="3C256A95"/>
    <w:rsid w:val="3C2A3AA8"/>
    <w:rsid w:val="3C2D92D2"/>
    <w:rsid w:val="3C2FE5E5"/>
    <w:rsid w:val="3C309A2D"/>
    <w:rsid w:val="3C387C7F"/>
    <w:rsid w:val="3C3AAE06"/>
    <w:rsid w:val="3C3ACEA8"/>
    <w:rsid w:val="3C3BE775"/>
    <w:rsid w:val="3C41C180"/>
    <w:rsid w:val="3C428D88"/>
    <w:rsid w:val="3C436B7E"/>
    <w:rsid w:val="3C447042"/>
    <w:rsid w:val="3C46DE95"/>
    <w:rsid w:val="3C567B69"/>
    <w:rsid w:val="3C614D23"/>
    <w:rsid w:val="3C6307BC"/>
    <w:rsid w:val="3C64F356"/>
    <w:rsid w:val="3C669FAA"/>
    <w:rsid w:val="3C69173E"/>
    <w:rsid w:val="3C6E8EEB"/>
    <w:rsid w:val="3C6EB26D"/>
    <w:rsid w:val="3C6EF6B1"/>
    <w:rsid w:val="3C75164A"/>
    <w:rsid w:val="3C76614B"/>
    <w:rsid w:val="3C845C7A"/>
    <w:rsid w:val="3C853C23"/>
    <w:rsid w:val="3C85647C"/>
    <w:rsid w:val="3C88ECA4"/>
    <w:rsid w:val="3CA5392D"/>
    <w:rsid w:val="3CA5F19A"/>
    <w:rsid w:val="3CAB82C8"/>
    <w:rsid w:val="3CABAA06"/>
    <w:rsid w:val="3CAC5910"/>
    <w:rsid w:val="3CAC838A"/>
    <w:rsid w:val="3CB3BABB"/>
    <w:rsid w:val="3CB9CA68"/>
    <w:rsid w:val="3CBACE0B"/>
    <w:rsid w:val="3CBD7785"/>
    <w:rsid w:val="3CBE5DB7"/>
    <w:rsid w:val="3CC31732"/>
    <w:rsid w:val="3CC86DCF"/>
    <w:rsid w:val="3CCBEC1B"/>
    <w:rsid w:val="3CCC22EE"/>
    <w:rsid w:val="3CCCA051"/>
    <w:rsid w:val="3CD1C733"/>
    <w:rsid w:val="3CD24142"/>
    <w:rsid w:val="3CD7091E"/>
    <w:rsid w:val="3CDB144B"/>
    <w:rsid w:val="3CDBEC69"/>
    <w:rsid w:val="3CE0443E"/>
    <w:rsid w:val="3CE07E87"/>
    <w:rsid w:val="3CE10694"/>
    <w:rsid w:val="3CE9D039"/>
    <w:rsid w:val="3CEDF2AA"/>
    <w:rsid w:val="3CF16DCA"/>
    <w:rsid w:val="3CF627B8"/>
    <w:rsid w:val="3CF785D6"/>
    <w:rsid w:val="3D0035AA"/>
    <w:rsid w:val="3D06082D"/>
    <w:rsid w:val="3D0FF04E"/>
    <w:rsid w:val="3D12D7B3"/>
    <w:rsid w:val="3D1AD21C"/>
    <w:rsid w:val="3D1BA04D"/>
    <w:rsid w:val="3D1EC56F"/>
    <w:rsid w:val="3D219DC8"/>
    <w:rsid w:val="3D2AFE2D"/>
    <w:rsid w:val="3D2B4EC5"/>
    <w:rsid w:val="3D2CCA62"/>
    <w:rsid w:val="3D2CD4D9"/>
    <w:rsid w:val="3D2E05D1"/>
    <w:rsid w:val="3D2E819E"/>
    <w:rsid w:val="3D3171B2"/>
    <w:rsid w:val="3D35395C"/>
    <w:rsid w:val="3D35794F"/>
    <w:rsid w:val="3D39108D"/>
    <w:rsid w:val="3D3CCF58"/>
    <w:rsid w:val="3D3E2257"/>
    <w:rsid w:val="3D3F2DAB"/>
    <w:rsid w:val="3D411423"/>
    <w:rsid w:val="3D4749B0"/>
    <w:rsid w:val="3D4AD231"/>
    <w:rsid w:val="3D4CBE36"/>
    <w:rsid w:val="3D5148D9"/>
    <w:rsid w:val="3D53111B"/>
    <w:rsid w:val="3D5629F7"/>
    <w:rsid w:val="3D56FA77"/>
    <w:rsid w:val="3D574FFE"/>
    <w:rsid w:val="3D5C82B4"/>
    <w:rsid w:val="3D60739E"/>
    <w:rsid w:val="3D6538B6"/>
    <w:rsid w:val="3D656146"/>
    <w:rsid w:val="3D67315D"/>
    <w:rsid w:val="3D67A6A3"/>
    <w:rsid w:val="3D693D96"/>
    <w:rsid w:val="3D6A1CA1"/>
    <w:rsid w:val="3D6ED461"/>
    <w:rsid w:val="3D6FA6FB"/>
    <w:rsid w:val="3D6FE1C5"/>
    <w:rsid w:val="3D7014FA"/>
    <w:rsid w:val="3D7155B9"/>
    <w:rsid w:val="3D71BE7F"/>
    <w:rsid w:val="3D751B1D"/>
    <w:rsid w:val="3D7826F9"/>
    <w:rsid w:val="3D783FD4"/>
    <w:rsid w:val="3D81E69D"/>
    <w:rsid w:val="3D823103"/>
    <w:rsid w:val="3D836F59"/>
    <w:rsid w:val="3D842692"/>
    <w:rsid w:val="3D88E45E"/>
    <w:rsid w:val="3D892E1C"/>
    <w:rsid w:val="3D8CE053"/>
    <w:rsid w:val="3D901B3D"/>
    <w:rsid w:val="3D90EE3B"/>
    <w:rsid w:val="3D91D65F"/>
    <w:rsid w:val="3D93D8FF"/>
    <w:rsid w:val="3D944472"/>
    <w:rsid w:val="3D9D7E99"/>
    <w:rsid w:val="3D9EF941"/>
    <w:rsid w:val="3D9F6CF9"/>
    <w:rsid w:val="3DA064EF"/>
    <w:rsid w:val="3DA2D864"/>
    <w:rsid w:val="3DA9CC26"/>
    <w:rsid w:val="3DAD2602"/>
    <w:rsid w:val="3DAFC6A3"/>
    <w:rsid w:val="3DB19AD0"/>
    <w:rsid w:val="3DB27761"/>
    <w:rsid w:val="3DB58D45"/>
    <w:rsid w:val="3DB79F25"/>
    <w:rsid w:val="3DB9A34D"/>
    <w:rsid w:val="3DBCF25C"/>
    <w:rsid w:val="3DC050FA"/>
    <w:rsid w:val="3DC1A03C"/>
    <w:rsid w:val="3DC9BDD6"/>
    <w:rsid w:val="3DCA4AFF"/>
    <w:rsid w:val="3DCBCFDC"/>
    <w:rsid w:val="3DCC2FA5"/>
    <w:rsid w:val="3DCF9BFD"/>
    <w:rsid w:val="3DD0F3AD"/>
    <w:rsid w:val="3DD122D6"/>
    <w:rsid w:val="3DD30CB5"/>
    <w:rsid w:val="3DD902D3"/>
    <w:rsid w:val="3DDB85E3"/>
    <w:rsid w:val="3DDDE5F8"/>
    <w:rsid w:val="3DE5D7EF"/>
    <w:rsid w:val="3DE77B59"/>
    <w:rsid w:val="3DEAE833"/>
    <w:rsid w:val="3DF136EF"/>
    <w:rsid w:val="3DF30101"/>
    <w:rsid w:val="3DF5FC57"/>
    <w:rsid w:val="3DF619DA"/>
    <w:rsid w:val="3DFA0F4F"/>
    <w:rsid w:val="3DFE0079"/>
    <w:rsid w:val="3E018D9B"/>
    <w:rsid w:val="3E069000"/>
    <w:rsid w:val="3E07CC58"/>
    <w:rsid w:val="3E097180"/>
    <w:rsid w:val="3E0A102B"/>
    <w:rsid w:val="3E138413"/>
    <w:rsid w:val="3E139247"/>
    <w:rsid w:val="3E13B546"/>
    <w:rsid w:val="3E13EA3E"/>
    <w:rsid w:val="3E198787"/>
    <w:rsid w:val="3E1B8229"/>
    <w:rsid w:val="3E1DCBE5"/>
    <w:rsid w:val="3E1E5018"/>
    <w:rsid w:val="3E1F1D6B"/>
    <w:rsid w:val="3E23AF2A"/>
    <w:rsid w:val="3E2553D4"/>
    <w:rsid w:val="3E266595"/>
    <w:rsid w:val="3E2CD043"/>
    <w:rsid w:val="3E3041B9"/>
    <w:rsid w:val="3E31AB6F"/>
    <w:rsid w:val="3E32372A"/>
    <w:rsid w:val="3E335D3B"/>
    <w:rsid w:val="3E34FEDD"/>
    <w:rsid w:val="3E3A538D"/>
    <w:rsid w:val="3E3BEA06"/>
    <w:rsid w:val="3E422AB3"/>
    <w:rsid w:val="3E45DB7F"/>
    <w:rsid w:val="3E4A7C61"/>
    <w:rsid w:val="3E4C293F"/>
    <w:rsid w:val="3E5156A6"/>
    <w:rsid w:val="3E51B5E3"/>
    <w:rsid w:val="3E54AB40"/>
    <w:rsid w:val="3E54D501"/>
    <w:rsid w:val="3E5775C1"/>
    <w:rsid w:val="3E6079A4"/>
    <w:rsid w:val="3E674D75"/>
    <w:rsid w:val="3E6E1E47"/>
    <w:rsid w:val="3E707655"/>
    <w:rsid w:val="3E707EFB"/>
    <w:rsid w:val="3E76700B"/>
    <w:rsid w:val="3E7F2E58"/>
    <w:rsid w:val="3E8220A1"/>
    <w:rsid w:val="3E86200C"/>
    <w:rsid w:val="3E86E3BC"/>
    <w:rsid w:val="3E88C8E6"/>
    <w:rsid w:val="3E8987D4"/>
    <w:rsid w:val="3E90567D"/>
    <w:rsid w:val="3E92F845"/>
    <w:rsid w:val="3E967C99"/>
    <w:rsid w:val="3E9759EE"/>
    <w:rsid w:val="3E9A7A3C"/>
    <w:rsid w:val="3EA4755B"/>
    <w:rsid w:val="3EA9C549"/>
    <w:rsid w:val="3EABEEFC"/>
    <w:rsid w:val="3EB4DDBD"/>
    <w:rsid w:val="3EB8F419"/>
    <w:rsid w:val="3EBB2D0F"/>
    <w:rsid w:val="3EBBD5FE"/>
    <w:rsid w:val="3EBC855D"/>
    <w:rsid w:val="3EBC8A90"/>
    <w:rsid w:val="3EBDD8FC"/>
    <w:rsid w:val="3EC183E2"/>
    <w:rsid w:val="3EC27E0A"/>
    <w:rsid w:val="3EC5B10F"/>
    <w:rsid w:val="3EC8ECCF"/>
    <w:rsid w:val="3ECD4FD3"/>
    <w:rsid w:val="3ED22BD8"/>
    <w:rsid w:val="3ED3818E"/>
    <w:rsid w:val="3ED6D70E"/>
    <w:rsid w:val="3ED8DDB5"/>
    <w:rsid w:val="3EDBA0E5"/>
    <w:rsid w:val="3EDC2D82"/>
    <w:rsid w:val="3EDFFD5E"/>
    <w:rsid w:val="3EE06EF6"/>
    <w:rsid w:val="3EE617E4"/>
    <w:rsid w:val="3EE96C4A"/>
    <w:rsid w:val="3EEA055F"/>
    <w:rsid w:val="3EEB8467"/>
    <w:rsid w:val="3EED12ED"/>
    <w:rsid w:val="3EF2A4C4"/>
    <w:rsid w:val="3EF65816"/>
    <w:rsid w:val="3EF85619"/>
    <w:rsid w:val="3EFB05E9"/>
    <w:rsid w:val="3F009095"/>
    <w:rsid w:val="3F039648"/>
    <w:rsid w:val="3F03A960"/>
    <w:rsid w:val="3F0C1835"/>
    <w:rsid w:val="3F0D1FF1"/>
    <w:rsid w:val="3F106ED4"/>
    <w:rsid w:val="3F11DF4A"/>
    <w:rsid w:val="3F14C96F"/>
    <w:rsid w:val="3F17F410"/>
    <w:rsid w:val="3F1D3DEE"/>
    <w:rsid w:val="3F1F6EC2"/>
    <w:rsid w:val="3F240528"/>
    <w:rsid w:val="3F259889"/>
    <w:rsid w:val="3F26404F"/>
    <w:rsid w:val="3F28E34F"/>
    <w:rsid w:val="3F28FC51"/>
    <w:rsid w:val="3F34376F"/>
    <w:rsid w:val="3F356A2D"/>
    <w:rsid w:val="3F36186E"/>
    <w:rsid w:val="3F3B081A"/>
    <w:rsid w:val="3F3B18B3"/>
    <w:rsid w:val="3F3BCC18"/>
    <w:rsid w:val="3F3CD2F4"/>
    <w:rsid w:val="3F3D881A"/>
    <w:rsid w:val="3F3DA97C"/>
    <w:rsid w:val="3F405C04"/>
    <w:rsid w:val="3F446A0F"/>
    <w:rsid w:val="3F4494A9"/>
    <w:rsid w:val="3F44F8D5"/>
    <w:rsid w:val="3F4543FA"/>
    <w:rsid w:val="3F4EA542"/>
    <w:rsid w:val="3F5244AD"/>
    <w:rsid w:val="3F53985D"/>
    <w:rsid w:val="3F59C045"/>
    <w:rsid w:val="3F658E37"/>
    <w:rsid w:val="3F6A678B"/>
    <w:rsid w:val="3F6B7074"/>
    <w:rsid w:val="3F6FAA7E"/>
    <w:rsid w:val="3F751F4E"/>
    <w:rsid w:val="3F78B68D"/>
    <w:rsid w:val="3F7A397E"/>
    <w:rsid w:val="3F7AC574"/>
    <w:rsid w:val="3F7B5D93"/>
    <w:rsid w:val="3F7EFCD5"/>
    <w:rsid w:val="3F80A5F7"/>
    <w:rsid w:val="3F868B72"/>
    <w:rsid w:val="3F8A8219"/>
    <w:rsid w:val="3F8E81E9"/>
    <w:rsid w:val="3F90554E"/>
    <w:rsid w:val="3F927D74"/>
    <w:rsid w:val="3F934142"/>
    <w:rsid w:val="3F9B3DBF"/>
    <w:rsid w:val="3F9ECB28"/>
    <w:rsid w:val="3FA63B94"/>
    <w:rsid w:val="3FACD041"/>
    <w:rsid w:val="3FAD78A9"/>
    <w:rsid w:val="3FB44DDD"/>
    <w:rsid w:val="3FB722CB"/>
    <w:rsid w:val="3FB9096F"/>
    <w:rsid w:val="3FBEB2B9"/>
    <w:rsid w:val="3FC06778"/>
    <w:rsid w:val="3FC49CE5"/>
    <w:rsid w:val="3FCBB46F"/>
    <w:rsid w:val="3FCDE8D3"/>
    <w:rsid w:val="3FD75538"/>
    <w:rsid w:val="3FD8F212"/>
    <w:rsid w:val="3FE05227"/>
    <w:rsid w:val="3FE26FC0"/>
    <w:rsid w:val="3FE738EB"/>
    <w:rsid w:val="3FE90C5A"/>
    <w:rsid w:val="3FEA93A3"/>
    <w:rsid w:val="3FEBDFCF"/>
    <w:rsid w:val="3FEDF60A"/>
    <w:rsid w:val="3FEE79EF"/>
    <w:rsid w:val="3FEF7626"/>
    <w:rsid w:val="3FF06B0E"/>
    <w:rsid w:val="3FF6BD0A"/>
    <w:rsid w:val="3FFA6B67"/>
    <w:rsid w:val="4002712A"/>
    <w:rsid w:val="40059CBD"/>
    <w:rsid w:val="4007D10D"/>
    <w:rsid w:val="40083B98"/>
    <w:rsid w:val="400E54C2"/>
    <w:rsid w:val="4013F7EE"/>
    <w:rsid w:val="4016CAE7"/>
    <w:rsid w:val="4019F888"/>
    <w:rsid w:val="401FA767"/>
    <w:rsid w:val="40223C5E"/>
    <w:rsid w:val="4023228E"/>
    <w:rsid w:val="4024AEC0"/>
    <w:rsid w:val="4028D535"/>
    <w:rsid w:val="402BADB1"/>
    <w:rsid w:val="402D36A1"/>
    <w:rsid w:val="402F23B4"/>
    <w:rsid w:val="40309563"/>
    <w:rsid w:val="4033E078"/>
    <w:rsid w:val="40359667"/>
    <w:rsid w:val="4036FAD6"/>
    <w:rsid w:val="40384E1D"/>
    <w:rsid w:val="403929D0"/>
    <w:rsid w:val="403DB8D0"/>
    <w:rsid w:val="4042E2ED"/>
    <w:rsid w:val="4045044E"/>
    <w:rsid w:val="404D0E9E"/>
    <w:rsid w:val="404E73F3"/>
    <w:rsid w:val="40560CA6"/>
    <w:rsid w:val="40598DA3"/>
    <w:rsid w:val="40638A9C"/>
    <w:rsid w:val="4063D489"/>
    <w:rsid w:val="406AE769"/>
    <w:rsid w:val="406C158C"/>
    <w:rsid w:val="406D7636"/>
    <w:rsid w:val="406DECD7"/>
    <w:rsid w:val="407001AA"/>
    <w:rsid w:val="40700BDB"/>
    <w:rsid w:val="4070BB9B"/>
    <w:rsid w:val="4071EF2D"/>
    <w:rsid w:val="4074FB02"/>
    <w:rsid w:val="407CAA79"/>
    <w:rsid w:val="40816BA5"/>
    <w:rsid w:val="40853B74"/>
    <w:rsid w:val="40877B9A"/>
    <w:rsid w:val="40896335"/>
    <w:rsid w:val="408DDF0C"/>
    <w:rsid w:val="4090E824"/>
    <w:rsid w:val="40924E4D"/>
    <w:rsid w:val="4092BDDB"/>
    <w:rsid w:val="4097CB76"/>
    <w:rsid w:val="409BEDC8"/>
    <w:rsid w:val="409CF436"/>
    <w:rsid w:val="40A868D0"/>
    <w:rsid w:val="40A885D2"/>
    <w:rsid w:val="40A9B64F"/>
    <w:rsid w:val="40AF7386"/>
    <w:rsid w:val="40B5192F"/>
    <w:rsid w:val="40B87449"/>
    <w:rsid w:val="40BA8B23"/>
    <w:rsid w:val="40BF5916"/>
    <w:rsid w:val="40C1217E"/>
    <w:rsid w:val="40C3B3B7"/>
    <w:rsid w:val="40CB8592"/>
    <w:rsid w:val="40CB9314"/>
    <w:rsid w:val="40CCEAD1"/>
    <w:rsid w:val="40CD035E"/>
    <w:rsid w:val="40CD3988"/>
    <w:rsid w:val="40D20D9F"/>
    <w:rsid w:val="40D340CA"/>
    <w:rsid w:val="40D49916"/>
    <w:rsid w:val="40D6B6EC"/>
    <w:rsid w:val="40D72003"/>
    <w:rsid w:val="40DE3282"/>
    <w:rsid w:val="40DF2887"/>
    <w:rsid w:val="40DFCAEB"/>
    <w:rsid w:val="40E423D9"/>
    <w:rsid w:val="40E47316"/>
    <w:rsid w:val="40E5CE40"/>
    <w:rsid w:val="40E806EF"/>
    <w:rsid w:val="40E9B735"/>
    <w:rsid w:val="40F2C426"/>
    <w:rsid w:val="40F31C97"/>
    <w:rsid w:val="40F623D1"/>
    <w:rsid w:val="40F93C33"/>
    <w:rsid w:val="40FB4D43"/>
    <w:rsid w:val="40FB97AF"/>
    <w:rsid w:val="40FFAE18"/>
    <w:rsid w:val="41007DA9"/>
    <w:rsid w:val="4104A76E"/>
    <w:rsid w:val="4104F191"/>
    <w:rsid w:val="41067CD1"/>
    <w:rsid w:val="410ADBE0"/>
    <w:rsid w:val="411083DC"/>
    <w:rsid w:val="4113EE3D"/>
    <w:rsid w:val="411499B5"/>
    <w:rsid w:val="4114C980"/>
    <w:rsid w:val="41176EE2"/>
    <w:rsid w:val="411C261C"/>
    <w:rsid w:val="411E9B6E"/>
    <w:rsid w:val="411FBE3A"/>
    <w:rsid w:val="412985DA"/>
    <w:rsid w:val="412A5A4A"/>
    <w:rsid w:val="412C29E4"/>
    <w:rsid w:val="412CF0F9"/>
    <w:rsid w:val="412E4728"/>
    <w:rsid w:val="41314DB0"/>
    <w:rsid w:val="41357023"/>
    <w:rsid w:val="4137C709"/>
    <w:rsid w:val="413B5671"/>
    <w:rsid w:val="413BB4C0"/>
    <w:rsid w:val="413BDB91"/>
    <w:rsid w:val="4142FD6F"/>
    <w:rsid w:val="41447977"/>
    <w:rsid w:val="414B16F5"/>
    <w:rsid w:val="414DC8ED"/>
    <w:rsid w:val="4150AC87"/>
    <w:rsid w:val="4154EF53"/>
    <w:rsid w:val="41589209"/>
    <w:rsid w:val="415E606B"/>
    <w:rsid w:val="415F3FBC"/>
    <w:rsid w:val="4160F036"/>
    <w:rsid w:val="4164447F"/>
    <w:rsid w:val="4164891D"/>
    <w:rsid w:val="4169C39F"/>
    <w:rsid w:val="41732599"/>
    <w:rsid w:val="4175631C"/>
    <w:rsid w:val="417655ED"/>
    <w:rsid w:val="4178A6C6"/>
    <w:rsid w:val="417C3201"/>
    <w:rsid w:val="417D6734"/>
    <w:rsid w:val="418BC588"/>
    <w:rsid w:val="418E623B"/>
    <w:rsid w:val="419017D0"/>
    <w:rsid w:val="4196979A"/>
    <w:rsid w:val="419DE763"/>
    <w:rsid w:val="41A0778D"/>
    <w:rsid w:val="41A8B414"/>
    <w:rsid w:val="41AD67EE"/>
    <w:rsid w:val="41AEC5E6"/>
    <w:rsid w:val="41B0CE57"/>
    <w:rsid w:val="41B59F0E"/>
    <w:rsid w:val="41B8093E"/>
    <w:rsid w:val="41B882C5"/>
    <w:rsid w:val="41BA4392"/>
    <w:rsid w:val="41C4001B"/>
    <w:rsid w:val="41C62FD5"/>
    <w:rsid w:val="41C77D7B"/>
    <w:rsid w:val="41CA5F56"/>
    <w:rsid w:val="41D53343"/>
    <w:rsid w:val="41D5B64F"/>
    <w:rsid w:val="41D68786"/>
    <w:rsid w:val="41D9110F"/>
    <w:rsid w:val="41DE0565"/>
    <w:rsid w:val="41DF18EC"/>
    <w:rsid w:val="41DF7495"/>
    <w:rsid w:val="41E0AA8F"/>
    <w:rsid w:val="41E51A6F"/>
    <w:rsid w:val="41E6B32D"/>
    <w:rsid w:val="41EB0770"/>
    <w:rsid w:val="41EB82BE"/>
    <w:rsid w:val="41EC60DD"/>
    <w:rsid w:val="41EE7ACE"/>
    <w:rsid w:val="41F56899"/>
    <w:rsid w:val="41F5F8C6"/>
    <w:rsid w:val="41FACF9E"/>
    <w:rsid w:val="42007402"/>
    <w:rsid w:val="4201DF4C"/>
    <w:rsid w:val="4202DCC8"/>
    <w:rsid w:val="42056B80"/>
    <w:rsid w:val="420779E9"/>
    <w:rsid w:val="42088A9E"/>
    <w:rsid w:val="420B4EA5"/>
    <w:rsid w:val="420C00B9"/>
    <w:rsid w:val="420C0E0F"/>
    <w:rsid w:val="420CB496"/>
    <w:rsid w:val="420F4D35"/>
    <w:rsid w:val="4212A825"/>
    <w:rsid w:val="4213845A"/>
    <w:rsid w:val="42181B43"/>
    <w:rsid w:val="42256580"/>
    <w:rsid w:val="4225EDF6"/>
    <w:rsid w:val="422C31F1"/>
    <w:rsid w:val="422E5916"/>
    <w:rsid w:val="422ED745"/>
    <w:rsid w:val="422F5186"/>
    <w:rsid w:val="4232EE10"/>
    <w:rsid w:val="4236AED4"/>
    <w:rsid w:val="4241279B"/>
    <w:rsid w:val="42477D10"/>
    <w:rsid w:val="4248C07F"/>
    <w:rsid w:val="424B0049"/>
    <w:rsid w:val="424E795E"/>
    <w:rsid w:val="424FBC97"/>
    <w:rsid w:val="425238BC"/>
    <w:rsid w:val="4253FFA4"/>
    <w:rsid w:val="425FA741"/>
    <w:rsid w:val="426051E6"/>
    <w:rsid w:val="4262382F"/>
    <w:rsid w:val="426392ED"/>
    <w:rsid w:val="426E59A6"/>
    <w:rsid w:val="42702A4C"/>
    <w:rsid w:val="4271F23D"/>
    <w:rsid w:val="4275570C"/>
    <w:rsid w:val="4277383A"/>
    <w:rsid w:val="42773F18"/>
    <w:rsid w:val="427870E9"/>
    <w:rsid w:val="4279234F"/>
    <w:rsid w:val="427C3780"/>
    <w:rsid w:val="428186F5"/>
    <w:rsid w:val="4288D6DF"/>
    <w:rsid w:val="428C6CB9"/>
    <w:rsid w:val="428F49C3"/>
    <w:rsid w:val="4290AF30"/>
    <w:rsid w:val="42934C2B"/>
    <w:rsid w:val="429442EE"/>
    <w:rsid w:val="4295D9D4"/>
    <w:rsid w:val="4299FA92"/>
    <w:rsid w:val="429A3FA8"/>
    <w:rsid w:val="429C1AD2"/>
    <w:rsid w:val="429C4E0A"/>
    <w:rsid w:val="429D0A06"/>
    <w:rsid w:val="429D2452"/>
    <w:rsid w:val="429E3DB2"/>
    <w:rsid w:val="429EC89B"/>
    <w:rsid w:val="42A0A967"/>
    <w:rsid w:val="42A29233"/>
    <w:rsid w:val="42A76004"/>
    <w:rsid w:val="42A9138A"/>
    <w:rsid w:val="42AA019A"/>
    <w:rsid w:val="42AC271C"/>
    <w:rsid w:val="42AF05F3"/>
    <w:rsid w:val="42B25C05"/>
    <w:rsid w:val="42B46674"/>
    <w:rsid w:val="42B5A909"/>
    <w:rsid w:val="42C13F91"/>
    <w:rsid w:val="42C8917E"/>
    <w:rsid w:val="42C8A537"/>
    <w:rsid w:val="42C9972D"/>
    <w:rsid w:val="42CB979E"/>
    <w:rsid w:val="42CE9127"/>
    <w:rsid w:val="42D55DCE"/>
    <w:rsid w:val="42D6D5F7"/>
    <w:rsid w:val="42DC0F01"/>
    <w:rsid w:val="42DE0ABA"/>
    <w:rsid w:val="42E1167A"/>
    <w:rsid w:val="42E2AA69"/>
    <w:rsid w:val="42E4E930"/>
    <w:rsid w:val="42EC1331"/>
    <w:rsid w:val="42EFD621"/>
    <w:rsid w:val="42F22F93"/>
    <w:rsid w:val="42F5BF7D"/>
    <w:rsid w:val="42F7108F"/>
    <w:rsid w:val="42FA77E0"/>
    <w:rsid w:val="42FCE9E9"/>
    <w:rsid w:val="42FF0ABD"/>
    <w:rsid w:val="42FFCF4E"/>
    <w:rsid w:val="4300CB70"/>
    <w:rsid w:val="430259AF"/>
    <w:rsid w:val="4303B355"/>
    <w:rsid w:val="4309643E"/>
    <w:rsid w:val="430CA06A"/>
    <w:rsid w:val="430D557A"/>
    <w:rsid w:val="430EF5FA"/>
    <w:rsid w:val="43177460"/>
    <w:rsid w:val="43177C86"/>
    <w:rsid w:val="43185E75"/>
    <w:rsid w:val="43187A1A"/>
    <w:rsid w:val="43188092"/>
    <w:rsid w:val="43189A2A"/>
    <w:rsid w:val="431ED004"/>
    <w:rsid w:val="432301DD"/>
    <w:rsid w:val="432C8525"/>
    <w:rsid w:val="432EAEE0"/>
    <w:rsid w:val="4335023E"/>
    <w:rsid w:val="43399C00"/>
    <w:rsid w:val="433AE84C"/>
    <w:rsid w:val="433B9A9B"/>
    <w:rsid w:val="433F7D5A"/>
    <w:rsid w:val="43453AF1"/>
    <w:rsid w:val="434AE0BF"/>
    <w:rsid w:val="43530E81"/>
    <w:rsid w:val="4354CD0B"/>
    <w:rsid w:val="43580FDA"/>
    <w:rsid w:val="435CFBBF"/>
    <w:rsid w:val="4363B124"/>
    <w:rsid w:val="43662EE7"/>
    <w:rsid w:val="436798B5"/>
    <w:rsid w:val="436AAC2F"/>
    <w:rsid w:val="436AFB01"/>
    <w:rsid w:val="436B1B0F"/>
    <w:rsid w:val="436BF259"/>
    <w:rsid w:val="4373C237"/>
    <w:rsid w:val="43772C81"/>
    <w:rsid w:val="4377E733"/>
    <w:rsid w:val="437BB4E0"/>
    <w:rsid w:val="437C9217"/>
    <w:rsid w:val="43840AC2"/>
    <w:rsid w:val="43846B8F"/>
    <w:rsid w:val="4385067A"/>
    <w:rsid w:val="438590C4"/>
    <w:rsid w:val="43861675"/>
    <w:rsid w:val="4387A002"/>
    <w:rsid w:val="438A0BB1"/>
    <w:rsid w:val="438A9A61"/>
    <w:rsid w:val="43907EA3"/>
    <w:rsid w:val="43911DC3"/>
    <w:rsid w:val="4394D5BD"/>
    <w:rsid w:val="4396186C"/>
    <w:rsid w:val="43979E07"/>
    <w:rsid w:val="439894EC"/>
    <w:rsid w:val="43A253BD"/>
    <w:rsid w:val="43A3C97F"/>
    <w:rsid w:val="43A8BFEB"/>
    <w:rsid w:val="43AB5834"/>
    <w:rsid w:val="43AFBD44"/>
    <w:rsid w:val="43B2226C"/>
    <w:rsid w:val="43B4EDBD"/>
    <w:rsid w:val="43B6435D"/>
    <w:rsid w:val="43BCF62C"/>
    <w:rsid w:val="43C45A41"/>
    <w:rsid w:val="43C65DC2"/>
    <w:rsid w:val="43CA1638"/>
    <w:rsid w:val="43CF75E3"/>
    <w:rsid w:val="43D0C320"/>
    <w:rsid w:val="43D4C8F6"/>
    <w:rsid w:val="43D9B025"/>
    <w:rsid w:val="43DD5EC3"/>
    <w:rsid w:val="43E27129"/>
    <w:rsid w:val="43E3D72A"/>
    <w:rsid w:val="43E4F903"/>
    <w:rsid w:val="43E4FF6F"/>
    <w:rsid w:val="43E6F80A"/>
    <w:rsid w:val="43ED68F0"/>
    <w:rsid w:val="43F4B2B8"/>
    <w:rsid w:val="43F539BF"/>
    <w:rsid w:val="43F68F98"/>
    <w:rsid w:val="43F769C4"/>
    <w:rsid w:val="43F89A79"/>
    <w:rsid w:val="43FED7BC"/>
    <w:rsid w:val="44010966"/>
    <w:rsid w:val="4402226A"/>
    <w:rsid w:val="44030673"/>
    <w:rsid w:val="440458B2"/>
    <w:rsid w:val="4411B379"/>
    <w:rsid w:val="44150646"/>
    <w:rsid w:val="44154188"/>
    <w:rsid w:val="44156007"/>
    <w:rsid w:val="441967CD"/>
    <w:rsid w:val="441F8540"/>
    <w:rsid w:val="44218BC1"/>
    <w:rsid w:val="4421B40E"/>
    <w:rsid w:val="4423C6B2"/>
    <w:rsid w:val="4427E47E"/>
    <w:rsid w:val="442B9685"/>
    <w:rsid w:val="442E01D5"/>
    <w:rsid w:val="44302628"/>
    <w:rsid w:val="44303DC1"/>
    <w:rsid w:val="4437121B"/>
    <w:rsid w:val="44376ADA"/>
    <w:rsid w:val="443A5348"/>
    <w:rsid w:val="443CCA69"/>
    <w:rsid w:val="443E1417"/>
    <w:rsid w:val="444152D8"/>
    <w:rsid w:val="44452243"/>
    <w:rsid w:val="44455BB4"/>
    <w:rsid w:val="4445DC01"/>
    <w:rsid w:val="444A1974"/>
    <w:rsid w:val="444ACB99"/>
    <w:rsid w:val="444B3F99"/>
    <w:rsid w:val="444DD4E9"/>
    <w:rsid w:val="444F14CB"/>
    <w:rsid w:val="445124B5"/>
    <w:rsid w:val="445E17B8"/>
    <w:rsid w:val="445E9D74"/>
    <w:rsid w:val="446149B0"/>
    <w:rsid w:val="446301E5"/>
    <w:rsid w:val="44647414"/>
    <w:rsid w:val="4465F34E"/>
    <w:rsid w:val="44671A63"/>
    <w:rsid w:val="4468C316"/>
    <w:rsid w:val="446C6A9F"/>
    <w:rsid w:val="44713263"/>
    <w:rsid w:val="4471A0FB"/>
    <w:rsid w:val="447216CE"/>
    <w:rsid w:val="4473B304"/>
    <w:rsid w:val="4476016E"/>
    <w:rsid w:val="447744AF"/>
    <w:rsid w:val="44784279"/>
    <w:rsid w:val="447E37BE"/>
    <w:rsid w:val="44858577"/>
    <w:rsid w:val="44875D0B"/>
    <w:rsid w:val="448D0A84"/>
    <w:rsid w:val="448E8B22"/>
    <w:rsid w:val="4491E90F"/>
    <w:rsid w:val="44937D49"/>
    <w:rsid w:val="4494EDE5"/>
    <w:rsid w:val="4495A194"/>
    <w:rsid w:val="449A9031"/>
    <w:rsid w:val="449D93A0"/>
    <w:rsid w:val="449F5186"/>
    <w:rsid w:val="449FEBD5"/>
    <w:rsid w:val="44A0B5D7"/>
    <w:rsid w:val="44A1E870"/>
    <w:rsid w:val="44A4023A"/>
    <w:rsid w:val="44A52B7E"/>
    <w:rsid w:val="44A5CEDA"/>
    <w:rsid w:val="44A82C3B"/>
    <w:rsid w:val="44AD7056"/>
    <w:rsid w:val="44B4C972"/>
    <w:rsid w:val="44BA2492"/>
    <w:rsid w:val="44BA4E4E"/>
    <w:rsid w:val="44BA82AC"/>
    <w:rsid w:val="44BACAAE"/>
    <w:rsid w:val="44BB2877"/>
    <w:rsid w:val="44BDC282"/>
    <w:rsid w:val="44BDE7B1"/>
    <w:rsid w:val="44BF872B"/>
    <w:rsid w:val="44C18128"/>
    <w:rsid w:val="44CA4177"/>
    <w:rsid w:val="44CB254A"/>
    <w:rsid w:val="44CD412F"/>
    <w:rsid w:val="44D18C04"/>
    <w:rsid w:val="44D22659"/>
    <w:rsid w:val="44D273EC"/>
    <w:rsid w:val="44D2856D"/>
    <w:rsid w:val="44D38FEA"/>
    <w:rsid w:val="44E1214A"/>
    <w:rsid w:val="44E180F5"/>
    <w:rsid w:val="44E3894E"/>
    <w:rsid w:val="44E64F60"/>
    <w:rsid w:val="44E6B4C3"/>
    <w:rsid w:val="44E91DD0"/>
    <w:rsid w:val="44ED21C2"/>
    <w:rsid w:val="44EDBE05"/>
    <w:rsid w:val="44EE4D9D"/>
    <w:rsid w:val="44EF59AB"/>
    <w:rsid w:val="44F2ADCD"/>
    <w:rsid w:val="44F42FEE"/>
    <w:rsid w:val="44F9D259"/>
    <w:rsid w:val="44FC8BAB"/>
    <w:rsid w:val="44FD796A"/>
    <w:rsid w:val="45049A43"/>
    <w:rsid w:val="450574A9"/>
    <w:rsid w:val="4506DD76"/>
    <w:rsid w:val="45073FAA"/>
    <w:rsid w:val="4509FB25"/>
    <w:rsid w:val="450A0D8B"/>
    <w:rsid w:val="450AE2FE"/>
    <w:rsid w:val="450CA590"/>
    <w:rsid w:val="45160B73"/>
    <w:rsid w:val="4518094D"/>
    <w:rsid w:val="451B8AA8"/>
    <w:rsid w:val="451C9DA0"/>
    <w:rsid w:val="451DB5B2"/>
    <w:rsid w:val="4522E5A8"/>
    <w:rsid w:val="45250ADE"/>
    <w:rsid w:val="4525BDBB"/>
    <w:rsid w:val="4525DD87"/>
    <w:rsid w:val="4529B265"/>
    <w:rsid w:val="452C8B39"/>
    <w:rsid w:val="452F2648"/>
    <w:rsid w:val="45346947"/>
    <w:rsid w:val="453621F5"/>
    <w:rsid w:val="453CE33F"/>
    <w:rsid w:val="453D467E"/>
    <w:rsid w:val="45417FF6"/>
    <w:rsid w:val="45429BE8"/>
    <w:rsid w:val="4546D95D"/>
    <w:rsid w:val="454838C7"/>
    <w:rsid w:val="45495CEA"/>
    <w:rsid w:val="4550D097"/>
    <w:rsid w:val="45561285"/>
    <w:rsid w:val="455C39BE"/>
    <w:rsid w:val="455CE60E"/>
    <w:rsid w:val="45615F78"/>
    <w:rsid w:val="45623269"/>
    <w:rsid w:val="45644AB5"/>
    <w:rsid w:val="4564C185"/>
    <w:rsid w:val="456B5F96"/>
    <w:rsid w:val="456DB8D7"/>
    <w:rsid w:val="456F3F8E"/>
    <w:rsid w:val="456FEF43"/>
    <w:rsid w:val="456FFC39"/>
    <w:rsid w:val="4570E5CE"/>
    <w:rsid w:val="45719109"/>
    <w:rsid w:val="457A26E2"/>
    <w:rsid w:val="457B579B"/>
    <w:rsid w:val="457E6FED"/>
    <w:rsid w:val="458116A6"/>
    <w:rsid w:val="4585EC2A"/>
    <w:rsid w:val="458634AF"/>
    <w:rsid w:val="45864AC1"/>
    <w:rsid w:val="458A9DE1"/>
    <w:rsid w:val="458B40DD"/>
    <w:rsid w:val="458E8086"/>
    <w:rsid w:val="45948E65"/>
    <w:rsid w:val="45970F10"/>
    <w:rsid w:val="4597BB4B"/>
    <w:rsid w:val="45A09C57"/>
    <w:rsid w:val="45A15C96"/>
    <w:rsid w:val="45A221D6"/>
    <w:rsid w:val="45A3B084"/>
    <w:rsid w:val="45A61DE5"/>
    <w:rsid w:val="45A7199E"/>
    <w:rsid w:val="45A79F57"/>
    <w:rsid w:val="45AE332F"/>
    <w:rsid w:val="45AEA393"/>
    <w:rsid w:val="45B32C3F"/>
    <w:rsid w:val="45B3E7CB"/>
    <w:rsid w:val="45B52AFA"/>
    <w:rsid w:val="45B5EFE0"/>
    <w:rsid w:val="45BD966F"/>
    <w:rsid w:val="45BD9AD8"/>
    <w:rsid w:val="45C17ED6"/>
    <w:rsid w:val="45CB3168"/>
    <w:rsid w:val="45CF05AC"/>
    <w:rsid w:val="45CFB885"/>
    <w:rsid w:val="45D02C6D"/>
    <w:rsid w:val="45D03F72"/>
    <w:rsid w:val="45D08992"/>
    <w:rsid w:val="45D69918"/>
    <w:rsid w:val="45D8809D"/>
    <w:rsid w:val="45E162BB"/>
    <w:rsid w:val="45E72A7F"/>
    <w:rsid w:val="45E7761A"/>
    <w:rsid w:val="45E9067F"/>
    <w:rsid w:val="45E9505B"/>
    <w:rsid w:val="45EAB0AF"/>
    <w:rsid w:val="45ED49B7"/>
    <w:rsid w:val="45EF299A"/>
    <w:rsid w:val="45F04635"/>
    <w:rsid w:val="45F72C09"/>
    <w:rsid w:val="45FABF41"/>
    <w:rsid w:val="4607AA87"/>
    <w:rsid w:val="4608B6CD"/>
    <w:rsid w:val="460B9B19"/>
    <w:rsid w:val="4610C1BB"/>
    <w:rsid w:val="46135BFB"/>
    <w:rsid w:val="4619FFDD"/>
    <w:rsid w:val="461A52DC"/>
    <w:rsid w:val="461D6362"/>
    <w:rsid w:val="46260497"/>
    <w:rsid w:val="463065B9"/>
    <w:rsid w:val="4632BBE0"/>
    <w:rsid w:val="4632D3D1"/>
    <w:rsid w:val="463636D6"/>
    <w:rsid w:val="46365C2D"/>
    <w:rsid w:val="4638093E"/>
    <w:rsid w:val="46387753"/>
    <w:rsid w:val="463A3988"/>
    <w:rsid w:val="463CBA70"/>
    <w:rsid w:val="463E6AD4"/>
    <w:rsid w:val="463FF234"/>
    <w:rsid w:val="4642D862"/>
    <w:rsid w:val="464696BC"/>
    <w:rsid w:val="4648EB97"/>
    <w:rsid w:val="464C46B2"/>
    <w:rsid w:val="464C5BA0"/>
    <w:rsid w:val="46501532"/>
    <w:rsid w:val="46536EF1"/>
    <w:rsid w:val="46548F6D"/>
    <w:rsid w:val="465A79D2"/>
    <w:rsid w:val="465AC798"/>
    <w:rsid w:val="46630880"/>
    <w:rsid w:val="46684E0C"/>
    <w:rsid w:val="466C806D"/>
    <w:rsid w:val="466F6481"/>
    <w:rsid w:val="46757D49"/>
    <w:rsid w:val="4679F9B6"/>
    <w:rsid w:val="467D4357"/>
    <w:rsid w:val="467D5156"/>
    <w:rsid w:val="467D6A52"/>
    <w:rsid w:val="467FA16C"/>
    <w:rsid w:val="46802B4F"/>
    <w:rsid w:val="46825FF8"/>
    <w:rsid w:val="468360EC"/>
    <w:rsid w:val="4684CF2A"/>
    <w:rsid w:val="468EC515"/>
    <w:rsid w:val="468F624C"/>
    <w:rsid w:val="468FB09C"/>
    <w:rsid w:val="4690CBBF"/>
    <w:rsid w:val="4696EF68"/>
    <w:rsid w:val="46997BD5"/>
    <w:rsid w:val="469BC538"/>
    <w:rsid w:val="469D1E23"/>
    <w:rsid w:val="469DA42B"/>
    <w:rsid w:val="469EDF96"/>
    <w:rsid w:val="46A24104"/>
    <w:rsid w:val="46A6E479"/>
    <w:rsid w:val="46AAEB24"/>
    <w:rsid w:val="46ABBB74"/>
    <w:rsid w:val="46ABCDD9"/>
    <w:rsid w:val="46ACC5F7"/>
    <w:rsid w:val="46B046E7"/>
    <w:rsid w:val="46B0CC95"/>
    <w:rsid w:val="46B1A248"/>
    <w:rsid w:val="46BC3E7D"/>
    <w:rsid w:val="46BF6EC9"/>
    <w:rsid w:val="46C37DA0"/>
    <w:rsid w:val="46C43412"/>
    <w:rsid w:val="46C90600"/>
    <w:rsid w:val="46CB3942"/>
    <w:rsid w:val="46CBDE38"/>
    <w:rsid w:val="46D21301"/>
    <w:rsid w:val="46D3F42D"/>
    <w:rsid w:val="46D65C50"/>
    <w:rsid w:val="46D888E8"/>
    <w:rsid w:val="46D92584"/>
    <w:rsid w:val="46D9F522"/>
    <w:rsid w:val="46DC49A0"/>
    <w:rsid w:val="46DC58B4"/>
    <w:rsid w:val="46DEF90F"/>
    <w:rsid w:val="46E152EA"/>
    <w:rsid w:val="46E39554"/>
    <w:rsid w:val="46E4DFFA"/>
    <w:rsid w:val="46E4F2A6"/>
    <w:rsid w:val="46E6447A"/>
    <w:rsid w:val="46E6DA56"/>
    <w:rsid w:val="46EA973F"/>
    <w:rsid w:val="46EF4671"/>
    <w:rsid w:val="46F467DB"/>
    <w:rsid w:val="46F48CD4"/>
    <w:rsid w:val="46F4A728"/>
    <w:rsid w:val="46F9B6E8"/>
    <w:rsid w:val="46FA9241"/>
    <w:rsid w:val="46FC29D3"/>
    <w:rsid w:val="46FC37D6"/>
    <w:rsid w:val="46FE8A5E"/>
    <w:rsid w:val="470091E6"/>
    <w:rsid w:val="47014007"/>
    <w:rsid w:val="470A9683"/>
    <w:rsid w:val="470DCB68"/>
    <w:rsid w:val="470FED4A"/>
    <w:rsid w:val="471711E8"/>
    <w:rsid w:val="4717F3A9"/>
    <w:rsid w:val="47191EA9"/>
    <w:rsid w:val="472147A7"/>
    <w:rsid w:val="4724E19D"/>
    <w:rsid w:val="4727EE11"/>
    <w:rsid w:val="47283E86"/>
    <w:rsid w:val="472AD30C"/>
    <w:rsid w:val="472CA816"/>
    <w:rsid w:val="472DA5D2"/>
    <w:rsid w:val="472F3C22"/>
    <w:rsid w:val="472FB20B"/>
    <w:rsid w:val="47371E21"/>
    <w:rsid w:val="4737503D"/>
    <w:rsid w:val="4737BB62"/>
    <w:rsid w:val="473A6380"/>
    <w:rsid w:val="473B8232"/>
    <w:rsid w:val="473BA019"/>
    <w:rsid w:val="47426FB0"/>
    <w:rsid w:val="4745ECDA"/>
    <w:rsid w:val="474D2645"/>
    <w:rsid w:val="47507127"/>
    <w:rsid w:val="475279D6"/>
    <w:rsid w:val="4752EF3D"/>
    <w:rsid w:val="475A5D52"/>
    <w:rsid w:val="475D2996"/>
    <w:rsid w:val="475DAC9E"/>
    <w:rsid w:val="4760AA95"/>
    <w:rsid w:val="47627925"/>
    <w:rsid w:val="4764ECF3"/>
    <w:rsid w:val="4766BA17"/>
    <w:rsid w:val="47693402"/>
    <w:rsid w:val="476B5FB3"/>
    <w:rsid w:val="476FC848"/>
    <w:rsid w:val="47702B97"/>
    <w:rsid w:val="4772731D"/>
    <w:rsid w:val="477274A3"/>
    <w:rsid w:val="4777B668"/>
    <w:rsid w:val="477920A9"/>
    <w:rsid w:val="47852E21"/>
    <w:rsid w:val="4786DC2C"/>
    <w:rsid w:val="4787BFD9"/>
    <w:rsid w:val="478892E0"/>
    <w:rsid w:val="478AD015"/>
    <w:rsid w:val="478C3323"/>
    <w:rsid w:val="478D91F4"/>
    <w:rsid w:val="478F2901"/>
    <w:rsid w:val="478FD711"/>
    <w:rsid w:val="47907960"/>
    <w:rsid w:val="4790D8C4"/>
    <w:rsid w:val="4793AC92"/>
    <w:rsid w:val="47961B1F"/>
    <w:rsid w:val="47974205"/>
    <w:rsid w:val="479B666D"/>
    <w:rsid w:val="479F7002"/>
    <w:rsid w:val="47A1CC1F"/>
    <w:rsid w:val="47A6BE7A"/>
    <w:rsid w:val="47A83AD9"/>
    <w:rsid w:val="47A86053"/>
    <w:rsid w:val="47A8D97D"/>
    <w:rsid w:val="47AB9388"/>
    <w:rsid w:val="47AD9D24"/>
    <w:rsid w:val="47ADA230"/>
    <w:rsid w:val="47ADD418"/>
    <w:rsid w:val="47B035E6"/>
    <w:rsid w:val="47B4672B"/>
    <w:rsid w:val="47B7EA40"/>
    <w:rsid w:val="47BA3660"/>
    <w:rsid w:val="47BB36AA"/>
    <w:rsid w:val="47BCCB0F"/>
    <w:rsid w:val="47C77EB1"/>
    <w:rsid w:val="47CC5A87"/>
    <w:rsid w:val="47CEBE6B"/>
    <w:rsid w:val="47CF9E8B"/>
    <w:rsid w:val="47D4EFBC"/>
    <w:rsid w:val="47D55747"/>
    <w:rsid w:val="47D7A4E4"/>
    <w:rsid w:val="47DACA25"/>
    <w:rsid w:val="47DE5EA2"/>
    <w:rsid w:val="47DE6691"/>
    <w:rsid w:val="47E13FB4"/>
    <w:rsid w:val="47E32D79"/>
    <w:rsid w:val="47EAAD23"/>
    <w:rsid w:val="47EE7C78"/>
    <w:rsid w:val="47EEE1A7"/>
    <w:rsid w:val="47F85B17"/>
    <w:rsid w:val="47FF9784"/>
    <w:rsid w:val="4800BE5A"/>
    <w:rsid w:val="4803EFD8"/>
    <w:rsid w:val="4804EAFD"/>
    <w:rsid w:val="4806A62B"/>
    <w:rsid w:val="480B2137"/>
    <w:rsid w:val="480C4822"/>
    <w:rsid w:val="480D248A"/>
    <w:rsid w:val="480D9022"/>
    <w:rsid w:val="480E5510"/>
    <w:rsid w:val="4810E267"/>
    <w:rsid w:val="48131769"/>
    <w:rsid w:val="481D6064"/>
    <w:rsid w:val="481E4D52"/>
    <w:rsid w:val="48211737"/>
    <w:rsid w:val="48262035"/>
    <w:rsid w:val="482D234E"/>
    <w:rsid w:val="48352915"/>
    <w:rsid w:val="4837C42C"/>
    <w:rsid w:val="484218A4"/>
    <w:rsid w:val="484350E4"/>
    <w:rsid w:val="48438667"/>
    <w:rsid w:val="4848E428"/>
    <w:rsid w:val="484CB8A7"/>
    <w:rsid w:val="484DDAF0"/>
    <w:rsid w:val="485253B6"/>
    <w:rsid w:val="4853CB88"/>
    <w:rsid w:val="4854E7CF"/>
    <w:rsid w:val="485708BE"/>
    <w:rsid w:val="485BDA87"/>
    <w:rsid w:val="485EF373"/>
    <w:rsid w:val="485FB5EC"/>
    <w:rsid w:val="48654B0D"/>
    <w:rsid w:val="4868F774"/>
    <w:rsid w:val="486A44A1"/>
    <w:rsid w:val="486B3DAF"/>
    <w:rsid w:val="486C053D"/>
    <w:rsid w:val="4871893D"/>
    <w:rsid w:val="487361F4"/>
    <w:rsid w:val="48777DDD"/>
    <w:rsid w:val="487B3AFD"/>
    <w:rsid w:val="487BCC21"/>
    <w:rsid w:val="487E0CF8"/>
    <w:rsid w:val="48818174"/>
    <w:rsid w:val="4882CA3C"/>
    <w:rsid w:val="48848370"/>
    <w:rsid w:val="48851ED2"/>
    <w:rsid w:val="48878C68"/>
    <w:rsid w:val="48881B36"/>
    <w:rsid w:val="488A06CA"/>
    <w:rsid w:val="488A9D99"/>
    <w:rsid w:val="4890F7C0"/>
    <w:rsid w:val="4894E9D4"/>
    <w:rsid w:val="489A2986"/>
    <w:rsid w:val="489D0E98"/>
    <w:rsid w:val="489EB5A9"/>
    <w:rsid w:val="48A29C03"/>
    <w:rsid w:val="48A805C1"/>
    <w:rsid w:val="48AAF59F"/>
    <w:rsid w:val="48B2BF07"/>
    <w:rsid w:val="48B82187"/>
    <w:rsid w:val="48BCC495"/>
    <w:rsid w:val="48BD1808"/>
    <w:rsid w:val="48BD9B81"/>
    <w:rsid w:val="48C520FF"/>
    <w:rsid w:val="48C5EFE1"/>
    <w:rsid w:val="48CD0E20"/>
    <w:rsid w:val="48CD53E0"/>
    <w:rsid w:val="48CF24BC"/>
    <w:rsid w:val="48D06DE5"/>
    <w:rsid w:val="48D0B14A"/>
    <w:rsid w:val="48D176CF"/>
    <w:rsid w:val="48D48F6F"/>
    <w:rsid w:val="48D6CCC0"/>
    <w:rsid w:val="48D900C0"/>
    <w:rsid w:val="48DAD636"/>
    <w:rsid w:val="48DECEA6"/>
    <w:rsid w:val="48E286E9"/>
    <w:rsid w:val="48ED4F3A"/>
    <w:rsid w:val="48EE5E18"/>
    <w:rsid w:val="48F0FF3E"/>
    <w:rsid w:val="48F2991D"/>
    <w:rsid w:val="48F45E17"/>
    <w:rsid w:val="48F66668"/>
    <w:rsid w:val="48F690F6"/>
    <w:rsid w:val="48F8137A"/>
    <w:rsid w:val="48F81863"/>
    <w:rsid w:val="48FE1145"/>
    <w:rsid w:val="49001ECA"/>
    <w:rsid w:val="4903C21D"/>
    <w:rsid w:val="49041444"/>
    <w:rsid w:val="4904F843"/>
    <w:rsid w:val="491085E4"/>
    <w:rsid w:val="49114553"/>
    <w:rsid w:val="491388B4"/>
    <w:rsid w:val="49177C5E"/>
    <w:rsid w:val="491A1A63"/>
    <w:rsid w:val="491EAD76"/>
    <w:rsid w:val="4922552C"/>
    <w:rsid w:val="4928C97E"/>
    <w:rsid w:val="492BAF41"/>
    <w:rsid w:val="492ECCCB"/>
    <w:rsid w:val="49316801"/>
    <w:rsid w:val="493318FE"/>
    <w:rsid w:val="493347AA"/>
    <w:rsid w:val="4936B76B"/>
    <w:rsid w:val="49389A8C"/>
    <w:rsid w:val="49414AA2"/>
    <w:rsid w:val="4941CC67"/>
    <w:rsid w:val="494265B9"/>
    <w:rsid w:val="4944F108"/>
    <w:rsid w:val="4948E5F4"/>
    <w:rsid w:val="494C4BB3"/>
    <w:rsid w:val="494D46FE"/>
    <w:rsid w:val="494F00D2"/>
    <w:rsid w:val="494F3EC7"/>
    <w:rsid w:val="49510BFA"/>
    <w:rsid w:val="4956063C"/>
    <w:rsid w:val="49564193"/>
    <w:rsid w:val="4958010F"/>
    <w:rsid w:val="495AB0CD"/>
    <w:rsid w:val="495BBDE8"/>
    <w:rsid w:val="495DDC58"/>
    <w:rsid w:val="495EADE0"/>
    <w:rsid w:val="495FFD74"/>
    <w:rsid w:val="49628AD2"/>
    <w:rsid w:val="49632A4C"/>
    <w:rsid w:val="49662907"/>
    <w:rsid w:val="496E4649"/>
    <w:rsid w:val="496EB1A9"/>
    <w:rsid w:val="4973D5EF"/>
    <w:rsid w:val="497B5E59"/>
    <w:rsid w:val="497D8EE0"/>
    <w:rsid w:val="4980C8D3"/>
    <w:rsid w:val="49861D66"/>
    <w:rsid w:val="49887E41"/>
    <w:rsid w:val="498AB982"/>
    <w:rsid w:val="498B2301"/>
    <w:rsid w:val="498C6F11"/>
    <w:rsid w:val="499522E8"/>
    <w:rsid w:val="499C9CCF"/>
    <w:rsid w:val="49A54FAB"/>
    <w:rsid w:val="49A8178B"/>
    <w:rsid w:val="49AA3EDF"/>
    <w:rsid w:val="49AB794B"/>
    <w:rsid w:val="49AD411E"/>
    <w:rsid w:val="49AE1968"/>
    <w:rsid w:val="49C023CC"/>
    <w:rsid w:val="49C6BED4"/>
    <w:rsid w:val="49CA4E89"/>
    <w:rsid w:val="49CF9F29"/>
    <w:rsid w:val="49D614F7"/>
    <w:rsid w:val="49D7ED1F"/>
    <w:rsid w:val="49E36D85"/>
    <w:rsid w:val="49E6CF18"/>
    <w:rsid w:val="49E87457"/>
    <w:rsid w:val="49ED25EB"/>
    <w:rsid w:val="49F51BB1"/>
    <w:rsid w:val="49F92C5A"/>
    <w:rsid w:val="4A003280"/>
    <w:rsid w:val="4A04446E"/>
    <w:rsid w:val="4A0689C3"/>
    <w:rsid w:val="4A08DE1C"/>
    <w:rsid w:val="4A09708E"/>
    <w:rsid w:val="4A09988A"/>
    <w:rsid w:val="4A09EBDF"/>
    <w:rsid w:val="4A0CBBAE"/>
    <w:rsid w:val="4A136D8C"/>
    <w:rsid w:val="4A142C82"/>
    <w:rsid w:val="4A149109"/>
    <w:rsid w:val="4A15FD12"/>
    <w:rsid w:val="4A186FB5"/>
    <w:rsid w:val="4A1EC423"/>
    <w:rsid w:val="4A20366D"/>
    <w:rsid w:val="4A26C153"/>
    <w:rsid w:val="4A2779B9"/>
    <w:rsid w:val="4A2A9EF5"/>
    <w:rsid w:val="4A2AB903"/>
    <w:rsid w:val="4A2C004D"/>
    <w:rsid w:val="4A2F426F"/>
    <w:rsid w:val="4A2FC594"/>
    <w:rsid w:val="4A358C3D"/>
    <w:rsid w:val="4A35CE67"/>
    <w:rsid w:val="4A399B75"/>
    <w:rsid w:val="4A40699C"/>
    <w:rsid w:val="4A4D50B1"/>
    <w:rsid w:val="4A54CB94"/>
    <w:rsid w:val="4A56C7FA"/>
    <w:rsid w:val="4A584D02"/>
    <w:rsid w:val="4A5B5BBB"/>
    <w:rsid w:val="4A5BF8AA"/>
    <w:rsid w:val="4A5C4566"/>
    <w:rsid w:val="4A601772"/>
    <w:rsid w:val="4A641335"/>
    <w:rsid w:val="4A6458D4"/>
    <w:rsid w:val="4A673A39"/>
    <w:rsid w:val="4A6DAB6A"/>
    <w:rsid w:val="4A6F7338"/>
    <w:rsid w:val="4A7089AC"/>
    <w:rsid w:val="4A7114B8"/>
    <w:rsid w:val="4A784FFE"/>
    <w:rsid w:val="4A7B15A3"/>
    <w:rsid w:val="4A7B2AB4"/>
    <w:rsid w:val="4A7BF3CC"/>
    <w:rsid w:val="4A7D534B"/>
    <w:rsid w:val="4A822A81"/>
    <w:rsid w:val="4A877D72"/>
    <w:rsid w:val="4A87FB49"/>
    <w:rsid w:val="4A8D1C43"/>
    <w:rsid w:val="4A8D6D10"/>
    <w:rsid w:val="4A8F7F50"/>
    <w:rsid w:val="4A911ACB"/>
    <w:rsid w:val="4A93809A"/>
    <w:rsid w:val="4A951513"/>
    <w:rsid w:val="4A9AB009"/>
    <w:rsid w:val="4A9BBC99"/>
    <w:rsid w:val="4AA2F63C"/>
    <w:rsid w:val="4AA35E97"/>
    <w:rsid w:val="4AA797E6"/>
    <w:rsid w:val="4AB0BB5B"/>
    <w:rsid w:val="4AB1921C"/>
    <w:rsid w:val="4AB3B355"/>
    <w:rsid w:val="4AB424A4"/>
    <w:rsid w:val="4AC17E6A"/>
    <w:rsid w:val="4AC2BAC2"/>
    <w:rsid w:val="4AC35BC9"/>
    <w:rsid w:val="4AC48536"/>
    <w:rsid w:val="4AC5A658"/>
    <w:rsid w:val="4ACA6257"/>
    <w:rsid w:val="4ACCA1C6"/>
    <w:rsid w:val="4AD255E0"/>
    <w:rsid w:val="4AD380C1"/>
    <w:rsid w:val="4AD539A9"/>
    <w:rsid w:val="4AD57934"/>
    <w:rsid w:val="4AD69AC7"/>
    <w:rsid w:val="4AD96491"/>
    <w:rsid w:val="4ADBCE6F"/>
    <w:rsid w:val="4ADDFEA9"/>
    <w:rsid w:val="4ADE2D0A"/>
    <w:rsid w:val="4ADFE671"/>
    <w:rsid w:val="4AE1A4AA"/>
    <w:rsid w:val="4AE1E784"/>
    <w:rsid w:val="4AE2205E"/>
    <w:rsid w:val="4AE29706"/>
    <w:rsid w:val="4AE2E9A0"/>
    <w:rsid w:val="4AED8404"/>
    <w:rsid w:val="4AF4FBCE"/>
    <w:rsid w:val="4AF51459"/>
    <w:rsid w:val="4AF69AD5"/>
    <w:rsid w:val="4AF9BA69"/>
    <w:rsid w:val="4AFC9712"/>
    <w:rsid w:val="4AFD6F51"/>
    <w:rsid w:val="4AFFAF38"/>
    <w:rsid w:val="4B01DA22"/>
    <w:rsid w:val="4B044058"/>
    <w:rsid w:val="4B05D4C2"/>
    <w:rsid w:val="4B0645CF"/>
    <w:rsid w:val="4B06C7A2"/>
    <w:rsid w:val="4B071AB0"/>
    <w:rsid w:val="4B07E8FD"/>
    <w:rsid w:val="4B095311"/>
    <w:rsid w:val="4B09A4B4"/>
    <w:rsid w:val="4B0A7ACD"/>
    <w:rsid w:val="4B0C2ECE"/>
    <w:rsid w:val="4B14F632"/>
    <w:rsid w:val="4B15AD47"/>
    <w:rsid w:val="4B16EA49"/>
    <w:rsid w:val="4B17498C"/>
    <w:rsid w:val="4B17DD99"/>
    <w:rsid w:val="4B1EEFED"/>
    <w:rsid w:val="4B1EFD23"/>
    <w:rsid w:val="4B2829AA"/>
    <w:rsid w:val="4B283F72"/>
    <w:rsid w:val="4B28CD4C"/>
    <w:rsid w:val="4B2A9EFD"/>
    <w:rsid w:val="4B2E0B24"/>
    <w:rsid w:val="4B308113"/>
    <w:rsid w:val="4B34F855"/>
    <w:rsid w:val="4B34F970"/>
    <w:rsid w:val="4B36023D"/>
    <w:rsid w:val="4B372C06"/>
    <w:rsid w:val="4B37B318"/>
    <w:rsid w:val="4B37C3CE"/>
    <w:rsid w:val="4B39D70B"/>
    <w:rsid w:val="4B3B9044"/>
    <w:rsid w:val="4B404E9B"/>
    <w:rsid w:val="4B41C6F1"/>
    <w:rsid w:val="4B434D38"/>
    <w:rsid w:val="4B49D296"/>
    <w:rsid w:val="4B4C39A3"/>
    <w:rsid w:val="4B512460"/>
    <w:rsid w:val="4B5421F5"/>
    <w:rsid w:val="4B54E9FB"/>
    <w:rsid w:val="4B557924"/>
    <w:rsid w:val="4B594374"/>
    <w:rsid w:val="4B5A8E11"/>
    <w:rsid w:val="4B5C5B91"/>
    <w:rsid w:val="4B5FB897"/>
    <w:rsid w:val="4B64917E"/>
    <w:rsid w:val="4B656BD0"/>
    <w:rsid w:val="4B687802"/>
    <w:rsid w:val="4B687AD3"/>
    <w:rsid w:val="4B6A38CF"/>
    <w:rsid w:val="4B6F7902"/>
    <w:rsid w:val="4B703AB0"/>
    <w:rsid w:val="4B70C24C"/>
    <w:rsid w:val="4B716C08"/>
    <w:rsid w:val="4B74FFA1"/>
    <w:rsid w:val="4B75B53C"/>
    <w:rsid w:val="4B7765F2"/>
    <w:rsid w:val="4B77D32A"/>
    <w:rsid w:val="4B78A565"/>
    <w:rsid w:val="4B78A7D9"/>
    <w:rsid w:val="4B7981D7"/>
    <w:rsid w:val="4B7A9820"/>
    <w:rsid w:val="4B7EE453"/>
    <w:rsid w:val="4B8DDBD8"/>
    <w:rsid w:val="4B907F2E"/>
    <w:rsid w:val="4B9657F2"/>
    <w:rsid w:val="4B978820"/>
    <w:rsid w:val="4B9BE611"/>
    <w:rsid w:val="4BA02A23"/>
    <w:rsid w:val="4BA13FCF"/>
    <w:rsid w:val="4BA5D17F"/>
    <w:rsid w:val="4BA617B6"/>
    <w:rsid w:val="4BB73227"/>
    <w:rsid w:val="4BC22FD7"/>
    <w:rsid w:val="4BC31880"/>
    <w:rsid w:val="4BCFB09C"/>
    <w:rsid w:val="4BDCCCC8"/>
    <w:rsid w:val="4BDEB3EE"/>
    <w:rsid w:val="4BDF51F8"/>
    <w:rsid w:val="4BE3108C"/>
    <w:rsid w:val="4BE698A6"/>
    <w:rsid w:val="4BE69CE0"/>
    <w:rsid w:val="4BE839CF"/>
    <w:rsid w:val="4BEC6DD0"/>
    <w:rsid w:val="4BEECC2D"/>
    <w:rsid w:val="4BF01D71"/>
    <w:rsid w:val="4BF13922"/>
    <w:rsid w:val="4BF7BA9C"/>
    <w:rsid w:val="4BF7F650"/>
    <w:rsid w:val="4BFB8796"/>
    <w:rsid w:val="4C020EC7"/>
    <w:rsid w:val="4C044C56"/>
    <w:rsid w:val="4C0601C7"/>
    <w:rsid w:val="4C07F28C"/>
    <w:rsid w:val="4C0D934E"/>
    <w:rsid w:val="4C11347F"/>
    <w:rsid w:val="4C1582B4"/>
    <w:rsid w:val="4C1A416C"/>
    <w:rsid w:val="4C1E96AC"/>
    <w:rsid w:val="4C1EB8A6"/>
    <w:rsid w:val="4C2070CA"/>
    <w:rsid w:val="4C21ACD5"/>
    <w:rsid w:val="4C24E30B"/>
    <w:rsid w:val="4C2596E5"/>
    <w:rsid w:val="4C280C8A"/>
    <w:rsid w:val="4C29BFEF"/>
    <w:rsid w:val="4C29F0AA"/>
    <w:rsid w:val="4C2A28CC"/>
    <w:rsid w:val="4C2AC52A"/>
    <w:rsid w:val="4C2B760B"/>
    <w:rsid w:val="4C2C2FAB"/>
    <w:rsid w:val="4C3134AD"/>
    <w:rsid w:val="4C40A375"/>
    <w:rsid w:val="4C4171A3"/>
    <w:rsid w:val="4C430A75"/>
    <w:rsid w:val="4C450691"/>
    <w:rsid w:val="4C457AB5"/>
    <w:rsid w:val="4C502FEE"/>
    <w:rsid w:val="4C55200E"/>
    <w:rsid w:val="4C5AAC9E"/>
    <w:rsid w:val="4C5AED97"/>
    <w:rsid w:val="4C5BD520"/>
    <w:rsid w:val="4C5DFD38"/>
    <w:rsid w:val="4C605FBE"/>
    <w:rsid w:val="4C62F1FC"/>
    <w:rsid w:val="4C63841A"/>
    <w:rsid w:val="4C6C0C87"/>
    <w:rsid w:val="4C6C639B"/>
    <w:rsid w:val="4C6D00AC"/>
    <w:rsid w:val="4C71A8D6"/>
    <w:rsid w:val="4C730DA1"/>
    <w:rsid w:val="4C74990F"/>
    <w:rsid w:val="4C774797"/>
    <w:rsid w:val="4C78A664"/>
    <w:rsid w:val="4C7925E9"/>
    <w:rsid w:val="4C8BD960"/>
    <w:rsid w:val="4C8EE07A"/>
    <w:rsid w:val="4C90097C"/>
    <w:rsid w:val="4C91992A"/>
    <w:rsid w:val="4C939683"/>
    <w:rsid w:val="4C93CE29"/>
    <w:rsid w:val="4C94F9D9"/>
    <w:rsid w:val="4C976EDA"/>
    <w:rsid w:val="4C9CDA14"/>
    <w:rsid w:val="4C9D5DCC"/>
    <w:rsid w:val="4CA22620"/>
    <w:rsid w:val="4CA3BC68"/>
    <w:rsid w:val="4CA4846D"/>
    <w:rsid w:val="4CA57515"/>
    <w:rsid w:val="4CA8676F"/>
    <w:rsid w:val="4CA8F492"/>
    <w:rsid w:val="4CAA942F"/>
    <w:rsid w:val="4CABCFB4"/>
    <w:rsid w:val="4CB264A3"/>
    <w:rsid w:val="4CBB9195"/>
    <w:rsid w:val="4CC07E60"/>
    <w:rsid w:val="4CC4E47C"/>
    <w:rsid w:val="4CC5653A"/>
    <w:rsid w:val="4CC6C19E"/>
    <w:rsid w:val="4CC9DBAA"/>
    <w:rsid w:val="4CD0B128"/>
    <w:rsid w:val="4CD38379"/>
    <w:rsid w:val="4CD86BB0"/>
    <w:rsid w:val="4CDD74C6"/>
    <w:rsid w:val="4CDD88BC"/>
    <w:rsid w:val="4CDD9004"/>
    <w:rsid w:val="4CDD99F0"/>
    <w:rsid w:val="4CDE2CAC"/>
    <w:rsid w:val="4CE020C6"/>
    <w:rsid w:val="4CE48956"/>
    <w:rsid w:val="4CE4C3AB"/>
    <w:rsid w:val="4CE53CCF"/>
    <w:rsid w:val="4CE616E3"/>
    <w:rsid w:val="4CE92BF7"/>
    <w:rsid w:val="4CE9517D"/>
    <w:rsid w:val="4CECBE70"/>
    <w:rsid w:val="4CF22F4D"/>
    <w:rsid w:val="4CF889FF"/>
    <w:rsid w:val="4CFA78F4"/>
    <w:rsid w:val="4CFAEEE9"/>
    <w:rsid w:val="4D02B51B"/>
    <w:rsid w:val="4D03606B"/>
    <w:rsid w:val="4D06F8DC"/>
    <w:rsid w:val="4D07D08C"/>
    <w:rsid w:val="4D08EC7E"/>
    <w:rsid w:val="4D0B6EAF"/>
    <w:rsid w:val="4D0BC730"/>
    <w:rsid w:val="4D0E275F"/>
    <w:rsid w:val="4D1852F3"/>
    <w:rsid w:val="4D1D4CE1"/>
    <w:rsid w:val="4D1D5738"/>
    <w:rsid w:val="4D1F368A"/>
    <w:rsid w:val="4D208E3F"/>
    <w:rsid w:val="4D2340E0"/>
    <w:rsid w:val="4D254009"/>
    <w:rsid w:val="4D2645CD"/>
    <w:rsid w:val="4D2A330E"/>
    <w:rsid w:val="4D2F622B"/>
    <w:rsid w:val="4D37D342"/>
    <w:rsid w:val="4D3A224F"/>
    <w:rsid w:val="4D3C45A4"/>
    <w:rsid w:val="4D3D588E"/>
    <w:rsid w:val="4D3E3AE2"/>
    <w:rsid w:val="4D3F37E2"/>
    <w:rsid w:val="4D422569"/>
    <w:rsid w:val="4D43D9BB"/>
    <w:rsid w:val="4D4489D0"/>
    <w:rsid w:val="4D46708B"/>
    <w:rsid w:val="4D46D317"/>
    <w:rsid w:val="4D474970"/>
    <w:rsid w:val="4D4ACF26"/>
    <w:rsid w:val="4D4F0057"/>
    <w:rsid w:val="4D528AA4"/>
    <w:rsid w:val="4D55AAC8"/>
    <w:rsid w:val="4D5747AB"/>
    <w:rsid w:val="4D5AAE05"/>
    <w:rsid w:val="4D5B0C8B"/>
    <w:rsid w:val="4D601FE8"/>
    <w:rsid w:val="4D63D4CC"/>
    <w:rsid w:val="4D64C033"/>
    <w:rsid w:val="4D67C8CE"/>
    <w:rsid w:val="4D6A0528"/>
    <w:rsid w:val="4D6A6DE6"/>
    <w:rsid w:val="4D6BF233"/>
    <w:rsid w:val="4D6EE56C"/>
    <w:rsid w:val="4D6FBEBB"/>
    <w:rsid w:val="4D70F611"/>
    <w:rsid w:val="4D7F5D60"/>
    <w:rsid w:val="4D7F8B43"/>
    <w:rsid w:val="4D7F97EA"/>
    <w:rsid w:val="4D834C42"/>
    <w:rsid w:val="4D837B41"/>
    <w:rsid w:val="4D8547C8"/>
    <w:rsid w:val="4D8B7E9D"/>
    <w:rsid w:val="4D8E076F"/>
    <w:rsid w:val="4D8ECCCD"/>
    <w:rsid w:val="4D94A1B1"/>
    <w:rsid w:val="4D95B295"/>
    <w:rsid w:val="4D99A046"/>
    <w:rsid w:val="4D9BB1D9"/>
    <w:rsid w:val="4DA3199B"/>
    <w:rsid w:val="4DA88953"/>
    <w:rsid w:val="4DAB42C1"/>
    <w:rsid w:val="4DAD33BB"/>
    <w:rsid w:val="4DAD5508"/>
    <w:rsid w:val="4DAFFB84"/>
    <w:rsid w:val="4DB2EC54"/>
    <w:rsid w:val="4DB50E7D"/>
    <w:rsid w:val="4DBB4A22"/>
    <w:rsid w:val="4DC2EDC5"/>
    <w:rsid w:val="4DCA5AFB"/>
    <w:rsid w:val="4DCB73CA"/>
    <w:rsid w:val="4DCBCFE3"/>
    <w:rsid w:val="4DCF5EAF"/>
    <w:rsid w:val="4DD0D0EC"/>
    <w:rsid w:val="4DD7AD84"/>
    <w:rsid w:val="4DD7F641"/>
    <w:rsid w:val="4DDCD91C"/>
    <w:rsid w:val="4DDE8CDE"/>
    <w:rsid w:val="4DDF29AE"/>
    <w:rsid w:val="4DE4B1C7"/>
    <w:rsid w:val="4DE82FE0"/>
    <w:rsid w:val="4DEEDA23"/>
    <w:rsid w:val="4DEFD70B"/>
    <w:rsid w:val="4DF053A4"/>
    <w:rsid w:val="4DF45965"/>
    <w:rsid w:val="4DF5CCB1"/>
    <w:rsid w:val="4DF76F86"/>
    <w:rsid w:val="4DF7951C"/>
    <w:rsid w:val="4E08384C"/>
    <w:rsid w:val="4E08E921"/>
    <w:rsid w:val="4E09287E"/>
    <w:rsid w:val="4E0C2BE9"/>
    <w:rsid w:val="4E0CB454"/>
    <w:rsid w:val="4E13C13B"/>
    <w:rsid w:val="4E180138"/>
    <w:rsid w:val="4E1AD33E"/>
    <w:rsid w:val="4E1F1A19"/>
    <w:rsid w:val="4E20606F"/>
    <w:rsid w:val="4E22FEEE"/>
    <w:rsid w:val="4E254EFA"/>
    <w:rsid w:val="4E27CE8B"/>
    <w:rsid w:val="4E27DACA"/>
    <w:rsid w:val="4E2A1635"/>
    <w:rsid w:val="4E2C7AED"/>
    <w:rsid w:val="4E2EF59B"/>
    <w:rsid w:val="4E2F733B"/>
    <w:rsid w:val="4E37912E"/>
    <w:rsid w:val="4E3BBE15"/>
    <w:rsid w:val="4E409985"/>
    <w:rsid w:val="4E440FC6"/>
    <w:rsid w:val="4E5536A4"/>
    <w:rsid w:val="4E56F22D"/>
    <w:rsid w:val="4E5E3851"/>
    <w:rsid w:val="4E633A29"/>
    <w:rsid w:val="4E643588"/>
    <w:rsid w:val="4E64BA1A"/>
    <w:rsid w:val="4E67710E"/>
    <w:rsid w:val="4E6A4641"/>
    <w:rsid w:val="4E6C718B"/>
    <w:rsid w:val="4E6DB2A4"/>
    <w:rsid w:val="4E707D31"/>
    <w:rsid w:val="4E71470A"/>
    <w:rsid w:val="4E78185C"/>
    <w:rsid w:val="4E844D9A"/>
    <w:rsid w:val="4E8B70AA"/>
    <w:rsid w:val="4E8BC4F1"/>
    <w:rsid w:val="4E8CA855"/>
    <w:rsid w:val="4E8D6339"/>
    <w:rsid w:val="4E8EE60E"/>
    <w:rsid w:val="4E8F174C"/>
    <w:rsid w:val="4E8FBEEC"/>
    <w:rsid w:val="4E9138E7"/>
    <w:rsid w:val="4E9272D1"/>
    <w:rsid w:val="4E95751E"/>
    <w:rsid w:val="4E97340B"/>
    <w:rsid w:val="4E989581"/>
    <w:rsid w:val="4E99F8A0"/>
    <w:rsid w:val="4E9E2D50"/>
    <w:rsid w:val="4E9EE144"/>
    <w:rsid w:val="4EA0B131"/>
    <w:rsid w:val="4EA0CD6C"/>
    <w:rsid w:val="4EA3C8E2"/>
    <w:rsid w:val="4EA40F35"/>
    <w:rsid w:val="4EA59448"/>
    <w:rsid w:val="4EA78DA5"/>
    <w:rsid w:val="4EA7EAB9"/>
    <w:rsid w:val="4EA92C35"/>
    <w:rsid w:val="4EAEDCFE"/>
    <w:rsid w:val="4EB02ABC"/>
    <w:rsid w:val="4EB0489B"/>
    <w:rsid w:val="4EB31AE4"/>
    <w:rsid w:val="4EB43120"/>
    <w:rsid w:val="4EB54CD5"/>
    <w:rsid w:val="4EB596A2"/>
    <w:rsid w:val="4EBA62D6"/>
    <w:rsid w:val="4EBC54AC"/>
    <w:rsid w:val="4EBCA4A0"/>
    <w:rsid w:val="4EBD92BC"/>
    <w:rsid w:val="4EBF0811"/>
    <w:rsid w:val="4EBFBC3E"/>
    <w:rsid w:val="4EC923C7"/>
    <w:rsid w:val="4EC9D985"/>
    <w:rsid w:val="4ECAE39C"/>
    <w:rsid w:val="4ECDB21B"/>
    <w:rsid w:val="4ECE6473"/>
    <w:rsid w:val="4ED1AED3"/>
    <w:rsid w:val="4ED45F19"/>
    <w:rsid w:val="4ED4B34C"/>
    <w:rsid w:val="4ED89E8A"/>
    <w:rsid w:val="4EDA7E20"/>
    <w:rsid w:val="4EDDEA44"/>
    <w:rsid w:val="4EDF2859"/>
    <w:rsid w:val="4EE20866"/>
    <w:rsid w:val="4EEA3EB6"/>
    <w:rsid w:val="4EEBB8FE"/>
    <w:rsid w:val="4EED6A01"/>
    <w:rsid w:val="4EF1265D"/>
    <w:rsid w:val="4EF28550"/>
    <w:rsid w:val="4EF3BF37"/>
    <w:rsid w:val="4EFACA20"/>
    <w:rsid w:val="4EFB452D"/>
    <w:rsid w:val="4F02F440"/>
    <w:rsid w:val="4F0940EC"/>
    <w:rsid w:val="4F101AB4"/>
    <w:rsid w:val="4F1105DC"/>
    <w:rsid w:val="4F11F40A"/>
    <w:rsid w:val="4F17A61D"/>
    <w:rsid w:val="4F1815C2"/>
    <w:rsid w:val="4F18236A"/>
    <w:rsid w:val="4F1F6FDC"/>
    <w:rsid w:val="4F1FE67D"/>
    <w:rsid w:val="4F27D033"/>
    <w:rsid w:val="4F28F6E1"/>
    <w:rsid w:val="4F2B880B"/>
    <w:rsid w:val="4F304D68"/>
    <w:rsid w:val="4F3278E2"/>
    <w:rsid w:val="4F35D484"/>
    <w:rsid w:val="4F38A5D5"/>
    <w:rsid w:val="4F3B4F3E"/>
    <w:rsid w:val="4F541033"/>
    <w:rsid w:val="4F54F387"/>
    <w:rsid w:val="4F576922"/>
    <w:rsid w:val="4F59D041"/>
    <w:rsid w:val="4F5C110F"/>
    <w:rsid w:val="4F5CDBF8"/>
    <w:rsid w:val="4F63985D"/>
    <w:rsid w:val="4F66AACC"/>
    <w:rsid w:val="4F66C9C5"/>
    <w:rsid w:val="4F6BE6A3"/>
    <w:rsid w:val="4F6E552B"/>
    <w:rsid w:val="4F739D3F"/>
    <w:rsid w:val="4F749520"/>
    <w:rsid w:val="4F750B44"/>
    <w:rsid w:val="4F8100F1"/>
    <w:rsid w:val="4F82D8D3"/>
    <w:rsid w:val="4F845CFC"/>
    <w:rsid w:val="4F89AA9A"/>
    <w:rsid w:val="4F901B81"/>
    <w:rsid w:val="4F937752"/>
    <w:rsid w:val="4F9BD5F9"/>
    <w:rsid w:val="4F9EE5B7"/>
    <w:rsid w:val="4F9FB9A0"/>
    <w:rsid w:val="4FA12EA0"/>
    <w:rsid w:val="4FA1D1B1"/>
    <w:rsid w:val="4FA433B1"/>
    <w:rsid w:val="4FA626D4"/>
    <w:rsid w:val="4FAD38BB"/>
    <w:rsid w:val="4FAFA624"/>
    <w:rsid w:val="4FAFC3B5"/>
    <w:rsid w:val="4FB409E3"/>
    <w:rsid w:val="4FB908CC"/>
    <w:rsid w:val="4FBA619B"/>
    <w:rsid w:val="4FBA7FB6"/>
    <w:rsid w:val="4FBC77C9"/>
    <w:rsid w:val="4FBCAAF7"/>
    <w:rsid w:val="4FBF6CF8"/>
    <w:rsid w:val="4FC6DE72"/>
    <w:rsid w:val="4FC958F3"/>
    <w:rsid w:val="4FC9D9A6"/>
    <w:rsid w:val="4FCA5E08"/>
    <w:rsid w:val="4FCBE92F"/>
    <w:rsid w:val="4FCCD804"/>
    <w:rsid w:val="4FCE315A"/>
    <w:rsid w:val="4FD043EE"/>
    <w:rsid w:val="4FD487FE"/>
    <w:rsid w:val="4FD94041"/>
    <w:rsid w:val="4FDB05C4"/>
    <w:rsid w:val="4FDCA4C0"/>
    <w:rsid w:val="4FDCEDA7"/>
    <w:rsid w:val="4FE06C59"/>
    <w:rsid w:val="4FE78DE6"/>
    <w:rsid w:val="4FE7F79E"/>
    <w:rsid w:val="4FE9FC01"/>
    <w:rsid w:val="4FEA3E47"/>
    <w:rsid w:val="4FF6B7E1"/>
    <w:rsid w:val="4FF88498"/>
    <w:rsid w:val="4FF89DB1"/>
    <w:rsid w:val="5000475C"/>
    <w:rsid w:val="50010AB2"/>
    <w:rsid w:val="5008AA87"/>
    <w:rsid w:val="500ABBB5"/>
    <w:rsid w:val="5011836D"/>
    <w:rsid w:val="50118C85"/>
    <w:rsid w:val="5015D5C4"/>
    <w:rsid w:val="5016E057"/>
    <w:rsid w:val="501AFC5D"/>
    <w:rsid w:val="501E22BE"/>
    <w:rsid w:val="50202355"/>
    <w:rsid w:val="5027C35E"/>
    <w:rsid w:val="50291C33"/>
    <w:rsid w:val="502BFBBA"/>
    <w:rsid w:val="502CD973"/>
    <w:rsid w:val="502ED91C"/>
    <w:rsid w:val="50330F02"/>
    <w:rsid w:val="5037C866"/>
    <w:rsid w:val="503C1649"/>
    <w:rsid w:val="503DD695"/>
    <w:rsid w:val="503E5A64"/>
    <w:rsid w:val="5040F286"/>
    <w:rsid w:val="50411EA4"/>
    <w:rsid w:val="504238CC"/>
    <w:rsid w:val="504529AF"/>
    <w:rsid w:val="50472692"/>
    <w:rsid w:val="50488D5C"/>
    <w:rsid w:val="50494ED3"/>
    <w:rsid w:val="504CDAC0"/>
    <w:rsid w:val="50563337"/>
    <w:rsid w:val="505777C6"/>
    <w:rsid w:val="505C96B4"/>
    <w:rsid w:val="505D1689"/>
    <w:rsid w:val="505D7B54"/>
    <w:rsid w:val="505DB6FE"/>
    <w:rsid w:val="50636A39"/>
    <w:rsid w:val="5064EB18"/>
    <w:rsid w:val="50666B86"/>
    <w:rsid w:val="50690EA3"/>
    <w:rsid w:val="5069EC6E"/>
    <w:rsid w:val="506CB925"/>
    <w:rsid w:val="5071B19A"/>
    <w:rsid w:val="5076242C"/>
    <w:rsid w:val="5076ABAF"/>
    <w:rsid w:val="5079D485"/>
    <w:rsid w:val="5079F230"/>
    <w:rsid w:val="50838136"/>
    <w:rsid w:val="5083A795"/>
    <w:rsid w:val="5083C567"/>
    <w:rsid w:val="50893A62"/>
    <w:rsid w:val="508AABEA"/>
    <w:rsid w:val="508D318E"/>
    <w:rsid w:val="5090F58A"/>
    <w:rsid w:val="509B805A"/>
    <w:rsid w:val="509E4F00"/>
    <w:rsid w:val="50A03631"/>
    <w:rsid w:val="50A3A548"/>
    <w:rsid w:val="50A3CFCA"/>
    <w:rsid w:val="50A5F1A8"/>
    <w:rsid w:val="50A6AFFF"/>
    <w:rsid w:val="50AA3AD1"/>
    <w:rsid w:val="50AA4681"/>
    <w:rsid w:val="50AC6CF4"/>
    <w:rsid w:val="50B964E0"/>
    <w:rsid w:val="50B9A881"/>
    <w:rsid w:val="50BA2315"/>
    <w:rsid w:val="50BC1C02"/>
    <w:rsid w:val="50BEAD91"/>
    <w:rsid w:val="50C1829E"/>
    <w:rsid w:val="50C5E70D"/>
    <w:rsid w:val="50CA9FB7"/>
    <w:rsid w:val="50D814FE"/>
    <w:rsid w:val="50E135C9"/>
    <w:rsid w:val="50E259C3"/>
    <w:rsid w:val="50E44E56"/>
    <w:rsid w:val="50EAA5CA"/>
    <w:rsid w:val="50F2F853"/>
    <w:rsid w:val="50F64E15"/>
    <w:rsid w:val="50F700D5"/>
    <w:rsid w:val="50F91E3E"/>
    <w:rsid w:val="50FC217C"/>
    <w:rsid w:val="50FC7EF9"/>
    <w:rsid w:val="50FD20E0"/>
    <w:rsid w:val="50FD2822"/>
    <w:rsid w:val="50FF9B80"/>
    <w:rsid w:val="51081418"/>
    <w:rsid w:val="510A453F"/>
    <w:rsid w:val="510BFF46"/>
    <w:rsid w:val="510F1C9F"/>
    <w:rsid w:val="51113748"/>
    <w:rsid w:val="5111B59C"/>
    <w:rsid w:val="51186B56"/>
    <w:rsid w:val="51190BED"/>
    <w:rsid w:val="511C88EB"/>
    <w:rsid w:val="511E16B6"/>
    <w:rsid w:val="511E4121"/>
    <w:rsid w:val="511FEC0F"/>
    <w:rsid w:val="5124D070"/>
    <w:rsid w:val="5128B611"/>
    <w:rsid w:val="512CC04F"/>
    <w:rsid w:val="512CEF5A"/>
    <w:rsid w:val="512D9CBE"/>
    <w:rsid w:val="5131EB64"/>
    <w:rsid w:val="5135F4AF"/>
    <w:rsid w:val="5136C3EF"/>
    <w:rsid w:val="513D63CF"/>
    <w:rsid w:val="51406A62"/>
    <w:rsid w:val="5144CCEA"/>
    <w:rsid w:val="514A40E9"/>
    <w:rsid w:val="514E3E14"/>
    <w:rsid w:val="514EE82B"/>
    <w:rsid w:val="51541819"/>
    <w:rsid w:val="51543E1E"/>
    <w:rsid w:val="5159E32B"/>
    <w:rsid w:val="515B17C2"/>
    <w:rsid w:val="515EDF30"/>
    <w:rsid w:val="516132D5"/>
    <w:rsid w:val="5168B16E"/>
    <w:rsid w:val="51707ED2"/>
    <w:rsid w:val="5176A67C"/>
    <w:rsid w:val="51791AB8"/>
    <w:rsid w:val="51791DB7"/>
    <w:rsid w:val="517E2CF0"/>
    <w:rsid w:val="51817D34"/>
    <w:rsid w:val="5183230E"/>
    <w:rsid w:val="5185F331"/>
    <w:rsid w:val="518E8115"/>
    <w:rsid w:val="5198EB8E"/>
    <w:rsid w:val="519C23CA"/>
    <w:rsid w:val="519CDB13"/>
    <w:rsid w:val="519F963D"/>
    <w:rsid w:val="51A2F369"/>
    <w:rsid w:val="51A3BDA1"/>
    <w:rsid w:val="51A57CC2"/>
    <w:rsid w:val="51ADAA17"/>
    <w:rsid w:val="51AF7814"/>
    <w:rsid w:val="51AF7E7E"/>
    <w:rsid w:val="51B90E90"/>
    <w:rsid w:val="51C0EFAA"/>
    <w:rsid w:val="51C423FC"/>
    <w:rsid w:val="51C447D1"/>
    <w:rsid w:val="51C77998"/>
    <w:rsid w:val="51C7CC1B"/>
    <w:rsid w:val="51D4D2BA"/>
    <w:rsid w:val="51D54E81"/>
    <w:rsid w:val="51D66570"/>
    <w:rsid w:val="51D71479"/>
    <w:rsid w:val="51D8B5E4"/>
    <w:rsid w:val="51D997D5"/>
    <w:rsid w:val="51DC27BF"/>
    <w:rsid w:val="51DD6BC1"/>
    <w:rsid w:val="51DF3DAF"/>
    <w:rsid w:val="51E003D0"/>
    <w:rsid w:val="51E0A2EB"/>
    <w:rsid w:val="51E0D4F3"/>
    <w:rsid w:val="51E1651F"/>
    <w:rsid w:val="51E32D45"/>
    <w:rsid w:val="51E6F69A"/>
    <w:rsid w:val="51E8C42A"/>
    <w:rsid w:val="51EB264C"/>
    <w:rsid w:val="51EBC547"/>
    <w:rsid w:val="51ED2E18"/>
    <w:rsid w:val="51ED3764"/>
    <w:rsid w:val="51ED3BDA"/>
    <w:rsid w:val="51EE3891"/>
    <w:rsid w:val="51EEA50C"/>
    <w:rsid w:val="51EFD2C0"/>
    <w:rsid w:val="51F44B34"/>
    <w:rsid w:val="51FD6BF5"/>
    <w:rsid w:val="52000B3A"/>
    <w:rsid w:val="52025799"/>
    <w:rsid w:val="52079F78"/>
    <w:rsid w:val="52082950"/>
    <w:rsid w:val="520891BC"/>
    <w:rsid w:val="52092F4F"/>
    <w:rsid w:val="5209BE6E"/>
    <w:rsid w:val="520A3362"/>
    <w:rsid w:val="520EE0C7"/>
    <w:rsid w:val="5215F772"/>
    <w:rsid w:val="52193428"/>
    <w:rsid w:val="521AAA5F"/>
    <w:rsid w:val="521B5E27"/>
    <w:rsid w:val="52272A80"/>
    <w:rsid w:val="52287A27"/>
    <w:rsid w:val="522AFF99"/>
    <w:rsid w:val="5233A745"/>
    <w:rsid w:val="5234DCCA"/>
    <w:rsid w:val="523D58FB"/>
    <w:rsid w:val="523E2542"/>
    <w:rsid w:val="523F1FE0"/>
    <w:rsid w:val="5243F595"/>
    <w:rsid w:val="52447E98"/>
    <w:rsid w:val="5247DC85"/>
    <w:rsid w:val="525A4C1D"/>
    <w:rsid w:val="525DA9AD"/>
    <w:rsid w:val="52635B77"/>
    <w:rsid w:val="5265FA11"/>
    <w:rsid w:val="52675E65"/>
    <w:rsid w:val="526FB24B"/>
    <w:rsid w:val="5270B743"/>
    <w:rsid w:val="52721B8C"/>
    <w:rsid w:val="5272E70B"/>
    <w:rsid w:val="5274E7C7"/>
    <w:rsid w:val="52778FF7"/>
    <w:rsid w:val="527D3294"/>
    <w:rsid w:val="52840247"/>
    <w:rsid w:val="528982F0"/>
    <w:rsid w:val="528B09B7"/>
    <w:rsid w:val="528CFFF2"/>
    <w:rsid w:val="528EC378"/>
    <w:rsid w:val="52900893"/>
    <w:rsid w:val="5297FB14"/>
    <w:rsid w:val="52996E59"/>
    <w:rsid w:val="529B166D"/>
    <w:rsid w:val="529C7A32"/>
    <w:rsid w:val="52A0C6FE"/>
    <w:rsid w:val="52A45E21"/>
    <w:rsid w:val="52A57C59"/>
    <w:rsid w:val="52A8BCEA"/>
    <w:rsid w:val="52AB1035"/>
    <w:rsid w:val="52B026B1"/>
    <w:rsid w:val="52B0C8FE"/>
    <w:rsid w:val="52B2C4E6"/>
    <w:rsid w:val="52B3A805"/>
    <w:rsid w:val="52BBA9D9"/>
    <w:rsid w:val="52BE3685"/>
    <w:rsid w:val="52BFA78B"/>
    <w:rsid w:val="52C6DF73"/>
    <w:rsid w:val="52C73E2A"/>
    <w:rsid w:val="52CA3F2E"/>
    <w:rsid w:val="52CBD69F"/>
    <w:rsid w:val="52CD07C1"/>
    <w:rsid w:val="52CE1E00"/>
    <w:rsid w:val="52D1530F"/>
    <w:rsid w:val="52D6CDAF"/>
    <w:rsid w:val="52E2FF9E"/>
    <w:rsid w:val="52E473EE"/>
    <w:rsid w:val="52E94DDC"/>
    <w:rsid w:val="52E9CFBD"/>
    <w:rsid w:val="52EBE27D"/>
    <w:rsid w:val="52F08A13"/>
    <w:rsid w:val="52F699BC"/>
    <w:rsid w:val="52FDCC1F"/>
    <w:rsid w:val="52FE5251"/>
    <w:rsid w:val="52FE849F"/>
    <w:rsid w:val="53005E23"/>
    <w:rsid w:val="53024702"/>
    <w:rsid w:val="5302AEA7"/>
    <w:rsid w:val="530B7933"/>
    <w:rsid w:val="530BF832"/>
    <w:rsid w:val="531138DC"/>
    <w:rsid w:val="53125D45"/>
    <w:rsid w:val="531E68E1"/>
    <w:rsid w:val="531FA8A8"/>
    <w:rsid w:val="532381ED"/>
    <w:rsid w:val="532C7A53"/>
    <w:rsid w:val="532D907A"/>
    <w:rsid w:val="532E75AD"/>
    <w:rsid w:val="5333C8BC"/>
    <w:rsid w:val="53341CD6"/>
    <w:rsid w:val="5335DECC"/>
    <w:rsid w:val="5337055A"/>
    <w:rsid w:val="53370F69"/>
    <w:rsid w:val="53376576"/>
    <w:rsid w:val="5339D026"/>
    <w:rsid w:val="533D0F15"/>
    <w:rsid w:val="53430ECC"/>
    <w:rsid w:val="53462009"/>
    <w:rsid w:val="5347A0CE"/>
    <w:rsid w:val="534CC76D"/>
    <w:rsid w:val="534FD731"/>
    <w:rsid w:val="5350D29C"/>
    <w:rsid w:val="5351DC54"/>
    <w:rsid w:val="53522BDC"/>
    <w:rsid w:val="53533B38"/>
    <w:rsid w:val="5353AD67"/>
    <w:rsid w:val="53583EB5"/>
    <w:rsid w:val="535CE2EB"/>
    <w:rsid w:val="535D0DA2"/>
    <w:rsid w:val="5360025C"/>
    <w:rsid w:val="536CD837"/>
    <w:rsid w:val="536DA0EC"/>
    <w:rsid w:val="53738B9C"/>
    <w:rsid w:val="537571C9"/>
    <w:rsid w:val="53771956"/>
    <w:rsid w:val="537825D2"/>
    <w:rsid w:val="53809A88"/>
    <w:rsid w:val="5382AE8E"/>
    <w:rsid w:val="5384AECD"/>
    <w:rsid w:val="53861E10"/>
    <w:rsid w:val="5388DBE8"/>
    <w:rsid w:val="538CBE03"/>
    <w:rsid w:val="5396A6D2"/>
    <w:rsid w:val="53979F56"/>
    <w:rsid w:val="5398A417"/>
    <w:rsid w:val="53A2005F"/>
    <w:rsid w:val="53A3BC5C"/>
    <w:rsid w:val="53ABF90B"/>
    <w:rsid w:val="53B08A30"/>
    <w:rsid w:val="53B17EEB"/>
    <w:rsid w:val="53B504AF"/>
    <w:rsid w:val="53B7AB90"/>
    <w:rsid w:val="53C0B966"/>
    <w:rsid w:val="53C2CDE0"/>
    <w:rsid w:val="53C44DDB"/>
    <w:rsid w:val="53CAF4BC"/>
    <w:rsid w:val="53CBB01E"/>
    <w:rsid w:val="53CD4F71"/>
    <w:rsid w:val="53CD9FD7"/>
    <w:rsid w:val="53D280CE"/>
    <w:rsid w:val="53D69451"/>
    <w:rsid w:val="53D6A3E0"/>
    <w:rsid w:val="53D6A7DA"/>
    <w:rsid w:val="53D83D19"/>
    <w:rsid w:val="53D8C9E9"/>
    <w:rsid w:val="53D959BD"/>
    <w:rsid w:val="53DF8311"/>
    <w:rsid w:val="53E3C2D9"/>
    <w:rsid w:val="53E3DA76"/>
    <w:rsid w:val="53E417CA"/>
    <w:rsid w:val="53E69BDC"/>
    <w:rsid w:val="53E74968"/>
    <w:rsid w:val="53E810DF"/>
    <w:rsid w:val="53E946F3"/>
    <w:rsid w:val="53EE7662"/>
    <w:rsid w:val="53F54BC1"/>
    <w:rsid w:val="53F87775"/>
    <w:rsid w:val="53F9B00F"/>
    <w:rsid w:val="53FD94DE"/>
    <w:rsid w:val="53FE3BA6"/>
    <w:rsid w:val="53FFC14F"/>
    <w:rsid w:val="5400CFBD"/>
    <w:rsid w:val="540199FD"/>
    <w:rsid w:val="54070001"/>
    <w:rsid w:val="54084215"/>
    <w:rsid w:val="540A5032"/>
    <w:rsid w:val="540C846E"/>
    <w:rsid w:val="540C9CDD"/>
    <w:rsid w:val="540D37CF"/>
    <w:rsid w:val="5414836A"/>
    <w:rsid w:val="5415DF7B"/>
    <w:rsid w:val="5417398C"/>
    <w:rsid w:val="541B32A7"/>
    <w:rsid w:val="541BA9CD"/>
    <w:rsid w:val="54201749"/>
    <w:rsid w:val="5424F050"/>
    <w:rsid w:val="542A4740"/>
    <w:rsid w:val="542B4011"/>
    <w:rsid w:val="542C96A7"/>
    <w:rsid w:val="542D1CF6"/>
    <w:rsid w:val="5432FEE9"/>
    <w:rsid w:val="5434FE8D"/>
    <w:rsid w:val="543510BC"/>
    <w:rsid w:val="54354663"/>
    <w:rsid w:val="54370E3C"/>
    <w:rsid w:val="54379A4F"/>
    <w:rsid w:val="543AAB42"/>
    <w:rsid w:val="543C6676"/>
    <w:rsid w:val="543D49BD"/>
    <w:rsid w:val="543E3165"/>
    <w:rsid w:val="54409505"/>
    <w:rsid w:val="54460896"/>
    <w:rsid w:val="54497F74"/>
    <w:rsid w:val="544D9A5A"/>
    <w:rsid w:val="5456EA47"/>
    <w:rsid w:val="5457F278"/>
    <w:rsid w:val="545A3417"/>
    <w:rsid w:val="545D9353"/>
    <w:rsid w:val="54657E7F"/>
    <w:rsid w:val="5468F628"/>
    <w:rsid w:val="54695212"/>
    <w:rsid w:val="546B52D4"/>
    <w:rsid w:val="546B93E6"/>
    <w:rsid w:val="546BCE53"/>
    <w:rsid w:val="546D3282"/>
    <w:rsid w:val="5471CAA2"/>
    <w:rsid w:val="54727394"/>
    <w:rsid w:val="5475BC7B"/>
    <w:rsid w:val="5476BB55"/>
    <w:rsid w:val="547C45DE"/>
    <w:rsid w:val="547DAA04"/>
    <w:rsid w:val="5480B3D3"/>
    <w:rsid w:val="5481133E"/>
    <w:rsid w:val="54848D76"/>
    <w:rsid w:val="548872D8"/>
    <w:rsid w:val="54893EA0"/>
    <w:rsid w:val="548D08F9"/>
    <w:rsid w:val="548D7EBF"/>
    <w:rsid w:val="548F91F9"/>
    <w:rsid w:val="54916B9A"/>
    <w:rsid w:val="5494E178"/>
    <w:rsid w:val="54963F53"/>
    <w:rsid w:val="549A3DA5"/>
    <w:rsid w:val="549C127A"/>
    <w:rsid w:val="549C65F5"/>
    <w:rsid w:val="54A068F3"/>
    <w:rsid w:val="54A24F01"/>
    <w:rsid w:val="54A608A0"/>
    <w:rsid w:val="54A769A9"/>
    <w:rsid w:val="54A95927"/>
    <w:rsid w:val="54AAAC58"/>
    <w:rsid w:val="54AADD08"/>
    <w:rsid w:val="54AB04D5"/>
    <w:rsid w:val="54AF0946"/>
    <w:rsid w:val="54B11DA9"/>
    <w:rsid w:val="54B2BF9B"/>
    <w:rsid w:val="54B4FCCF"/>
    <w:rsid w:val="54B65FCC"/>
    <w:rsid w:val="54BC8290"/>
    <w:rsid w:val="54C0B4CF"/>
    <w:rsid w:val="54C1DD81"/>
    <w:rsid w:val="54C35CEF"/>
    <w:rsid w:val="54C55BE1"/>
    <w:rsid w:val="54C6A426"/>
    <w:rsid w:val="54CCE66C"/>
    <w:rsid w:val="54CE07BA"/>
    <w:rsid w:val="54D2FFB7"/>
    <w:rsid w:val="54D5A7CD"/>
    <w:rsid w:val="54D661ED"/>
    <w:rsid w:val="54E0480F"/>
    <w:rsid w:val="54EB9369"/>
    <w:rsid w:val="54EBC6CE"/>
    <w:rsid w:val="54F341D5"/>
    <w:rsid w:val="54F523A6"/>
    <w:rsid w:val="54F8A21A"/>
    <w:rsid w:val="54FA1D7D"/>
    <w:rsid w:val="54FA7831"/>
    <w:rsid w:val="5503B141"/>
    <w:rsid w:val="550661C2"/>
    <w:rsid w:val="55085209"/>
    <w:rsid w:val="55085E10"/>
    <w:rsid w:val="5508BD2B"/>
    <w:rsid w:val="550CBE4F"/>
    <w:rsid w:val="550D3E8D"/>
    <w:rsid w:val="550E3B24"/>
    <w:rsid w:val="550F1C77"/>
    <w:rsid w:val="55130CAE"/>
    <w:rsid w:val="55142D6A"/>
    <w:rsid w:val="55145C05"/>
    <w:rsid w:val="5514C086"/>
    <w:rsid w:val="55167F3A"/>
    <w:rsid w:val="55171BEB"/>
    <w:rsid w:val="5517A492"/>
    <w:rsid w:val="551AB11F"/>
    <w:rsid w:val="5520023F"/>
    <w:rsid w:val="55223CD2"/>
    <w:rsid w:val="5525B772"/>
    <w:rsid w:val="55267270"/>
    <w:rsid w:val="5529E1D6"/>
    <w:rsid w:val="552F1E65"/>
    <w:rsid w:val="5533D97C"/>
    <w:rsid w:val="55344E8E"/>
    <w:rsid w:val="5536203E"/>
    <w:rsid w:val="55392B5B"/>
    <w:rsid w:val="55393810"/>
    <w:rsid w:val="553AB090"/>
    <w:rsid w:val="553BD9D4"/>
    <w:rsid w:val="55414AB1"/>
    <w:rsid w:val="5542DE7A"/>
    <w:rsid w:val="554900B9"/>
    <w:rsid w:val="554A042E"/>
    <w:rsid w:val="554D120A"/>
    <w:rsid w:val="554DD552"/>
    <w:rsid w:val="554F05CD"/>
    <w:rsid w:val="555057F9"/>
    <w:rsid w:val="55550E94"/>
    <w:rsid w:val="5557490B"/>
    <w:rsid w:val="555B543C"/>
    <w:rsid w:val="555C53AB"/>
    <w:rsid w:val="555C9ED2"/>
    <w:rsid w:val="556952DB"/>
    <w:rsid w:val="556F904E"/>
    <w:rsid w:val="5575AFB8"/>
    <w:rsid w:val="55784DB0"/>
    <w:rsid w:val="557F8332"/>
    <w:rsid w:val="55862152"/>
    <w:rsid w:val="5588E74F"/>
    <w:rsid w:val="558B05B0"/>
    <w:rsid w:val="558BD4C6"/>
    <w:rsid w:val="559339E7"/>
    <w:rsid w:val="559898F4"/>
    <w:rsid w:val="5598A42B"/>
    <w:rsid w:val="5598E004"/>
    <w:rsid w:val="559A64F4"/>
    <w:rsid w:val="559B0F0F"/>
    <w:rsid w:val="55A1F5C1"/>
    <w:rsid w:val="55A57119"/>
    <w:rsid w:val="55A6E45E"/>
    <w:rsid w:val="55A89584"/>
    <w:rsid w:val="55AD9C27"/>
    <w:rsid w:val="55B3D3BE"/>
    <w:rsid w:val="55B4F619"/>
    <w:rsid w:val="55B73361"/>
    <w:rsid w:val="55B951FC"/>
    <w:rsid w:val="55BAE2A5"/>
    <w:rsid w:val="55BE5C63"/>
    <w:rsid w:val="55C0DAD1"/>
    <w:rsid w:val="55C83C97"/>
    <w:rsid w:val="55CA253E"/>
    <w:rsid w:val="55D30DD1"/>
    <w:rsid w:val="55D3C6C9"/>
    <w:rsid w:val="55D7CB9A"/>
    <w:rsid w:val="55D97BEA"/>
    <w:rsid w:val="55DB0113"/>
    <w:rsid w:val="55DB2548"/>
    <w:rsid w:val="55DBC545"/>
    <w:rsid w:val="55DC7EDC"/>
    <w:rsid w:val="55EB765B"/>
    <w:rsid w:val="55F27675"/>
    <w:rsid w:val="55F2EF99"/>
    <w:rsid w:val="55F30BC3"/>
    <w:rsid w:val="55F5937E"/>
    <w:rsid w:val="55F9472F"/>
    <w:rsid w:val="55FD9639"/>
    <w:rsid w:val="55FDC092"/>
    <w:rsid w:val="55FDC6F8"/>
    <w:rsid w:val="56022E34"/>
    <w:rsid w:val="56034967"/>
    <w:rsid w:val="56037761"/>
    <w:rsid w:val="56079016"/>
    <w:rsid w:val="56083BD7"/>
    <w:rsid w:val="560886AD"/>
    <w:rsid w:val="560FCF22"/>
    <w:rsid w:val="561540BA"/>
    <w:rsid w:val="5617CA76"/>
    <w:rsid w:val="5626C459"/>
    <w:rsid w:val="5627E7F8"/>
    <w:rsid w:val="562851CD"/>
    <w:rsid w:val="5629C739"/>
    <w:rsid w:val="562A0F59"/>
    <w:rsid w:val="562EA88B"/>
    <w:rsid w:val="56306C0D"/>
    <w:rsid w:val="563575C8"/>
    <w:rsid w:val="5635D4F8"/>
    <w:rsid w:val="5636BE1B"/>
    <w:rsid w:val="563C7D05"/>
    <w:rsid w:val="5643B175"/>
    <w:rsid w:val="5644CCF9"/>
    <w:rsid w:val="5645D86E"/>
    <w:rsid w:val="5646CDFF"/>
    <w:rsid w:val="564940F4"/>
    <w:rsid w:val="564BD74D"/>
    <w:rsid w:val="564FD212"/>
    <w:rsid w:val="56539080"/>
    <w:rsid w:val="5653BEDA"/>
    <w:rsid w:val="5656707D"/>
    <w:rsid w:val="5659623B"/>
    <w:rsid w:val="56597A24"/>
    <w:rsid w:val="565E94F8"/>
    <w:rsid w:val="565EF952"/>
    <w:rsid w:val="56617CB0"/>
    <w:rsid w:val="5661CD69"/>
    <w:rsid w:val="566252A9"/>
    <w:rsid w:val="5662C655"/>
    <w:rsid w:val="56663B2E"/>
    <w:rsid w:val="566860FB"/>
    <w:rsid w:val="5668BFA9"/>
    <w:rsid w:val="5669E95B"/>
    <w:rsid w:val="566C77C9"/>
    <w:rsid w:val="566CB1C0"/>
    <w:rsid w:val="5671DF2E"/>
    <w:rsid w:val="56722460"/>
    <w:rsid w:val="5674398D"/>
    <w:rsid w:val="5675C73B"/>
    <w:rsid w:val="56765464"/>
    <w:rsid w:val="5679B472"/>
    <w:rsid w:val="567AF2F9"/>
    <w:rsid w:val="567BB762"/>
    <w:rsid w:val="56802045"/>
    <w:rsid w:val="5685DE96"/>
    <w:rsid w:val="568BC1E7"/>
    <w:rsid w:val="568E92D7"/>
    <w:rsid w:val="5691C7B8"/>
    <w:rsid w:val="56943042"/>
    <w:rsid w:val="56955F70"/>
    <w:rsid w:val="5696173F"/>
    <w:rsid w:val="56A6D5C3"/>
    <w:rsid w:val="56A7C751"/>
    <w:rsid w:val="56AC1B5C"/>
    <w:rsid w:val="56ADF11D"/>
    <w:rsid w:val="56B00E44"/>
    <w:rsid w:val="56B3284A"/>
    <w:rsid w:val="56B5D572"/>
    <w:rsid w:val="56B70F6B"/>
    <w:rsid w:val="56B8727B"/>
    <w:rsid w:val="56BBB6EB"/>
    <w:rsid w:val="56BC2199"/>
    <w:rsid w:val="56C76311"/>
    <w:rsid w:val="56C81E2D"/>
    <w:rsid w:val="56C9F634"/>
    <w:rsid w:val="56CC34FD"/>
    <w:rsid w:val="56CC5CAA"/>
    <w:rsid w:val="56D15676"/>
    <w:rsid w:val="56DB5500"/>
    <w:rsid w:val="56DF0930"/>
    <w:rsid w:val="56E01AAC"/>
    <w:rsid w:val="56E554E2"/>
    <w:rsid w:val="56EB69A4"/>
    <w:rsid w:val="56EE71CF"/>
    <w:rsid w:val="56FB3D4B"/>
    <w:rsid w:val="56FFB351"/>
    <w:rsid w:val="57073C7E"/>
    <w:rsid w:val="57103A6C"/>
    <w:rsid w:val="57163622"/>
    <w:rsid w:val="57163DF6"/>
    <w:rsid w:val="571BA2D7"/>
    <w:rsid w:val="571E4A8A"/>
    <w:rsid w:val="57204943"/>
    <w:rsid w:val="5720E0F0"/>
    <w:rsid w:val="5728A664"/>
    <w:rsid w:val="57295917"/>
    <w:rsid w:val="572D4CD3"/>
    <w:rsid w:val="572ED25D"/>
    <w:rsid w:val="573087E4"/>
    <w:rsid w:val="5732261D"/>
    <w:rsid w:val="573680A4"/>
    <w:rsid w:val="57414139"/>
    <w:rsid w:val="5742BB73"/>
    <w:rsid w:val="5743CC0C"/>
    <w:rsid w:val="5745AF63"/>
    <w:rsid w:val="574791CF"/>
    <w:rsid w:val="57494303"/>
    <w:rsid w:val="574959D1"/>
    <w:rsid w:val="574B6BCC"/>
    <w:rsid w:val="574BB3FB"/>
    <w:rsid w:val="574D4AC9"/>
    <w:rsid w:val="574D7C28"/>
    <w:rsid w:val="575095B4"/>
    <w:rsid w:val="57527313"/>
    <w:rsid w:val="57538DC6"/>
    <w:rsid w:val="5758FB1D"/>
    <w:rsid w:val="575C3B61"/>
    <w:rsid w:val="57612B8F"/>
    <w:rsid w:val="57653528"/>
    <w:rsid w:val="57689E67"/>
    <w:rsid w:val="576FDF62"/>
    <w:rsid w:val="57720535"/>
    <w:rsid w:val="5775455B"/>
    <w:rsid w:val="577828E5"/>
    <w:rsid w:val="577A35C2"/>
    <w:rsid w:val="577B5CF8"/>
    <w:rsid w:val="577CFB72"/>
    <w:rsid w:val="577D51A2"/>
    <w:rsid w:val="577EBD00"/>
    <w:rsid w:val="577ECC9A"/>
    <w:rsid w:val="577FC218"/>
    <w:rsid w:val="5786AA86"/>
    <w:rsid w:val="5787989D"/>
    <w:rsid w:val="57884D88"/>
    <w:rsid w:val="578BC094"/>
    <w:rsid w:val="578F2D93"/>
    <w:rsid w:val="579A3E7B"/>
    <w:rsid w:val="579CC807"/>
    <w:rsid w:val="57A02CF5"/>
    <w:rsid w:val="57A33F71"/>
    <w:rsid w:val="57A4FAAC"/>
    <w:rsid w:val="57A72868"/>
    <w:rsid w:val="57A84E9A"/>
    <w:rsid w:val="57AAD2C4"/>
    <w:rsid w:val="57AE9859"/>
    <w:rsid w:val="57B0B7AD"/>
    <w:rsid w:val="57B0EED0"/>
    <w:rsid w:val="57B2BD24"/>
    <w:rsid w:val="57B4DF42"/>
    <w:rsid w:val="57B730BF"/>
    <w:rsid w:val="57BBE47D"/>
    <w:rsid w:val="57BE0CA4"/>
    <w:rsid w:val="57BEC8F9"/>
    <w:rsid w:val="57C2F6A8"/>
    <w:rsid w:val="57C342DE"/>
    <w:rsid w:val="57C8EBB0"/>
    <w:rsid w:val="57CEA883"/>
    <w:rsid w:val="57D0035E"/>
    <w:rsid w:val="57D16D5F"/>
    <w:rsid w:val="57D781D7"/>
    <w:rsid w:val="57D882F0"/>
    <w:rsid w:val="57DC5F46"/>
    <w:rsid w:val="57DC6E90"/>
    <w:rsid w:val="57DD6058"/>
    <w:rsid w:val="57DD79E9"/>
    <w:rsid w:val="57DD9D46"/>
    <w:rsid w:val="57E168FC"/>
    <w:rsid w:val="57E3F8B2"/>
    <w:rsid w:val="57E4270C"/>
    <w:rsid w:val="57E781E6"/>
    <w:rsid w:val="57F045F3"/>
    <w:rsid w:val="57F15E07"/>
    <w:rsid w:val="57F350A7"/>
    <w:rsid w:val="57F3793A"/>
    <w:rsid w:val="57F587A3"/>
    <w:rsid w:val="57F7E8E5"/>
    <w:rsid w:val="57F8F0B5"/>
    <w:rsid w:val="57FB8E63"/>
    <w:rsid w:val="57FEDC0A"/>
    <w:rsid w:val="57FFE1F2"/>
    <w:rsid w:val="58009A58"/>
    <w:rsid w:val="5801550A"/>
    <w:rsid w:val="580359CF"/>
    <w:rsid w:val="5810E4DE"/>
    <w:rsid w:val="581540D6"/>
    <w:rsid w:val="58168CB1"/>
    <w:rsid w:val="5819FD8B"/>
    <w:rsid w:val="581BC5C6"/>
    <w:rsid w:val="581CC195"/>
    <w:rsid w:val="58219BD8"/>
    <w:rsid w:val="5822518B"/>
    <w:rsid w:val="582EA094"/>
    <w:rsid w:val="5831FAE9"/>
    <w:rsid w:val="5832DCF7"/>
    <w:rsid w:val="5835B771"/>
    <w:rsid w:val="58370446"/>
    <w:rsid w:val="58396FF8"/>
    <w:rsid w:val="5845FC4C"/>
    <w:rsid w:val="584603D7"/>
    <w:rsid w:val="584AE005"/>
    <w:rsid w:val="584D0662"/>
    <w:rsid w:val="584D32DF"/>
    <w:rsid w:val="584E4508"/>
    <w:rsid w:val="58514FF8"/>
    <w:rsid w:val="5857081F"/>
    <w:rsid w:val="585739D3"/>
    <w:rsid w:val="58589A35"/>
    <w:rsid w:val="5858F1AC"/>
    <w:rsid w:val="585941FD"/>
    <w:rsid w:val="585ABB16"/>
    <w:rsid w:val="585D5834"/>
    <w:rsid w:val="58640B34"/>
    <w:rsid w:val="5864E0A1"/>
    <w:rsid w:val="58672DF3"/>
    <w:rsid w:val="5867C974"/>
    <w:rsid w:val="5869DE68"/>
    <w:rsid w:val="586A6AEA"/>
    <w:rsid w:val="586A719D"/>
    <w:rsid w:val="587034C0"/>
    <w:rsid w:val="587237F8"/>
    <w:rsid w:val="5879F816"/>
    <w:rsid w:val="587B9824"/>
    <w:rsid w:val="587CA252"/>
    <w:rsid w:val="587FA6A4"/>
    <w:rsid w:val="588152C1"/>
    <w:rsid w:val="5884A397"/>
    <w:rsid w:val="5884B2CC"/>
    <w:rsid w:val="58860F70"/>
    <w:rsid w:val="5886B23A"/>
    <w:rsid w:val="588A5EF5"/>
    <w:rsid w:val="588A931F"/>
    <w:rsid w:val="5897D19A"/>
    <w:rsid w:val="5899B211"/>
    <w:rsid w:val="5899C40E"/>
    <w:rsid w:val="5899CBA9"/>
    <w:rsid w:val="589C4F80"/>
    <w:rsid w:val="589C9ED6"/>
    <w:rsid w:val="589CDE3D"/>
    <w:rsid w:val="589EEB98"/>
    <w:rsid w:val="58A5F540"/>
    <w:rsid w:val="58AA1B18"/>
    <w:rsid w:val="58AB0399"/>
    <w:rsid w:val="58AE1DC6"/>
    <w:rsid w:val="58AFB285"/>
    <w:rsid w:val="58AFB8EF"/>
    <w:rsid w:val="58B0C7F5"/>
    <w:rsid w:val="58B2393B"/>
    <w:rsid w:val="58B27489"/>
    <w:rsid w:val="58B4D2E9"/>
    <w:rsid w:val="58B75903"/>
    <w:rsid w:val="58B8348D"/>
    <w:rsid w:val="58BA7314"/>
    <w:rsid w:val="58BF6E56"/>
    <w:rsid w:val="58C2AE2D"/>
    <w:rsid w:val="58C64480"/>
    <w:rsid w:val="58C8705B"/>
    <w:rsid w:val="58C9C5C2"/>
    <w:rsid w:val="58CA6A3F"/>
    <w:rsid w:val="58D25717"/>
    <w:rsid w:val="58D396B1"/>
    <w:rsid w:val="58E53702"/>
    <w:rsid w:val="58E6761A"/>
    <w:rsid w:val="58E7324B"/>
    <w:rsid w:val="58E74467"/>
    <w:rsid w:val="58EB1A0F"/>
    <w:rsid w:val="58EC3992"/>
    <w:rsid w:val="58ECE9DF"/>
    <w:rsid w:val="58EE5182"/>
    <w:rsid w:val="58EF47DA"/>
    <w:rsid w:val="58F00F72"/>
    <w:rsid w:val="58F01F64"/>
    <w:rsid w:val="58F18530"/>
    <w:rsid w:val="58F343CB"/>
    <w:rsid w:val="58F3E94D"/>
    <w:rsid w:val="58F468E7"/>
    <w:rsid w:val="58F825EB"/>
    <w:rsid w:val="58F9544C"/>
    <w:rsid w:val="58F9E4AF"/>
    <w:rsid w:val="58FAD799"/>
    <w:rsid w:val="58FDB8A8"/>
    <w:rsid w:val="58FDD275"/>
    <w:rsid w:val="59003F40"/>
    <w:rsid w:val="5900D7EA"/>
    <w:rsid w:val="5901EA70"/>
    <w:rsid w:val="590301DD"/>
    <w:rsid w:val="5903D009"/>
    <w:rsid w:val="5913EE6F"/>
    <w:rsid w:val="59163865"/>
    <w:rsid w:val="59172D59"/>
    <w:rsid w:val="59183B63"/>
    <w:rsid w:val="591C507E"/>
    <w:rsid w:val="592738EF"/>
    <w:rsid w:val="59276C6F"/>
    <w:rsid w:val="59290B64"/>
    <w:rsid w:val="592937A6"/>
    <w:rsid w:val="592AFDF4"/>
    <w:rsid w:val="592BC633"/>
    <w:rsid w:val="592CCFEA"/>
    <w:rsid w:val="592F4773"/>
    <w:rsid w:val="59310476"/>
    <w:rsid w:val="59352394"/>
    <w:rsid w:val="5937D032"/>
    <w:rsid w:val="59391AAF"/>
    <w:rsid w:val="59396F99"/>
    <w:rsid w:val="593CE69A"/>
    <w:rsid w:val="594289FC"/>
    <w:rsid w:val="59494720"/>
    <w:rsid w:val="594B6E87"/>
    <w:rsid w:val="594C18AA"/>
    <w:rsid w:val="594CFF29"/>
    <w:rsid w:val="5952C216"/>
    <w:rsid w:val="5952ED70"/>
    <w:rsid w:val="5957F171"/>
    <w:rsid w:val="59598988"/>
    <w:rsid w:val="595A8B7B"/>
    <w:rsid w:val="595C1937"/>
    <w:rsid w:val="595E03C0"/>
    <w:rsid w:val="595EDB82"/>
    <w:rsid w:val="5960D105"/>
    <w:rsid w:val="5962DA19"/>
    <w:rsid w:val="59656B64"/>
    <w:rsid w:val="596B233C"/>
    <w:rsid w:val="596C009E"/>
    <w:rsid w:val="5970E9A2"/>
    <w:rsid w:val="59711292"/>
    <w:rsid w:val="5979EEC1"/>
    <w:rsid w:val="5980538D"/>
    <w:rsid w:val="59812466"/>
    <w:rsid w:val="598129E5"/>
    <w:rsid w:val="59815AC4"/>
    <w:rsid w:val="5982A16D"/>
    <w:rsid w:val="59842461"/>
    <w:rsid w:val="5987EF9F"/>
    <w:rsid w:val="598BE10E"/>
    <w:rsid w:val="598E118E"/>
    <w:rsid w:val="598ED892"/>
    <w:rsid w:val="59982727"/>
    <w:rsid w:val="599AAE50"/>
    <w:rsid w:val="599D9A27"/>
    <w:rsid w:val="599E688D"/>
    <w:rsid w:val="59A06A09"/>
    <w:rsid w:val="59A2CE92"/>
    <w:rsid w:val="59A41413"/>
    <w:rsid w:val="59A542A1"/>
    <w:rsid w:val="59A712AC"/>
    <w:rsid w:val="59A9BB52"/>
    <w:rsid w:val="59AA1E56"/>
    <w:rsid w:val="59AC6956"/>
    <w:rsid w:val="59AD4A07"/>
    <w:rsid w:val="59AE9A0C"/>
    <w:rsid w:val="59AF500F"/>
    <w:rsid w:val="59AFF66F"/>
    <w:rsid w:val="59B0EECA"/>
    <w:rsid w:val="59B4EA67"/>
    <w:rsid w:val="59BD233F"/>
    <w:rsid w:val="59C1A4BF"/>
    <w:rsid w:val="59C35309"/>
    <w:rsid w:val="59C44505"/>
    <w:rsid w:val="59C53AB8"/>
    <w:rsid w:val="59C61A0A"/>
    <w:rsid w:val="59C7A22C"/>
    <w:rsid w:val="59D1F6A4"/>
    <w:rsid w:val="59DCCC03"/>
    <w:rsid w:val="59DD5AF9"/>
    <w:rsid w:val="59E1B85B"/>
    <w:rsid w:val="59E77299"/>
    <w:rsid w:val="59ECF655"/>
    <w:rsid w:val="59EE13CD"/>
    <w:rsid w:val="59F0E7D5"/>
    <w:rsid w:val="59F1548E"/>
    <w:rsid w:val="59F4EB89"/>
    <w:rsid w:val="59F8274A"/>
    <w:rsid w:val="59F892DC"/>
    <w:rsid w:val="59F977E9"/>
    <w:rsid w:val="59FDACBD"/>
    <w:rsid w:val="59FFBEEF"/>
    <w:rsid w:val="5A09F6D3"/>
    <w:rsid w:val="5A0B336A"/>
    <w:rsid w:val="5A0C2ACC"/>
    <w:rsid w:val="5A0EDB82"/>
    <w:rsid w:val="5A11F227"/>
    <w:rsid w:val="5A16DA1C"/>
    <w:rsid w:val="5A18B3E5"/>
    <w:rsid w:val="5A19ABCD"/>
    <w:rsid w:val="5A1C85A1"/>
    <w:rsid w:val="5A1CF11D"/>
    <w:rsid w:val="5A21BB43"/>
    <w:rsid w:val="5A2CDA41"/>
    <w:rsid w:val="5A2FC5F6"/>
    <w:rsid w:val="5A331B09"/>
    <w:rsid w:val="5A35D07E"/>
    <w:rsid w:val="5A37FC87"/>
    <w:rsid w:val="5A3A6703"/>
    <w:rsid w:val="5A44B627"/>
    <w:rsid w:val="5A4961D1"/>
    <w:rsid w:val="5A4D0696"/>
    <w:rsid w:val="5A4F907D"/>
    <w:rsid w:val="5A4FC1E3"/>
    <w:rsid w:val="5A554BC5"/>
    <w:rsid w:val="5A5662E5"/>
    <w:rsid w:val="5A566979"/>
    <w:rsid w:val="5A61AF01"/>
    <w:rsid w:val="5A65CAAF"/>
    <w:rsid w:val="5A66C48A"/>
    <w:rsid w:val="5A6C5D1E"/>
    <w:rsid w:val="5A6FCFED"/>
    <w:rsid w:val="5A72D340"/>
    <w:rsid w:val="5A74D780"/>
    <w:rsid w:val="5A74E038"/>
    <w:rsid w:val="5A75F5C6"/>
    <w:rsid w:val="5A819852"/>
    <w:rsid w:val="5A83B6AE"/>
    <w:rsid w:val="5A877C8F"/>
    <w:rsid w:val="5A888F68"/>
    <w:rsid w:val="5A8C1203"/>
    <w:rsid w:val="5A8C4A05"/>
    <w:rsid w:val="5A91D8DC"/>
    <w:rsid w:val="5A962462"/>
    <w:rsid w:val="5A9784C0"/>
    <w:rsid w:val="5A99F8BB"/>
    <w:rsid w:val="5A9D2AFA"/>
    <w:rsid w:val="5AA8DA1D"/>
    <w:rsid w:val="5AA983BF"/>
    <w:rsid w:val="5AAB32DF"/>
    <w:rsid w:val="5AB4A05F"/>
    <w:rsid w:val="5AB5870F"/>
    <w:rsid w:val="5AB5DA6A"/>
    <w:rsid w:val="5ABE7B65"/>
    <w:rsid w:val="5AC39823"/>
    <w:rsid w:val="5AC44F77"/>
    <w:rsid w:val="5AC479C3"/>
    <w:rsid w:val="5ACAC9D6"/>
    <w:rsid w:val="5AD277AE"/>
    <w:rsid w:val="5AD42507"/>
    <w:rsid w:val="5AD8FE8D"/>
    <w:rsid w:val="5AD9116D"/>
    <w:rsid w:val="5ADA4738"/>
    <w:rsid w:val="5ADCD6E9"/>
    <w:rsid w:val="5AE2C181"/>
    <w:rsid w:val="5AE52909"/>
    <w:rsid w:val="5AEE863E"/>
    <w:rsid w:val="5AEE9277"/>
    <w:rsid w:val="5AEF7657"/>
    <w:rsid w:val="5AF40FFB"/>
    <w:rsid w:val="5AF82F6A"/>
    <w:rsid w:val="5AFA4A31"/>
    <w:rsid w:val="5B03B8DC"/>
    <w:rsid w:val="5B0C392A"/>
    <w:rsid w:val="5B0EE7DD"/>
    <w:rsid w:val="5B129A9E"/>
    <w:rsid w:val="5B12D7D1"/>
    <w:rsid w:val="5B13FA7C"/>
    <w:rsid w:val="5B157C21"/>
    <w:rsid w:val="5B163FAD"/>
    <w:rsid w:val="5B17E255"/>
    <w:rsid w:val="5B17F0B2"/>
    <w:rsid w:val="5B207406"/>
    <w:rsid w:val="5B22A850"/>
    <w:rsid w:val="5B22E58D"/>
    <w:rsid w:val="5B2615CB"/>
    <w:rsid w:val="5B2734E6"/>
    <w:rsid w:val="5B2ABC4D"/>
    <w:rsid w:val="5B2DEDAF"/>
    <w:rsid w:val="5B300B3E"/>
    <w:rsid w:val="5B30881B"/>
    <w:rsid w:val="5B31B907"/>
    <w:rsid w:val="5B378061"/>
    <w:rsid w:val="5B3786B0"/>
    <w:rsid w:val="5B381D04"/>
    <w:rsid w:val="5B39C758"/>
    <w:rsid w:val="5B3B258E"/>
    <w:rsid w:val="5B424DB8"/>
    <w:rsid w:val="5B42538E"/>
    <w:rsid w:val="5B435450"/>
    <w:rsid w:val="5B444E9A"/>
    <w:rsid w:val="5B44B8BD"/>
    <w:rsid w:val="5B44E103"/>
    <w:rsid w:val="5B47AA2B"/>
    <w:rsid w:val="5B4A7A1E"/>
    <w:rsid w:val="5B4B3F23"/>
    <w:rsid w:val="5B4D7F4D"/>
    <w:rsid w:val="5B4FB4C3"/>
    <w:rsid w:val="5B51F39E"/>
    <w:rsid w:val="5B525757"/>
    <w:rsid w:val="5B52A901"/>
    <w:rsid w:val="5B5720D9"/>
    <w:rsid w:val="5B58F535"/>
    <w:rsid w:val="5B5B8646"/>
    <w:rsid w:val="5B5C1B36"/>
    <w:rsid w:val="5B62F43F"/>
    <w:rsid w:val="5B680185"/>
    <w:rsid w:val="5B69582B"/>
    <w:rsid w:val="5B6AF425"/>
    <w:rsid w:val="5B6AF9DD"/>
    <w:rsid w:val="5B6CD511"/>
    <w:rsid w:val="5B6D6EE4"/>
    <w:rsid w:val="5B71F361"/>
    <w:rsid w:val="5B73A73E"/>
    <w:rsid w:val="5B73BCFA"/>
    <w:rsid w:val="5B741AC8"/>
    <w:rsid w:val="5B74DA20"/>
    <w:rsid w:val="5B76764E"/>
    <w:rsid w:val="5B776822"/>
    <w:rsid w:val="5B77F73E"/>
    <w:rsid w:val="5B7967B1"/>
    <w:rsid w:val="5B7EF375"/>
    <w:rsid w:val="5B849284"/>
    <w:rsid w:val="5B85D1AA"/>
    <w:rsid w:val="5B8857C8"/>
    <w:rsid w:val="5B89D753"/>
    <w:rsid w:val="5B8EAB23"/>
    <w:rsid w:val="5B8EB4AF"/>
    <w:rsid w:val="5B919353"/>
    <w:rsid w:val="5B9300E5"/>
    <w:rsid w:val="5B933592"/>
    <w:rsid w:val="5B95FB62"/>
    <w:rsid w:val="5B983F6C"/>
    <w:rsid w:val="5B9D6757"/>
    <w:rsid w:val="5BA100C0"/>
    <w:rsid w:val="5BADED15"/>
    <w:rsid w:val="5BAF1A11"/>
    <w:rsid w:val="5BAF4C0E"/>
    <w:rsid w:val="5BB36E35"/>
    <w:rsid w:val="5BB5E454"/>
    <w:rsid w:val="5BB6C42E"/>
    <w:rsid w:val="5BB83075"/>
    <w:rsid w:val="5BBE1700"/>
    <w:rsid w:val="5BBF0A4D"/>
    <w:rsid w:val="5BC12680"/>
    <w:rsid w:val="5BC18F09"/>
    <w:rsid w:val="5BC3B557"/>
    <w:rsid w:val="5BC80798"/>
    <w:rsid w:val="5BC89DC7"/>
    <w:rsid w:val="5BCB7AAA"/>
    <w:rsid w:val="5BCD3DB5"/>
    <w:rsid w:val="5BD07EE8"/>
    <w:rsid w:val="5BD0B080"/>
    <w:rsid w:val="5BD64361"/>
    <w:rsid w:val="5BD67F5C"/>
    <w:rsid w:val="5BD9727F"/>
    <w:rsid w:val="5BD9AC9B"/>
    <w:rsid w:val="5BDD1DD1"/>
    <w:rsid w:val="5BDD9FFF"/>
    <w:rsid w:val="5BE08533"/>
    <w:rsid w:val="5BE27D71"/>
    <w:rsid w:val="5BE63E7C"/>
    <w:rsid w:val="5BE9D270"/>
    <w:rsid w:val="5BEAEAE0"/>
    <w:rsid w:val="5BEAF0D0"/>
    <w:rsid w:val="5BEB5605"/>
    <w:rsid w:val="5BEC69F3"/>
    <w:rsid w:val="5BEEF3E0"/>
    <w:rsid w:val="5BF0EFDD"/>
    <w:rsid w:val="5BF57F58"/>
    <w:rsid w:val="5BF6A9DD"/>
    <w:rsid w:val="5BF6B043"/>
    <w:rsid w:val="5BF75172"/>
    <w:rsid w:val="5BF9DAB4"/>
    <w:rsid w:val="5BFBB168"/>
    <w:rsid w:val="5BFCF312"/>
    <w:rsid w:val="5BFDA6BF"/>
    <w:rsid w:val="5C029606"/>
    <w:rsid w:val="5C089674"/>
    <w:rsid w:val="5C0D988D"/>
    <w:rsid w:val="5C16CE48"/>
    <w:rsid w:val="5C184B02"/>
    <w:rsid w:val="5C18FDD2"/>
    <w:rsid w:val="5C1C2E81"/>
    <w:rsid w:val="5C21BA6B"/>
    <w:rsid w:val="5C23098D"/>
    <w:rsid w:val="5C2B26C0"/>
    <w:rsid w:val="5C2E2012"/>
    <w:rsid w:val="5C2F1D0D"/>
    <w:rsid w:val="5C3524B7"/>
    <w:rsid w:val="5C35BA9A"/>
    <w:rsid w:val="5C381E78"/>
    <w:rsid w:val="5C39851A"/>
    <w:rsid w:val="5C3A3E3E"/>
    <w:rsid w:val="5C404F5E"/>
    <w:rsid w:val="5C406F97"/>
    <w:rsid w:val="5C411D93"/>
    <w:rsid w:val="5C4743A4"/>
    <w:rsid w:val="5C48214A"/>
    <w:rsid w:val="5C4B1DBA"/>
    <w:rsid w:val="5C4E4D81"/>
    <w:rsid w:val="5C4E8B84"/>
    <w:rsid w:val="5C4E8E3E"/>
    <w:rsid w:val="5C4F0F2F"/>
    <w:rsid w:val="5C504C92"/>
    <w:rsid w:val="5C522E23"/>
    <w:rsid w:val="5C54DF45"/>
    <w:rsid w:val="5C5A1BA9"/>
    <w:rsid w:val="5C5AE418"/>
    <w:rsid w:val="5C5E1DBE"/>
    <w:rsid w:val="5C5F25BD"/>
    <w:rsid w:val="5C61CACE"/>
    <w:rsid w:val="5C6390DC"/>
    <w:rsid w:val="5C68AA88"/>
    <w:rsid w:val="5C6D6ECA"/>
    <w:rsid w:val="5C6F9B8A"/>
    <w:rsid w:val="5C73C2EB"/>
    <w:rsid w:val="5C7680D2"/>
    <w:rsid w:val="5C7DD003"/>
    <w:rsid w:val="5C834E03"/>
    <w:rsid w:val="5C9B597A"/>
    <w:rsid w:val="5C9BB485"/>
    <w:rsid w:val="5C9BC116"/>
    <w:rsid w:val="5C9C64E7"/>
    <w:rsid w:val="5C9C937B"/>
    <w:rsid w:val="5C9F3E10"/>
    <w:rsid w:val="5CA7F927"/>
    <w:rsid w:val="5CAA1C92"/>
    <w:rsid w:val="5CAA59B7"/>
    <w:rsid w:val="5CAD5E87"/>
    <w:rsid w:val="5CB11BBC"/>
    <w:rsid w:val="5CB2C6B4"/>
    <w:rsid w:val="5CB5DCE8"/>
    <w:rsid w:val="5CBC14C8"/>
    <w:rsid w:val="5CBDD92D"/>
    <w:rsid w:val="5CC36EF3"/>
    <w:rsid w:val="5CC5BB87"/>
    <w:rsid w:val="5CCD63A7"/>
    <w:rsid w:val="5CCF53EC"/>
    <w:rsid w:val="5CD465DB"/>
    <w:rsid w:val="5CD6036C"/>
    <w:rsid w:val="5CD75126"/>
    <w:rsid w:val="5CDA1120"/>
    <w:rsid w:val="5CDA8C3D"/>
    <w:rsid w:val="5CE40EDF"/>
    <w:rsid w:val="5CE4A2A1"/>
    <w:rsid w:val="5CE5649B"/>
    <w:rsid w:val="5CE69610"/>
    <w:rsid w:val="5CEDCFA8"/>
    <w:rsid w:val="5CEEEC19"/>
    <w:rsid w:val="5CEF7CE9"/>
    <w:rsid w:val="5CF29ACB"/>
    <w:rsid w:val="5CF45C22"/>
    <w:rsid w:val="5CF491F8"/>
    <w:rsid w:val="5CFD88DE"/>
    <w:rsid w:val="5CFEE8CC"/>
    <w:rsid w:val="5CFF8963"/>
    <w:rsid w:val="5D00AE37"/>
    <w:rsid w:val="5D011410"/>
    <w:rsid w:val="5D03748C"/>
    <w:rsid w:val="5D038260"/>
    <w:rsid w:val="5D03B068"/>
    <w:rsid w:val="5D0AB4E4"/>
    <w:rsid w:val="5D13A7DE"/>
    <w:rsid w:val="5D14954C"/>
    <w:rsid w:val="5D168AA1"/>
    <w:rsid w:val="5D1A7A1C"/>
    <w:rsid w:val="5D1CABBA"/>
    <w:rsid w:val="5D224083"/>
    <w:rsid w:val="5D269605"/>
    <w:rsid w:val="5D26D691"/>
    <w:rsid w:val="5D37038F"/>
    <w:rsid w:val="5D39F1EA"/>
    <w:rsid w:val="5D3B43D9"/>
    <w:rsid w:val="5D3FF4D0"/>
    <w:rsid w:val="5D4892F3"/>
    <w:rsid w:val="5D4A6B03"/>
    <w:rsid w:val="5D4AF5CD"/>
    <w:rsid w:val="5D4BF95A"/>
    <w:rsid w:val="5D4E6C29"/>
    <w:rsid w:val="5D4E97B8"/>
    <w:rsid w:val="5D517ACE"/>
    <w:rsid w:val="5D531837"/>
    <w:rsid w:val="5D548532"/>
    <w:rsid w:val="5D57A7AE"/>
    <w:rsid w:val="5D5C646A"/>
    <w:rsid w:val="5D5EDBBE"/>
    <w:rsid w:val="5D6AEDFD"/>
    <w:rsid w:val="5D6C8C4D"/>
    <w:rsid w:val="5D6D3989"/>
    <w:rsid w:val="5D6E24D6"/>
    <w:rsid w:val="5D6EA2C6"/>
    <w:rsid w:val="5D75C9C9"/>
    <w:rsid w:val="5D77E523"/>
    <w:rsid w:val="5D78E6A3"/>
    <w:rsid w:val="5D7CE790"/>
    <w:rsid w:val="5D824756"/>
    <w:rsid w:val="5D83ADAE"/>
    <w:rsid w:val="5D86DA3E"/>
    <w:rsid w:val="5D8907BB"/>
    <w:rsid w:val="5D8D1112"/>
    <w:rsid w:val="5D8EE314"/>
    <w:rsid w:val="5D8F6695"/>
    <w:rsid w:val="5D8FC178"/>
    <w:rsid w:val="5D8FF069"/>
    <w:rsid w:val="5D9413B9"/>
    <w:rsid w:val="5D95718A"/>
    <w:rsid w:val="5D99888E"/>
    <w:rsid w:val="5D9C56C1"/>
    <w:rsid w:val="5D9F0621"/>
    <w:rsid w:val="5DA40F67"/>
    <w:rsid w:val="5DA511ED"/>
    <w:rsid w:val="5DA73D94"/>
    <w:rsid w:val="5DA76F55"/>
    <w:rsid w:val="5DA85B5A"/>
    <w:rsid w:val="5DAF8CF8"/>
    <w:rsid w:val="5DB691A7"/>
    <w:rsid w:val="5DBB9920"/>
    <w:rsid w:val="5DC661B7"/>
    <w:rsid w:val="5DC79BEE"/>
    <w:rsid w:val="5DCCE25E"/>
    <w:rsid w:val="5DCE4B97"/>
    <w:rsid w:val="5DD70F97"/>
    <w:rsid w:val="5DDCE240"/>
    <w:rsid w:val="5DDE5DB6"/>
    <w:rsid w:val="5DDF1B9B"/>
    <w:rsid w:val="5DDFC52D"/>
    <w:rsid w:val="5DE17C6D"/>
    <w:rsid w:val="5DE6D628"/>
    <w:rsid w:val="5DE8B2C4"/>
    <w:rsid w:val="5DE9231E"/>
    <w:rsid w:val="5DEC7414"/>
    <w:rsid w:val="5DEE6B8F"/>
    <w:rsid w:val="5DF04C82"/>
    <w:rsid w:val="5DF50C9B"/>
    <w:rsid w:val="5DF93A5D"/>
    <w:rsid w:val="5DFC2CB1"/>
    <w:rsid w:val="5E000189"/>
    <w:rsid w:val="5E0210F3"/>
    <w:rsid w:val="5E049670"/>
    <w:rsid w:val="5E06EA3E"/>
    <w:rsid w:val="5E07B562"/>
    <w:rsid w:val="5E0976EF"/>
    <w:rsid w:val="5E09BAF1"/>
    <w:rsid w:val="5E0AFB0B"/>
    <w:rsid w:val="5E0C272F"/>
    <w:rsid w:val="5E0D9290"/>
    <w:rsid w:val="5E154A7A"/>
    <w:rsid w:val="5E1CAE8C"/>
    <w:rsid w:val="5E208BAC"/>
    <w:rsid w:val="5E21B4EA"/>
    <w:rsid w:val="5E22215E"/>
    <w:rsid w:val="5E257B8D"/>
    <w:rsid w:val="5E263339"/>
    <w:rsid w:val="5E29A629"/>
    <w:rsid w:val="5E2B460E"/>
    <w:rsid w:val="5E389383"/>
    <w:rsid w:val="5E38DC87"/>
    <w:rsid w:val="5E41F06D"/>
    <w:rsid w:val="5E42B6B8"/>
    <w:rsid w:val="5E44A4AB"/>
    <w:rsid w:val="5E46CD8C"/>
    <w:rsid w:val="5E4C1AAB"/>
    <w:rsid w:val="5E4DC57F"/>
    <w:rsid w:val="5E4E5B92"/>
    <w:rsid w:val="5E4E9715"/>
    <w:rsid w:val="5E57A18C"/>
    <w:rsid w:val="5E59986A"/>
    <w:rsid w:val="5E631CC7"/>
    <w:rsid w:val="5E647EDE"/>
    <w:rsid w:val="5E648FF4"/>
    <w:rsid w:val="5E66DE35"/>
    <w:rsid w:val="5E714A9B"/>
    <w:rsid w:val="5E736E73"/>
    <w:rsid w:val="5E77A876"/>
    <w:rsid w:val="5E77CE53"/>
    <w:rsid w:val="5E7F4AED"/>
    <w:rsid w:val="5E800EBD"/>
    <w:rsid w:val="5E81C6A1"/>
    <w:rsid w:val="5E83A782"/>
    <w:rsid w:val="5E85CE80"/>
    <w:rsid w:val="5E85CFC3"/>
    <w:rsid w:val="5E8D3E2F"/>
    <w:rsid w:val="5E975105"/>
    <w:rsid w:val="5E9961FE"/>
    <w:rsid w:val="5E99621A"/>
    <w:rsid w:val="5E9D650C"/>
    <w:rsid w:val="5E9E0410"/>
    <w:rsid w:val="5EA30BE9"/>
    <w:rsid w:val="5EA40446"/>
    <w:rsid w:val="5EA6D808"/>
    <w:rsid w:val="5EA8C7B3"/>
    <w:rsid w:val="5EAC3A50"/>
    <w:rsid w:val="5EB27C71"/>
    <w:rsid w:val="5EB2C27A"/>
    <w:rsid w:val="5EB8FC10"/>
    <w:rsid w:val="5EB98B5C"/>
    <w:rsid w:val="5EBED48F"/>
    <w:rsid w:val="5EBF7275"/>
    <w:rsid w:val="5EC2F02A"/>
    <w:rsid w:val="5EC8DD2A"/>
    <w:rsid w:val="5ECA3A4E"/>
    <w:rsid w:val="5ECB6AB2"/>
    <w:rsid w:val="5ED47CEB"/>
    <w:rsid w:val="5ED4AB7C"/>
    <w:rsid w:val="5ED9D8AB"/>
    <w:rsid w:val="5EDA85ED"/>
    <w:rsid w:val="5EDB48B6"/>
    <w:rsid w:val="5EDC83E9"/>
    <w:rsid w:val="5EDFF8C4"/>
    <w:rsid w:val="5EE344C1"/>
    <w:rsid w:val="5EE96B1F"/>
    <w:rsid w:val="5EEDD1BF"/>
    <w:rsid w:val="5EEE9884"/>
    <w:rsid w:val="5EEF6B4F"/>
    <w:rsid w:val="5EF25332"/>
    <w:rsid w:val="5EF79775"/>
    <w:rsid w:val="5EF79A94"/>
    <w:rsid w:val="5EF9BE0A"/>
    <w:rsid w:val="5EFEFEED"/>
    <w:rsid w:val="5F06983C"/>
    <w:rsid w:val="5F06A723"/>
    <w:rsid w:val="5F0CC5ED"/>
    <w:rsid w:val="5F15E4BC"/>
    <w:rsid w:val="5F1F4F43"/>
    <w:rsid w:val="5F2301A0"/>
    <w:rsid w:val="5F258976"/>
    <w:rsid w:val="5F29EF44"/>
    <w:rsid w:val="5F32897B"/>
    <w:rsid w:val="5F34F0D2"/>
    <w:rsid w:val="5F35A24A"/>
    <w:rsid w:val="5F36B7B3"/>
    <w:rsid w:val="5F39C0BF"/>
    <w:rsid w:val="5F3EF0BF"/>
    <w:rsid w:val="5F40117F"/>
    <w:rsid w:val="5F403736"/>
    <w:rsid w:val="5F427A5E"/>
    <w:rsid w:val="5F431571"/>
    <w:rsid w:val="5F4526FA"/>
    <w:rsid w:val="5F457E8C"/>
    <w:rsid w:val="5F4B5D80"/>
    <w:rsid w:val="5F55FDE0"/>
    <w:rsid w:val="5F576547"/>
    <w:rsid w:val="5F5833C9"/>
    <w:rsid w:val="5F587127"/>
    <w:rsid w:val="5F5B0095"/>
    <w:rsid w:val="5F5CF57F"/>
    <w:rsid w:val="5F5D1149"/>
    <w:rsid w:val="5F659872"/>
    <w:rsid w:val="5F6702A8"/>
    <w:rsid w:val="5F676096"/>
    <w:rsid w:val="5F68B168"/>
    <w:rsid w:val="5F6C4D02"/>
    <w:rsid w:val="5F6FD038"/>
    <w:rsid w:val="5F70F714"/>
    <w:rsid w:val="5F70FB3B"/>
    <w:rsid w:val="5F76C050"/>
    <w:rsid w:val="5F790DD0"/>
    <w:rsid w:val="5F797A0C"/>
    <w:rsid w:val="5F7BB47B"/>
    <w:rsid w:val="5F7D84D6"/>
    <w:rsid w:val="5F84A6BB"/>
    <w:rsid w:val="5F891313"/>
    <w:rsid w:val="5F8BCB85"/>
    <w:rsid w:val="5F8D8B0F"/>
    <w:rsid w:val="5F980406"/>
    <w:rsid w:val="5F9A5D36"/>
    <w:rsid w:val="5F9AC896"/>
    <w:rsid w:val="5FA09DF1"/>
    <w:rsid w:val="5FA379A0"/>
    <w:rsid w:val="5FA5E5E1"/>
    <w:rsid w:val="5FA86C50"/>
    <w:rsid w:val="5FB05EB0"/>
    <w:rsid w:val="5FB61AC5"/>
    <w:rsid w:val="5FB70771"/>
    <w:rsid w:val="5FB7DC96"/>
    <w:rsid w:val="5FBC5C0D"/>
    <w:rsid w:val="5FC28050"/>
    <w:rsid w:val="5FC3C129"/>
    <w:rsid w:val="5FC7B6D0"/>
    <w:rsid w:val="5FC7C3C9"/>
    <w:rsid w:val="5FC8223E"/>
    <w:rsid w:val="5FC8369F"/>
    <w:rsid w:val="5FC9D6DB"/>
    <w:rsid w:val="5FC9F4FD"/>
    <w:rsid w:val="5FCEF8A5"/>
    <w:rsid w:val="5FCFEF0E"/>
    <w:rsid w:val="5FD120B4"/>
    <w:rsid w:val="5FD368C8"/>
    <w:rsid w:val="5FD87E7B"/>
    <w:rsid w:val="5FD99BF7"/>
    <w:rsid w:val="5FE134B4"/>
    <w:rsid w:val="5FE39649"/>
    <w:rsid w:val="5FE4A9D0"/>
    <w:rsid w:val="5FE8E379"/>
    <w:rsid w:val="5FE9208B"/>
    <w:rsid w:val="5FE9DDA9"/>
    <w:rsid w:val="5FF3E550"/>
    <w:rsid w:val="5FF481B4"/>
    <w:rsid w:val="5FF70941"/>
    <w:rsid w:val="5FF9A750"/>
    <w:rsid w:val="5FF9BC31"/>
    <w:rsid w:val="5FFBC238"/>
    <w:rsid w:val="5FFDF7C7"/>
    <w:rsid w:val="5FFF845D"/>
    <w:rsid w:val="5FFFD00F"/>
    <w:rsid w:val="6001305E"/>
    <w:rsid w:val="60048C67"/>
    <w:rsid w:val="6005C437"/>
    <w:rsid w:val="600C069D"/>
    <w:rsid w:val="600CC145"/>
    <w:rsid w:val="600FB61C"/>
    <w:rsid w:val="601738C6"/>
    <w:rsid w:val="6018BFBB"/>
    <w:rsid w:val="601CB0ED"/>
    <w:rsid w:val="601D79ED"/>
    <w:rsid w:val="601F5678"/>
    <w:rsid w:val="60229D3D"/>
    <w:rsid w:val="6024087F"/>
    <w:rsid w:val="60290DAE"/>
    <w:rsid w:val="60290E90"/>
    <w:rsid w:val="602B392A"/>
    <w:rsid w:val="602B6B32"/>
    <w:rsid w:val="60302342"/>
    <w:rsid w:val="60330C4B"/>
    <w:rsid w:val="6046C8C1"/>
    <w:rsid w:val="604EB750"/>
    <w:rsid w:val="604F5B3B"/>
    <w:rsid w:val="60521ADE"/>
    <w:rsid w:val="6052A0F5"/>
    <w:rsid w:val="6058A3FB"/>
    <w:rsid w:val="60605F20"/>
    <w:rsid w:val="60627171"/>
    <w:rsid w:val="60628372"/>
    <w:rsid w:val="606345DB"/>
    <w:rsid w:val="6068A134"/>
    <w:rsid w:val="606D2F1A"/>
    <w:rsid w:val="606E38A0"/>
    <w:rsid w:val="60706A90"/>
    <w:rsid w:val="6071131C"/>
    <w:rsid w:val="60718F3D"/>
    <w:rsid w:val="6075CCBB"/>
    <w:rsid w:val="607D0CB7"/>
    <w:rsid w:val="607D5330"/>
    <w:rsid w:val="607D8A7B"/>
    <w:rsid w:val="60881498"/>
    <w:rsid w:val="608A00D7"/>
    <w:rsid w:val="608A64ED"/>
    <w:rsid w:val="608BA1EC"/>
    <w:rsid w:val="608E253A"/>
    <w:rsid w:val="608F94DD"/>
    <w:rsid w:val="609318E2"/>
    <w:rsid w:val="6096BA35"/>
    <w:rsid w:val="609734CC"/>
    <w:rsid w:val="6098AB80"/>
    <w:rsid w:val="609A16E0"/>
    <w:rsid w:val="609ACF4E"/>
    <w:rsid w:val="609AE82C"/>
    <w:rsid w:val="609D31D1"/>
    <w:rsid w:val="609DCB9B"/>
    <w:rsid w:val="60A25C8D"/>
    <w:rsid w:val="60A983FD"/>
    <w:rsid w:val="60ABC4D9"/>
    <w:rsid w:val="60BCD1A7"/>
    <w:rsid w:val="60BF014A"/>
    <w:rsid w:val="60C526BF"/>
    <w:rsid w:val="60C750F8"/>
    <w:rsid w:val="60C778D1"/>
    <w:rsid w:val="60C87A63"/>
    <w:rsid w:val="60C92E1E"/>
    <w:rsid w:val="60CBB5FF"/>
    <w:rsid w:val="60D17C2E"/>
    <w:rsid w:val="60D30A42"/>
    <w:rsid w:val="60D3177B"/>
    <w:rsid w:val="60D3F384"/>
    <w:rsid w:val="60D484D2"/>
    <w:rsid w:val="60E131BC"/>
    <w:rsid w:val="60E3ACC0"/>
    <w:rsid w:val="60E8BC14"/>
    <w:rsid w:val="60EAE26C"/>
    <w:rsid w:val="60EC91EC"/>
    <w:rsid w:val="60ED9602"/>
    <w:rsid w:val="60F10695"/>
    <w:rsid w:val="60F5BC63"/>
    <w:rsid w:val="60F764E5"/>
    <w:rsid w:val="60F7E53F"/>
    <w:rsid w:val="60F80F08"/>
    <w:rsid w:val="60FA8F12"/>
    <w:rsid w:val="6102BA34"/>
    <w:rsid w:val="610683D7"/>
    <w:rsid w:val="610C41A1"/>
    <w:rsid w:val="610E72D8"/>
    <w:rsid w:val="610F98A9"/>
    <w:rsid w:val="6114646F"/>
    <w:rsid w:val="6115D4E6"/>
    <w:rsid w:val="6117BEEB"/>
    <w:rsid w:val="611AAED5"/>
    <w:rsid w:val="612181E2"/>
    <w:rsid w:val="6122EDFE"/>
    <w:rsid w:val="6126FC0A"/>
    <w:rsid w:val="61273CD2"/>
    <w:rsid w:val="612A5DE4"/>
    <w:rsid w:val="612A93B8"/>
    <w:rsid w:val="61368F7B"/>
    <w:rsid w:val="6136EF40"/>
    <w:rsid w:val="6136F58A"/>
    <w:rsid w:val="6138ECFA"/>
    <w:rsid w:val="61391684"/>
    <w:rsid w:val="61397CB9"/>
    <w:rsid w:val="613CCEA6"/>
    <w:rsid w:val="613EC7A3"/>
    <w:rsid w:val="6150A441"/>
    <w:rsid w:val="615109D0"/>
    <w:rsid w:val="6151DC74"/>
    <w:rsid w:val="61533F24"/>
    <w:rsid w:val="615582C9"/>
    <w:rsid w:val="615D25DD"/>
    <w:rsid w:val="615E086D"/>
    <w:rsid w:val="616216B0"/>
    <w:rsid w:val="61634EA2"/>
    <w:rsid w:val="616836A8"/>
    <w:rsid w:val="616C159D"/>
    <w:rsid w:val="616F5DC2"/>
    <w:rsid w:val="6171F21F"/>
    <w:rsid w:val="617396E7"/>
    <w:rsid w:val="6176EC7E"/>
    <w:rsid w:val="6178ED4D"/>
    <w:rsid w:val="617DB133"/>
    <w:rsid w:val="617F81C8"/>
    <w:rsid w:val="618082A1"/>
    <w:rsid w:val="6180D720"/>
    <w:rsid w:val="61896798"/>
    <w:rsid w:val="61992CC3"/>
    <w:rsid w:val="619C9A05"/>
    <w:rsid w:val="61A01EAB"/>
    <w:rsid w:val="61A08714"/>
    <w:rsid w:val="61A0FC4B"/>
    <w:rsid w:val="61A7366E"/>
    <w:rsid w:val="61A9504D"/>
    <w:rsid w:val="61AA065E"/>
    <w:rsid w:val="61AD259F"/>
    <w:rsid w:val="61ADBDCF"/>
    <w:rsid w:val="61B0588D"/>
    <w:rsid w:val="61B362AD"/>
    <w:rsid w:val="61B39E09"/>
    <w:rsid w:val="61B9FCFE"/>
    <w:rsid w:val="61BA7E18"/>
    <w:rsid w:val="61BE3E16"/>
    <w:rsid w:val="61BFB3C5"/>
    <w:rsid w:val="61C07E3E"/>
    <w:rsid w:val="61C244DF"/>
    <w:rsid w:val="61C2B19A"/>
    <w:rsid w:val="61C6BE9E"/>
    <w:rsid w:val="61CCD2B1"/>
    <w:rsid w:val="61CEE060"/>
    <w:rsid w:val="61D003CD"/>
    <w:rsid w:val="61D19285"/>
    <w:rsid w:val="61D2D76F"/>
    <w:rsid w:val="61D53683"/>
    <w:rsid w:val="61D5F5C6"/>
    <w:rsid w:val="61DAA18F"/>
    <w:rsid w:val="61DFA065"/>
    <w:rsid w:val="61E5D25E"/>
    <w:rsid w:val="61E62881"/>
    <w:rsid w:val="61E7EEDD"/>
    <w:rsid w:val="61EBD4C8"/>
    <w:rsid w:val="61FBCA78"/>
    <w:rsid w:val="62001FD7"/>
    <w:rsid w:val="6203632C"/>
    <w:rsid w:val="6206445D"/>
    <w:rsid w:val="620DC5EF"/>
    <w:rsid w:val="620E8792"/>
    <w:rsid w:val="620F0F7A"/>
    <w:rsid w:val="6213C331"/>
    <w:rsid w:val="62149DA5"/>
    <w:rsid w:val="62196239"/>
    <w:rsid w:val="621B66A1"/>
    <w:rsid w:val="622154F1"/>
    <w:rsid w:val="62219063"/>
    <w:rsid w:val="6224CE1F"/>
    <w:rsid w:val="62270C03"/>
    <w:rsid w:val="6227AEEB"/>
    <w:rsid w:val="62280B20"/>
    <w:rsid w:val="622BC7CA"/>
    <w:rsid w:val="622C9CDE"/>
    <w:rsid w:val="622DBCEB"/>
    <w:rsid w:val="623558F4"/>
    <w:rsid w:val="6239EE88"/>
    <w:rsid w:val="623AB9AB"/>
    <w:rsid w:val="624450E4"/>
    <w:rsid w:val="6245D1D9"/>
    <w:rsid w:val="62463C9A"/>
    <w:rsid w:val="62463DF8"/>
    <w:rsid w:val="62466A96"/>
    <w:rsid w:val="624CC3FF"/>
    <w:rsid w:val="624D5469"/>
    <w:rsid w:val="6259E929"/>
    <w:rsid w:val="625AA262"/>
    <w:rsid w:val="625BCD4F"/>
    <w:rsid w:val="625D16A9"/>
    <w:rsid w:val="625DFED6"/>
    <w:rsid w:val="6260228B"/>
    <w:rsid w:val="62658DE0"/>
    <w:rsid w:val="62661DD2"/>
    <w:rsid w:val="626D6149"/>
    <w:rsid w:val="626E1E30"/>
    <w:rsid w:val="6276F5D8"/>
    <w:rsid w:val="62801FED"/>
    <w:rsid w:val="6281D3CF"/>
    <w:rsid w:val="628410E7"/>
    <w:rsid w:val="6284AA62"/>
    <w:rsid w:val="6286E0FD"/>
    <w:rsid w:val="628DC042"/>
    <w:rsid w:val="62909E96"/>
    <w:rsid w:val="62915FF3"/>
    <w:rsid w:val="62930188"/>
    <w:rsid w:val="6293D6B1"/>
    <w:rsid w:val="6295845A"/>
    <w:rsid w:val="6296196E"/>
    <w:rsid w:val="62969F4F"/>
    <w:rsid w:val="629766DE"/>
    <w:rsid w:val="629C416D"/>
    <w:rsid w:val="629C946E"/>
    <w:rsid w:val="629F8433"/>
    <w:rsid w:val="62A1B274"/>
    <w:rsid w:val="62A1D8E8"/>
    <w:rsid w:val="62A24F7E"/>
    <w:rsid w:val="62A287A0"/>
    <w:rsid w:val="62A6340C"/>
    <w:rsid w:val="62A6AD51"/>
    <w:rsid w:val="62AF4DFA"/>
    <w:rsid w:val="62B25AC8"/>
    <w:rsid w:val="62B54504"/>
    <w:rsid w:val="62B8F63C"/>
    <w:rsid w:val="62BF32AA"/>
    <w:rsid w:val="62BF4378"/>
    <w:rsid w:val="62C207CF"/>
    <w:rsid w:val="62C703DC"/>
    <w:rsid w:val="62C7D2D9"/>
    <w:rsid w:val="62C99ABA"/>
    <w:rsid w:val="62CA4C4D"/>
    <w:rsid w:val="62CA5F81"/>
    <w:rsid w:val="62D23A9A"/>
    <w:rsid w:val="62DD7C3E"/>
    <w:rsid w:val="62DDA4E3"/>
    <w:rsid w:val="62E52F54"/>
    <w:rsid w:val="62E55E4E"/>
    <w:rsid w:val="62E7FF72"/>
    <w:rsid w:val="62EA8FBB"/>
    <w:rsid w:val="62F07517"/>
    <w:rsid w:val="62F0A5A0"/>
    <w:rsid w:val="62F27C8B"/>
    <w:rsid w:val="62F76288"/>
    <w:rsid w:val="62F936B2"/>
    <w:rsid w:val="62F9A45C"/>
    <w:rsid w:val="62FCD29D"/>
    <w:rsid w:val="63080293"/>
    <w:rsid w:val="630B1873"/>
    <w:rsid w:val="630FD6A4"/>
    <w:rsid w:val="631D4927"/>
    <w:rsid w:val="631DF309"/>
    <w:rsid w:val="6324F944"/>
    <w:rsid w:val="6325E9B9"/>
    <w:rsid w:val="632A6B4B"/>
    <w:rsid w:val="632DAF72"/>
    <w:rsid w:val="632F9ADA"/>
    <w:rsid w:val="6330B033"/>
    <w:rsid w:val="633244DC"/>
    <w:rsid w:val="63357066"/>
    <w:rsid w:val="6338445C"/>
    <w:rsid w:val="633C427E"/>
    <w:rsid w:val="6344079E"/>
    <w:rsid w:val="6344D88F"/>
    <w:rsid w:val="63462999"/>
    <w:rsid w:val="634E7A08"/>
    <w:rsid w:val="635149D7"/>
    <w:rsid w:val="63517935"/>
    <w:rsid w:val="6351DDAE"/>
    <w:rsid w:val="635250D6"/>
    <w:rsid w:val="63574891"/>
    <w:rsid w:val="635C69E4"/>
    <w:rsid w:val="63600E4F"/>
    <w:rsid w:val="6360FA51"/>
    <w:rsid w:val="6361B4E6"/>
    <w:rsid w:val="6361CF23"/>
    <w:rsid w:val="6362067E"/>
    <w:rsid w:val="6362535D"/>
    <w:rsid w:val="636C306C"/>
    <w:rsid w:val="636EBC13"/>
    <w:rsid w:val="637056D5"/>
    <w:rsid w:val="6370BFB2"/>
    <w:rsid w:val="63713A97"/>
    <w:rsid w:val="637437BA"/>
    <w:rsid w:val="63764FDB"/>
    <w:rsid w:val="6378CD00"/>
    <w:rsid w:val="637B569E"/>
    <w:rsid w:val="63830388"/>
    <w:rsid w:val="638670DA"/>
    <w:rsid w:val="63883B68"/>
    <w:rsid w:val="638F86EF"/>
    <w:rsid w:val="6390A49B"/>
    <w:rsid w:val="63920E03"/>
    <w:rsid w:val="639339FB"/>
    <w:rsid w:val="639657F1"/>
    <w:rsid w:val="63969A2E"/>
    <w:rsid w:val="63976B32"/>
    <w:rsid w:val="63991B18"/>
    <w:rsid w:val="6399B890"/>
    <w:rsid w:val="639CE78C"/>
    <w:rsid w:val="639D0C8C"/>
    <w:rsid w:val="639E3EE7"/>
    <w:rsid w:val="639EF0EA"/>
    <w:rsid w:val="63A09B12"/>
    <w:rsid w:val="63A33C2B"/>
    <w:rsid w:val="63A52498"/>
    <w:rsid w:val="63A557EC"/>
    <w:rsid w:val="63A58307"/>
    <w:rsid w:val="63A68EC8"/>
    <w:rsid w:val="63A710E1"/>
    <w:rsid w:val="63A75294"/>
    <w:rsid w:val="63AB95EF"/>
    <w:rsid w:val="63ADF76A"/>
    <w:rsid w:val="63AF8C5B"/>
    <w:rsid w:val="63B1E663"/>
    <w:rsid w:val="63B21E36"/>
    <w:rsid w:val="63B446D0"/>
    <w:rsid w:val="63B45712"/>
    <w:rsid w:val="63B7BAEF"/>
    <w:rsid w:val="63BA7285"/>
    <w:rsid w:val="63BEA9E3"/>
    <w:rsid w:val="63C02B44"/>
    <w:rsid w:val="63C1D844"/>
    <w:rsid w:val="63C34818"/>
    <w:rsid w:val="63C4E997"/>
    <w:rsid w:val="63CA1E7D"/>
    <w:rsid w:val="63CD1FD6"/>
    <w:rsid w:val="63CFE5DF"/>
    <w:rsid w:val="63D84765"/>
    <w:rsid w:val="63E029BD"/>
    <w:rsid w:val="63E2C28C"/>
    <w:rsid w:val="63E32616"/>
    <w:rsid w:val="63F1A996"/>
    <w:rsid w:val="63F2565E"/>
    <w:rsid w:val="63F33D56"/>
    <w:rsid w:val="63F75A19"/>
    <w:rsid w:val="63FB97BC"/>
    <w:rsid w:val="63FD47F4"/>
    <w:rsid w:val="63FD5C83"/>
    <w:rsid w:val="63FE0D57"/>
    <w:rsid w:val="63FEFF1C"/>
    <w:rsid w:val="63FF6DD9"/>
    <w:rsid w:val="640302F5"/>
    <w:rsid w:val="640314E5"/>
    <w:rsid w:val="640317C8"/>
    <w:rsid w:val="64039135"/>
    <w:rsid w:val="640644DB"/>
    <w:rsid w:val="640B94D6"/>
    <w:rsid w:val="640C0A6B"/>
    <w:rsid w:val="641747BE"/>
    <w:rsid w:val="641ABC24"/>
    <w:rsid w:val="641B0483"/>
    <w:rsid w:val="641CCF7D"/>
    <w:rsid w:val="641EAFFF"/>
    <w:rsid w:val="6421E6D0"/>
    <w:rsid w:val="642536C4"/>
    <w:rsid w:val="64253FA8"/>
    <w:rsid w:val="6425A9A3"/>
    <w:rsid w:val="6427710F"/>
    <w:rsid w:val="642934D2"/>
    <w:rsid w:val="643197F7"/>
    <w:rsid w:val="64342320"/>
    <w:rsid w:val="6439AC13"/>
    <w:rsid w:val="643CCE91"/>
    <w:rsid w:val="643D4470"/>
    <w:rsid w:val="6441319A"/>
    <w:rsid w:val="644164C1"/>
    <w:rsid w:val="6441A61D"/>
    <w:rsid w:val="644218BF"/>
    <w:rsid w:val="6446E12D"/>
    <w:rsid w:val="64481671"/>
    <w:rsid w:val="644D5C38"/>
    <w:rsid w:val="644F2CCB"/>
    <w:rsid w:val="6450635D"/>
    <w:rsid w:val="64517B55"/>
    <w:rsid w:val="6452E17C"/>
    <w:rsid w:val="64540645"/>
    <w:rsid w:val="6454C69D"/>
    <w:rsid w:val="6454DC22"/>
    <w:rsid w:val="645534BC"/>
    <w:rsid w:val="64630AFC"/>
    <w:rsid w:val="646B5ECE"/>
    <w:rsid w:val="646CAE0D"/>
    <w:rsid w:val="646D435D"/>
    <w:rsid w:val="6479715A"/>
    <w:rsid w:val="647BFA93"/>
    <w:rsid w:val="647E9BE6"/>
    <w:rsid w:val="6480E21D"/>
    <w:rsid w:val="6483A26E"/>
    <w:rsid w:val="648CB25A"/>
    <w:rsid w:val="648E8910"/>
    <w:rsid w:val="648FCD30"/>
    <w:rsid w:val="6490CDF5"/>
    <w:rsid w:val="6496A810"/>
    <w:rsid w:val="649A9522"/>
    <w:rsid w:val="64A1656E"/>
    <w:rsid w:val="64A3ACFF"/>
    <w:rsid w:val="64A5AFE1"/>
    <w:rsid w:val="64AACCA7"/>
    <w:rsid w:val="64AEBEF5"/>
    <w:rsid w:val="64B3B411"/>
    <w:rsid w:val="64B41326"/>
    <w:rsid w:val="64B5A52A"/>
    <w:rsid w:val="64B5E0B7"/>
    <w:rsid w:val="64B81082"/>
    <w:rsid w:val="64B9BB84"/>
    <w:rsid w:val="64BC87D2"/>
    <w:rsid w:val="64C0C16B"/>
    <w:rsid w:val="64C20C4C"/>
    <w:rsid w:val="64C56D76"/>
    <w:rsid w:val="64C7796B"/>
    <w:rsid w:val="64CF3C7B"/>
    <w:rsid w:val="64D33A51"/>
    <w:rsid w:val="64D3535F"/>
    <w:rsid w:val="64D4F270"/>
    <w:rsid w:val="64D8E4D7"/>
    <w:rsid w:val="64E3C5F8"/>
    <w:rsid w:val="64E454B4"/>
    <w:rsid w:val="64EA35B6"/>
    <w:rsid w:val="64ECAA95"/>
    <w:rsid w:val="64ED8FA4"/>
    <w:rsid w:val="64ED9F83"/>
    <w:rsid w:val="64EE2549"/>
    <w:rsid w:val="64EE9333"/>
    <w:rsid w:val="64F03A8F"/>
    <w:rsid w:val="64F0A53F"/>
    <w:rsid w:val="64F3DE75"/>
    <w:rsid w:val="64F4F577"/>
    <w:rsid w:val="64F67E36"/>
    <w:rsid w:val="64FE02FB"/>
    <w:rsid w:val="6501FF95"/>
    <w:rsid w:val="6506A975"/>
    <w:rsid w:val="6507653C"/>
    <w:rsid w:val="650A14D8"/>
    <w:rsid w:val="65118841"/>
    <w:rsid w:val="6512A520"/>
    <w:rsid w:val="6515FAEC"/>
    <w:rsid w:val="65173D95"/>
    <w:rsid w:val="651788D2"/>
    <w:rsid w:val="6517B77B"/>
    <w:rsid w:val="651B9514"/>
    <w:rsid w:val="652829CD"/>
    <w:rsid w:val="652CB5B9"/>
    <w:rsid w:val="652DA5EA"/>
    <w:rsid w:val="652DEAE6"/>
    <w:rsid w:val="652F7528"/>
    <w:rsid w:val="65377BDA"/>
    <w:rsid w:val="653B2006"/>
    <w:rsid w:val="6541C869"/>
    <w:rsid w:val="6547DA41"/>
    <w:rsid w:val="654AE26C"/>
    <w:rsid w:val="6553673D"/>
    <w:rsid w:val="6553A807"/>
    <w:rsid w:val="655A870E"/>
    <w:rsid w:val="655C6962"/>
    <w:rsid w:val="655EF0CD"/>
    <w:rsid w:val="65602FAC"/>
    <w:rsid w:val="656B20A0"/>
    <w:rsid w:val="656B332B"/>
    <w:rsid w:val="656EB083"/>
    <w:rsid w:val="6570E0FA"/>
    <w:rsid w:val="65735ECF"/>
    <w:rsid w:val="657383CC"/>
    <w:rsid w:val="657C8A7F"/>
    <w:rsid w:val="657D1771"/>
    <w:rsid w:val="65885AF7"/>
    <w:rsid w:val="658937B0"/>
    <w:rsid w:val="658B957A"/>
    <w:rsid w:val="658DFFFC"/>
    <w:rsid w:val="658E5B1E"/>
    <w:rsid w:val="658F39FC"/>
    <w:rsid w:val="65900C1E"/>
    <w:rsid w:val="65901A30"/>
    <w:rsid w:val="6595338D"/>
    <w:rsid w:val="65963735"/>
    <w:rsid w:val="659AB8DF"/>
    <w:rsid w:val="65A074D6"/>
    <w:rsid w:val="65AA7B7B"/>
    <w:rsid w:val="65AE6DCA"/>
    <w:rsid w:val="65B3058A"/>
    <w:rsid w:val="65B5E643"/>
    <w:rsid w:val="65B69798"/>
    <w:rsid w:val="65B6DFDB"/>
    <w:rsid w:val="65B94D6B"/>
    <w:rsid w:val="65BA2490"/>
    <w:rsid w:val="65BE0919"/>
    <w:rsid w:val="65BE4A98"/>
    <w:rsid w:val="65C10725"/>
    <w:rsid w:val="65C5D961"/>
    <w:rsid w:val="65C935A5"/>
    <w:rsid w:val="65C99B5B"/>
    <w:rsid w:val="65CB2916"/>
    <w:rsid w:val="65D30CF7"/>
    <w:rsid w:val="65D923CE"/>
    <w:rsid w:val="65D99AB1"/>
    <w:rsid w:val="65DCEEDC"/>
    <w:rsid w:val="65E029AE"/>
    <w:rsid w:val="65E03B9B"/>
    <w:rsid w:val="65E21631"/>
    <w:rsid w:val="65E6CCAB"/>
    <w:rsid w:val="65E990D7"/>
    <w:rsid w:val="65EB15C4"/>
    <w:rsid w:val="65EB6941"/>
    <w:rsid w:val="65EB7173"/>
    <w:rsid w:val="65EBA38A"/>
    <w:rsid w:val="65EC0F5B"/>
    <w:rsid w:val="65EF529B"/>
    <w:rsid w:val="65F1FA94"/>
    <w:rsid w:val="65F2A055"/>
    <w:rsid w:val="65F55DC0"/>
    <w:rsid w:val="65F7CA8A"/>
    <w:rsid w:val="65F7D88C"/>
    <w:rsid w:val="65FF5107"/>
    <w:rsid w:val="66039FEC"/>
    <w:rsid w:val="6604DAFA"/>
    <w:rsid w:val="660862F2"/>
    <w:rsid w:val="660CCE53"/>
    <w:rsid w:val="660CE646"/>
    <w:rsid w:val="660FEF5A"/>
    <w:rsid w:val="66137CCC"/>
    <w:rsid w:val="661BA97C"/>
    <w:rsid w:val="662129BF"/>
    <w:rsid w:val="662497DC"/>
    <w:rsid w:val="662C2BF2"/>
    <w:rsid w:val="662D5DDB"/>
    <w:rsid w:val="662E7F8B"/>
    <w:rsid w:val="66320A22"/>
    <w:rsid w:val="6633517A"/>
    <w:rsid w:val="6633732D"/>
    <w:rsid w:val="6634450A"/>
    <w:rsid w:val="663C9CFE"/>
    <w:rsid w:val="663D2B18"/>
    <w:rsid w:val="663FD1F0"/>
    <w:rsid w:val="664109A7"/>
    <w:rsid w:val="664B8FB1"/>
    <w:rsid w:val="664D69E5"/>
    <w:rsid w:val="664F9E1F"/>
    <w:rsid w:val="664FB1C1"/>
    <w:rsid w:val="66535DFA"/>
    <w:rsid w:val="66548E88"/>
    <w:rsid w:val="66554B5C"/>
    <w:rsid w:val="6656D563"/>
    <w:rsid w:val="665BE77A"/>
    <w:rsid w:val="665E9EBE"/>
    <w:rsid w:val="6662E9D2"/>
    <w:rsid w:val="6664CEFB"/>
    <w:rsid w:val="66666059"/>
    <w:rsid w:val="6666B132"/>
    <w:rsid w:val="6666E7E9"/>
    <w:rsid w:val="6667DBDF"/>
    <w:rsid w:val="66689507"/>
    <w:rsid w:val="666C3D12"/>
    <w:rsid w:val="6672B174"/>
    <w:rsid w:val="66750827"/>
    <w:rsid w:val="6675B591"/>
    <w:rsid w:val="667A20B5"/>
    <w:rsid w:val="667E8291"/>
    <w:rsid w:val="667ED3E0"/>
    <w:rsid w:val="667EF23C"/>
    <w:rsid w:val="667F0699"/>
    <w:rsid w:val="6680088B"/>
    <w:rsid w:val="66804855"/>
    <w:rsid w:val="668A16BB"/>
    <w:rsid w:val="668BEF17"/>
    <w:rsid w:val="66905491"/>
    <w:rsid w:val="6693EFCA"/>
    <w:rsid w:val="66951CBB"/>
    <w:rsid w:val="669D4DFF"/>
    <w:rsid w:val="66A658AB"/>
    <w:rsid w:val="66AC6803"/>
    <w:rsid w:val="66B5E516"/>
    <w:rsid w:val="66B98613"/>
    <w:rsid w:val="66BD230A"/>
    <w:rsid w:val="66BDAB53"/>
    <w:rsid w:val="66C8EA81"/>
    <w:rsid w:val="66CED8A0"/>
    <w:rsid w:val="66D709C8"/>
    <w:rsid w:val="66D7E2B8"/>
    <w:rsid w:val="66D8EBBA"/>
    <w:rsid w:val="66D93F34"/>
    <w:rsid w:val="66DCEF2E"/>
    <w:rsid w:val="66DE53F9"/>
    <w:rsid w:val="66DF1187"/>
    <w:rsid w:val="66E315A4"/>
    <w:rsid w:val="66E33919"/>
    <w:rsid w:val="66E37A78"/>
    <w:rsid w:val="66E5069B"/>
    <w:rsid w:val="66E7BAD6"/>
    <w:rsid w:val="66EB549B"/>
    <w:rsid w:val="66EE7477"/>
    <w:rsid w:val="66F51FA2"/>
    <w:rsid w:val="66F908D2"/>
    <w:rsid w:val="66F90FEB"/>
    <w:rsid w:val="66FA42F0"/>
    <w:rsid w:val="66FBF52F"/>
    <w:rsid w:val="66FC48E5"/>
    <w:rsid w:val="66FD169D"/>
    <w:rsid w:val="6705AFAE"/>
    <w:rsid w:val="67094616"/>
    <w:rsid w:val="670A8CF7"/>
    <w:rsid w:val="670ADDA0"/>
    <w:rsid w:val="670E945D"/>
    <w:rsid w:val="6710846C"/>
    <w:rsid w:val="6713B733"/>
    <w:rsid w:val="671AA432"/>
    <w:rsid w:val="6722EF5A"/>
    <w:rsid w:val="672765DE"/>
    <w:rsid w:val="67279916"/>
    <w:rsid w:val="6727B011"/>
    <w:rsid w:val="672B472F"/>
    <w:rsid w:val="6732B74E"/>
    <w:rsid w:val="673327D6"/>
    <w:rsid w:val="67340473"/>
    <w:rsid w:val="67360AFE"/>
    <w:rsid w:val="673BEBDA"/>
    <w:rsid w:val="673F45E0"/>
    <w:rsid w:val="673F9A92"/>
    <w:rsid w:val="6740F639"/>
    <w:rsid w:val="67431037"/>
    <w:rsid w:val="67469CED"/>
    <w:rsid w:val="6746E918"/>
    <w:rsid w:val="67475291"/>
    <w:rsid w:val="674859FE"/>
    <w:rsid w:val="67490F7F"/>
    <w:rsid w:val="674A8648"/>
    <w:rsid w:val="674AC2D0"/>
    <w:rsid w:val="674FB2D9"/>
    <w:rsid w:val="6752D3BA"/>
    <w:rsid w:val="6754FEDB"/>
    <w:rsid w:val="675516B3"/>
    <w:rsid w:val="6755C490"/>
    <w:rsid w:val="67560297"/>
    <w:rsid w:val="675727D3"/>
    <w:rsid w:val="6758EC30"/>
    <w:rsid w:val="675CD786"/>
    <w:rsid w:val="675DE663"/>
    <w:rsid w:val="675E772C"/>
    <w:rsid w:val="675EE714"/>
    <w:rsid w:val="676292FF"/>
    <w:rsid w:val="676451CD"/>
    <w:rsid w:val="676B2D5D"/>
    <w:rsid w:val="676D762B"/>
    <w:rsid w:val="67784230"/>
    <w:rsid w:val="6779AB81"/>
    <w:rsid w:val="677A19EF"/>
    <w:rsid w:val="677FEBE2"/>
    <w:rsid w:val="67834027"/>
    <w:rsid w:val="67837181"/>
    <w:rsid w:val="678FC0F0"/>
    <w:rsid w:val="6794E0CA"/>
    <w:rsid w:val="6795AE1F"/>
    <w:rsid w:val="679F84B6"/>
    <w:rsid w:val="67A72353"/>
    <w:rsid w:val="67AA101C"/>
    <w:rsid w:val="67AAFFA2"/>
    <w:rsid w:val="67AB9BF0"/>
    <w:rsid w:val="67ACA497"/>
    <w:rsid w:val="67B2AE02"/>
    <w:rsid w:val="67B5A9B0"/>
    <w:rsid w:val="67B60145"/>
    <w:rsid w:val="67B6D661"/>
    <w:rsid w:val="67C17744"/>
    <w:rsid w:val="67C1AB75"/>
    <w:rsid w:val="67C963B5"/>
    <w:rsid w:val="67CAD3AB"/>
    <w:rsid w:val="67D023AE"/>
    <w:rsid w:val="67D80259"/>
    <w:rsid w:val="67D91DD3"/>
    <w:rsid w:val="67DB3784"/>
    <w:rsid w:val="67DE6469"/>
    <w:rsid w:val="67E12908"/>
    <w:rsid w:val="67E1432C"/>
    <w:rsid w:val="67EA1E96"/>
    <w:rsid w:val="67F0FF6B"/>
    <w:rsid w:val="67F179B6"/>
    <w:rsid w:val="67F6ADD3"/>
    <w:rsid w:val="67F90514"/>
    <w:rsid w:val="67FB3FA9"/>
    <w:rsid w:val="67FFC651"/>
    <w:rsid w:val="68054235"/>
    <w:rsid w:val="68087A11"/>
    <w:rsid w:val="680BA089"/>
    <w:rsid w:val="680F0F06"/>
    <w:rsid w:val="6811A4B6"/>
    <w:rsid w:val="6813881E"/>
    <w:rsid w:val="68146B40"/>
    <w:rsid w:val="681762E4"/>
    <w:rsid w:val="68185237"/>
    <w:rsid w:val="6818F0B2"/>
    <w:rsid w:val="681C384B"/>
    <w:rsid w:val="68209E50"/>
    <w:rsid w:val="6828258B"/>
    <w:rsid w:val="68299758"/>
    <w:rsid w:val="682997DA"/>
    <w:rsid w:val="682AE72C"/>
    <w:rsid w:val="683303A1"/>
    <w:rsid w:val="6835058C"/>
    <w:rsid w:val="6836038A"/>
    <w:rsid w:val="68395E9F"/>
    <w:rsid w:val="683B0D92"/>
    <w:rsid w:val="68422ED6"/>
    <w:rsid w:val="6842FF44"/>
    <w:rsid w:val="6845BD8D"/>
    <w:rsid w:val="6845D68B"/>
    <w:rsid w:val="68493C02"/>
    <w:rsid w:val="684966F6"/>
    <w:rsid w:val="684AA73F"/>
    <w:rsid w:val="684F7B99"/>
    <w:rsid w:val="68558E90"/>
    <w:rsid w:val="685A0A2B"/>
    <w:rsid w:val="685C7191"/>
    <w:rsid w:val="685D582A"/>
    <w:rsid w:val="686270BA"/>
    <w:rsid w:val="68641462"/>
    <w:rsid w:val="686680E2"/>
    <w:rsid w:val="686A0BAF"/>
    <w:rsid w:val="686A4572"/>
    <w:rsid w:val="686B3B86"/>
    <w:rsid w:val="686CCB53"/>
    <w:rsid w:val="687269E1"/>
    <w:rsid w:val="68799FE2"/>
    <w:rsid w:val="687C526D"/>
    <w:rsid w:val="687E9D33"/>
    <w:rsid w:val="688059F9"/>
    <w:rsid w:val="6880DF0F"/>
    <w:rsid w:val="6885B1E8"/>
    <w:rsid w:val="688FAA6D"/>
    <w:rsid w:val="689316FD"/>
    <w:rsid w:val="6893C4F1"/>
    <w:rsid w:val="6895A5E5"/>
    <w:rsid w:val="6899AF21"/>
    <w:rsid w:val="689CDA39"/>
    <w:rsid w:val="68A1BAB3"/>
    <w:rsid w:val="68A5E133"/>
    <w:rsid w:val="68A61092"/>
    <w:rsid w:val="68A9C649"/>
    <w:rsid w:val="68A9D155"/>
    <w:rsid w:val="68AA0D0E"/>
    <w:rsid w:val="68AB3CFB"/>
    <w:rsid w:val="68AC7C6D"/>
    <w:rsid w:val="68AD889B"/>
    <w:rsid w:val="68B778E6"/>
    <w:rsid w:val="68C56E4E"/>
    <w:rsid w:val="68C5CBC3"/>
    <w:rsid w:val="68C91B56"/>
    <w:rsid w:val="68CE0654"/>
    <w:rsid w:val="68D1F4A5"/>
    <w:rsid w:val="68DB46E8"/>
    <w:rsid w:val="68E1984B"/>
    <w:rsid w:val="68E322F2"/>
    <w:rsid w:val="68E3B79F"/>
    <w:rsid w:val="68E489C6"/>
    <w:rsid w:val="68EC7DEF"/>
    <w:rsid w:val="68EEC6DF"/>
    <w:rsid w:val="68F0AB8D"/>
    <w:rsid w:val="68F5C6E0"/>
    <w:rsid w:val="68F64EB2"/>
    <w:rsid w:val="68F6A1A6"/>
    <w:rsid w:val="68F6F833"/>
    <w:rsid w:val="68F7C64B"/>
    <w:rsid w:val="68FAC3EA"/>
    <w:rsid w:val="69012979"/>
    <w:rsid w:val="69037714"/>
    <w:rsid w:val="69038698"/>
    <w:rsid w:val="69041972"/>
    <w:rsid w:val="69045791"/>
    <w:rsid w:val="690567A9"/>
    <w:rsid w:val="690B1AF6"/>
    <w:rsid w:val="690B683B"/>
    <w:rsid w:val="690BEBFB"/>
    <w:rsid w:val="690DE446"/>
    <w:rsid w:val="69107D21"/>
    <w:rsid w:val="691110C9"/>
    <w:rsid w:val="69139CB5"/>
    <w:rsid w:val="6915831A"/>
    <w:rsid w:val="69180349"/>
    <w:rsid w:val="6919C737"/>
    <w:rsid w:val="6919E71D"/>
    <w:rsid w:val="691A040C"/>
    <w:rsid w:val="691C5E37"/>
    <w:rsid w:val="691CEB2A"/>
    <w:rsid w:val="6920ABBB"/>
    <w:rsid w:val="6925673C"/>
    <w:rsid w:val="6928717E"/>
    <w:rsid w:val="69299FE1"/>
    <w:rsid w:val="6929F28C"/>
    <w:rsid w:val="692B25BB"/>
    <w:rsid w:val="692F2A8D"/>
    <w:rsid w:val="6930F354"/>
    <w:rsid w:val="6931C6B6"/>
    <w:rsid w:val="69326C9D"/>
    <w:rsid w:val="69331A22"/>
    <w:rsid w:val="6938852F"/>
    <w:rsid w:val="693CF27D"/>
    <w:rsid w:val="693D0423"/>
    <w:rsid w:val="693D376D"/>
    <w:rsid w:val="693F1E76"/>
    <w:rsid w:val="69427580"/>
    <w:rsid w:val="69475CF0"/>
    <w:rsid w:val="69491184"/>
    <w:rsid w:val="694F12A4"/>
    <w:rsid w:val="6951AE19"/>
    <w:rsid w:val="69562B4D"/>
    <w:rsid w:val="69596B59"/>
    <w:rsid w:val="695E494F"/>
    <w:rsid w:val="695F0C51"/>
    <w:rsid w:val="696321D8"/>
    <w:rsid w:val="6967DFF2"/>
    <w:rsid w:val="696F2AF4"/>
    <w:rsid w:val="69722A54"/>
    <w:rsid w:val="6973DA3C"/>
    <w:rsid w:val="6976480C"/>
    <w:rsid w:val="6977611F"/>
    <w:rsid w:val="6977DEE6"/>
    <w:rsid w:val="6978F359"/>
    <w:rsid w:val="697C6207"/>
    <w:rsid w:val="6980A3B7"/>
    <w:rsid w:val="69850EE6"/>
    <w:rsid w:val="69897015"/>
    <w:rsid w:val="698AE910"/>
    <w:rsid w:val="698C4508"/>
    <w:rsid w:val="698CE84B"/>
    <w:rsid w:val="6998A5E9"/>
    <w:rsid w:val="6998CC07"/>
    <w:rsid w:val="69997E67"/>
    <w:rsid w:val="6999E508"/>
    <w:rsid w:val="69A1F91B"/>
    <w:rsid w:val="69A44A72"/>
    <w:rsid w:val="69A5DEE7"/>
    <w:rsid w:val="69A81763"/>
    <w:rsid w:val="69B05C6B"/>
    <w:rsid w:val="69B4B4ED"/>
    <w:rsid w:val="69B8546D"/>
    <w:rsid w:val="69BB9CAF"/>
    <w:rsid w:val="69C083B5"/>
    <w:rsid w:val="69C47121"/>
    <w:rsid w:val="69C69A24"/>
    <w:rsid w:val="69C71998"/>
    <w:rsid w:val="69C7BF85"/>
    <w:rsid w:val="69C9260F"/>
    <w:rsid w:val="69CA2821"/>
    <w:rsid w:val="69CC323F"/>
    <w:rsid w:val="69CEF02A"/>
    <w:rsid w:val="69CF4D1D"/>
    <w:rsid w:val="69CFC662"/>
    <w:rsid w:val="69CFDE04"/>
    <w:rsid w:val="69D365EB"/>
    <w:rsid w:val="69D46738"/>
    <w:rsid w:val="69D91070"/>
    <w:rsid w:val="69DD1843"/>
    <w:rsid w:val="69DD8E0F"/>
    <w:rsid w:val="69DE270F"/>
    <w:rsid w:val="69DE67D1"/>
    <w:rsid w:val="69DE89DF"/>
    <w:rsid w:val="69E12658"/>
    <w:rsid w:val="69E1A53F"/>
    <w:rsid w:val="69E1A99F"/>
    <w:rsid w:val="69E477DD"/>
    <w:rsid w:val="69E9248B"/>
    <w:rsid w:val="69E9CE1F"/>
    <w:rsid w:val="69EC942D"/>
    <w:rsid w:val="69F12B91"/>
    <w:rsid w:val="69F20C57"/>
    <w:rsid w:val="69F21306"/>
    <w:rsid w:val="69F25F8A"/>
    <w:rsid w:val="69F6812F"/>
    <w:rsid w:val="69F68932"/>
    <w:rsid w:val="69F8AE9B"/>
    <w:rsid w:val="69FB6BED"/>
    <w:rsid w:val="69FB9DF0"/>
    <w:rsid w:val="69FCA694"/>
    <w:rsid w:val="69FEEEE7"/>
    <w:rsid w:val="69FF69B4"/>
    <w:rsid w:val="6A0D0CF4"/>
    <w:rsid w:val="6A100DFA"/>
    <w:rsid w:val="6A119226"/>
    <w:rsid w:val="6A142159"/>
    <w:rsid w:val="6A14B1B3"/>
    <w:rsid w:val="6A1705A7"/>
    <w:rsid w:val="6A190BD3"/>
    <w:rsid w:val="6A19FBDB"/>
    <w:rsid w:val="6A2765AD"/>
    <w:rsid w:val="6A289682"/>
    <w:rsid w:val="6A2938F4"/>
    <w:rsid w:val="6A2AEC7B"/>
    <w:rsid w:val="6A2BC45E"/>
    <w:rsid w:val="6A2DF6DD"/>
    <w:rsid w:val="6A3CB311"/>
    <w:rsid w:val="6A40348E"/>
    <w:rsid w:val="6A4564CA"/>
    <w:rsid w:val="6A475187"/>
    <w:rsid w:val="6A483704"/>
    <w:rsid w:val="6A4CC68B"/>
    <w:rsid w:val="6A4ECBD5"/>
    <w:rsid w:val="6A5050A1"/>
    <w:rsid w:val="6A50F840"/>
    <w:rsid w:val="6A53CD23"/>
    <w:rsid w:val="6A55A356"/>
    <w:rsid w:val="6A5684AB"/>
    <w:rsid w:val="6A644F4E"/>
    <w:rsid w:val="6A67030E"/>
    <w:rsid w:val="6A68AD26"/>
    <w:rsid w:val="6A69AAD7"/>
    <w:rsid w:val="6A6B33AF"/>
    <w:rsid w:val="6A6B9F8B"/>
    <w:rsid w:val="6A6C672A"/>
    <w:rsid w:val="6A6CB793"/>
    <w:rsid w:val="6A72012F"/>
    <w:rsid w:val="6A762B52"/>
    <w:rsid w:val="6A7B1F62"/>
    <w:rsid w:val="6A7B945C"/>
    <w:rsid w:val="6A7CFE39"/>
    <w:rsid w:val="6A7D4937"/>
    <w:rsid w:val="6A7F0687"/>
    <w:rsid w:val="6A826E53"/>
    <w:rsid w:val="6A877322"/>
    <w:rsid w:val="6A8B7D09"/>
    <w:rsid w:val="6A8C259C"/>
    <w:rsid w:val="6A8ED39B"/>
    <w:rsid w:val="6A91EC66"/>
    <w:rsid w:val="6A963211"/>
    <w:rsid w:val="6A98D83E"/>
    <w:rsid w:val="6A9A83F4"/>
    <w:rsid w:val="6A9B7D7A"/>
    <w:rsid w:val="6A9BEB39"/>
    <w:rsid w:val="6AA8009F"/>
    <w:rsid w:val="6AA8F818"/>
    <w:rsid w:val="6AAE9751"/>
    <w:rsid w:val="6AB7541E"/>
    <w:rsid w:val="6AB7E306"/>
    <w:rsid w:val="6AB95137"/>
    <w:rsid w:val="6ABBE50B"/>
    <w:rsid w:val="6AC2BD2A"/>
    <w:rsid w:val="6AC3E133"/>
    <w:rsid w:val="6AC59BB8"/>
    <w:rsid w:val="6AC8DBBC"/>
    <w:rsid w:val="6ACE85C6"/>
    <w:rsid w:val="6AD3A154"/>
    <w:rsid w:val="6AD74559"/>
    <w:rsid w:val="6ADD2AD0"/>
    <w:rsid w:val="6ADE873F"/>
    <w:rsid w:val="6AE611CB"/>
    <w:rsid w:val="6AECBA92"/>
    <w:rsid w:val="6AF1210A"/>
    <w:rsid w:val="6AF2F0C6"/>
    <w:rsid w:val="6AF6941F"/>
    <w:rsid w:val="6AF827C0"/>
    <w:rsid w:val="6AF8EB74"/>
    <w:rsid w:val="6AF9AD4E"/>
    <w:rsid w:val="6AFD4C92"/>
    <w:rsid w:val="6B011C3A"/>
    <w:rsid w:val="6B043769"/>
    <w:rsid w:val="6B046B2F"/>
    <w:rsid w:val="6B09297F"/>
    <w:rsid w:val="6B09B63C"/>
    <w:rsid w:val="6B0A1C40"/>
    <w:rsid w:val="6B0A99CC"/>
    <w:rsid w:val="6B0CA3C7"/>
    <w:rsid w:val="6B1689A9"/>
    <w:rsid w:val="6B16DCE7"/>
    <w:rsid w:val="6B180641"/>
    <w:rsid w:val="6B18842E"/>
    <w:rsid w:val="6B1963E6"/>
    <w:rsid w:val="6B199367"/>
    <w:rsid w:val="6B1BDB99"/>
    <w:rsid w:val="6B1C98B6"/>
    <w:rsid w:val="6B31AA04"/>
    <w:rsid w:val="6B3C04FB"/>
    <w:rsid w:val="6B3CFBAA"/>
    <w:rsid w:val="6B3ECF3D"/>
    <w:rsid w:val="6B432DEC"/>
    <w:rsid w:val="6B439FA4"/>
    <w:rsid w:val="6B482C59"/>
    <w:rsid w:val="6B4B28E0"/>
    <w:rsid w:val="6B4B86E2"/>
    <w:rsid w:val="6B4E3F72"/>
    <w:rsid w:val="6B53E935"/>
    <w:rsid w:val="6B5CE738"/>
    <w:rsid w:val="6B5D0DB8"/>
    <w:rsid w:val="6B6AAC47"/>
    <w:rsid w:val="6B6E4B33"/>
    <w:rsid w:val="6B6E6886"/>
    <w:rsid w:val="6B75B115"/>
    <w:rsid w:val="6B786034"/>
    <w:rsid w:val="6B7ADA5E"/>
    <w:rsid w:val="6B7B3143"/>
    <w:rsid w:val="6B7F2C29"/>
    <w:rsid w:val="6B7F57B5"/>
    <w:rsid w:val="6B822B78"/>
    <w:rsid w:val="6B83830F"/>
    <w:rsid w:val="6B8A0119"/>
    <w:rsid w:val="6B8B6983"/>
    <w:rsid w:val="6B8EF0DF"/>
    <w:rsid w:val="6B92294C"/>
    <w:rsid w:val="6B940BA2"/>
    <w:rsid w:val="6B9630C2"/>
    <w:rsid w:val="6B9B971B"/>
    <w:rsid w:val="6BA46637"/>
    <w:rsid w:val="6BA4BA53"/>
    <w:rsid w:val="6BA4F818"/>
    <w:rsid w:val="6BAAA12F"/>
    <w:rsid w:val="6BAE126C"/>
    <w:rsid w:val="6BB0A2B2"/>
    <w:rsid w:val="6BB2E0FE"/>
    <w:rsid w:val="6BB512BE"/>
    <w:rsid w:val="6BB78CB5"/>
    <w:rsid w:val="6BB7DA25"/>
    <w:rsid w:val="6BB91B23"/>
    <w:rsid w:val="6BBAA06F"/>
    <w:rsid w:val="6BBF8BC8"/>
    <w:rsid w:val="6BBFD057"/>
    <w:rsid w:val="6BC0D46C"/>
    <w:rsid w:val="6BC13963"/>
    <w:rsid w:val="6BC1A4A8"/>
    <w:rsid w:val="6BC1BD5B"/>
    <w:rsid w:val="6BC1F67B"/>
    <w:rsid w:val="6BCBE733"/>
    <w:rsid w:val="6BCC26B7"/>
    <w:rsid w:val="6BD02D45"/>
    <w:rsid w:val="6BD6BB94"/>
    <w:rsid w:val="6BE0476F"/>
    <w:rsid w:val="6BE3944C"/>
    <w:rsid w:val="6BE7E56C"/>
    <w:rsid w:val="6BEB026C"/>
    <w:rsid w:val="6BEBDEC4"/>
    <w:rsid w:val="6BEC9F8B"/>
    <w:rsid w:val="6BED55B2"/>
    <w:rsid w:val="6BED8D42"/>
    <w:rsid w:val="6BEEB582"/>
    <w:rsid w:val="6BEF4004"/>
    <w:rsid w:val="6BF8FB6C"/>
    <w:rsid w:val="6BF9899D"/>
    <w:rsid w:val="6C0A25C4"/>
    <w:rsid w:val="6C0DDF62"/>
    <w:rsid w:val="6C135E34"/>
    <w:rsid w:val="6C154550"/>
    <w:rsid w:val="6C1870B9"/>
    <w:rsid w:val="6C19F443"/>
    <w:rsid w:val="6C1B7DDE"/>
    <w:rsid w:val="6C1C7E0E"/>
    <w:rsid w:val="6C1E071B"/>
    <w:rsid w:val="6C20669E"/>
    <w:rsid w:val="6C21A56B"/>
    <w:rsid w:val="6C22BDF1"/>
    <w:rsid w:val="6C2367C7"/>
    <w:rsid w:val="6C2492E8"/>
    <w:rsid w:val="6C2515F1"/>
    <w:rsid w:val="6C256091"/>
    <w:rsid w:val="6C2B0430"/>
    <w:rsid w:val="6C2B299D"/>
    <w:rsid w:val="6C2BB5E6"/>
    <w:rsid w:val="6C2C21D1"/>
    <w:rsid w:val="6C2C7017"/>
    <w:rsid w:val="6C313A7E"/>
    <w:rsid w:val="6C3652CF"/>
    <w:rsid w:val="6C36E48D"/>
    <w:rsid w:val="6C3F7BFE"/>
    <w:rsid w:val="6C3FAA89"/>
    <w:rsid w:val="6C4023C3"/>
    <w:rsid w:val="6C441481"/>
    <w:rsid w:val="6C4423EF"/>
    <w:rsid w:val="6C451CCA"/>
    <w:rsid w:val="6C4E943B"/>
    <w:rsid w:val="6C4F646F"/>
    <w:rsid w:val="6C4F8223"/>
    <w:rsid w:val="6C553BEB"/>
    <w:rsid w:val="6C55B42D"/>
    <w:rsid w:val="6C58D41D"/>
    <w:rsid w:val="6C59C9AA"/>
    <w:rsid w:val="6C5BF3C3"/>
    <w:rsid w:val="6C5C6605"/>
    <w:rsid w:val="6C5CC9B5"/>
    <w:rsid w:val="6C61976D"/>
    <w:rsid w:val="6C622D9A"/>
    <w:rsid w:val="6C6328C9"/>
    <w:rsid w:val="6C672353"/>
    <w:rsid w:val="6C6CBD93"/>
    <w:rsid w:val="6C702552"/>
    <w:rsid w:val="6C72B8B6"/>
    <w:rsid w:val="6C7A1DDA"/>
    <w:rsid w:val="6C7BC525"/>
    <w:rsid w:val="6C7C66A7"/>
    <w:rsid w:val="6C7E56B0"/>
    <w:rsid w:val="6C8119D8"/>
    <w:rsid w:val="6C8AFAAC"/>
    <w:rsid w:val="6C8C229E"/>
    <w:rsid w:val="6C8D0C96"/>
    <w:rsid w:val="6C8F8FC8"/>
    <w:rsid w:val="6C90C3C1"/>
    <w:rsid w:val="6C9B6BF5"/>
    <w:rsid w:val="6C9BE930"/>
    <w:rsid w:val="6CA7D4B4"/>
    <w:rsid w:val="6CA8D6F2"/>
    <w:rsid w:val="6CA95A35"/>
    <w:rsid w:val="6CAD4300"/>
    <w:rsid w:val="6CAD7BAD"/>
    <w:rsid w:val="6CAE5FBF"/>
    <w:rsid w:val="6CAF78D1"/>
    <w:rsid w:val="6CAFE451"/>
    <w:rsid w:val="6CB04E6A"/>
    <w:rsid w:val="6CB0C923"/>
    <w:rsid w:val="6CB178FF"/>
    <w:rsid w:val="6CB22C26"/>
    <w:rsid w:val="6CB3C243"/>
    <w:rsid w:val="6CB4E091"/>
    <w:rsid w:val="6CB53ACF"/>
    <w:rsid w:val="6CB6CD8A"/>
    <w:rsid w:val="6CBAEAA9"/>
    <w:rsid w:val="6CBE61C7"/>
    <w:rsid w:val="6CC1C5C8"/>
    <w:rsid w:val="6CC7D6E5"/>
    <w:rsid w:val="6CCB7835"/>
    <w:rsid w:val="6CCCAD35"/>
    <w:rsid w:val="6CD16148"/>
    <w:rsid w:val="6CD9C324"/>
    <w:rsid w:val="6CD9DE23"/>
    <w:rsid w:val="6CDB629A"/>
    <w:rsid w:val="6CDBB199"/>
    <w:rsid w:val="6CE25254"/>
    <w:rsid w:val="6CE65F13"/>
    <w:rsid w:val="6CE68193"/>
    <w:rsid w:val="6CEB5430"/>
    <w:rsid w:val="6CEBCC9A"/>
    <w:rsid w:val="6CF0731D"/>
    <w:rsid w:val="6CF78490"/>
    <w:rsid w:val="6CFA7A94"/>
    <w:rsid w:val="6CFB511B"/>
    <w:rsid w:val="6CFE10BE"/>
    <w:rsid w:val="6D03D293"/>
    <w:rsid w:val="6D0AD394"/>
    <w:rsid w:val="6D0FFADC"/>
    <w:rsid w:val="6D130AFD"/>
    <w:rsid w:val="6D143729"/>
    <w:rsid w:val="6D192EE4"/>
    <w:rsid w:val="6D1BBAEF"/>
    <w:rsid w:val="6D1EA543"/>
    <w:rsid w:val="6D1F57F1"/>
    <w:rsid w:val="6D210E0C"/>
    <w:rsid w:val="6D210F71"/>
    <w:rsid w:val="6D236E74"/>
    <w:rsid w:val="6D258020"/>
    <w:rsid w:val="6D25BB9E"/>
    <w:rsid w:val="6D2AABF7"/>
    <w:rsid w:val="6D2D392E"/>
    <w:rsid w:val="6D340844"/>
    <w:rsid w:val="6D3AD7CF"/>
    <w:rsid w:val="6D3ECF31"/>
    <w:rsid w:val="6D3F8C7B"/>
    <w:rsid w:val="6D3FC02E"/>
    <w:rsid w:val="6D46AD41"/>
    <w:rsid w:val="6D470FC5"/>
    <w:rsid w:val="6D49A6CE"/>
    <w:rsid w:val="6D4A7589"/>
    <w:rsid w:val="6D4FD829"/>
    <w:rsid w:val="6D52BBFC"/>
    <w:rsid w:val="6D53DCB8"/>
    <w:rsid w:val="6D59D1F1"/>
    <w:rsid w:val="6D5A6B61"/>
    <w:rsid w:val="6D646940"/>
    <w:rsid w:val="6D649202"/>
    <w:rsid w:val="6D655C6B"/>
    <w:rsid w:val="6D66728D"/>
    <w:rsid w:val="6D678A8C"/>
    <w:rsid w:val="6D67F718"/>
    <w:rsid w:val="6D70D246"/>
    <w:rsid w:val="6D719E61"/>
    <w:rsid w:val="6D77D3C6"/>
    <w:rsid w:val="6D7A3C0D"/>
    <w:rsid w:val="6D7E6632"/>
    <w:rsid w:val="6D7F5F68"/>
    <w:rsid w:val="6D80360C"/>
    <w:rsid w:val="6D84AD70"/>
    <w:rsid w:val="6D87AF25"/>
    <w:rsid w:val="6D89A19B"/>
    <w:rsid w:val="6D8B6200"/>
    <w:rsid w:val="6D90DF08"/>
    <w:rsid w:val="6D95A231"/>
    <w:rsid w:val="6D9773C8"/>
    <w:rsid w:val="6D9948C4"/>
    <w:rsid w:val="6D9B232D"/>
    <w:rsid w:val="6D9B3F81"/>
    <w:rsid w:val="6D9CF211"/>
    <w:rsid w:val="6D9DD7AB"/>
    <w:rsid w:val="6D9EEDF6"/>
    <w:rsid w:val="6D9FFE2A"/>
    <w:rsid w:val="6DA4EF12"/>
    <w:rsid w:val="6DA62A37"/>
    <w:rsid w:val="6DA745DF"/>
    <w:rsid w:val="6DA8884C"/>
    <w:rsid w:val="6DAE9A86"/>
    <w:rsid w:val="6DB2AF83"/>
    <w:rsid w:val="6DB786C5"/>
    <w:rsid w:val="6DB9D7C0"/>
    <w:rsid w:val="6DBB26EC"/>
    <w:rsid w:val="6DBDDCCE"/>
    <w:rsid w:val="6DC2B081"/>
    <w:rsid w:val="6DC2CC3F"/>
    <w:rsid w:val="6DC6A541"/>
    <w:rsid w:val="6DCB22CF"/>
    <w:rsid w:val="6DD08821"/>
    <w:rsid w:val="6DD0DC5F"/>
    <w:rsid w:val="6DD210B2"/>
    <w:rsid w:val="6DD32707"/>
    <w:rsid w:val="6DD4F3DA"/>
    <w:rsid w:val="6DE098DA"/>
    <w:rsid w:val="6DE3BC26"/>
    <w:rsid w:val="6DE57C36"/>
    <w:rsid w:val="6DEF7AB7"/>
    <w:rsid w:val="6DF7ED95"/>
    <w:rsid w:val="6DFA64CC"/>
    <w:rsid w:val="6DFAC8D9"/>
    <w:rsid w:val="6DFCAF28"/>
    <w:rsid w:val="6DFD3C7A"/>
    <w:rsid w:val="6E004B21"/>
    <w:rsid w:val="6E0360A2"/>
    <w:rsid w:val="6E03EB86"/>
    <w:rsid w:val="6E10597C"/>
    <w:rsid w:val="6E106930"/>
    <w:rsid w:val="6E12389B"/>
    <w:rsid w:val="6E14D626"/>
    <w:rsid w:val="6E15700D"/>
    <w:rsid w:val="6E168421"/>
    <w:rsid w:val="6E1B99E2"/>
    <w:rsid w:val="6E1C54B0"/>
    <w:rsid w:val="6E1F11D9"/>
    <w:rsid w:val="6E1F533C"/>
    <w:rsid w:val="6E1F7B5F"/>
    <w:rsid w:val="6E223374"/>
    <w:rsid w:val="6E236BFB"/>
    <w:rsid w:val="6E2461BB"/>
    <w:rsid w:val="6E258D9D"/>
    <w:rsid w:val="6E287720"/>
    <w:rsid w:val="6E28E6C0"/>
    <w:rsid w:val="6E291FF1"/>
    <w:rsid w:val="6E31B91B"/>
    <w:rsid w:val="6E31DD01"/>
    <w:rsid w:val="6E3493D4"/>
    <w:rsid w:val="6E35C40C"/>
    <w:rsid w:val="6E3CD137"/>
    <w:rsid w:val="6E3DE2A4"/>
    <w:rsid w:val="6E3FCC0B"/>
    <w:rsid w:val="6E431DDA"/>
    <w:rsid w:val="6E444F3A"/>
    <w:rsid w:val="6E449D7C"/>
    <w:rsid w:val="6E4B6CC6"/>
    <w:rsid w:val="6E5551BB"/>
    <w:rsid w:val="6E56405B"/>
    <w:rsid w:val="6E573A38"/>
    <w:rsid w:val="6E59C0F2"/>
    <w:rsid w:val="6E5B9F23"/>
    <w:rsid w:val="6E5C062C"/>
    <w:rsid w:val="6E5E7D26"/>
    <w:rsid w:val="6E6277D7"/>
    <w:rsid w:val="6E627F42"/>
    <w:rsid w:val="6E6B3AD7"/>
    <w:rsid w:val="6E6C2D83"/>
    <w:rsid w:val="6E7073AA"/>
    <w:rsid w:val="6E729494"/>
    <w:rsid w:val="6E7321AD"/>
    <w:rsid w:val="6E75F43D"/>
    <w:rsid w:val="6E76764F"/>
    <w:rsid w:val="6E77DF12"/>
    <w:rsid w:val="6E798EE0"/>
    <w:rsid w:val="6E7A74EA"/>
    <w:rsid w:val="6E7A7A47"/>
    <w:rsid w:val="6E7B74A9"/>
    <w:rsid w:val="6E7B8886"/>
    <w:rsid w:val="6E7B8955"/>
    <w:rsid w:val="6E7C4755"/>
    <w:rsid w:val="6E7C9866"/>
    <w:rsid w:val="6E802894"/>
    <w:rsid w:val="6E841A38"/>
    <w:rsid w:val="6E84CD1A"/>
    <w:rsid w:val="6E85AEE7"/>
    <w:rsid w:val="6E8858BB"/>
    <w:rsid w:val="6E8A1A5A"/>
    <w:rsid w:val="6E8B698F"/>
    <w:rsid w:val="6E8BF14A"/>
    <w:rsid w:val="6E8CFAB9"/>
    <w:rsid w:val="6E8F5E63"/>
    <w:rsid w:val="6E9740FA"/>
    <w:rsid w:val="6E97B03C"/>
    <w:rsid w:val="6E97DE54"/>
    <w:rsid w:val="6E98A618"/>
    <w:rsid w:val="6E9B6ADE"/>
    <w:rsid w:val="6E9DC67D"/>
    <w:rsid w:val="6E9E22A6"/>
    <w:rsid w:val="6EA58C93"/>
    <w:rsid w:val="6EAABD67"/>
    <w:rsid w:val="6EAB26A3"/>
    <w:rsid w:val="6EB3B77C"/>
    <w:rsid w:val="6EB45B5E"/>
    <w:rsid w:val="6EB71D32"/>
    <w:rsid w:val="6EB839B8"/>
    <w:rsid w:val="6EB9E911"/>
    <w:rsid w:val="6EBE59A0"/>
    <w:rsid w:val="6EC074C1"/>
    <w:rsid w:val="6ECA5DFE"/>
    <w:rsid w:val="6ECC1853"/>
    <w:rsid w:val="6ECE5C6D"/>
    <w:rsid w:val="6ECEA0C0"/>
    <w:rsid w:val="6ECF0398"/>
    <w:rsid w:val="6ED2812F"/>
    <w:rsid w:val="6ED2FD50"/>
    <w:rsid w:val="6ED38CFB"/>
    <w:rsid w:val="6ED513C7"/>
    <w:rsid w:val="6ED659A1"/>
    <w:rsid w:val="6ED7DF4B"/>
    <w:rsid w:val="6EDA5936"/>
    <w:rsid w:val="6EDB84E5"/>
    <w:rsid w:val="6EE018AF"/>
    <w:rsid w:val="6EE3A112"/>
    <w:rsid w:val="6EEAC6E0"/>
    <w:rsid w:val="6EEE80D8"/>
    <w:rsid w:val="6EF0C47B"/>
    <w:rsid w:val="6EF3D329"/>
    <w:rsid w:val="6EFA5123"/>
    <w:rsid w:val="6EFE20D9"/>
    <w:rsid w:val="6F03921D"/>
    <w:rsid w:val="6F0468D6"/>
    <w:rsid w:val="6F0874E8"/>
    <w:rsid w:val="6F0C2D5B"/>
    <w:rsid w:val="6F1A2FB0"/>
    <w:rsid w:val="6F1A7480"/>
    <w:rsid w:val="6F1B0B8E"/>
    <w:rsid w:val="6F1D73D0"/>
    <w:rsid w:val="6F1F8789"/>
    <w:rsid w:val="6F1FB221"/>
    <w:rsid w:val="6F1FFD0D"/>
    <w:rsid w:val="6F22513F"/>
    <w:rsid w:val="6F22DE2B"/>
    <w:rsid w:val="6F24FC6C"/>
    <w:rsid w:val="6F25E633"/>
    <w:rsid w:val="6F28AC87"/>
    <w:rsid w:val="6F28CB48"/>
    <w:rsid w:val="6F2AD710"/>
    <w:rsid w:val="6F2D7766"/>
    <w:rsid w:val="6F359E8B"/>
    <w:rsid w:val="6F35D7B0"/>
    <w:rsid w:val="6F360081"/>
    <w:rsid w:val="6F40BF73"/>
    <w:rsid w:val="6F439907"/>
    <w:rsid w:val="6F447567"/>
    <w:rsid w:val="6F471A33"/>
    <w:rsid w:val="6F4A455A"/>
    <w:rsid w:val="6F4FFB91"/>
    <w:rsid w:val="6F520607"/>
    <w:rsid w:val="6F52DD76"/>
    <w:rsid w:val="6F535398"/>
    <w:rsid w:val="6F5E34D5"/>
    <w:rsid w:val="6F5EABC6"/>
    <w:rsid w:val="6F609277"/>
    <w:rsid w:val="6F65FD0F"/>
    <w:rsid w:val="6F68F805"/>
    <w:rsid w:val="6F69E04C"/>
    <w:rsid w:val="6F6B6876"/>
    <w:rsid w:val="6F6C3EBD"/>
    <w:rsid w:val="6F6D0F5F"/>
    <w:rsid w:val="6F6F46BA"/>
    <w:rsid w:val="6F72FCCA"/>
    <w:rsid w:val="6F787D83"/>
    <w:rsid w:val="6F79C622"/>
    <w:rsid w:val="6F7AE7F9"/>
    <w:rsid w:val="6F80DD2F"/>
    <w:rsid w:val="6F8143E8"/>
    <w:rsid w:val="6F87F561"/>
    <w:rsid w:val="6F88A212"/>
    <w:rsid w:val="6F88E8BF"/>
    <w:rsid w:val="6F8DDD54"/>
    <w:rsid w:val="6F8F5738"/>
    <w:rsid w:val="6F9015ED"/>
    <w:rsid w:val="6F9722EA"/>
    <w:rsid w:val="6F97240A"/>
    <w:rsid w:val="6FA2E7F7"/>
    <w:rsid w:val="6FA49A9C"/>
    <w:rsid w:val="6FA610AA"/>
    <w:rsid w:val="6FABFCAB"/>
    <w:rsid w:val="6FAD6DC0"/>
    <w:rsid w:val="6FB3819F"/>
    <w:rsid w:val="6FB6B12E"/>
    <w:rsid w:val="6FB70CE6"/>
    <w:rsid w:val="6FB87C13"/>
    <w:rsid w:val="6FBABA24"/>
    <w:rsid w:val="6FBBBB3C"/>
    <w:rsid w:val="6FBC8DC9"/>
    <w:rsid w:val="6FBD8D01"/>
    <w:rsid w:val="6FBDA880"/>
    <w:rsid w:val="6FBDB248"/>
    <w:rsid w:val="6FC284FE"/>
    <w:rsid w:val="6FC3E7FB"/>
    <w:rsid w:val="6FC51699"/>
    <w:rsid w:val="6FC58735"/>
    <w:rsid w:val="6FC8E102"/>
    <w:rsid w:val="6FC8E67D"/>
    <w:rsid w:val="6FCD4EFC"/>
    <w:rsid w:val="6FD3ACAC"/>
    <w:rsid w:val="6FD496A6"/>
    <w:rsid w:val="6FD794EA"/>
    <w:rsid w:val="6FD9C827"/>
    <w:rsid w:val="6FDCF7E7"/>
    <w:rsid w:val="6FDE5D85"/>
    <w:rsid w:val="6FE0E244"/>
    <w:rsid w:val="6FE38E1A"/>
    <w:rsid w:val="6FE3FDE6"/>
    <w:rsid w:val="6FE5463B"/>
    <w:rsid w:val="6FE58116"/>
    <w:rsid w:val="6FE6F972"/>
    <w:rsid w:val="6FE9DBAD"/>
    <w:rsid w:val="6FEEFDE5"/>
    <w:rsid w:val="6FF2434D"/>
    <w:rsid w:val="6FF3DC5E"/>
    <w:rsid w:val="6FF4B992"/>
    <w:rsid w:val="6FF705CE"/>
    <w:rsid w:val="6FF75B73"/>
    <w:rsid w:val="6FF8A251"/>
    <w:rsid w:val="6FFD9333"/>
    <w:rsid w:val="700112C9"/>
    <w:rsid w:val="7001EBA4"/>
    <w:rsid w:val="70059B53"/>
    <w:rsid w:val="7006FF4C"/>
    <w:rsid w:val="700BA922"/>
    <w:rsid w:val="700C431E"/>
    <w:rsid w:val="700C7CB6"/>
    <w:rsid w:val="701AAB2B"/>
    <w:rsid w:val="701BE0F4"/>
    <w:rsid w:val="701E9786"/>
    <w:rsid w:val="701EBC97"/>
    <w:rsid w:val="7024828E"/>
    <w:rsid w:val="70264A80"/>
    <w:rsid w:val="702D5C3A"/>
    <w:rsid w:val="702D6C35"/>
    <w:rsid w:val="70303E0D"/>
    <w:rsid w:val="7030BE85"/>
    <w:rsid w:val="7039400F"/>
    <w:rsid w:val="70430011"/>
    <w:rsid w:val="704416B8"/>
    <w:rsid w:val="70463587"/>
    <w:rsid w:val="70468C67"/>
    <w:rsid w:val="7047A2A6"/>
    <w:rsid w:val="704B52E6"/>
    <w:rsid w:val="7052912D"/>
    <w:rsid w:val="705DDDFB"/>
    <w:rsid w:val="705E1936"/>
    <w:rsid w:val="7060186D"/>
    <w:rsid w:val="7060A489"/>
    <w:rsid w:val="70611A6F"/>
    <w:rsid w:val="7062632A"/>
    <w:rsid w:val="70646DD2"/>
    <w:rsid w:val="70662564"/>
    <w:rsid w:val="7066F91D"/>
    <w:rsid w:val="70684CAB"/>
    <w:rsid w:val="706B319A"/>
    <w:rsid w:val="7071C3D9"/>
    <w:rsid w:val="707414BA"/>
    <w:rsid w:val="7078BE09"/>
    <w:rsid w:val="707A3B86"/>
    <w:rsid w:val="707CD994"/>
    <w:rsid w:val="70810FDA"/>
    <w:rsid w:val="7082B7EF"/>
    <w:rsid w:val="7084ACB1"/>
    <w:rsid w:val="7085F967"/>
    <w:rsid w:val="708AEAD4"/>
    <w:rsid w:val="708C8C46"/>
    <w:rsid w:val="708CAFED"/>
    <w:rsid w:val="7094E1C4"/>
    <w:rsid w:val="709515CB"/>
    <w:rsid w:val="7096A731"/>
    <w:rsid w:val="7097AA54"/>
    <w:rsid w:val="709C610F"/>
    <w:rsid w:val="709D45BD"/>
    <w:rsid w:val="70A287B4"/>
    <w:rsid w:val="70A38B09"/>
    <w:rsid w:val="70A3E551"/>
    <w:rsid w:val="70A3EFD2"/>
    <w:rsid w:val="70A4A5D7"/>
    <w:rsid w:val="70A7972B"/>
    <w:rsid w:val="70AB1439"/>
    <w:rsid w:val="70AD8E27"/>
    <w:rsid w:val="70ADBCD7"/>
    <w:rsid w:val="70B1A74F"/>
    <w:rsid w:val="70BB6C47"/>
    <w:rsid w:val="70BD7151"/>
    <w:rsid w:val="70BD8130"/>
    <w:rsid w:val="70C03F35"/>
    <w:rsid w:val="70C1A38B"/>
    <w:rsid w:val="70C240DF"/>
    <w:rsid w:val="70C3EC1C"/>
    <w:rsid w:val="70C4DE7E"/>
    <w:rsid w:val="70CE27E8"/>
    <w:rsid w:val="70CF035F"/>
    <w:rsid w:val="70CF1347"/>
    <w:rsid w:val="70D0E986"/>
    <w:rsid w:val="70D23A55"/>
    <w:rsid w:val="70D5B11A"/>
    <w:rsid w:val="70D84C1B"/>
    <w:rsid w:val="70D84FE1"/>
    <w:rsid w:val="70DA1450"/>
    <w:rsid w:val="70DA48EC"/>
    <w:rsid w:val="70DF85BE"/>
    <w:rsid w:val="70E1241D"/>
    <w:rsid w:val="70E2167B"/>
    <w:rsid w:val="70E4464A"/>
    <w:rsid w:val="70E47D81"/>
    <w:rsid w:val="70E6CD71"/>
    <w:rsid w:val="70E7EA2D"/>
    <w:rsid w:val="70EFF39F"/>
    <w:rsid w:val="70F113A5"/>
    <w:rsid w:val="70F410A0"/>
    <w:rsid w:val="70F5FBB9"/>
    <w:rsid w:val="70FAAC4F"/>
    <w:rsid w:val="70FC2649"/>
    <w:rsid w:val="71007B55"/>
    <w:rsid w:val="71062C10"/>
    <w:rsid w:val="71065393"/>
    <w:rsid w:val="710740AE"/>
    <w:rsid w:val="710F8F95"/>
    <w:rsid w:val="710FE616"/>
    <w:rsid w:val="71155952"/>
    <w:rsid w:val="71164AB9"/>
    <w:rsid w:val="7119D12B"/>
    <w:rsid w:val="712074CB"/>
    <w:rsid w:val="7124A2AC"/>
    <w:rsid w:val="7125F13C"/>
    <w:rsid w:val="712C7A9B"/>
    <w:rsid w:val="712CC1ED"/>
    <w:rsid w:val="71309A4D"/>
    <w:rsid w:val="71336ED2"/>
    <w:rsid w:val="71362A91"/>
    <w:rsid w:val="713B2603"/>
    <w:rsid w:val="71416C37"/>
    <w:rsid w:val="71476659"/>
    <w:rsid w:val="714AC6C4"/>
    <w:rsid w:val="714CA479"/>
    <w:rsid w:val="714E40E7"/>
    <w:rsid w:val="714E58EA"/>
    <w:rsid w:val="714EAF46"/>
    <w:rsid w:val="714F194D"/>
    <w:rsid w:val="71502AF6"/>
    <w:rsid w:val="715E7A96"/>
    <w:rsid w:val="71691F6F"/>
    <w:rsid w:val="716B28E0"/>
    <w:rsid w:val="716BEC40"/>
    <w:rsid w:val="71707CF0"/>
    <w:rsid w:val="7170CC21"/>
    <w:rsid w:val="7170F4FC"/>
    <w:rsid w:val="71728EDE"/>
    <w:rsid w:val="71780D6F"/>
    <w:rsid w:val="7179D9F0"/>
    <w:rsid w:val="717EBC8A"/>
    <w:rsid w:val="718004BF"/>
    <w:rsid w:val="7183B132"/>
    <w:rsid w:val="7184CDDA"/>
    <w:rsid w:val="718A3D2B"/>
    <w:rsid w:val="718C4295"/>
    <w:rsid w:val="718D3B02"/>
    <w:rsid w:val="718E2F30"/>
    <w:rsid w:val="719139AA"/>
    <w:rsid w:val="719B4D8C"/>
    <w:rsid w:val="719F4473"/>
    <w:rsid w:val="71A14EA8"/>
    <w:rsid w:val="71A1783C"/>
    <w:rsid w:val="71A34440"/>
    <w:rsid w:val="71A4BD68"/>
    <w:rsid w:val="71A8041B"/>
    <w:rsid w:val="71B20979"/>
    <w:rsid w:val="71B4D5D6"/>
    <w:rsid w:val="71B5BDA6"/>
    <w:rsid w:val="71B742E0"/>
    <w:rsid w:val="71BB78B8"/>
    <w:rsid w:val="71BEF51D"/>
    <w:rsid w:val="71BF6159"/>
    <w:rsid w:val="71C63606"/>
    <w:rsid w:val="71C8D669"/>
    <w:rsid w:val="71CAA202"/>
    <w:rsid w:val="71CB3076"/>
    <w:rsid w:val="71CCAE2A"/>
    <w:rsid w:val="71D12AC8"/>
    <w:rsid w:val="71D1ED1C"/>
    <w:rsid w:val="71D3FDB7"/>
    <w:rsid w:val="71D4A765"/>
    <w:rsid w:val="71D512CE"/>
    <w:rsid w:val="71D53660"/>
    <w:rsid w:val="71D55826"/>
    <w:rsid w:val="71D970B9"/>
    <w:rsid w:val="71D9AFF5"/>
    <w:rsid w:val="71DC3389"/>
    <w:rsid w:val="71E17AB9"/>
    <w:rsid w:val="71E277AA"/>
    <w:rsid w:val="71E57339"/>
    <w:rsid w:val="71E590DC"/>
    <w:rsid w:val="71ECED40"/>
    <w:rsid w:val="71EDF7C9"/>
    <w:rsid w:val="71F03AB7"/>
    <w:rsid w:val="71F29289"/>
    <w:rsid w:val="71F56619"/>
    <w:rsid w:val="71FCD616"/>
    <w:rsid w:val="720093AE"/>
    <w:rsid w:val="72036B50"/>
    <w:rsid w:val="7207F5BD"/>
    <w:rsid w:val="720AB944"/>
    <w:rsid w:val="720C8023"/>
    <w:rsid w:val="720E4B19"/>
    <w:rsid w:val="72108483"/>
    <w:rsid w:val="7212B7ED"/>
    <w:rsid w:val="721FFECA"/>
    <w:rsid w:val="72228F74"/>
    <w:rsid w:val="722408E4"/>
    <w:rsid w:val="7230FB1C"/>
    <w:rsid w:val="723853EF"/>
    <w:rsid w:val="723A84B3"/>
    <w:rsid w:val="724751E4"/>
    <w:rsid w:val="7247B281"/>
    <w:rsid w:val="724A252F"/>
    <w:rsid w:val="724CBCB8"/>
    <w:rsid w:val="7258C325"/>
    <w:rsid w:val="725B3566"/>
    <w:rsid w:val="725DD1BC"/>
    <w:rsid w:val="72605913"/>
    <w:rsid w:val="72631AC8"/>
    <w:rsid w:val="72634A12"/>
    <w:rsid w:val="7263B616"/>
    <w:rsid w:val="72653A72"/>
    <w:rsid w:val="72669BF7"/>
    <w:rsid w:val="72692302"/>
    <w:rsid w:val="726D85EA"/>
    <w:rsid w:val="727574CE"/>
    <w:rsid w:val="727662E9"/>
    <w:rsid w:val="727FF764"/>
    <w:rsid w:val="72818D75"/>
    <w:rsid w:val="728287C2"/>
    <w:rsid w:val="7285AD18"/>
    <w:rsid w:val="72894554"/>
    <w:rsid w:val="728A6AD0"/>
    <w:rsid w:val="7292E757"/>
    <w:rsid w:val="729336EE"/>
    <w:rsid w:val="72996AAB"/>
    <w:rsid w:val="729B16B3"/>
    <w:rsid w:val="729CBAE3"/>
    <w:rsid w:val="72A081A5"/>
    <w:rsid w:val="72A245A5"/>
    <w:rsid w:val="72A53DCD"/>
    <w:rsid w:val="72B29808"/>
    <w:rsid w:val="72B50D64"/>
    <w:rsid w:val="72B7EF53"/>
    <w:rsid w:val="72B9512C"/>
    <w:rsid w:val="72C2F48D"/>
    <w:rsid w:val="72C8F82A"/>
    <w:rsid w:val="72CB5E30"/>
    <w:rsid w:val="72CE1B3B"/>
    <w:rsid w:val="72D8A734"/>
    <w:rsid w:val="72DC8E00"/>
    <w:rsid w:val="72E0EEFC"/>
    <w:rsid w:val="72E240DD"/>
    <w:rsid w:val="72E41D69"/>
    <w:rsid w:val="72E4D818"/>
    <w:rsid w:val="72E5DAD3"/>
    <w:rsid w:val="72E7E169"/>
    <w:rsid w:val="72E9EFF4"/>
    <w:rsid w:val="72EA7FA7"/>
    <w:rsid w:val="72EB5602"/>
    <w:rsid w:val="72EC7346"/>
    <w:rsid w:val="72ECEBD8"/>
    <w:rsid w:val="72EDAE08"/>
    <w:rsid w:val="72EEADA8"/>
    <w:rsid w:val="72EF8737"/>
    <w:rsid w:val="72F49CE7"/>
    <w:rsid w:val="72F6F5EA"/>
    <w:rsid w:val="72F73BF2"/>
    <w:rsid w:val="7303302D"/>
    <w:rsid w:val="7303C137"/>
    <w:rsid w:val="730498F1"/>
    <w:rsid w:val="7305A3D7"/>
    <w:rsid w:val="7308F7FD"/>
    <w:rsid w:val="73093030"/>
    <w:rsid w:val="7309CB46"/>
    <w:rsid w:val="730ADD3A"/>
    <w:rsid w:val="730B1DE9"/>
    <w:rsid w:val="730B3300"/>
    <w:rsid w:val="7311369D"/>
    <w:rsid w:val="73120AB2"/>
    <w:rsid w:val="73146E41"/>
    <w:rsid w:val="7315620B"/>
    <w:rsid w:val="7316AF4C"/>
    <w:rsid w:val="7319F012"/>
    <w:rsid w:val="731D92B7"/>
    <w:rsid w:val="73218D2B"/>
    <w:rsid w:val="73274010"/>
    <w:rsid w:val="7327AE68"/>
    <w:rsid w:val="732B6D0E"/>
    <w:rsid w:val="732C36A4"/>
    <w:rsid w:val="732E90CA"/>
    <w:rsid w:val="732EE31A"/>
    <w:rsid w:val="732FA495"/>
    <w:rsid w:val="733412E0"/>
    <w:rsid w:val="73386C52"/>
    <w:rsid w:val="7341D165"/>
    <w:rsid w:val="734EFCF0"/>
    <w:rsid w:val="734FBFD0"/>
    <w:rsid w:val="7355D61E"/>
    <w:rsid w:val="735F9EAC"/>
    <w:rsid w:val="735FD345"/>
    <w:rsid w:val="7368F477"/>
    <w:rsid w:val="736D9BC9"/>
    <w:rsid w:val="7378FDB6"/>
    <w:rsid w:val="737C4322"/>
    <w:rsid w:val="737D30BC"/>
    <w:rsid w:val="738031F5"/>
    <w:rsid w:val="7383EE80"/>
    <w:rsid w:val="738B4A94"/>
    <w:rsid w:val="738C26E6"/>
    <w:rsid w:val="738DE684"/>
    <w:rsid w:val="7396F681"/>
    <w:rsid w:val="73998216"/>
    <w:rsid w:val="739C4877"/>
    <w:rsid w:val="739FC413"/>
    <w:rsid w:val="73A2B267"/>
    <w:rsid w:val="73A3C2D9"/>
    <w:rsid w:val="73A44A68"/>
    <w:rsid w:val="73A84635"/>
    <w:rsid w:val="73AE570D"/>
    <w:rsid w:val="73B84A67"/>
    <w:rsid w:val="73B861C9"/>
    <w:rsid w:val="73BD8146"/>
    <w:rsid w:val="73BE563B"/>
    <w:rsid w:val="73BEEE0C"/>
    <w:rsid w:val="73BF1F3C"/>
    <w:rsid w:val="73C23E15"/>
    <w:rsid w:val="73C7A712"/>
    <w:rsid w:val="73CB0E22"/>
    <w:rsid w:val="73CB3E22"/>
    <w:rsid w:val="73CC9EA6"/>
    <w:rsid w:val="73CDA327"/>
    <w:rsid w:val="73D610C6"/>
    <w:rsid w:val="73D6D10F"/>
    <w:rsid w:val="73DBABD7"/>
    <w:rsid w:val="73DF5B64"/>
    <w:rsid w:val="73E07591"/>
    <w:rsid w:val="73E15C9B"/>
    <w:rsid w:val="73E28E7A"/>
    <w:rsid w:val="73E4C4B5"/>
    <w:rsid w:val="73E86746"/>
    <w:rsid w:val="73F23041"/>
    <w:rsid w:val="73F3805D"/>
    <w:rsid w:val="73F6B293"/>
    <w:rsid w:val="73F73FDA"/>
    <w:rsid w:val="73F75DE2"/>
    <w:rsid w:val="73F816B1"/>
    <w:rsid w:val="73FE915D"/>
    <w:rsid w:val="740B3DC1"/>
    <w:rsid w:val="740C5057"/>
    <w:rsid w:val="740E52FA"/>
    <w:rsid w:val="740F5322"/>
    <w:rsid w:val="741155C2"/>
    <w:rsid w:val="7412841F"/>
    <w:rsid w:val="74137BD3"/>
    <w:rsid w:val="74158D28"/>
    <w:rsid w:val="7417CFC8"/>
    <w:rsid w:val="7418D87D"/>
    <w:rsid w:val="7419BE7D"/>
    <w:rsid w:val="741A1EA2"/>
    <w:rsid w:val="741A4C59"/>
    <w:rsid w:val="742120E2"/>
    <w:rsid w:val="7422698E"/>
    <w:rsid w:val="7426D04A"/>
    <w:rsid w:val="74288E61"/>
    <w:rsid w:val="742939A9"/>
    <w:rsid w:val="742DC460"/>
    <w:rsid w:val="742E436F"/>
    <w:rsid w:val="7430E240"/>
    <w:rsid w:val="743228E9"/>
    <w:rsid w:val="7432D643"/>
    <w:rsid w:val="74336BF4"/>
    <w:rsid w:val="74380046"/>
    <w:rsid w:val="74433608"/>
    <w:rsid w:val="7444D301"/>
    <w:rsid w:val="744534EC"/>
    <w:rsid w:val="7446AA5F"/>
    <w:rsid w:val="744F7E48"/>
    <w:rsid w:val="745194AD"/>
    <w:rsid w:val="74524776"/>
    <w:rsid w:val="7455EEDA"/>
    <w:rsid w:val="7456A276"/>
    <w:rsid w:val="74575C5F"/>
    <w:rsid w:val="74579A8A"/>
    <w:rsid w:val="745D608A"/>
    <w:rsid w:val="745E2F50"/>
    <w:rsid w:val="74604AA4"/>
    <w:rsid w:val="7460E24E"/>
    <w:rsid w:val="74618F1D"/>
    <w:rsid w:val="74660606"/>
    <w:rsid w:val="7467C7F5"/>
    <w:rsid w:val="7468CECF"/>
    <w:rsid w:val="746BA23A"/>
    <w:rsid w:val="746C2F26"/>
    <w:rsid w:val="746D22BC"/>
    <w:rsid w:val="7472FDC7"/>
    <w:rsid w:val="747DE825"/>
    <w:rsid w:val="747E44B2"/>
    <w:rsid w:val="748011AC"/>
    <w:rsid w:val="74827DCE"/>
    <w:rsid w:val="74868B4F"/>
    <w:rsid w:val="7486F3B0"/>
    <w:rsid w:val="748C2671"/>
    <w:rsid w:val="74937E9D"/>
    <w:rsid w:val="749715F0"/>
    <w:rsid w:val="749851A8"/>
    <w:rsid w:val="74999680"/>
    <w:rsid w:val="749D27EA"/>
    <w:rsid w:val="749EFF61"/>
    <w:rsid w:val="74B2C8E9"/>
    <w:rsid w:val="74B37AFB"/>
    <w:rsid w:val="74B59D8E"/>
    <w:rsid w:val="74BE1630"/>
    <w:rsid w:val="74BED4F6"/>
    <w:rsid w:val="74C2565C"/>
    <w:rsid w:val="74CAEF03"/>
    <w:rsid w:val="74CE5493"/>
    <w:rsid w:val="74D0D4AC"/>
    <w:rsid w:val="74D65981"/>
    <w:rsid w:val="74D743A8"/>
    <w:rsid w:val="74D7B693"/>
    <w:rsid w:val="74DE9B40"/>
    <w:rsid w:val="74E2E825"/>
    <w:rsid w:val="74E4274E"/>
    <w:rsid w:val="74E6FE9E"/>
    <w:rsid w:val="74E9F915"/>
    <w:rsid w:val="74EAE5CE"/>
    <w:rsid w:val="74EC1B9E"/>
    <w:rsid w:val="74ECDAF0"/>
    <w:rsid w:val="74EF05DD"/>
    <w:rsid w:val="74EF3B3A"/>
    <w:rsid w:val="74F4D040"/>
    <w:rsid w:val="74F9983B"/>
    <w:rsid w:val="74FAD0DF"/>
    <w:rsid w:val="74FE0A5B"/>
    <w:rsid w:val="7504FFDC"/>
    <w:rsid w:val="750620B1"/>
    <w:rsid w:val="750833D6"/>
    <w:rsid w:val="750E0A2C"/>
    <w:rsid w:val="751336F9"/>
    <w:rsid w:val="75145650"/>
    <w:rsid w:val="751EE96F"/>
    <w:rsid w:val="75211461"/>
    <w:rsid w:val="7523E15F"/>
    <w:rsid w:val="752B1214"/>
    <w:rsid w:val="7530BA74"/>
    <w:rsid w:val="7536EEA4"/>
    <w:rsid w:val="75374110"/>
    <w:rsid w:val="753ADB0E"/>
    <w:rsid w:val="753EAF35"/>
    <w:rsid w:val="7548C8D1"/>
    <w:rsid w:val="754D2D97"/>
    <w:rsid w:val="754DBF9C"/>
    <w:rsid w:val="754F1146"/>
    <w:rsid w:val="7550162E"/>
    <w:rsid w:val="755870AD"/>
    <w:rsid w:val="755943C4"/>
    <w:rsid w:val="755BF5E1"/>
    <w:rsid w:val="755DA4B2"/>
    <w:rsid w:val="755E34B4"/>
    <w:rsid w:val="755E7DAA"/>
    <w:rsid w:val="756C897F"/>
    <w:rsid w:val="756E63AB"/>
    <w:rsid w:val="757274B6"/>
    <w:rsid w:val="75785478"/>
    <w:rsid w:val="757AB6A3"/>
    <w:rsid w:val="757EA7CC"/>
    <w:rsid w:val="757EAE43"/>
    <w:rsid w:val="758423EE"/>
    <w:rsid w:val="7586992F"/>
    <w:rsid w:val="75883F54"/>
    <w:rsid w:val="7588837D"/>
    <w:rsid w:val="7589624F"/>
    <w:rsid w:val="758B8136"/>
    <w:rsid w:val="758EFE04"/>
    <w:rsid w:val="75924C89"/>
    <w:rsid w:val="7595C548"/>
    <w:rsid w:val="759F6C7F"/>
    <w:rsid w:val="75AB6440"/>
    <w:rsid w:val="75AD77FF"/>
    <w:rsid w:val="75AED51F"/>
    <w:rsid w:val="75AF5F54"/>
    <w:rsid w:val="75B461D9"/>
    <w:rsid w:val="75B6D0FC"/>
    <w:rsid w:val="75B6E150"/>
    <w:rsid w:val="75BAFE29"/>
    <w:rsid w:val="75BE83AC"/>
    <w:rsid w:val="75C7BE3C"/>
    <w:rsid w:val="75C915F1"/>
    <w:rsid w:val="75CDDF54"/>
    <w:rsid w:val="75D98E0F"/>
    <w:rsid w:val="75E06F14"/>
    <w:rsid w:val="75E2B5FC"/>
    <w:rsid w:val="75EA954B"/>
    <w:rsid w:val="75EDBA3E"/>
    <w:rsid w:val="75EE3D93"/>
    <w:rsid w:val="75EF8845"/>
    <w:rsid w:val="75F1B5CB"/>
    <w:rsid w:val="75F1C86D"/>
    <w:rsid w:val="7604A1CF"/>
    <w:rsid w:val="7606261A"/>
    <w:rsid w:val="7606746F"/>
    <w:rsid w:val="7607250A"/>
    <w:rsid w:val="76077AAC"/>
    <w:rsid w:val="7608514F"/>
    <w:rsid w:val="760882FA"/>
    <w:rsid w:val="7611B3A1"/>
    <w:rsid w:val="76189DF0"/>
    <w:rsid w:val="761B9C93"/>
    <w:rsid w:val="762219D2"/>
    <w:rsid w:val="762FE891"/>
    <w:rsid w:val="7633AF37"/>
    <w:rsid w:val="763400BA"/>
    <w:rsid w:val="763638C2"/>
    <w:rsid w:val="763A3312"/>
    <w:rsid w:val="763E8600"/>
    <w:rsid w:val="763F4FF6"/>
    <w:rsid w:val="763FE847"/>
    <w:rsid w:val="7644F41C"/>
    <w:rsid w:val="7645880A"/>
    <w:rsid w:val="76475590"/>
    <w:rsid w:val="764C4CE6"/>
    <w:rsid w:val="764F6142"/>
    <w:rsid w:val="764FB340"/>
    <w:rsid w:val="76561B1C"/>
    <w:rsid w:val="76577160"/>
    <w:rsid w:val="765FB142"/>
    <w:rsid w:val="76616125"/>
    <w:rsid w:val="7672226F"/>
    <w:rsid w:val="7672B596"/>
    <w:rsid w:val="76730F21"/>
    <w:rsid w:val="7677C8B9"/>
    <w:rsid w:val="76788923"/>
    <w:rsid w:val="767F652D"/>
    <w:rsid w:val="768A4333"/>
    <w:rsid w:val="768F0E39"/>
    <w:rsid w:val="7696B797"/>
    <w:rsid w:val="769A86EC"/>
    <w:rsid w:val="769B0222"/>
    <w:rsid w:val="769F1624"/>
    <w:rsid w:val="769F9965"/>
    <w:rsid w:val="76A266E5"/>
    <w:rsid w:val="76B55DA6"/>
    <w:rsid w:val="76B7E24D"/>
    <w:rsid w:val="76BAE259"/>
    <w:rsid w:val="76C4A08F"/>
    <w:rsid w:val="76CBC6B7"/>
    <w:rsid w:val="76CBF15E"/>
    <w:rsid w:val="76CFD89A"/>
    <w:rsid w:val="76D77D2C"/>
    <w:rsid w:val="76D77FD4"/>
    <w:rsid w:val="76D91380"/>
    <w:rsid w:val="76D94A26"/>
    <w:rsid w:val="76DC959C"/>
    <w:rsid w:val="76E4FB9A"/>
    <w:rsid w:val="76E98FFD"/>
    <w:rsid w:val="76F166EC"/>
    <w:rsid w:val="76F4B7DC"/>
    <w:rsid w:val="76F55881"/>
    <w:rsid w:val="76F73E3B"/>
    <w:rsid w:val="76FCDFFC"/>
    <w:rsid w:val="76FD2798"/>
    <w:rsid w:val="77007E63"/>
    <w:rsid w:val="7703AC98"/>
    <w:rsid w:val="7704574F"/>
    <w:rsid w:val="770A046C"/>
    <w:rsid w:val="770D0E3C"/>
    <w:rsid w:val="770F2B00"/>
    <w:rsid w:val="7711FD06"/>
    <w:rsid w:val="7714759B"/>
    <w:rsid w:val="7714BDAB"/>
    <w:rsid w:val="771BA28A"/>
    <w:rsid w:val="771CA20A"/>
    <w:rsid w:val="771E4C2B"/>
    <w:rsid w:val="771EFB5A"/>
    <w:rsid w:val="77205C8F"/>
    <w:rsid w:val="7722B13E"/>
    <w:rsid w:val="77261519"/>
    <w:rsid w:val="772C7625"/>
    <w:rsid w:val="7731DF40"/>
    <w:rsid w:val="7742E25B"/>
    <w:rsid w:val="77441977"/>
    <w:rsid w:val="7749C04E"/>
    <w:rsid w:val="774DADEA"/>
    <w:rsid w:val="77524201"/>
    <w:rsid w:val="775261D9"/>
    <w:rsid w:val="77533E09"/>
    <w:rsid w:val="77545773"/>
    <w:rsid w:val="77568109"/>
    <w:rsid w:val="7757DD17"/>
    <w:rsid w:val="776699DF"/>
    <w:rsid w:val="776711B9"/>
    <w:rsid w:val="776BAE66"/>
    <w:rsid w:val="7774D839"/>
    <w:rsid w:val="77793F57"/>
    <w:rsid w:val="7784AD32"/>
    <w:rsid w:val="7784B13B"/>
    <w:rsid w:val="77850FB1"/>
    <w:rsid w:val="7786A7C9"/>
    <w:rsid w:val="7790CFA4"/>
    <w:rsid w:val="77941AA0"/>
    <w:rsid w:val="7798DFA8"/>
    <w:rsid w:val="77998C7A"/>
    <w:rsid w:val="779D7AED"/>
    <w:rsid w:val="779E3AA9"/>
    <w:rsid w:val="77A107F4"/>
    <w:rsid w:val="77A562E4"/>
    <w:rsid w:val="77A5AE6A"/>
    <w:rsid w:val="77A7D972"/>
    <w:rsid w:val="77A7E637"/>
    <w:rsid w:val="77A8EAC2"/>
    <w:rsid w:val="77A90783"/>
    <w:rsid w:val="77A9A854"/>
    <w:rsid w:val="77AD0033"/>
    <w:rsid w:val="77AFBF9C"/>
    <w:rsid w:val="77B245EE"/>
    <w:rsid w:val="77B29099"/>
    <w:rsid w:val="77B86741"/>
    <w:rsid w:val="77BA547F"/>
    <w:rsid w:val="77BD6F21"/>
    <w:rsid w:val="77C05531"/>
    <w:rsid w:val="77C07EC0"/>
    <w:rsid w:val="77C34495"/>
    <w:rsid w:val="77C42240"/>
    <w:rsid w:val="77C53EC1"/>
    <w:rsid w:val="77C9535B"/>
    <w:rsid w:val="77D056E7"/>
    <w:rsid w:val="77D0EFE8"/>
    <w:rsid w:val="77D642BA"/>
    <w:rsid w:val="77D76128"/>
    <w:rsid w:val="77DEFBD0"/>
    <w:rsid w:val="77DFCD07"/>
    <w:rsid w:val="77E02F0F"/>
    <w:rsid w:val="77E2B788"/>
    <w:rsid w:val="77E331FC"/>
    <w:rsid w:val="77E3B493"/>
    <w:rsid w:val="77E60CCF"/>
    <w:rsid w:val="77E66069"/>
    <w:rsid w:val="77E8C33A"/>
    <w:rsid w:val="77ED01A4"/>
    <w:rsid w:val="77EE8C57"/>
    <w:rsid w:val="77FB2B48"/>
    <w:rsid w:val="77FB8699"/>
    <w:rsid w:val="77FDF7A8"/>
    <w:rsid w:val="77FEECA0"/>
    <w:rsid w:val="77FF9734"/>
    <w:rsid w:val="7805F3D9"/>
    <w:rsid w:val="780693DC"/>
    <w:rsid w:val="78071C6E"/>
    <w:rsid w:val="7807E5D8"/>
    <w:rsid w:val="7808783E"/>
    <w:rsid w:val="7808D332"/>
    <w:rsid w:val="780DFE45"/>
    <w:rsid w:val="781E5887"/>
    <w:rsid w:val="781EA30A"/>
    <w:rsid w:val="78202BED"/>
    <w:rsid w:val="78204808"/>
    <w:rsid w:val="78204876"/>
    <w:rsid w:val="78238398"/>
    <w:rsid w:val="7825BEF0"/>
    <w:rsid w:val="7827BC49"/>
    <w:rsid w:val="782A4BBC"/>
    <w:rsid w:val="782DA15F"/>
    <w:rsid w:val="782F1DDD"/>
    <w:rsid w:val="78334A27"/>
    <w:rsid w:val="7836D3F1"/>
    <w:rsid w:val="783B91C1"/>
    <w:rsid w:val="783E30EB"/>
    <w:rsid w:val="78409989"/>
    <w:rsid w:val="78452D37"/>
    <w:rsid w:val="7848B0EB"/>
    <w:rsid w:val="7852C395"/>
    <w:rsid w:val="7854B5CF"/>
    <w:rsid w:val="7856B192"/>
    <w:rsid w:val="785D61D9"/>
    <w:rsid w:val="785E98D9"/>
    <w:rsid w:val="78615C68"/>
    <w:rsid w:val="78662374"/>
    <w:rsid w:val="78681F6F"/>
    <w:rsid w:val="786FF80F"/>
    <w:rsid w:val="787897BC"/>
    <w:rsid w:val="787FEC99"/>
    <w:rsid w:val="7881137E"/>
    <w:rsid w:val="788124C4"/>
    <w:rsid w:val="7883F978"/>
    <w:rsid w:val="7886D940"/>
    <w:rsid w:val="788D4344"/>
    <w:rsid w:val="78920E29"/>
    <w:rsid w:val="7894F773"/>
    <w:rsid w:val="78964958"/>
    <w:rsid w:val="7897A22F"/>
    <w:rsid w:val="78992F08"/>
    <w:rsid w:val="789EC787"/>
    <w:rsid w:val="78A3A434"/>
    <w:rsid w:val="78A526CA"/>
    <w:rsid w:val="78AD0DE9"/>
    <w:rsid w:val="78ADD097"/>
    <w:rsid w:val="78AF0A68"/>
    <w:rsid w:val="78AF20C7"/>
    <w:rsid w:val="78B00B32"/>
    <w:rsid w:val="78B49D85"/>
    <w:rsid w:val="78B8C344"/>
    <w:rsid w:val="78B8CE6D"/>
    <w:rsid w:val="78BA1140"/>
    <w:rsid w:val="78C0D729"/>
    <w:rsid w:val="78C18C3F"/>
    <w:rsid w:val="78C2835A"/>
    <w:rsid w:val="78C3CD99"/>
    <w:rsid w:val="78C662A9"/>
    <w:rsid w:val="78C9DCA5"/>
    <w:rsid w:val="78CB15CC"/>
    <w:rsid w:val="78D0E99B"/>
    <w:rsid w:val="78D18ACD"/>
    <w:rsid w:val="78D3A3EC"/>
    <w:rsid w:val="78D617F9"/>
    <w:rsid w:val="78D7A63A"/>
    <w:rsid w:val="78D8A4EF"/>
    <w:rsid w:val="78D936A2"/>
    <w:rsid w:val="78DB8C2E"/>
    <w:rsid w:val="78DD2BE6"/>
    <w:rsid w:val="78E3DF39"/>
    <w:rsid w:val="78E6D822"/>
    <w:rsid w:val="78E71E8A"/>
    <w:rsid w:val="78EA1A82"/>
    <w:rsid w:val="78EA8422"/>
    <w:rsid w:val="78ED24C5"/>
    <w:rsid w:val="78EE15EC"/>
    <w:rsid w:val="78F21409"/>
    <w:rsid w:val="78F3D1B1"/>
    <w:rsid w:val="78F564CF"/>
    <w:rsid w:val="78FA6FF3"/>
    <w:rsid w:val="78FC5F35"/>
    <w:rsid w:val="79040F9B"/>
    <w:rsid w:val="7904D4BE"/>
    <w:rsid w:val="79075C0D"/>
    <w:rsid w:val="79088376"/>
    <w:rsid w:val="79099B2F"/>
    <w:rsid w:val="790BC74D"/>
    <w:rsid w:val="791374D6"/>
    <w:rsid w:val="791A0492"/>
    <w:rsid w:val="79200651"/>
    <w:rsid w:val="79229466"/>
    <w:rsid w:val="7924DCF1"/>
    <w:rsid w:val="792A2393"/>
    <w:rsid w:val="79349311"/>
    <w:rsid w:val="7936ADBA"/>
    <w:rsid w:val="7936F4C5"/>
    <w:rsid w:val="79409F6A"/>
    <w:rsid w:val="794123D6"/>
    <w:rsid w:val="794227BC"/>
    <w:rsid w:val="79447CF8"/>
    <w:rsid w:val="79459F49"/>
    <w:rsid w:val="79465A28"/>
    <w:rsid w:val="7946D4F5"/>
    <w:rsid w:val="794751B0"/>
    <w:rsid w:val="794CE843"/>
    <w:rsid w:val="79581B6C"/>
    <w:rsid w:val="795830CB"/>
    <w:rsid w:val="7959CCF5"/>
    <w:rsid w:val="795B8F07"/>
    <w:rsid w:val="79665847"/>
    <w:rsid w:val="79680B3F"/>
    <w:rsid w:val="796AA5A6"/>
    <w:rsid w:val="796B516A"/>
    <w:rsid w:val="796E3554"/>
    <w:rsid w:val="796EF304"/>
    <w:rsid w:val="796FC630"/>
    <w:rsid w:val="7970BD94"/>
    <w:rsid w:val="79728DE7"/>
    <w:rsid w:val="79747FA5"/>
    <w:rsid w:val="797816C8"/>
    <w:rsid w:val="797A01E2"/>
    <w:rsid w:val="7982E555"/>
    <w:rsid w:val="79854184"/>
    <w:rsid w:val="799562D1"/>
    <w:rsid w:val="799D9B1F"/>
    <w:rsid w:val="799DA75D"/>
    <w:rsid w:val="799F8EE2"/>
    <w:rsid w:val="799F8FED"/>
    <w:rsid w:val="79A55227"/>
    <w:rsid w:val="79A9DB08"/>
    <w:rsid w:val="79AA452D"/>
    <w:rsid w:val="79B0DA9E"/>
    <w:rsid w:val="79B2A2AC"/>
    <w:rsid w:val="79B643AB"/>
    <w:rsid w:val="79B734E8"/>
    <w:rsid w:val="79B88994"/>
    <w:rsid w:val="79BAA246"/>
    <w:rsid w:val="79BC2A7F"/>
    <w:rsid w:val="79BE7441"/>
    <w:rsid w:val="79CAF527"/>
    <w:rsid w:val="79CFDD22"/>
    <w:rsid w:val="79D8DD4B"/>
    <w:rsid w:val="79DA07A7"/>
    <w:rsid w:val="79DBF5EC"/>
    <w:rsid w:val="79DBF92E"/>
    <w:rsid w:val="79DEFD8E"/>
    <w:rsid w:val="79E3D6AA"/>
    <w:rsid w:val="79E46F9A"/>
    <w:rsid w:val="79E4AB5A"/>
    <w:rsid w:val="79E6C109"/>
    <w:rsid w:val="79E90EF0"/>
    <w:rsid w:val="79E93FC5"/>
    <w:rsid w:val="79EBF3AF"/>
    <w:rsid w:val="79EC7CE6"/>
    <w:rsid w:val="79EF1E0F"/>
    <w:rsid w:val="79FA80D3"/>
    <w:rsid w:val="79FAF00E"/>
    <w:rsid w:val="79FC3BFD"/>
    <w:rsid w:val="7A021915"/>
    <w:rsid w:val="7A028AED"/>
    <w:rsid w:val="7A047001"/>
    <w:rsid w:val="7A05A10C"/>
    <w:rsid w:val="7A087ADB"/>
    <w:rsid w:val="7A08A618"/>
    <w:rsid w:val="7A11891F"/>
    <w:rsid w:val="7A131055"/>
    <w:rsid w:val="7A13DA40"/>
    <w:rsid w:val="7A164848"/>
    <w:rsid w:val="7A17C6BC"/>
    <w:rsid w:val="7A180AF2"/>
    <w:rsid w:val="7A197351"/>
    <w:rsid w:val="7A1AE852"/>
    <w:rsid w:val="7A213B46"/>
    <w:rsid w:val="7A226400"/>
    <w:rsid w:val="7A2422D4"/>
    <w:rsid w:val="7A242ED9"/>
    <w:rsid w:val="7A249817"/>
    <w:rsid w:val="7A2A29DC"/>
    <w:rsid w:val="7A30B752"/>
    <w:rsid w:val="7A320D27"/>
    <w:rsid w:val="7A33D7FD"/>
    <w:rsid w:val="7A340A8B"/>
    <w:rsid w:val="7A3AE746"/>
    <w:rsid w:val="7A3C5E50"/>
    <w:rsid w:val="7A43BED9"/>
    <w:rsid w:val="7A452962"/>
    <w:rsid w:val="7A475A20"/>
    <w:rsid w:val="7A4F6CDC"/>
    <w:rsid w:val="7A507D76"/>
    <w:rsid w:val="7A5193C1"/>
    <w:rsid w:val="7A53DA04"/>
    <w:rsid w:val="7A550DC4"/>
    <w:rsid w:val="7A571E05"/>
    <w:rsid w:val="7A591F09"/>
    <w:rsid w:val="7A5B3FC1"/>
    <w:rsid w:val="7A645A0F"/>
    <w:rsid w:val="7A69EEF4"/>
    <w:rsid w:val="7A6A04A7"/>
    <w:rsid w:val="7A6B4542"/>
    <w:rsid w:val="7A725CB8"/>
    <w:rsid w:val="7A748DAD"/>
    <w:rsid w:val="7A78E9EC"/>
    <w:rsid w:val="7A79221D"/>
    <w:rsid w:val="7A7966DA"/>
    <w:rsid w:val="7A81545E"/>
    <w:rsid w:val="7A8528BD"/>
    <w:rsid w:val="7A895B73"/>
    <w:rsid w:val="7A8A1F21"/>
    <w:rsid w:val="7A9277E9"/>
    <w:rsid w:val="7A9278B2"/>
    <w:rsid w:val="7A9760EC"/>
    <w:rsid w:val="7A982F96"/>
    <w:rsid w:val="7A9A6097"/>
    <w:rsid w:val="7A9CA645"/>
    <w:rsid w:val="7A9D48CA"/>
    <w:rsid w:val="7A9FDDD3"/>
    <w:rsid w:val="7AA22389"/>
    <w:rsid w:val="7AA4FDFA"/>
    <w:rsid w:val="7AA941BA"/>
    <w:rsid w:val="7AAC49B0"/>
    <w:rsid w:val="7AAE21E5"/>
    <w:rsid w:val="7AAE7929"/>
    <w:rsid w:val="7AB3F06C"/>
    <w:rsid w:val="7AB60819"/>
    <w:rsid w:val="7ABA53C2"/>
    <w:rsid w:val="7AC04A4C"/>
    <w:rsid w:val="7AC54DBE"/>
    <w:rsid w:val="7AC6FD03"/>
    <w:rsid w:val="7AC7B671"/>
    <w:rsid w:val="7AC8B2B5"/>
    <w:rsid w:val="7ACE6B91"/>
    <w:rsid w:val="7AD0D775"/>
    <w:rsid w:val="7AD20DC7"/>
    <w:rsid w:val="7AD3B049"/>
    <w:rsid w:val="7AD5332E"/>
    <w:rsid w:val="7AD66A14"/>
    <w:rsid w:val="7AD7D6B5"/>
    <w:rsid w:val="7ADB52BC"/>
    <w:rsid w:val="7ADCC94C"/>
    <w:rsid w:val="7AE0D663"/>
    <w:rsid w:val="7AE8A403"/>
    <w:rsid w:val="7AE8B662"/>
    <w:rsid w:val="7AE98FE6"/>
    <w:rsid w:val="7AEA5F0B"/>
    <w:rsid w:val="7AED1AC8"/>
    <w:rsid w:val="7AED532E"/>
    <w:rsid w:val="7AEE5A85"/>
    <w:rsid w:val="7AF0E53C"/>
    <w:rsid w:val="7AF4251B"/>
    <w:rsid w:val="7AFD8997"/>
    <w:rsid w:val="7B03F04C"/>
    <w:rsid w:val="7B07AB61"/>
    <w:rsid w:val="7B0B9358"/>
    <w:rsid w:val="7B163FCE"/>
    <w:rsid w:val="7B1CE9B8"/>
    <w:rsid w:val="7B1D74F1"/>
    <w:rsid w:val="7B1EC2EF"/>
    <w:rsid w:val="7B2AC7BD"/>
    <w:rsid w:val="7B2DEBC6"/>
    <w:rsid w:val="7B2F2595"/>
    <w:rsid w:val="7B302768"/>
    <w:rsid w:val="7B392E0E"/>
    <w:rsid w:val="7B3CA847"/>
    <w:rsid w:val="7B40C692"/>
    <w:rsid w:val="7B417147"/>
    <w:rsid w:val="7B466E7B"/>
    <w:rsid w:val="7B4ABBAC"/>
    <w:rsid w:val="7B4AF560"/>
    <w:rsid w:val="7B4D68D5"/>
    <w:rsid w:val="7B4FEDBF"/>
    <w:rsid w:val="7B547745"/>
    <w:rsid w:val="7B54EABD"/>
    <w:rsid w:val="7B5920DE"/>
    <w:rsid w:val="7B5AD21D"/>
    <w:rsid w:val="7B5BD098"/>
    <w:rsid w:val="7B5FCA10"/>
    <w:rsid w:val="7B603BDA"/>
    <w:rsid w:val="7B631211"/>
    <w:rsid w:val="7B6367D1"/>
    <w:rsid w:val="7B66EC2A"/>
    <w:rsid w:val="7B6A0D27"/>
    <w:rsid w:val="7B6C3998"/>
    <w:rsid w:val="7B6CC5A1"/>
    <w:rsid w:val="7B6EB34A"/>
    <w:rsid w:val="7B6FCC1C"/>
    <w:rsid w:val="7B7256AD"/>
    <w:rsid w:val="7B74DB5B"/>
    <w:rsid w:val="7B75D808"/>
    <w:rsid w:val="7B788066"/>
    <w:rsid w:val="7B7D20B3"/>
    <w:rsid w:val="7B7F0673"/>
    <w:rsid w:val="7B8463D5"/>
    <w:rsid w:val="7B84E4F7"/>
    <w:rsid w:val="7B8709D9"/>
    <w:rsid w:val="7B8F058B"/>
    <w:rsid w:val="7B9466B2"/>
    <w:rsid w:val="7BA2E9AF"/>
    <w:rsid w:val="7BA3BFD3"/>
    <w:rsid w:val="7BA4E192"/>
    <w:rsid w:val="7BA6093E"/>
    <w:rsid w:val="7BA675DE"/>
    <w:rsid w:val="7BA7E8AB"/>
    <w:rsid w:val="7BA874B3"/>
    <w:rsid w:val="7BB075EB"/>
    <w:rsid w:val="7BB178B1"/>
    <w:rsid w:val="7BB1A96A"/>
    <w:rsid w:val="7BB462C8"/>
    <w:rsid w:val="7BBCA2B1"/>
    <w:rsid w:val="7BBCC5ED"/>
    <w:rsid w:val="7BBCCF31"/>
    <w:rsid w:val="7BBD5AFA"/>
    <w:rsid w:val="7BC52D72"/>
    <w:rsid w:val="7BC599CD"/>
    <w:rsid w:val="7BC5ADC8"/>
    <w:rsid w:val="7BC80D90"/>
    <w:rsid w:val="7BC8B072"/>
    <w:rsid w:val="7BC8CD65"/>
    <w:rsid w:val="7BD1F990"/>
    <w:rsid w:val="7BD49DFE"/>
    <w:rsid w:val="7BD75E8C"/>
    <w:rsid w:val="7BDF696E"/>
    <w:rsid w:val="7BE12ACD"/>
    <w:rsid w:val="7BE37BE0"/>
    <w:rsid w:val="7BE463E4"/>
    <w:rsid w:val="7BE509FA"/>
    <w:rsid w:val="7BE6DE83"/>
    <w:rsid w:val="7BECE4BA"/>
    <w:rsid w:val="7BEDDC06"/>
    <w:rsid w:val="7BF16837"/>
    <w:rsid w:val="7BF214A5"/>
    <w:rsid w:val="7BF4903E"/>
    <w:rsid w:val="7BFB67EA"/>
    <w:rsid w:val="7BFB9345"/>
    <w:rsid w:val="7C010D0B"/>
    <w:rsid w:val="7C06072C"/>
    <w:rsid w:val="7C093908"/>
    <w:rsid w:val="7C095EF2"/>
    <w:rsid w:val="7C0A9E6E"/>
    <w:rsid w:val="7C0C5B2A"/>
    <w:rsid w:val="7C0D4973"/>
    <w:rsid w:val="7C0DBC61"/>
    <w:rsid w:val="7C114844"/>
    <w:rsid w:val="7C13014E"/>
    <w:rsid w:val="7C130AF0"/>
    <w:rsid w:val="7C135B73"/>
    <w:rsid w:val="7C1BDDD6"/>
    <w:rsid w:val="7C1CD930"/>
    <w:rsid w:val="7C1F80C8"/>
    <w:rsid w:val="7C20C14F"/>
    <w:rsid w:val="7C25DD24"/>
    <w:rsid w:val="7C26BA98"/>
    <w:rsid w:val="7C26E14E"/>
    <w:rsid w:val="7C29887C"/>
    <w:rsid w:val="7C2BE29C"/>
    <w:rsid w:val="7C2D2382"/>
    <w:rsid w:val="7C2FDD14"/>
    <w:rsid w:val="7C3137C0"/>
    <w:rsid w:val="7C3502B9"/>
    <w:rsid w:val="7C36BAC5"/>
    <w:rsid w:val="7C3A3BD8"/>
    <w:rsid w:val="7C3C5964"/>
    <w:rsid w:val="7C42BDB9"/>
    <w:rsid w:val="7C449A6A"/>
    <w:rsid w:val="7C44ABE5"/>
    <w:rsid w:val="7C45A9DB"/>
    <w:rsid w:val="7C461E41"/>
    <w:rsid w:val="7C49073F"/>
    <w:rsid w:val="7C4D2217"/>
    <w:rsid w:val="7C549211"/>
    <w:rsid w:val="7C5497EF"/>
    <w:rsid w:val="7C5586D4"/>
    <w:rsid w:val="7C598C2A"/>
    <w:rsid w:val="7C5AEC43"/>
    <w:rsid w:val="7C5BFC20"/>
    <w:rsid w:val="7C5C7F97"/>
    <w:rsid w:val="7C5F9CDD"/>
    <w:rsid w:val="7C63A3BD"/>
    <w:rsid w:val="7C69D3C3"/>
    <w:rsid w:val="7C6DF275"/>
    <w:rsid w:val="7C6E9292"/>
    <w:rsid w:val="7C715315"/>
    <w:rsid w:val="7C7533FE"/>
    <w:rsid w:val="7C7B94B0"/>
    <w:rsid w:val="7C7D0655"/>
    <w:rsid w:val="7C803C1F"/>
    <w:rsid w:val="7C839A9D"/>
    <w:rsid w:val="7C8A94AA"/>
    <w:rsid w:val="7C8F03A8"/>
    <w:rsid w:val="7C95691D"/>
    <w:rsid w:val="7C9C087F"/>
    <w:rsid w:val="7C9C3980"/>
    <w:rsid w:val="7C9CF6A6"/>
    <w:rsid w:val="7CA37503"/>
    <w:rsid w:val="7CA57A46"/>
    <w:rsid w:val="7CA61EA5"/>
    <w:rsid w:val="7CACFD7C"/>
    <w:rsid w:val="7CAEC748"/>
    <w:rsid w:val="7CB308A5"/>
    <w:rsid w:val="7CB42598"/>
    <w:rsid w:val="7CBA2BFB"/>
    <w:rsid w:val="7CBE6A4D"/>
    <w:rsid w:val="7CC0F58C"/>
    <w:rsid w:val="7CC337A9"/>
    <w:rsid w:val="7CC3D8FC"/>
    <w:rsid w:val="7CC450D0"/>
    <w:rsid w:val="7CC549DB"/>
    <w:rsid w:val="7CC762BF"/>
    <w:rsid w:val="7CC7BEBC"/>
    <w:rsid w:val="7CD3AAE2"/>
    <w:rsid w:val="7CD5003C"/>
    <w:rsid w:val="7CD5B4F4"/>
    <w:rsid w:val="7CDACDB4"/>
    <w:rsid w:val="7CDAEB0A"/>
    <w:rsid w:val="7CDC5CE7"/>
    <w:rsid w:val="7CDC6FA1"/>
    <w:rsid w:val="7CDDCC30"/>
    <w:rsid w:val="7CDE990A"/>
    <w:rsid w:val="7CDEBFFE"/>
    <w:rsid w:val="7CE5568C"/>
    <w:rsid w:val="7CE6FF9A"/>
    <w:rsid w:val="7CE7A52B"/>
    <w:rsid w:val="7CEBA092"/>
    <w:rsid w:val="7CF11468"/>
    <w:rsid w:val="7CF3B110"/>
    <w:rsid w:val="7CF668FA"/>
    <w:rsid w:val="7CFCB8D4"/>
    <w:rsid w:val="7CFDE739"/>
    <w:rsid w:val="7CFE94C1"/>
    <w:rsid w:val="7D0185FA"/>
    <w:rsid w:val="7D0903AA"/>
    <w:rsid w:val="7D09F6F6"/>
    <w:rsid w:val="7D0DDCBB"/>
    <w:rsid w:val="7D12FB19"/>
    <w:rsid w:val="7D18882A"/>
    <w:rsid w:val="7D1B9DC5"/>
    <w:rsid w:val="7D1BC416"/>
    <w:rsid w:val="7D1F3377"/>
    <w:rsid w:val="7D1F45ED"/>
    <w:rsid w:val="7D220EBA"/>
    <w:rsid w:val="7D262640"/>
    <w:rsid w:val="7D29845D"/>
    <w:rsid w:val="7D29B034"/>
    <w:rsid w:val="7D303713"/>
    <w:rsid w:val="7D34EC2C"/>
    <w:rsid w:val="7D3918FF"/>
    <w:rsid w:val="7D3B3CE1"/>
    <w:rsid w:val="7D3B8442"/>
    <w:rsid w:val="7D3C65D6"/>
    <w:rsid w:val="7D3C786A"/>
    <w:rsid w:val="7D3F1DAC"/>
    <w:rsid w:val="7D4C8DCD"/>
    <w:rsid w:val="7D4D0644"/>
    <w:rsid w:val="7D55479E"/>
    <w:rsid w:val="7D56BBF1"/>
    <w:rsid w:val="7D5B2B1F"/>
    <w:rsid w:val="7D5BCECD"/>
    <w:rsid w:val="7D5EB9CE"/>
    <w:rsid w:val="7D601307"/>
    <w:rsid w:val="7D617A64"/>
    <w:rsid w:val="7D629385"/>
    <w:rsid w:val="7D633B61"/>
    <w:rsid w:val="7D69EDAD"/>
    <w:rsid w:val="7D6A7734"/>
    <w:rsid w:val="7D6DE98C"/>
    <w:rsid w:val="7D732EED"/>
    <w:rsid w:val="7D74F0A7"/>
    <w:rsid w:val="7D7A1ED3"/>
    <w:rsid w:val="7D7A30C8"/>
    <w:rsid w:val="7D80CEB8"/>
    <w:rsid w:val="7D80EF85"/>
    <w:rsid w:val="7D820C0F"/>
    <w:rsid w:val="7D8269AF"/>
    <w:rsid w:val="7D8435E6"/>
    <w:rsid w:val="7D88FC87"/>
    <w:rsid w:val="7D89616C"/>
    <w:rsid w:val="7D8A7BC5"/>
    <w:rsid w:val="7D8B7A51"/>
    <w:rsid w:val="7D8B926A"/>
    <w:rsid w:val="7D8CBBDA"/>
    <w:rsid w:val="7D8F9E13"/>
    <w:rsid w:val="7D90458B"/>
    <w:rsid w:val="7D935BA1"/>
    <w:rsid w:val="7D9740FC"/>
    <w:rsid w:val="7DA1BF3B"/>
    <w:rsid w:val="7DA451C9"/>
    <w:rsid w:val="7DA77866"/>
    <w:rsid w:val="7DAAE93E"/>
    <w:rsid w:val="7DABEE92"/>
    <w:rsid w:val="7DAFBBC9"/>
    <w:rsid w:val="7DB141F1"/>
    <w:rsid w:val="7DB1A3C9"/>
    <w:rsid w:val="7DB23ADB"/>
    <w:rsid w:val="7DB24260"/>
    <w:rsid w:val="7DB689EF"/>
    <w:rsid w:val="7DB78921"/>
    <w:rsid w:val="7DBF6F03"/>
    <w:rsid w:val="7DC58411"/>
    <w:rsid w:val="7DC73B80"/>
    <w:rsid w:val="7DC7E97C"/>
    <w:rsid w:val="7DC817AB"/>
    <w:rsid w:val="7DC82286"/>
    <w:rsid w:val="7DCFA087"/>
    <w:rsid w:val="7DCFFDA4"/>
    <w:rsid w:val="7DDA669E"/>
    <w:rsid w:val="7DDEBF07"/>
    <w:rsid w:val="7DE8F67A"/>
    <w:rsid w:val="7DEA7122"/>
    <w:rsid w:val="7DF1084D"/>
    <w:rsid w:val="7DFA2880"/>
    <w:rsid w:val="7DFBB072"/>
    <w:rsid w:val="7DFCD626"/>
    <w:rsid w:val="7DFE6A68"/>
    <w:rsid w:val="7DFE9758"/>
    <w:rsid w:val="7DFF90CD"/>
    <w:rsid w:val="7E064889"/>
    <w:rsid w:val="7E0A8E7A"/>
    <w:rsid w:val="7E0F797A"/>
    <w:rsid w:val="7E119B33"/>
    <w:rsid w:val="7E16076B"/>
    <w:rsid w:val="7E17C4B1"/>
    <w:rsid w:val="7E20E630"/>
    <w:rsid w:val="7E214E3E"/>
    <w:rsid w:val="7E274DD8"/>
    <w:rsid w:val="7E2CAEE9"/>
    <w:rsid w:val="7E3168A2"/>
    <w:rsid w:val="7E3A995A"/>
    <w:rsid w:val="7E3C57FA"/>
    <w:rsid w:val="7E3E3359"/>
    <w:rsid w:val="7E42FEC5"/>
    <w:rsid w:val="7E4B5874"/>
    <w:rsid w:val="7E4E2A16"/>
    <w:rsid w:val="7E505D10"/>
    <w:rsid w:val="7E5275DD"/>
    <w:rsid w:val="7E535A34"/>
    <w:rsid w:val="7E566872"/>
    <w:rsid w:val="7E648C60"/>
    <w:rsid w:val="7E6505B3"/>
    <w:rsid w:val="7E652605"/>
    <w:rsid w:val="7E6C9243"/>
    <w:rsid w:val="7E71A027"/>
    <w:rsid w:val="7E75AFA5"/>
    <w:rsid w:val="7E7C6593"/>
    <w:rsid w:val="7E7EF357"/>
    <w:rsid w:val="7E85BDD5"/>
    <w:rsid w:val="7E87E530"/>
    <w:rsid w:val="7E8C4CBE"/>
    <w:rsid w:val="7E8EF278"/>
    <w:rsid w:val="7E8F0386"/>
    <w:rsid w:val="7E904606"/>
    <w:rsid w:val="7E916271"/>
    <w:rsid w:val="7E919BC4"/>
    <w:rsid w:val="7E91FAFB"/>
    <w:rsid w:val="7E9DD4E4"/>
    <w:rsid w:val="7EA44E86"/>
    <w:rsid w:val="7EA5B67F"/>
    <w:rsid w:val="7EA645C0"/>
    <w:rsid w:val="7EAAD69F"/>
    <w:rsid w:val="7EB57E90"/>
    <w:rsid w:val="7EB77BE1"/>
    <w:rsid w:val="7EBA9306"/>
    <w:rsid w:val="7EBD8A50"/>
    <w:rsid w:val="7EBF8ABD"/>
    <w:rsid w:val="7EC01C63"/>
    <w:rsid w:val="7EC0A051"/>
    <w:rsid w:val="7EC15BE0"/>
    <w:rsid w:val="7EC4F75F"/>
    <w:rsid w:val="7EC5B0A9"/>
    <w:rsid w:val="7EC5B8DB"/>
    <w:rsid w:val="7ECD6C55"/>
    <w:rsid w:val="7ECDE18A"/>
    <w:rsid w:val="7ECE70A4"/>
    <w:rsid w:val="7ED22735"/>
    <w:rsid w:val="7ED2CF1C"/>
    <w:rsid w:val="7EDB8972"/>
    <w:rsid w:val="7EE24859"/>
    <w:rsid w:val="7EEC0758"/>
    <w:rsid w:val="7EEDDAF9"/>
    <w:rsid w:val="7EF1FC2B"/>
    <w:rsid w:val="7EF21CC7"/>
    <w:rsid w:val="7EFBEFA2"/>
    <w:rsid w:val="7EFEC9F5"/>
    <w:rsid w:val="7F00BD44"/>
    <w:rsid w:val="7F02CA89"/>
    <w:rsid w:val="7F02D2B7"/>
    <w:rsid w:val="7F078CDD"/>
    <w:rsid w:val="7F07C0DA"/>
    <w:rsid w:val="7F09C26C"/>
    <w:rsid w:val="7F0EBC6C"/>
    <w:rsid w:val="7F0FB54A"/>
    <w:rsid w:val="7F11F067"/>
    <w:rsid w:val="7F121BA7"/>
    <w:rsid w:val="7F15D4D9"/>
    <w:rsid w:val="7F174B86"/>
    <w:rsid w:val="7F17B43E"/>
    <w:rsid w:val="7F18BFB3"/>
    <w:rsid w:val="7F199CEC"/>
    <w:rsid w:val="7F235F46"/>
    <w:rsid w:val="7F2896E4"/>
    <w:rsid w:val="7F29DA3B"/>
    <w:rsid w:val="7F2A85DC"/>
    <w:rsid w:val="7F2D38E0"/>
    <w:rsid w:val="7F309FEB"/>
    <w:rsid w:val="7F322C7B"/>
    <w:rsid w:val="7F359E31"/>
    <w:rsid w:val="7F35B629"/>
    <w:rsid w:val="7F3B9B49"/>
    <w:rsid w:val="7F3D540E"/>
    <w:rsid w:val="7F41B062"/>
    <w:rsid w:val="7F41E5E6"/>
    <w:rsid w:val="7F43574C"/>
    <w:rsid w:val="7F47FA44"/>
    <w:rsid w:val="7F486A91"/>
    <w:rsid w:val="7F4B5F94"/>
    <w:rsid w:val="7F519CAF"/>
    <w:rsid w:val="7F53E8D8"/>
    <w:rsid w:val="7F56588E"/>
    <w:rsid w:val="7F5A78C5"/>
    <w:rsid w:val="7F5F622D"/>
    <w:rsid w:val="7F611E72"/>
    <w:rsid w:val="7F62FE47"/>
    <w:rsid w:val="7F64580C"/>
    <w:rsid w:val="7F6A59A2"/>
    <w:rsid w:val="7F6C82CB"/>
    <w:rsid w:val="7F6C8CFE"/>
    <w:rsid w:val="7F6CA201"/>
    <w:rsid w:val="7F7208CD"/>
    <w:rsid w:val="7F738802"/>
    <w:rsid w:val="7F762BE1"/>
    <w:rsid w:val="7F76867F"/>
    <w:rsid w:val="7F78A497"/>
    <w:rsid w:val="7F78F819"/>
    <w:rsid w:val="7F830329"/>
    <w:rsid w:val="7F846976"/>
    <w:rsid w:val="7F85B24C"/>
    <w:rsid w:val="7F8A7A2C"/>
    <w:rsid w:val="7F8EF001"/>
    <w:rsid w:val="7F91E35E"/>
    <w:rsid w:val="7F944E71"/>
    <w:rsid w:val="7F9CF1D5"/>
    <w:rsid w:val="7FA2B425"/>
    <w:rsid w:val="7FABF1D0"/>
    <w:rsid w:val="7FAC3E07"/>
    <w:rsid w:val="7FADF66C"/>
    <w:rsid w:val="7FB054DA"/>
    <w:rsid w:val="7FB149F0"/>
    <w:rsid w:val="7FB27B08"/>
    <w:rsid w:val="7FB2D233"/>
    <w:rsid w:val="7FBA53E3"/>
    <w:rsid w:val="7FBBAF93"/>
    <w:rsid w:val="7FBFFA88"/>
    <w:rsid w:val="7FC04ED9"/>
    <w:rsid w:val="7FC13258"/>
    <w:rsid w:val="7FC37A23"/>
    <w:rsid w:val="7FC9FB00"/>
    <w:rsid w:val="7FCA0DFB"/>
    <w:rsid w:val="7FCCA079"/>
    <w:rsid w:val="7FD8C8F3"/>
    <w:rsid w:val="7FDB2FA4"/>
    <w:rsid w:val="7FDDF6A6"/>
    <w:rsid w:val="7FDF6EC0"/>
    <w:rsid w:val="7FE2EE92"/>
    <w:rsid w:val="7FE32DBF"/>
    <w:rsid w:val="7FEFDF7E"/>
    <w:rsid w:val="7FF08FE6"/>
    <w:rsid w:val="7FF2EE81"/>
    <w:rsid w:val="7FF32242"/>
    <w:rsid w:val="7FF64A12"/>
    <w:rsid w:val="7FF6AA01"/>
    <w:rsid w:val="7FFF1AF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A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6FEB"/>
  </w:style>
  <w:style w:type="paragraph" w:styleId="Nagwek1">
    <w:name w:val="heading 1"/>
    <w:basedOn w:val="Normalny"/>
    <w:next w:val="Normalny"/>
    <w:pPr>
      <w:keepNext/>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Nagwek2">
    <w:name w:val="heading 2"/>
    <w:basedOn w:val="Normalny"/>
    <w:next w:val="Normalny"/>
    <w:pPr>
      <w:keepNext/>
      <w:spacing w:before="120" w:after="120" w:line="240" w:lineRule="auto"/>
      <w:ind w:left="850" w:hanging="850"/>
      <w:jc w:val="both"/>
      <w:outlineLvl w:val="1"/>
    </w:pPr>
    <w:rPr>
      <w:rFonts w:ascii="Times New Roman" w:eastAsia="Times New Roman" w:hAnsi="Times New Roman" w:cs="Times New Roman"/>
      <w:b/>
      <w:sz w:val="24"/>
      <w:szCs w:val="24"/>
    </w:rPr>
  </w:style>
  <w:style w:type="paragraph" w:styleId="Nagwek3">
    <w:name w:val="heading 3"/>
    <w:basedOn w:val="Normalny"/>
    <w:next w:val="Normalny"/>
    <w:pPr>
      <w:keepNext/>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Nagwek4">
    <w:name w:val="heading 4"/>
    <w:basedOn w:val="Normalny"/>
    <w:next w:val="Normalny"/>
    <w:pPr>
      <w:keepNext/>
      <w:spacing w:before="120" w:after="120" w:line="240" w:lineRule="auto"/>
      <w:ind w:left="850" w:hanging="850"/>
      <w:jc w:val="both"/>
      <w:outlineLvl w:val="3"/>
    </w:pPr>
    <w:rPr>
      <w:rFonts w:ascii="Times New Roman" w:eastAsia="Times New Roman" w:hAnsi="Times New Roman" w:cs="Times New Roman"/>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customStyle="1" w:styleId="Normal0">
    <w:name w:val="Normal0"/>
  </w:style>
  <w:style w:type="paragraph" w:customStyle="1" w:styleId="heading10">
    <w:name w:val="heading 10"/>
    <w:basedOn w:val="Normal0"/>
    <w:next w:val="Normal0"/>
    <w:pPr>
      <w:keepNext/>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heading20">
    <w:name w:val="heading 20"/>
    <w:basedOn w:val="Normal0"/>
    <w:next w:val="Normal0"/>
    <w:pPr>
      <w:keepNext/>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heading30">
    <w:name w:val="heading 30"/>
    <w:basedOn w:val="Normal0"/>
    <w:next w:val="Normal0"/>
    <w:pPr>
      <w:keepNext/>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heading40">
    <w:name w:val="heading 40"/>
    <w:basedOn w:val="Normal0"/>
    <w:next w:val="Normal0"/>
    <w:pPr>
      <w:keepNext/>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szCs w:val="72"/>
    </w:rPr>
  </w:style>
  <w:style w:type="paragraph" w:customStyle="1" w:styleId="Normal00">
    <w:name w:val="Normal00"/>
    <w:qFormat/>
  </w:style>
  <w:style w:type="paragraph" w:customStyle="1" w:styleId="heading100">
    <w:name w:val="heading 100"/>
    <w:basedOn w:val="Normal00"/>
    <w:next w:val="Text1"/>
    <w:link w:val="Heading1Char"/>
    <w:uiPriority w:val="9"/>
    <w:qFormat/>
    <w:pPr>
      <w:keepNext/>
      <w:tabs>
        <w:tab w:val="num" w:pos="720"/>
      </w:tabs>
      <w:spacing w:before="360" w:after="120" w:line="240" w:lineRule="auto"/>
      <w:ind w:left="720" w:hanging="720"/>
      <w:jc w:val="both"/>
      <w:outlineLvl w:val="0"/>
    </w:pPr>
    <w:rPr>
      <w:rFonts w:ascii="Times New Roman" w:eastAsiaTheme="majorEastAsia" w:hAnsi="Times New Roman" w:cs="Times New Roman"/>
      <w:b/>
      <w:bCs/>
      <w:smallCaps/>
      <w:sz w:val="24"/>
      <w:szCs w:val="28"/>
    </w:rPr>
  </w:style>
  <w:style w:type="paragraph" w:customStyle="1" w:styleId="heading200">
    <w:name w:val="heading 200"/>
    <w:basedOn w:val="Normal00"/>
    <w:next w:val="Text1"/>
    <w:link w:val="Heading2Char"/>
    <w:uiPriority w:val="9"/>
    <w:semiHidden/>
    <w:unhideWhenUsed/>
    <w:qFormat/>
    <w:pPr>
      <w:keepNext/>
      <w:tabs>
        <w:tab w:val="num" w:pos="1440"/>
      </w:tabs>
      <w:spacing w:before="120" w:after="120" w:line="240" w:lineRule="auto"/>
      <w:ind w:left="1440" w:hanging="720"/>
      <w:jc w:val="both"/>
      <w:outlineLvl w:val="1"/>
    </w:pPr>
    <w:rPr>
      <w:rFonts w:ascii="Times New Roman" w:eastAsiaTheme="majorEastAsia" w:hAnsi="Times New Roman" w:cs="Times New Roman"/>
      <w:b/>
      <w:bCs/>
      <w:sz w:val="24"/>
      <w:szCs w:val="26"/>
    </w:rPr>
  </w:style>
  <w:style w:type="paragraph" w:customStyle="1" w:styleId="heading300">
    <w:name w:val="heading 300"/>
    <w:basedOn w:val="Normal00"/>
    <w:next w:val="Text1"/>
    <w:link w:val="Heading3Char"/>
    <w:uiPriority w:val="9"/>
    <w:semiHidden/>
    <w:unhideWhenUsed/>
    <w:qFormat/>
    <w:pPr>
      <w:keepNext/>
      <w:tabs>
        <w:tab w:val="num" w:pos="2160"/>
      </w:tabs>
      <w:spacing w:before="120" w:after="120" w:line="240" w:lineRule="auto"/>
      <w:ind w:left="2160" w:hanging="720"/>
      <w:jc w:val="both"/>
      <w:outlineLvl w:val="2"/>
    </w:pPr>
    <w:rPr>
      <w:rFonts w:ascii="Times New Roman" w:eastAsiaTheme="majorEastAsia" w:hAnsi="Times New Roman" w:cs="Times New Roman"/>
      <w:bCs/>
      <w:i/>
      <w:sz w:val="24"/>
    </w:rPr>
  </w:style>
  <w:style w:type="paragraph" w:customStyle="1" w:styleId="heading400">
    <w:name w:val="heading 400"/>
    <w:basedOn w:val="Normal00"/>
    <w:next w:val="Text1"/>
    <w:link w:val="Heading4Char"/>
    <w:uiPriority w:val="9"/>
    <w:semiHidden/>
    <w:unhideWhenUsed/>
    <w:qFormat/>
    <w:pPr>
      <w:keepNext/>
      <w:tabs>
        <w:tab w:val="num" w:pos="2880"/>
      </w:tabs>
      <w:spacing w:before="120" w:after="120" w:line="240" w:lineRule="auto"/>
      <w:ind w:left="2880" w:hanging="720"/>
      <w:jc w:val="both"/>
      <w:outlineLvl w:val="3"/>
    </w:pPr>
    <w:rPr>
      <w:rFonts w:ascii="Times New Roman" w:eastAsiaTheme="majorEastAsia" w:hAnsi="Times New Roman" w:cs="Times New Roman"/>
      <w:bCs/>
      <w:iCs/>
      <w:sz w:val="24"/>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omylnaczcionkaakapitu"/>
    <w:link w:val="heading100"/>
    <w:uiPriority w:val="9"/>
    <w:rPr>
      <w:rFonts w:ascii="Times New Roman" w:eastAsiaTheme="majorEastAsia" w:hAnsi="Times New Roman" w:cs="Times New Roman"/>
      <w:b/>
      <w:bCs/>
      <w:smallCaps/>
      <w:sz w:val="24"/>
      <w:szCs w:val="28"/>
    </w:rPr>
  </w:style>
  <w:style w:type="character" w:customStyle="1" w:styleId="Heading2Char">
    <w:name w:val="Heading 2 Char"/>
    <w:basedOn w:val="Domylnaczcionkaakapitu"/>
    <w:link w:val="heading200"/>
    <w:uiPriority w:val="9"/>
    <w:semiHidden/>
    <w:rPr>
      <w:rFonts w:ascii="Times New Roman" w:eastAsiaTheme="majorEastAsia" w:hAnsi="Times New Roman" w:cs="Times New Roman"/>
      <w:b/>
      <w:bCs/>
      <w:sz w:val="24"/>
      <w:szCs w:val="26"/>
    </w:rPr>
  </w:style>
  <w:style w:type="character" w:customStyle="1" w:styleId="Heading3Char">
    <w:name w:val="Heading 3 Char"/>
    <w:basedOn w:val="Domylnaczcionkaakapitu"/>
    <w:link w:val="heading300"/>
    <w:uiPriority w:val="9"/>
    <w:semiHidden/>
    <w:rPr>
      <w:rFonts w:ascii="Times New Roman" w:eastAsiaTheme="majorEastAsia" w:hAnsi="Times New Roman" w:cs="Times New Roman"/>
      <w:bCs/>
      <w:i/>
      <w:sz w:val="24"/>
    </w:rPr>
  </w:style>
  <w:style w:type="character" w:customStyle="1" w:styleId="Heading4Char">
    <w:name w:val="Heading 4 Char"/>
    <w:basedOn w:val="Domylnaczcionkaakapitu"/>
    <w:link w:val="heading400"/>
    <w:uiPriority w:val="9"/>
    <w:semiHidden/>
    <w:rPr>
      <w:rFonts w:ascii="Times New Roman" w:eastAsiaTheme="majorEastAsia" w:hAnsi="Times New Roman" w:cs="Times New Roman"/>
      <w:bCs/>
      <w:iCs/>
      <w:sz w:val="24"/>
    </w:rPr>
  </w:style>
  <w:style w:type="numbering" w:customStyle="1" w:styleId="NoList1">
    <w:name w:val="No List1"/>
    <w:next w:val="Bezlisty"/>
    <w:uiPriority w:val="99"/>
    <w:semiHidden/>
    <w:unhideWhenUsed/>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00"/>
    <w:link w:val="TekstkomentarzaZnak"/>
    <w:uiPriority w:val="99"/>
    <w:unhideWhenUsed/>
    <w:pPr>
      <w:spacing w:before="120" w:after="120" w:line="240" w:lineRule="auto"/>
      <w:jc w:val="both"/>
    </w:pPr>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rPr>
  </w:style>
  <w:style w:type="paragraph" w:styleId="Akapitzlist">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00"/>
    <w:link w:val="AkapitzlistZnak"/>
    <w:uiPriority w:val="34"/>
    <w:qFormat/>
    <w:pPr>
      <w:spacing w:after="160" w:line="259" w:lineRule="auto"/>
      <w:ind w:left="720"/>
      <w:contextualSpacing/>
    </w:pPr>
    <w:rPr>
      <w:lang w:val="en-US"/>
    </w:rPr>
  </w:style>
  <w:style w:type="character" w:customStyle="1" w:styleId="AkapitzlistZnak">
    <w:name w:val="Akapit z listą Znak"/>
    <w:aliases w:val="numbered list Znak,2 Znak,OBC Bullet Znak,Normal 1 Znak,Task Body Znak,Viñetas (Inicio Parrafo) Znak,Paragrafo elenco Znak,3 Txt tabla Znak,Zerrenda-paragrafoa Znak,Fiche List Paragraph Znak,Dot pt Znak,F5 List Paragraph Znak"/>
    <w:basedOn w:val="Domylnaczcionkaakapitu"/>
    <w:link w:val="Akapitzlist"/>
    <w:uiPriority w:val="34"/>
    <w:qFormat/>
    <w:locked/>
    <w:rPr>
      <w:lang w:val="en-US"/>
    </w:rPr>
  </w:style>
  <w:style w:type="character" w:styleId="Wyrnienieintensywne">
    <w:name w:val="Intense Emphasis"/>
    <w:basedOn w:val="Domylnaczcionkaakapitu"/>
    <w:uiPriority w:val="21"/>
    <w:qFormat/>
    <w:rPr>
      <w:i/>
      <w:iCs/>
      <w:color w:val="4F81BD" w:themeColor="accent1"/>
    </w:rPr>
  </w:style>
  <w:style w:type="paragraph" w:styleId="Tekstdymka">
    <w:name w:val="Balloon Text"/>
    <w:basedOn w:val="Normal00"/>
    <w:link w:val="TekstdymkaZnak"/>
    <w:uiPriority w:val="99"/>
    <w:semiHidden/>
    <w:unhideWhenUsed/>
    <w:pPr>
      <w:spacing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Listapunktowana">
    <w:name w:val="List Bullet"/>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punktowana2">
    <w:name w:val="List Bullet 2"/>
    <w:basedOn w:val="Normal00"/>
    <w:uiPriority w:val="99"/>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punktowana3">
    <w:name w:val="List Bullet 3"/>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punktowana4">
    <w:name w:val="List Bullet 4"/>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rPr>
  </w:style>
  <w:style w:type="paragraph" w:styleId="Poprawka">
    <w:name w:val="Revision"/>
    <w:hidden/>
    <w:uiPriority w:val="99"/>
    <w:semiHidden/>
    <w:pPr>
      <w:spacing w:after="0" w:line="240" w:lineRule="auto"/>
    </w:pPr>
    <w:rPr>
      <w:rFonts w:ascii="Times New Roman" w:hAnsi="Times New Roman" w:cs="Times New Roman"/>
      <w:sz w:val="24"/>
    </w:rPr>
  </w:style>
  <w:style w:type="paragraph" w:styleId="Legenda">
    <w:name w:val="caption"/>
    <w:basedOn w:val="Normal00"/>
    <w:next w:val="Normal00"/>
    <w:uiPriority w:val="35"/>
    <w:semiHidden/>
    <w:unhideWhenUsed/>
    <w:qFormat/>
    <w:pPr>
      <w:spacing w:line="240" w:lineRule="auto"/>
      <w:jc w:val="both"/>
    </w:pPr>
    <w:rPr>
      <w:rFonts w:ascii="Times New Roman" w:hAnsi="Times New Roman" w:cs="Times New Roman"/>
      <w:i/>
      <w:iCs/>
      <w:color w:val="1F497D" w:themeColor="text2"/>
      <w:sz w:val="18"/>
      <w:szCs w:val="18"/>
    </w:rPr>
  </w:style>
  <w:style w:type="paragraph" w:styleId="Spisilustracji">
    <w:name w:val="table of figures"/>
    <w:basedOn w:val="Normal00"/>
    <w:next w:val="Normal00"/>
    <w:uiPriority w:val="99"/>
    <w:semiHidden/>
    <w:unhideWhenUsed/>
    <w:pPr>
      <w:spacing w:before="120" w:after="0" w:line="240" w:lineRule="auto"/>
      <w:jc w:val="both"/>
    </w:pPr>
    <w:rPr>
      <w:rFonts w:ascii="Times New Roman" w:hAnsi="Times New Roman" w:cs="Times New Roman"/>
      <w:sz w:val="24"/>
    </w:rPr>
  </w:style>
  <w:style w:type="paragraph" w:styleId="Listanumerowana">
    <w:name w:val="List Number"/>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numerowana2">
    <w:name w:val="List Number 2"/>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numerowana3">
    <w:name w:val="List Number 3"/>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anumerowana4">
    <w:name w:val="List Number 4"/>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character" w:styleId="Hipercze">
    <w:name w:val="Hyperlink"/>
    <w:basedOn w:val="Domylnaczcionkaakapitu"/>
    <w:uiPriority w:val="99"/>
    <w:unhideWhenUsed/>
    <w:rPr>
      <w:color w:val="0000FF" w:themeColor="hyperlink"/>
      <w:u w:val="single"/>
    </w:rPr>
  </w:style>
  <w:style w:type="paragraph" w:styleId="Nagwek">
    <w:name w:val="header"/>
    <w:basedOn w:val="Normal00"/>
    <w:link w:val="NagwekZnak"/>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NagwekZnak">
    <w:name w:val="Nagłówek Znak"/>
    <w:basedOn w:val="Domylnaczcionkaakapitu"/>
    <w:link w:val="Nagwek"/>
    <w:uiPriority w:val="99"/>
    <w:rPr>
      <w:rFonts w:ascii="Times New Roman" w:hAnsi="Times New Roman" w:cs="Times New Roman"/>
      <w:sz w:val="24"/>
    </w:rPr>
  </w:style>
  <w:style w:type="paragraph" w:styleId="Stopka">
    <w:name w:val="footer"/>
    <w:basedOn w:val="Normal00"/>
    <w:link w:val="StopkaZnak"/>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StopkaZnak">
    <w:name w:val="Stopka Znak"/>
    <w:basedOn w:val="Domylnaczcionkaakapitu"/>
    <w:link w:val="Stopka"/>
    <w:uiPriority w:val="99"/>
    <w:rPr>
      <w:rFonts w:ascii="Times New Roman" w:hAnsi="Times New Roman" w:cs="Times New Roman"/>
      <w:sz w:val="24"/>
    </w:rPr>
  </w:style>
  <w:style w:type="paragraph" w:styleId="Tekstprzypisudolnego">
    <w:name w:val="footnote text"/>
    <w:basedOn w:val="Normal00"/>
    <w:link w:val="TekstprzypisudolnegoZnak"/>
    <w:unhideWhenUsed/>
    <w:pPr>
      <w:spacing w:after="0" w:line="240" w:lineRule="auto"/>
      <w:ind w:left="720" w:hanging="720"/>
      <w:jc w:val="both"/>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Pr>
      <w:rFonts w:ascii="Times New Roman" w:hAnsi="Times New Roman" w:cs="Times New Roman"/>
      <w:sz w:val="20"/>
      <w:szCs w:val="20"/>
    </w:rPr>
  </w:style>
  <w:style w:type="paragraph" w:styleId="Nagwekspisutreci">
    <w:name w:val="TOC Heading"/>
    <w:basedOn w:val="Normal00"/>
    <w:next w:val="Normal00"/>
    <w:uiPriority w:val="39"/>
    <w:semiHidden/>
    <w:unhideWhenUsed/>
    <w:qFormat/>
    <w:pPr>
      <w:spacing w:before="120" w:after="240" w:line="240" w:lineRule="auto"/>
      <w:jc w:val="center"/>
    </w:pPr>
    <w:rPr>
      <w:rFonts w:ascii="Times New Roman" w:hAnsi="Times New Roman" w:cs="Times New Roman"/>
      <w:b/>
      <w:sz w:val="28"/>
    </w:rPr>
  </w:style>
  <w:style w:type="paragraph" w:styleId="Spistreci1">
    <w:name w:val="toc 1"/>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Spistreci2">
    <w:name w:val="toc 2"/>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Spistreci3">
    <w:name w:val="toc 3"/>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Spistreci4">
    <w:name w:val="toc 4"/>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Spistreci5">
    <w:name w:val="toc 5"/>
    <w:basedOn w:val="Normal00"/>
    <w:next w:val="Normal00"/>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Spistreci6">
    <w:name w:val="toc 6"/>
    <w:basedOn w:val="Normal00"/>
    <w:next w:val="Normal00"/>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Spistreci7">
    <w:name w:val="toc 7"/>
    <w:basedOn w:val="Normal00"/>
    <w:next w:val="Normal00"/>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Spistreci8">
    <w:name w:val="toc 8"/>
    <w:basedOn w:val="Normal00"/>
    <w:next w:val="Normal00"/>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Spistreci9">
    <w:name w:val="toc 9"/>
    <w:basedOn w:val="Normal00"/>
    <w:next w:val="Normal00"/>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00"/>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0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Odwoanieprzypisudolnego">
    <w:name w:val="footnote reference"/>
    <w:basedOn w:val="Domylnaczcionkaakapitu"/>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ny"/>
    <w:pPr>
      <w:spacing w:after="120" w:line="240" w:lineRule="auto"/>
      <w:jc w:val="right"/>
    </w:pPr>
    <w:rPr>
      <w:rFonts w:ascii="Times New Roman" w:hAnsi="Times New Roman" w:cs="Times New Roman"/>
      <w:sz w:val="28"/>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00"/>
    <w:pPr>
      <w:spacing w:before="120" w:after="120" w:line="240" w:lineRule="auto"/>
      <w:ind w:left="850"/>
      <w:jc w:val="both"/>
    </w:pPr>
    <w:rPr>
      <w:rFonts w:ascii="Times New Roman" w:hAnsi="Times New Roman" w:cs="Times New Roman"/>
      <w:sz w:val="24"/>
    </w:rPr>
  </w:style>
  <w:style w:type="paragraph" w:customStyle="1" w:styleId="Text2">
    <w:name w:val="Text 2"/>
    <w:basedOn w:val="Normal00"/>
    <w:pPr>
      <w:spacing w:before="120" w:after="120" w:line="240" w:lineRule="auto"/>
      <w:ind w:left="1417"/>
      <w:jc w:val="both"/>
    </w:pPr>
    <w:rPr>
      <w:rFonts w:ascii="Times New Roman" w:hAnsi="Times New Roman" w:cs="Times New Roman"/>
      <w:sz w:val="24"/>
    </w:rPr>
  </w:style>
  <w:style w:type="paragraph" w:customStyle="1" w:styleId="Text3">
    <w:name w:val="Text 3"/>
    <w:basedOn w:val="Normal00"/>
    <w:pPr>
      <w:spacing w:before="120" w:after="120" w:line="240" w:lineRule="auto"/>
      <w:ind w:left="1984"/>
      <w:jc w:val="both"/>
    </w:pPr>
    <w:rPr>
      <w:rFonts w:ascii="Times New Roman" w:hAnsi="Times New Roman" w:cs="Times New Roman"/>
      <w:sz w:val="24"/>
    </w:rPr>
  </w:style>
  <w:style w:type="paragraph" w:customStyle="1" w:styleId="Text4">
    <w:name w:val="Text 4"/>
    <w:basedOn w:val="Normal00"/>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00"/>
    <w:pPr>
      <w:spacing w:before="120" w:after="120" w:line="240" w:lineRule="auto"/>
      <w:jc w:val="center"/>
    </w:pPr>
    <w:rPr>
      <w:rFonts w:ascii="Times New Roman" w:hAnsi="Times New Roman" w:cs="Times New Roman"/>
      <w:sz w:val="24"/>
    </w:rPr>
  </w:style>
  <w:style w:type="paragraph" w:customStyle="1" w:styleId="NormalLeft">
    <w:name w:val="Normal Left"/>
    <w:basedOn w:val="Normal00"/>
    <w:pPr>
      <w:spacing w:before="120" w:after="120" w:line="240" w:lineRule="auto"/>
    </w:pPr>
    <w:rPr>
      <w:rFonts w:ascii="Times New Roman" w:hAnsi="Times New Roman" w:cs="Times New Roman"/>
      <w:sz w:val="24"/>
    </w:rPr>
  </w:style>
  <w:style w:type="paragraph" w:customStyle="1" w:styleId="NormalRight">
    <w:name w:val="Normal Right"/>
    <w:basedOn w:val="Normal00"/>
    <w:pPr>
      <w:spacing w:before="120" w:after="120" w:line="240" w:lineRule="auto"/>
      <w:jc w:val="right"/>
    </w:pPr>
    <w:rPr>
      <w:rFonts w:ascii="Times New Roman" w:hAnsi="Times New Roman" w:cs="Times New Roman"/>
      <w:sz w:val="24"/>
    </w:rPr>
  </w:style>
  <w:style w:type="paragraph" w:customStyle="1" w:styleId="QuotedText">
    <w:name w:val="Quoted Text"/>
    <w:basedOn w:val="Normal00"/>
    <w:pPr>
      <w:spacing w:before="120" w:after="120" w:line="240" w:lineRule="auto"/>
      <w:ind w:left="1417"/>
      <w:jc w:val="both"/>
    </w:pPr>
    <w:rPr>
      <w:rFonts w:ascii="Times New Roman" w:hAnsi="Times New Roman" w:cs="Times New Roman"/>
      <w:sz w:val="24"/>
    </w:rPr>
  </w:style>
  <w:style w:type="paragraph" w:customStyle="1" w:styleId="Point0">
    <w:name w:val="Point 0"/>
    <w:basedOn w:val="Normal00"/>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00"/>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00"/>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00"/>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00"/>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tabs>
        <w:tab w:val="num" w:pos="720"/>
      </w:tabs>
      <w:ind w:left="720" w:hanging="720"/>
    </w:pPr>
  </w:style>
  <w:style w:type="paragraph" w:customStyle="1" w:styleId="Tiret1">
    <w:name w:val="Tiret 1"/>
    <w:basedOn w:val="Point1"/>
    <w:pPr>
      <w:tabs>
        <w:tab w:val="num" w:pos="720"/>
      </w:tabs>
      <w:ind w:left="720" w:hanging="720"/>
    </w:pPr>
  </w:style>
  <w:style w:type="paragraph" w:customStyle="1" w:styleId="Tiret2">
    <w:name w:val="Tiret 2"/>
    <w:basedOn w:val="Point2"/>
    <w:pPr>
      <w:tabs>
        <w:tab w:val="num" w:pos="720"/>
      </w:tabs>
      <w:ind w:left="720" w:hanging="720"/>
    </w:pPr>
  </w:style>
  <w:style w:type="paragraph" w:customStyle="1" w:styleId="Tiret3">
    <w:name w:val="Tiret 3"/>
    <w:basedOn w:val="Point3"/>
    <w:pPr>
      <w:tabs>
        <w:tab w:val="num" w:pos="720"/>
      </w:tabs>
      <w:ind w:left="720" w:hanging="720"/>
    </w:pPr>
  </w:style>
  <w:style w:type="paragraph" w:customStyle="1" w:styleId="Tiret4">
    <w:name w:val="Tiret 4"/>
    <w:basedOn w:val="Point4"/>
    <w:pPr>
      <w:tabs>
        <w:tab w:val="num" w:pos="720"/>
      </w:tabs>
      <w:ind w:left="720" w:hanging="720"/>
    </w:pPr>
  </w:style>
  <w:style w:type="paragraph" w:customStyle="1" w:styleId="PointDouble0">
    <w:name w:val="PointDouble 0"/>
    <w:basedOn w:val="Normal00"/>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00"/>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00"/>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00"/>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00"/>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00"/>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00"/>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00"/>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00"/>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00"/>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00"/>
    <w:next w:val="Text1"/>
    <w:pPr>
      <w:tabs>
        <w:tab w:val="num" w:pos="720"/>
      </w:tabs>
      <w:spacing w:before="120" w:after="120" w:line="240" w:lineRule="auto"/>
      <w:ind w:left="720" w:hanging="720"/>
      <w:jc w:val="both"/>
    </w:pPr>
    <w:rPr>
      <w:rFonts w:ascii="Times New Roman" w:hAnsi="Times New Roman" w:cs="Times New Roman"/>
      <w:sz w:val="24"/>
    </w:rPr>
  </w:style>
  <w:style w:type="paragraph" w:customStyle="1" w:styleId="NumPar2">
    <w:name w:val="NumPar 2"/>
    <w:basedOn w:val="Normal00"/>
    <w:next w:val="Text1"/>
    <w:pPr>
      <w:tabs>
        <w:tab w:val="num" w:pos="1440"/>
      </w:tabs>
      <w:spacing w:before="120" w:after="120" w:line="240" w:lineRule="auto"/>
      <w:ind w:left="1440" w:hanging="720"/>
      <w:jc w:val="both"/>
    </w:pPr>
    <w:rPr>
      <w:rFonts w:ascii="Times New Roman" w:hAnsi="Times New Roman" w:cs="Times New Roman"/>
      <w:sz w:val="24"/>
    </w:rPr>
  </w:style>
  <w:style w:type="paragraph" w:customStyle="1" w:styleId="NumPar3">
    <w:name w:val="NumPar 3"/>
    <w:basedOn w:val="Normal00"/>
    <w:next w:val="Text1"/>
    <w:pPr>
      <w:tabs>
        <w:tab w:val="num" w:pos="2160"/>
      </w:tabs>
      <w:spacing w:before="120" w:after="120" w:line="240" w:lineRule="auto"/>
      <w:ind w:left="2160" w:hanging="720"/>
      <w:jc w:val="both"/>
    </w:pPr>
    <w:rPr>
      <w:rFonts w:ascii="Times New Roman" w:hAnsi="Times New Roman" w:cs="Times New Roman"/>
      <w:sz w:val="24"/>
    </w:rPr>
  </w:style>
  <w:style w:type="paragraph" w:customStyle="1" w:styleId="NumPar4">
    <w:name w:val="NumPar 4"/>
    <w:basedOn w:val="Normal00"/>
    <w:next w:val="Text1"/>
    <w:pPr>
      <w:tabs>
        <w:tab w:val="num" w:pos="2880"/>
      </w:tabs>
      <w:spacing w:before="120" w:after="120" w:line="240" w:lineRule="auto"/>
      <w:ind w:left="2880" w:hanging="720"/>
      <w:jc w:val="both"/>
    </w:pPr>
    <w:rPr>
      <w:rFonts w:ascii="Times New Roman" w:hAnsi="Times New Roman" w:cs="Times New Roman"/>
      <w:sz w:val="24"/>
    </w:rPr>
  </w:style>
  <w:style w:type="paragraph" w:customStyle="1" w:styleId="ManualNumPar1">
    <w:name w:val="Manual NumPar 1"/>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00"/>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00"/>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00"/>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00"/>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00"/>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00"/>
    <w:next w:val="Normal00"/>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00"/>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00"/>
    <w:next w:val="heading100"/>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00"/>
    <w:next w:val="Normal00"/>
    <w:pPr>
      <w:spacing w:before="120" w:after="120" w:line="240" w:lineRule="auto"/>
      <w:jc w:val="center"/>
    </w:pPr>
    <w:rPr>
      <w:rFonts w:ascii="Times New Roman" w:hAnsi="Times New Roman" w:cs="Times New Roman"/>
      <w:b/>
      <w:sz w:val="24"/>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00"/>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number">
    <w:name w:val="Point 1 (number)"/>
    <w:basedOn w:val="Normal00"/>
    <w:pPr>
      <w:tabs>
        <w:tab w:val="num" w:pos="2160"/>
      </w:tabs>
      <w:spacing w:before="120" w:after="120" w:line="240" w:lineRule="auto"/>
      <w:ind w:left="2160" w:hanging="720"/>
      <w:jc w:val="both"/>
    </w:pPr>
    <w:rPr>
      <w:rFonts w:ascii="Times New Roman" w:hAnsi="Times New Roman" w:cs="Times New Roman"/>
      <w:sz w:val="24"/>
    </w:rPr>
  </w:style>
  <w:style w:type="paragraph" w:customStyle="1" w:styleId="Point2number">
    <w:name w:val="Point 2 (number)"/>
    <w:basedOn w:val="Normal00"/>
    <w:pPr>
      <w:tabs>
        <w:tab w:val="num" w:pos="3600"/>
      </w:tabs>
      <w:spacing w:before="120" w:after="120" w:line="240" w:lineRule="auto"/>
      <w:ind w:left="3600" w:hanging="720"/>
      <w:jc w:val="both"/>
    </w:pPr>
    <w:rPr>
      <w:rFonts w:ascii="Times New Roman" w:hAnsi="Times New Roman" w:cs="Times New Roman"/>
      <w:sz w:val="24"/>
    </w:rPr>
  </w:style>
  <w:style w:type="paragraph" w:customStyle="1" w:styleId="Point3number">
    <w:name w:val="Point 3 (number)"/>
    <w:basedOn w:val="Normal00"/>
    <w:pPr>
      <w:tabs>
        <w:tab w:val="num" w:pos="5040"/>
      </w:tabs>
      <w:spacing w:before="120" w:after="120" w:line="240" w:lineRule="auto"/>
      <w:ind w:left="5040" w:hanging="720"/>
      <w:jc w:val="both"/>
    </w:pPr>
    <w:rPr>
      <w:rFonts w:ascii="Times New Roman" w:hAnsi="Times New Roman" w:cs="Times New Roman"/>
      <w:sz w:val="24"/>
    </w:rPr>
  </w:style>
  <w:style w:type="paragraph" w:customStyle="1" w:styleId="Point0letter">
    <w:name w:val="Point 0 (letter)"/>
    <w:basedOn w:val="Normal00"/>
    <w:pPr>
      <w:tabs>
        <w:tab w:val="num" w:pos="1440"/>
      </w:tabs>
      <w:spacing w:before="120" w:after="120" w:line="240" w:lineRule="auto"/>
      <w:ind w:left="1440" w:hanging="720"/>
      <w:jc w:val="both"/>
    </w:pPr>
    <w:rPr>
      <w:rFonts w:ascii="Times New Roman" w:hAnsi="Times New Roman" w:cs="Times New Roman"/>
      <w:sz w:val="24"/>
    </w:rPr>
  </w:style>
  <w:style w:type="paragraph" w:customStyle="1" w:styleId="Point1letter">
    <w:name w:val="Point 1 (letter)"/>
    <w:basedOn w:val="Normal00"/>
    <w:pPr>
      <w:tabs>
        <w:tab w:val="num" w:pos="2880"/>
      </w:tabs>
      <w:spacing w:before="120" w:after="120" w:line="240" w:lineRule="auto"/>
      <w:ind w:left="2880" w:hanging="720"/>
      <w:jc w:val="both"/>
    </w:pPr>
    <w:rPr>
      <w:rFonts w:ascii="Times New Roman" w:hAnsi="Times New Roman" w:cs="Times New Roman"/>
      <w:sz w:val="24"/>
    </w:rPr>
  </w:style>
  <w:style w:type="paragraph" w:customStyle="1" w:styleId="Point2letter">
    <w:name w:val="Point 2 (letter)"/>
    <w:basedOn w:val="Normal00"/>
    <w:pPr>
      <w:tabs>
        <w:tab w:val="num" w:pos="4320"/>
      </w:tabs>
      <w:spacing w:before="120" w:after="120" w:line="240" w:lineRule="auto"/>
      <w:ind w:left="4320" w:hanging="720"/>
      <w:jc w:val="both"/>
    </w:pPr>
    <w:rPr>
      <w:rFonts w:ascii="Times New Roman" w:hAnsi="Times New Roman" w:cs="Times New Roman"/>
      <w:sz w:val="24"/>
    </w:rPr>
  </w:style>
  <w:style w:type="paragraph" w:customStyle="1" w:styleId="Point3letter">
    <w:name w:val="Point 3 (letter)"/>
    <w:basedOn w:val="Normal00"/>
    <w:pPr>
      <w:tabs>
        <w:tab w:val="num" w:pos="5760"/>
      </w:tabs>
      <w:spacing w:before="120" w:after="120" w:line="240" w:lineRule="auto"/>
      <w:ind w:left="5760" w:hanging="720"/>
      <w:jc w:val="both"/>
    </w:pPr>
    <w:rPr>
      <w:rFonts w:ascii="Times New Roman" w:hAnsi="Times New Roman" w:cs="Times New Roman"/>
      <w:sz w:val="24"/>
    </w:rPr>
  </w:style>
  <w:style w:type="paragraph" w:customStyle="1" w:styleId="Point4letter">
    <w:name w:val="Point 4 (letter)"/>
    <w:basedOn w:val="Normal00"/>
    <w:pPr>
      <w:tabs>
        <w:tab w:val="num" w:pos="6480"/>
      </w:tabs>
      <w:spacing w:before="120" w:after="120" w:line="240" w:lineRule="auto"/>
      <w:ind w:left="6480" w:hanging="720"/>
      <w:jc w:val="both"/>
    </w:pPr>
    <w:rPr>
      <w:rFonts w:ascii="Times New Roman" w:hAnsi="Times New Roman" w:cs="Times New Roman"/>
      <w:sz w:val="24"/>
    </w:rPr>
  </w:style>
  <w:style w:type="paragraph" w:customStyle="1" w:styleId="Bullet0">
    <w:name w:val="Bullet 0"/>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1">
    <w:name w:val="Bullet 1"/>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2">
    <w:name w:val="Bullet 2"/>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3">
    <w:name w:val="Bullet 3"/>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4">
    <w:name w:val="Bullet 4"/>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Langue">
    <w:name w:val="Langue"/>
    <w:basedOn w:val="Normal00"/>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00"/>
    <w:next w:val="Emission"/>
    <w:pPr>
      <w:spacing w:after="0" w:line="240" w:lineRule="auto"/>
    </w:pPr>
    <w:rPr>
      <w:rFonts w:ascii="Arial" w:hAnsi="Arial" w:cs="Arial"/>
      <w:sz w:val="24"/>
    </w:rPr>
  </w:style>
  <w:style w:type="paragraph" w:customStyle="1" w:styleId="Emission">
    <w:name w:val="Emission"/>
    <w:basedOn w:val="Normal00"/>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00"/>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00"/>
    <w:next w:val="Normal00"/>
    <w:pPr>
      <w:spacing w:after="0" w:line="240" w:lineRule="auto"/>
      <w:jc w:val="both"/>
    </w:pPr>
    <w:rPr>
      <w:rFonts w:ascii="Times New Roman" w:hAnsi="Times New Roman" w:cs="Times New Roman"/>
      <w:sz w:val="24"/>
    </w:rPr>
  </w:style>
  <w:style w:type="paragraph" w:customStyle="1" w:styleId="Declassification">
    <w:name w:val="Declassification"/>
    <w:basedOn w:val="Normal00"/>
    <w:next w:val="Normal00"/>
    <w:pPr>
      <w:spacing w:after="0" w:line="240" w:lineRule="auto"/>
      <w:jc w:val="both"/>
    </w:pPr>
    <w:rPr>
      <w:rFonts w:ascii="Times New Roman" w:hAnsi="Times New Roman" w:cs="Times New Roman"/>
      <w:sz w:val="24"/>
    </w:rPr>
  </w:style>
  <w:style w:type="paragraph" w:customStyle="1" w:styleId="Disclaimer">
    <w:name w:val="Disclaimer"/>
    <w:basedOn w:val="Normal0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00"/>
    <w:pPr>
      <w:spacing w:after="0"/>
      <w:ind w:left="5103"/>
    </w:pPr>
    <w:rPr>
      <w:rFonts w:ascii="Times New Roman" w:hAnsi="Times New Roman" w:cs="Times New Roman"/>
      <w:sz w:val="28"/>
    </w:rPr>
  </w:style>
  <w:style w:type="paragraph" w:customStyle="1" w:styleId="DateMarking">
    <w:name w:val="DateMarking"/>
    <w:basedOn w:val="Normal00"/>
    <w:pPr>
      <w:spacing w:after="0"/>
      <w:ind w:left="5103"/>
    </w:pPr>
    <w:rPr>
      <w:rFonts w:ascii="Times New Roman" w:hAnsi="Times New Roman" w:cs="Times New Roman"/>
      <w:i/>
      <w:sz w:val="28"/>
    </w:rPr>
  </w:style>
  <w:style w:type="paragraph" w:customStyle="1" w:styleId="ReleasableTo">
    <w:name w:val="ReleasableTo"/>
    <w:basedOn w:val="Normal00"/>
    <w:pPr>
      <w:spacing w:after="0"/>
      <w:ind w:left="5103"/>
    </w:pPr>
    <w:rPr>
      <w:rFonts w:ascii="Times New Roman" w:hAnsi="Times New Roman" w:cs="Times New Roman"/>
      <w:i/>
      <w:sz w:val="28"/>
    </w:rPr>
  </w:style>
  <w:style w:type="paragraph" w:customStyle="1" w:styleId="Annexetitreexpos">
    <w:name w:val="Annexe titre (exposé)"/>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00"/>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00"/>
    <w:next w:val="Normal00"/>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00"/>
    <w:next w:val="Normal00"/>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00"/>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Corrigendum">
    <w:name w:val="Corrigendum"/>
    <w:basedOn w:val="Normal00"/>
    <w:next w:val="Normal00"/>
    <w:pPr>
      <w:spacing w:after="240" w:line="240" w:lineRule="auto"/>
    </w:pPr>
    <w:rPr>
      <w:rFonts w:ascii="Times New Roman" w:hAnsi="Times New Roman" w:cs="Times New Roman"/>
      <w:sz w:val="24"/>
    </w:rPr>
  </w:style>
  <w:style w:type="paragraph" w:customStyle="1" w:styleId="Datedadoption">
    <w:name w:val="Date d'adoption"/>
    <w:basedOn w:val="Normal00"/>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00"/>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00"/>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00"/>
    <w:next w:val="Normal00"/>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00"/>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00"/>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00"/>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00"/>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00"/>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00"/>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00"/>
    <w:next w:val="Normal00"/>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00"/>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00"/>
    <w:next w:val="Normal00"/>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00"/>
    <w:next w:val="Normal00"/>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00"/>
    <w:next w:val="Normal00"/>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00"/>
    <w:next w:val="Normal00"/>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00"/>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0"/>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00"/>
    <w:pPr>
      <w:spacing w:after="240"/>
    </w:pPr>
  </w:style>
  <w:style w:type="paragraph" w:customStyle="1" w:styleId="Accompagnant">
    <w:name w:val="Accompagnant"/>
    <w:basedOn w:val="Normal00"/>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00"/>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00"/>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0"/>
    <w:next w:val="Normal00"/>
    <w:pPr>
      <w:spacing w:before="360" w:after="0" w:line="240" w:lineRule="auto"/>
      <w:jc w:val="center"/>
    </w:pPr>
    <w:rPr>
      <w:rFonts w:ascii="Times New Roman" w:hAnsi="Times New Roman" w:cs="Times New Roman"/>
      <w:sz w:val="24"/>
    </w:rPr>
  </w:style>
  <w:style w:type="table" w:styleId="Tabela-Siatka">
    <w:name w:val="Table Grid"/>
    <w:basedOn w:val="NormalTable00"/>
    <w:uiPriority w:val="5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omylnaczcionkaakapitu"/>
    <w:uiPriority w:val="99"/>
    <w:unhideWhenUsed/>
    <w:rPr>
      <w:color w:val="2B579A"/>
      <w:shd w:val="clear" w:color="auto" w:fill="E6E6E6"/>
    </w:rPr>
  </w:style>
  <w:style w:type="paragraph" w:customStyle="1" w:styleId="FooterCoverPage">
    <w:name w:val="Footer Cover Page"/>
    <w:basedOn w:val="Normalny"/>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omylnaczcionkaakapitu"/>
    <w:link w:val="FooterCoverPage"/>
    <w:rPr>
      <w:rFonts w:ascii="Times New Roman" w:hAnsi="Times New Roman" w:cs="Times New Roman"/>
      <w:sz w:val="24"/>
    </w:rPr>
  </w:style>
  <w:style w:type="paragraph" w:customStyle="1" w:styleId="HeaderCoverPage">
    <w:name w:val="Header Cover Page"/>
    <w:basedOn w:val="Normalny"/>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omylnaczcionkaakapitu"/>
    <w:link w:val="HeaderCoverPage"/>
    <w:rPr>
      <w:rFonts w:ascii="Times New Roman" w:hAnsi="Times New Roman" w:cs="Times New Roman"/>
      <w:sz w:val="24"/>
    </w:rPr>
  </w:style>
  <w:style w:type="paragraph" w:styleId="Podtytu">
    <w:name w:val="Subtitle"/>
    <w:basedOn w:val="Normal00"/>
    <w:next w:val="Normal00"/>
    <w:pPr>
      <w:keepNext/>
      <w:keepLines/>
      <w:spacing w:before="360" w:after="80"/>
    </w:pPr>
    <w:rPr>
      <w:rFonts w:ascii="Georgia" w:eastAsia="Georgia" w:hAnsi="Georgia" w:cs="Georgia"/>
      <w:i/>
      <w:color w:val="666666"/>
      <w:sz w:val="48"/>
      <w:szCs w:val="48"/>
    </w:rPr>
  </w:style>
  <w:style w:type="table" w:customStyle="1" w:styleId="39">
    <w:name w:val="39"/>
    <w:basedOn w:val="NormalTable00"/>
    <w:tblPr>
      <w:tblStyleRowBandSize w:val="1"/>
      <w:tblStyleColBandSize w:val="1"/>
      <w:tblCellMar>
        <w:left w:w="115" w:type="dxa"/>
        <w:right w:w="115" w:type="dxa"/>
      </w:tblCellMar>
    </w:tblPr>
  </w:style>
  <w:style w:type="table" w:customStyle="1" w:styleId="38">
    <w:name w:val="38"/>
    <w:basedOn w:val="NormalTable00"/>
    <w:tblPr>
      <w:tblStyleRowBandSize w:val="1"/>
      <w:tblStyleColBandSize w:val="1"/>
      <w:tblCellMar>
        <w:left w:w="115" w:type="dxa"/>
        <w:right w:w="115" w:type="dxa"/>
      </w:tblCellMar>
    </w:tblPr>
  </w:style>
  <w:style w:type="table" w:customStyle="1" w:styleId="37">
    <w:name w:val="37"/>
    <w:basedOn w:val="NormalTable00"/>
    <w:tblPr>
      <w:tblStyleRowBandSize w:val="1"/>
      <w:tblStyleColBandSize w:val="1"/>
      <w:tblCellMar>
        <w:left w:w="115" w:type="dxa"/>
        <w:right w:w="115" w:type="dxa"/>
      </w:tblCellMar>
    </w:tblPr>
  </w:style>
  <w:style w:type="table" w:customStyle="1" w:styleId="36">
    <w:name w:val="36"/>
    <w:basedOn w:val="NormalTable00"/>
    <w:tblPr>
      <w:tblStyleRowBandSize w:val="1"/>
      <w:tblStyleColBandSize w:val="1"/>
      <w:tblCellMar>
        <w:left w:w="115" w:type="dxa"/>
        <w:right w:w="115" w:type="dxa"/>
      </w:tblCellMar>
    </w:tblPr>
  </w:style>
  <w:style w:type="table" w:customStyle="1" w:styleId="35">
    <w:name w:val="35"/>
    <w:basedOn w:val="NormalTable00"/>
    <w:tblPr>
      <w:tblStyleRowBandSize w:val="1"/>
      <w:tblStyleColBandSize w:val="1"/>
      <w:tblCellMar>
        <w:left w:w="115" w:type="dxa"/>
        <w:right w:w="115" w:type="dxa"/>
      </w:tblCellMar>
    </w:tblPr>
  </w:style>
  <w:style w:type="table" w:customStyle="1" w:styleId="34">
    <w:name w:val="34"/>
    <w:basedOn w:val="NormalTable00"/>
    <w:tblPr>
      <w:tblStyleRowBandSize w:val="1"/>
      <w:tblStyleColBandSize w:val="1"/>
      <w:tblCellMar>
        <w:left w:w="115" w:type="dxa"/>
        <w:right w:w="115" w:type="dxa"/>
      </w:tblCellMar>
    </w:tblPr>
  </w:style>
  <w:style w:type="table" w:customStyle="1" w:styleId="33">
    <w:name w:val="33"/>
    <w:basedOn w:val="NormalTable00"/>
    <w:tblPr>
      <w:tblStyleRowBandSize w:val="1"/>
      <w:tblStyleColBandSize w:val="1"/>
      <w:tblCellMar>
        <w:left w:w="115" w:type="dxa"/>
        <w:right w:w="115" w:type="dxa"/>
      </w:tblCellMar>
    </w:tblPr>
  </w:style>
  <w:style w:type="table" w:customStyle="1" w:styleId="32">
    <w:name w:val="32"/>
    <w:basedOn w:val="NormalTable00"/>
    <w:tblPr>
      <w:tblStyleRowBandSize w:val="1"/>
      <w:tblStyleColBandSize w:val="1"/>
      <w:tblCellMar>
        <w:left w:w="115" w:type="dxa"/>
        <w:right w:w="115" w:type="dxa"/>
      </w:tblCellMar>
    </w:tblPr>
  </w:style>
  <w:style w:type="table" w:customStyle="1" w:styleId="31">
    <w:name w:val="31"/>
    <w:basedOn w:val="NormalTable00"/>
    <w:tblPr>
      <w:tblStyleRowBandSize w:val="1"/>
      <w:tblStyleColBandSize w:val="1"/>
      <w:tblCellMar>
        <w:left w:w="115" w:type="dxa"/>
        <w:right w:w="115" w:type="dxa"/>
      </w:tblCellMar>
    </w:tblPr>
  </w:style>
  <w:style w:type="table" w:customStyle="1" w:styleId="30">
    <w:name w:val="30"/>
    <w:basedOn w:val="NormalTable00"/>
    <w:tblPr>
      <w:tblStyleRowBandSize w:val="1"/>
      <w:tblStyleColBandSize w:val="1"/>
      <w:tblCellMar>
        <w:left w:w="115" w:type="dxa"/>
        <w:right w:w="115" w:type="dxa"/>
      </w:tblCellMar>
    </w:tblPr>
  </w:style>
  <w:style w:type="table" w:customStyle="1" w:styleId="29">
    <w:name w:val="29"/>
    <w:basedOn w:val="NormalTable00"/>
    <w:tblPr>
      <w:tblStyleRowBandSize w:val="1"/>
      <w:tblStyleColBandSize w:val="1"/>
      <w:tblCellMar>
        <w:left w:w="115" w:type="dxa"/>
        <w:right w:w="115" w:type="dxa"/>
      </w:tblCellMar>
    </w:tblPr>
  </w:style>
  <w:style w:type="table" w:customStyle="1" w:styleId="28">
    <w:name w:val="28"/>
    <w:basedOn w:val="NormalTable00"/>
    <w:tblPr>
      <w:tblStyleRowBandSize w:val="1"/>
      <w:tblStyleColBandSize w:val="1"/>
      <w:tblCellMar>
        <w:left w:w="115" w:type="dxa"/>
        <w:right w:w="115" w:type="dxa"/>
      </w:tblCellMar>
    </w:tblPr>
  </w:style>
  <w:style w:type="table" w:customStyle="1" w:styleId="27">
    <w:name w:val="27"/>
    <w:basedOn w:val="NormalTable00"/>
    <w:tblPr>
      <w:tblStyleRowBandSize w:val="1"/>
      <w:tblStyleColBandSize w:val="1"/>
      <w:tblCellMar>
        <w:left w:w="115" w:type="dxa"/>
        <w:right w:w="115" w:type="dxa"/>
      </w:tblCellMar>
    </w:tblPr>
  </w:style>
  <w:style w:type="table" w:customStyle="1" w:styleId="26">
    <w:name w:val="26"/>
    <w:basedOn w:val="NormalTable00"/>
    <w:tblPr>
      <w:tblStyleRowBandSize w:val="1"/>
      <w:tblStyleColBandSize w:val="1"/>
      <w:tblCellMar>
        <w:left w:w="115" w:type="dxa"/>
        <w:right w:w="115" w:type="dxa"/>
      </w:tblCellMar>
    </w:tblPr>
  </w:style>
  <w:style w:type="table" w:customStyle="1" w:styleId="25">
    <w:name w:val="25"/>
    <w:basedOn w:val="NormalTable00"/>
    <w:tblPr>
      <w:tblStyleRowBandSize w:val="1"/>
      <w:tblStyleColBandSize w:val="1"/>
      <w:tblCellMar>
        <w:left w:w="115" w:type="dxa"/>
        <w:right w:w="115" w:type="dxa"/>
      </w:tblCellMar>
    </w:tblPr>
  </w:style>
  <w:style w:type="table" w:customStyle="1" w:styleId="24">
    <w:name w:val="24"/>
    <w:basedOn w:val="NormalTable00"/>
    <w:tblPr>
      <w:tblStyleRowBandSize w:val="1"/>
      <w:tblStyleColBandSize w:val="1"/>
      <w:tblCellMar>
        <w:left w:w="115" w:type="dxa"/>
        <w:right w:w="115" w:type="dxa"/>
      </w:tblCellMar>
    </w:tblPr>
  </w:style>
  <w:style w:type="table" w:customStyle="1" w:styleId="23">
    <w:name w:val="23"/>
    <w:basedOn w:val="NormalTable00"/>
    <w:tblPr>
      <w:tblStyleRowBandSize w:val="1"/>
      <w:tblStyleColBandSize w:val="1"/>
      <w:tblCellMar>
        <w:left w:w="115" w:type="dxa"/>
        <w:right w:w="115" w:type="dxa"/>
      </w:tblCellMar>
    </w:tblPr>
  </w:style>
  <w:style w:type="table" w:customStyle="1" w:styleId="22">
    <w:name w:val="22"/>
    <w:basedOn w:val="NormalTable00"/>
    <w:tblPr>
      <w:tblStyleRowBandSize w:val="1"/>
      <w:tblStyleColBandSize w:val="1"/>
      <w:tblCellMar>
        <w:left w:w="115" w:type="dxa"/>
        <w:right w:w="115" w:type="dxa"/>
      </w:tblCellMar>
    </w:tblPr>
  </w:style>
  <w:style w:type="table" w:customStyle="1" w:styleId="21">
    <w:name w:val="21"/>
    <w:basedOn w:val="NormalTable00"/>
    <w:tblPr>
      <w:tblStyleRowBandSize w:val="1"/>
      <w:tblStyleColBandSize w:val="1"/>
      <w:tblCellMar>
        <w:left w:w="115" w:type="dxa"/>
        <w:right w:w="115" w:type="dxa"/>
      </w:tblCellMar>
    </w:tblPr>
  </w:style>
  <w:style w:type="paragraph" w:customStyle="1" w:styleId="Subtitle0">
    <w:name w:val="Subtitle0"/>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0"/>
    <w:basedOn w:val="NormalTable0"/>
    <w:tblPr>
      <w:tblStyleRowBandSize w:val="1"/>
      <w:tblStyleColBandSize w:val="1"/>
      <w:tblCellMar>
        <w:left w:w="115" w:type="dxa"/>
        <w:right w:w="115" w:type="dxa"/>
      </w:tblCellMar>
    </w:tblPr>
  </w:style>
  <w:style w:type="table" w:customStyle="1" w:styleId="19">
    <w:name w:val="19"/>
    <w:basedOn w:val="NormalTable0"/>
    <w:tblPr>
      <w:tblStyleRowBandSize w:val="1"/>
      <w:tblStyleColBandSize w:val="1"/>
      <w:tblCellMar>
        <w:left w:w="115" w:type="dxa"/>
        <w:right w:w="115" w:type="dxa"/>
      </w:tblCellMar>
    </w:tblPr>
  </w:style>
  <w:style w:type="table" w:customStyle="1" w:styleId="18">
    <w:name w:val="18"/>
    <w:basedOn w:val="NormalTable0"/>
    <w:tblPr>
      <w:tblStyleRowBandSize w:val="1"/>
      <w:tblStyleColBandSize w:val="1"/>
      <w:tblCellMar>
        <w:left w:w="115" w:type="dxa"/>
        <w:right w:w="115" w:type="dxa"/>
      </w:tblCellMar>
    </w:tblPr>
  </w:style>
  <w:style w:type="table" w:customStyle="1" w:styleId="17">
    <w:name w:val="17"/>
    <w:basedOn w:val="NormalTable0"/>
    <w:tblPr>
      <w:tblStyleRowBandSize w:val="1"/>
      <w:tblStyleColBandSize w:val="1"/>
      <w:tblCellMar>
        <w:left w:w="115" w:type="dxa"/>
        <w:right w:w="115" w:type="dxa"/>
      </w:tblCellMar>
    </w:tblPr>
  </w:style>
  <w:style w:type="table" w:customStyle="1" w:styleId="16">
    <w:name w:val="16"/>
    <w:basedOn w:val="NormalTable0"/>
    <w:tblPr>
      <w:tblStyleRowBandSize w:val="1"/>
      <w:tblStyleColBandSize w:val="1"/>
      <w:tblCellMar>
        <w:left w:w="115" w:type="dxa"/>
        <w:right w:w="115" w:type="dxa"/>
      </w:tblCellMar>
    </w:tblPr>
  </w:style>
  <w:style w:type="table" w:customStyle="1" w:styleId="15">
    <w:name w:val="15"/>
    <w:basedOn w:val="NormalTable0"/>
    <w:tblPr>
      <w:tblStyleRowBandSize w:val="1"/>
      <w:tblStyleColBandSize w:val="1"/>
      <w:tblCellMar>
        <w:left w:w="115" w:type="dxa"/>
        <w:right w:w="115" w:type="dxa"/>
      </w:tblCellMar>
    </w:tblPr>
  </w:style>
  <w:style w:type="table" w:customStyle="1" w:styleId="14">
    <w:name w:val="14"/>
    <w:basedOn w:val="NormalTable0"/>
    <w:tblPr>
      <w:tblStyleRowBandSize w:val="1"/>
      <w:tblStyleColBandSize w:val="1"/>
      <w:tblCellMar>
        <w:left w:w="115" w:type="dxa"/>
        <w:right w:w="115" w:type="dxa"/>
      </w:tblCellMar>
    </w:tblPr>
  </w:style>
  <w:style w:type="table" w:customStyle="1" w:styleId="13">
    <w:name w:val="13"/>
    <w:basedOn w:val="NormalTable0"/>
    <w:tblPr>
      <w:tblStyleRowBandSize w:val="1"/>
      <w:tblStyleColBandSize w:val="1"/>
      <w:tblCellMar>
        <w:left w:w="115" w:type="dxa"/>
        <w:right w:w="115" w:type="dxa"/>
      </w:tblCellMar>
    </w:tblPr>
  </w:style>
  <w:style w:type="table" w:customStyle="1" w:styleId="12">
    <w:name w:val="12"/>
    <w:basedOn w:val="NormalTable0"/>
    <w:tblPr>
      <w:tblStyleRowBandSize w:val="1"/>
      <w:tblStyleColBandSize w:val="1"/>
      <w:tblCellMar>
        <w:left w:w="115" w:type="dxa"/>
        <w:right w:w="115" w:type="dxa"/>
      </w:tblCellMar>
    </w:tblPr>
  </w:style>
  <w:style w:type="table" w:customStyle="1" w:styleId="11">
    <w:name w:val="11"/>
    <w:basedOn w:val="NormalTable0"/>
    <w:tblPr>
      <w:tblStyleRowBandSize w:val="1"/>
      <w:tblStyleColBandSize w:val="1"/>
      <w:tblCellMar>
        <w:left w:w="115" w:type="dxa"/>
        <w:right w:w="115" w:type="dxa"/>
      </w:tblCellMar>
    </w:tblPr>
  </w:style>
  <w:style w:type="table" w:customStyle="1" w:styleId="10">
    <w:name w:val="10"/>
    <w:basedOn w:val="NormalTable0"/>
    <w:tblPr>
      <w:tblStyleRowBandSize w:val="1"/>
      <w:tblStyleColBandSize w:val="1"/>
      <w:tblCellMar>
        <w:left w:w="115" w:type="dxa"/>
        <w:right w:w="115" w:type="dxa"/>
      </w:tblCellMar>
    </w:tblPr>
  </w:style>
  <w:style w:type="table" w:customStyle="1" w:styleId="9">
    <w:name w:val="9"/>
    <w:basedOn w:val="NormalTable0"/>
    <w:tblPr>
      <w:tblStyleRowBandSize w:val="1"/>
      <w:tblStyleColBandSize w:val="1"/>
      <w:tblCellMar>
        <w:left w:w="115" w:type="dxa"/>
        <w:right w:w="115" w:type="dxa"/>
      </w:tblCellMar>
    </w:tblPr>
  </w:style>
  <w:style w:type="table" w:customStyle="1" w:styleId="8">
    <w:name w:val="8"/>
    <w:basedOn w:val="NormalTable0"/>
    <w:tblPr>
      <w:tblStyleRowBandSize w:val="1"/>
      <w:tblStyleColBandSize w:val="1"/>
      <w:tblCellMar>
        <w:left w:w="115" w:type="dxa"/>
        <w:right w:w="115" w:type="dxa"/>
      </w:tblCellMar>
    </w:tblPr>
  </w:style>
  <w:style w:type="table" w:customStyle="1" w:styleId="7">
    <w:name w:val="7"/>
    <w:basedOn w:val="NormalTable0"/>
    <w:tblPr>
      <w:tblStyleRowBandSize w:val="1"/>
      <w:tblStyleColBandSize w:val="1"/>
      <w:tblCellMar>
        <w:left w:w="115" w:type="dxa"/>
        <w:right w:w="115" w:type="dxa"/>
      </w:tblCellMar>
    </w:tblPr>
  </w:style>
  <w:style w:type="table" w:customStyle="1" w:styleId="6">
    <w:name w:val="6"/>
    <w:basedOn w:val="NormalTable0"/>
    <w:tblPr>
      <w:tblStyleRowBandSize w:val="1"/>
      <w:tblStyleColBandSize w:val="1"/>
      <w:tblCellMar>
        <w:left w:w="115" w:type="dxa"/>
        <w:right w:w="115" w:type="dxa"/>
      </w:tblCellMar>
    </w:tblPr>
  </w:style>
  <w:style w:type="table" w:customStyle="1" w:styleId="5">
    <w:name w:val="5"/>
    <w:basedOn w:val="NormalTable0"/>
    <w:tblPr>
      <w:tblStyleRowBandSize w:val="1"/>
      <w:tblStyleColBandSize w:val="1"/>
      <w:tblCellMar>
        <w:left w:w="115" w:type="dxa"/>
        <w:right w:w="115" w:type="dxa"/>
      </w:tblCellMar>
    </w:tblPr>
  </w:style>
  <w:style w:type="table" w:customStyle="1" w:styleId="4">
    <w:name w:val="4"/>
    <w:basedOn w:val="NormalTable0"/>
    <w:tblPr>
      <w:tblStyleRowBandSize w:val="1"/>
      <w:tblStyleColBandSize w:val="1"/>
      <w:tblCellMar>
        <w:left w:w="115" w:type="dxa"/>
        <w:right w:w="115" w:type="dxa"/>
      </w:tblCellMar>
    </w:tblPr>
  </w:style>
  <w:style w:type="table" w:customStyle="1" w:styleId="3">
    <w:name w:val="3"/>
    <w:basedOn w:val="NormalTable0"/>
    <w:tblPr>
      <w:tblStyleRowBandSize w:val="1"/>
      <w:tblStyleColBandSize w:val="1"/>
      <w:tblCellMar>
        <w:left w:w="115" w:type="dxa"/>
        <w:right w:w="115" w:type="dxa"/>
      </w:tblCellMar>
    </w:tblPr>
  </w:style>
  <w:style w:type="table" w:customStyle="1" w:styleId="1">
    <w:name w:val="1"/>
    <w:basedOn w:val="NormalTable0"/>
    <w:tblPr>
      <w:tblStyleRowBandSize w:val="1"/>
      <w:tblStyleColBandSize w:val="1"/>
      <w:tblCellMar>
        <w:left w:w="115" w:type="dxa"/>
        <w:right w:w="115" w:type="dxa"/>
      </w:tblCellMar>
    </w:tblPr>
  </w:style>
  <w:style w:type="character" w:customStyle="1" w:styleId="FootnoteCharacters">
    <w:name w:val="Footnote Characters"/>
    <w:rsid w:val="00C612C5"/>
    <w:rPr>
      <w:vertAlign w:val="superscript"/>
    </w:rPr>
  </w:style>
  <w:style w:type="character" w:customStyle="1" w:styleId="WW8Num2z0">
    <w:name w:val="WW8Num2z0"/>
    <w:rsid w:val="00463240"/>
    <w:rPr>
      <w:rFonts w:ascii="Wingdings" w:hAnsi="Wingdings" w:cs="Wingdings"/>
    </w:rPr>
  </w:style>
  <w:style w:type="character" w:customStyle="1" w:styleId="WW8Num1z1">
    <w:name w:val="WW8Num1z1"/>
    <w:rsid w:val="00D33DF2"/>
    <w:rPr>
      <w:rFonts w:ascii="Courier New" w:hAnsi="Courier New" w:cs="Courier New"/>
    </w:rPr>
  </w:style>
  <w:style w:type="character" w:customStyle="1" w:styleId="Wzmianka1">
    <w:name w:val="Wzmianka1"/>
    <w:basedOn w:val="Domylnaczcionkaakapitu"/>
    <w:uiPriority w:val="99"/>
    <w:unhideWhenUsed/>
    <w:rPr>
      <w:color w:val="2B579A"/>
      <w:shd w:val="clear" w:color="auto" w:fill="E6E6E6"/>
    </w:rPr>
  </w:style>
  <w:style w:type="paragraph" w:customStyle="1" w:styleId="paragraph">
    <w:name w:val="paragraph"/>
    <w:basedOn w:val="Normalny"/>
    <w:rsid w:val="00D23F6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omylnaczcionkaakapitu"/>
    <w:rsid w:val="00D23F6C"/>
  </w:style>
  <w:style w:type="character" w:customStyle="1" w:styleId="scxw147420095">
    <w:name w:val="scxw147420095"/>
    <w:basedOn w:val="Domylnaczcionkaakapitu"/>
    <w:rsid w:val="00D23F6C"/>
  </w:style>
  <w:style w:type="character" w:customStyle="1" w:styleId="eop">
    <w:name w:val="eop"/>
    <w:basedOn w:val="Domylnaczcionkaakapitu"/>
    <w:rsid w:val="00D23F6C"/>
  </w:style>
  <w:style w:type="character" w:customStyle="1" w:styleId="scxw52418636">
    <w:name w:val="scxw52418636"/>
    <w:basedOn w:val="Domylnaczcionkaakapitu"/>
    <w:rsid w:val="00D23F6C"/>
  </w:style>
  <w:style w:type="character" w:customStyle="1" w:styleId="scxw256459143">
    <w:name w:val="scxw256459143"/>
    <w:basedOn w:val="Domylnaczcionkaakapitu"/>
    <w:rsid w:val="00D23F6C"/>
  </w:style>
  <w:style w:type="paragraph" w:styleId="Bezodstpw">
    <w:name w:val="No Spacing"/>
    <w:link w:val="BezodstpwZnak"/>
    <w:uiPriority w:val="1"/>
    <w:qFormat/>
    <w:rsid w:val="001052B5"/>
    <w:pPr>
      <w:spacing w:after="0" w:line="240" w:lineRule="auto"/>
    </w:pPr>
    <w:rPr>
      <w:rFonts w:asciiTheme="minorHAnsi" w:eastAsiaTheme="minorEastAsia" w:hAnsiTheme="minorHAnsi" w:cstheme="minorBidi"/>
      <w:lang w:val="pl-PL" w:eastAsia="pl-PL"/>
    </w:rPr>
  </w:style>
  <w:style w:type="character" w:customStyle="1" w:styleId="BezodstpwZnak">
    <w:name w:val="Bez odstępów Znak"/>
    <w:basedOn w:val="Domylnaczcionkaakapitu"/>
    <w:link w:val="Bezodstpw"/>
    <w:uiPriority w:val="1"/>
    <w:rsid w:val="001052B5"/>
    <w:rPr>
      <w:rFonts w:asciiTheme="minorHAnsi" w:eastAsiaTheme="minorEastAsia" w:hAnsiTheme="minorHAnsi" w:cstheme="minorBidi"/>
      <w:lang w:val="pl-PL" w:eastAsia="pl-PL"/>
    </w:rPr>
  </w:style>
  <w:style w:type="paragraph" w:styleId="HTML-wstpniesformatowany">
    <w:name w:val="HTML Preformatted"/>
    <w:basedOn w:val="Normalny"/>
    <w:link w:val="HTML-wstpniesformatowanyZnak"/>
    <w:uiPriority w:val="99"/>
    <w:semiHidden/>
    <w:unhideWhenUsed/>
    <w:rsid w:val="00DF0D3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DF0D3E"/>
    <w:rPr>
      <w:rFonts w:ascii="Consolas" w:hAnsi="Consolas"/>
      <w:sz w:val="20"/>
      <w:szCs w:val="20"/>
    </w:rPr>
  </w:style>
  <w:style w:type="character" w:customStyle="1" w:styleId="y2iqfc">
    <w:name w:val="y2iqfc"/>
    <w:basedOn w:val="Domylnaczcionkaakapitu"/>
    <w:rsid w:val="0065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23">
      <w:bodyDiv w:val="1"/>
      <w:marLeft w:val="0"/>
      <w:marRight w:val="0"/>
      <w:marTop w:val="0"/>
      <w:marBottom w:val="0"/>
      <w:divBdr>
        <w:top w:val="none" w:sz="0" w:space="0" w:color="auto"/>
        <w:left w:val="none" w:sz="0" w:space="0" w:color="auto"/>
        <w:bottom w:val="none" w:sz="0" w:space="0" w:color="auto"/>
        <w:right w:val="none" w:sz="0" w:space="0" w:color="auto"/>
      </w:divBdr>
    </w:div>
    <w:div w:id="110637706">
      <w:bodyDiv w:val="1"/>
      <w:marLeft w:val="0"/>
      <w:marRight w:val="0"/>
      <w:marTop w:val="0"/>
      <w:marBottom w:val="0"/>
      <w:divBdr>
        <w:top w:val="none" w:sz="0" w:space="0" w:color="auto"/>
        <w:left w:val="none" w:sz="0" w:space="0" w:color="auto"/>
        <w:bottom w:val="none" w:sz="0" w:space="0" w:color="auto"/>
        <w:right w:val="none" w:sz="0" w:space="0" w:color="auto"/>
      </w:divBdr>
    </w:div>
    <w:div w:id="136848799">
      <w:bodyDiv w:val="1"/>
      <w:marLeft w:val="0"/>
      <w:marRight w:val="0"/>
      <w:marTop w:val="0"/>
      <w:marBottom w:val="0"/>
      <w:divBdr>
        <w:top w:val="none" w:sz="0" w:space="0" w:color="auto"/>
        <w:left w:val="none" w:sz="0" w:space="0" w:color="auto"/>
        <w:bottom w:val="none" w:sz="0" w:space="0" w:color="auto"/>
        <w:right w:val="none" w:sz="0" w:space="0" w:color="auto"/>
      </w:divBdr>
    </w:div>
    <w:div w:id="175770122">
      <w:bodyDiv w:val="1"/>
      <w:marLeft w:val="0"/>
      <w:marRight w:val="0"/>
      <w:marTop w:val="0"/>
      <w:marBottom w:val="0"/>
      <w:divBdr>
        <w:top w:val="none" w:sz="0" w:space="0" w:color="auto"/>
        <w:left w:val="none" w:sz="0" w:space="0" w:color="auto"/>
        <w:bottom w:val="none" w:sz="0" w:space="0" w:color="auto"/>
        <w:right w:val="none" w:sz="0" w:space="0" w:color="auto"/>
      </w:divBdr>
    </w:div>
    <w:div w:id="242765311">
      <w:bodyDiv w:val="1"/>
      <w:marLeft w:val="0"/>
      <w:marRight w:val="0"/>
      <w:marTop w:val="0"/>
      <w:marBottom w:val="0"/>
      <w:divBdr>
        <w:top w:val="none" w:sz="0" w:space="0" w:color="auto"/>
        <w:left w:val="none" w:sz="0" w:space="0" w:color="auto"/>
        <w:bottom w:val="none" w:sz="0" w:space="0" w:color="auto"/>
        <w:right w:val="none" w:sz="0" w:space="0" w:color="auto"/>
      </w:divBdr>
    </w:div>
    <w:div w:id="244728840">
      <w:bodyDiv w:val="1"/>
      <w:marLeft w:val="0"/>
      <w:marRight w:val="0"/>
      <w:marTop w:val="0"/>
      <w:marBottom w:val="0"/>
      <w:divBdr>
        <w:top w:val="none" w:sz="0" w:space="0" w:color="auto"/>
        <w:left w:val="none" w:sz="0" w:space="0" w:color="auto"/>
        <w:bottom w:val="none" w:sz="0" w:space="0" w:color="auto"/>
        <w:right w:val="none" w:sz="0" w:space="0" w:color="auto"/>
      </w:divBdr>
    </w:div>
    <w:div w:id="261498201">
      <w:bodyDiv w:val="1"/>
      <w:marLeft w:val="0"/>
      <w:marRight w:val="0"/>
      <w:marTop w:val="0"/>
      <w:marBottom w:val="0"/>
      <w:divBdr>
        <w:top w:val="none" w:sz="0" w:space="0" w:color="auto"/>
        <w:left w:val="none" w:sz="0" w:space="0" w:color="auto"/>
        <w:bottom w:val="none" w:sz="0" w:space="0" w:color="auto"/>
        <w:right w:val="none" w:sz="0" w:space="0" w:color="auto"/>
      </w:divBdr>
    </w:div>
    <w:div w:id="282730535">
      <w:bodyDiv w:val="1"/>
      <w:marLeft w:val="0"/>
      <w:marRight w:val="0"/>
      <w:marTop w:val="0"/>
      <w:marBottom w:val="0"/>
      <w:divBdr>
        <w:top w:val="none" w:sz="0" w:space="0" w:color="auto"/>
        <w:left w:val="none" w:sz="0" w:space="0" w:color="auto"/>
        <w:bottom w:val="none" w:sz="0" w:space="0" w:color="auto"/>
        <w:right w:val="none" w:sz="0" w:space="0" w:color="auto"/>
      </w:divBdr>
    </w:div>
    <w:div w:id="311913799">
      <w:bodyDiv w:val="1"/>
      <w:marLeft w:val="0"/>
      <w:marRight w:val="0"/>
      <w:marTop w:val="0"/>
      <w:marBottom w:val="0"/>
      <w:divBdr>
        <w:top w:val="none" w:sz="0" w:space="0" w:color="auto"/>
        <w:left w:val="none" w:sz="0" w:space="0" w:color="auto"/>
        <w:bottom w:val="none" w:sz="0" w:space="0" w:color="auto"/>
        <w:right w:val="none" w:sz="0" w:space="0" w:color="auto"/>
      </w:divBdr>
    </w:div>
    <w:div w:id="322318414">
      <w:bodyDiv w:val="1"/>
      <w:marLeft w:val="0"/>
      <w:marRight w:val="0"/>
      <w:marTop w:val="0"/>
      <w:marBottom w:val="0"/>
      <w:divBdr>
        <w:top w:val="none" w:sz="0" w:space="0" w:color="auto"/>
        <w:left w:val="none" w:sz="0" w:space="0" w:color="auto"/>
        <w:bottom w:val="none" w:sz="0" w:space="0" w:color="auto"/>
        <w:right w:val="none" w:sz="0" w:space="0" w:color="auto"/>
      </w:divBdr>
    </w:div>
    <w:div w:id="371030676">
      <w:bodyDiv w:val="1"/>
      <w:marLeft w:val="0"/>
      <w:marRight w:val="0"/>
      <w:marTop w:val="0"/>
      <w:marBottom w:val="0"/>
      <w:divBdr>
        <w:top w:val="none" w:sz="0" w:space="0" w:color="auto"/>
        <w:left w:val="none" w:sz="0" w:space="0" w:color="auto"/>
        <w:bottom w:val="none" w:sz="0" w:space="0" w:color="auto"/>
        <w:right w:val="none" w:sz="0" w:space="0" w:color="auto"/>
      </w:divBdr>
    </w:div>
    <w:div w:id="381514880">
      <w:bodyDiv w:val="1"/>
      <w:marLeft w:val="0"/>
      <w:marRight w:val="0"/>
      <w:marTop w:val="0"/>
      <w:marBottom w:val="0"/>
      <w:divBdr>
        <w:top w:val="none" w:sz="0" w:space="0" w:color="auto"/>
        <w:left w:val="none" w:sz="0" w:space="0" w:color="auto"/>
        <w:bottom w:val="none" w:sz="0" w:space="0" w:color="auto"/>
        <w:right w:val="none" w:sz="0" w:space="0" w:color="auto"/>
      </w:divBdr>
    </w:div>
    <w:div w:id="401411176">
      <w:bodyDiv w:val="1"/>
      <w:marLeft w:val="0"/>
      <w:marRight w:val="0"/>
      <w:marTop w:val="0"/>
      <w:marBottom w:val="0"/>
      <w:divBdr>
        <w:top w:val="none" w:sz="0" w:space="0" w:color="auto"/>
        <w:left w:val="none" w:sz="0" w:space="0" w:color="auto"/>
        <w:bottom w:val="none" w:sz="0" w:space="0" w:color="auto"/>
        <w:right w:val="none" w:sz="0" w:space="0" w:color="auto"/>
      </w:divBdr>
    </w:div>
    <w:div w:id="432439038">
      <w:bodyDiv w:val="1"/>
      <w:marLeft w:val="0"/>
      <w:marRight w:val="0"/>
      <w:marTop w:val="0"/>
      <w:marBottom w:val="0"/>
      <w:divBdr>
        <w:top w:val="none" w:sz="0" w:space="0" w:color="auto"/>
        <w:left w:val="none" w:sz="0" w:space="0" w:color="auto"/>
        <w:bottom w:val="none" w:sz="0" w:space="0" w:color="auto"/>
        <w:right w:val="none" w:sz="0" w:space="0" w:color="auto"/>
      </w:divBdr>
    </w:div>
    <w:div w:id="437987985">
      <w:bodyDiv w:val="1"/>
      <w:marLeft w:val="0"/>
      <w:marRight w:val="0"/>
      <w:marTop w:val="0"/>
      <w:marBottom w:val="0"/>
      <w:divBdr>
        <w:top w:val="none" w:sz="0" w:space="0" w:color="auto"/>
        <w:left w:val="none" w:sz="0" w:space="0" w:color="auto"/>
        <w:bottom w:val="none" w:sz="0" w:space="0" w:color="auto"/>
        <w:right w:val="none" w:sz="0" w:space="0" w:color="auto"/>
      </w:divBdr>
      <w:divsChild>
        <w:div w:id="1574119536">
          <w:marLeft w:val="0"/>
          <w:marRight w:val="0"/>
          <w:marTop w:val="0"/>
          <w:marBottom w:val="0"/>
          <w:divBdr>
            <w:top w:val="none" w:sz="0" w:space="0" w:color="auto"/>
            <w:left w:val="none" w:sz="0" w:space="0" w:color="auto"/>
            <w:bottom w:val="none" w:sz="0" w:space="0" w:color="auto"/>
            <w:right w:val="none" w:sz="0" w:space="0" w:color="auto"/>
          </w:divBdr>
          <w:divsChild>
            <w:div w:id="536160761">
              <w:marLeft w:val="0"/>
              <w:marRight w:val="0"/>
              <w:marTop w:val="0"/>
              <w:marBottom w:val="0"/>
              <w:divBdr>
                <w:top w:val="none" w:sz="0" w:space="0" w:color="auto"/>
                <w:left w:val="none" w:sz="0" w:space="0" w:color="auto"/>
                <w:bottom w:val="none" w:sz="0" w:space="0" w:color="auto"/>
                <w:right w:val="none" w:sz="0" w:space="0" w:color="auto"/>
              </w:divBdr>
            </w:div>
          </w:divsChild>
        </w:div>
        <w:div w:id="1215581800">
          <w:marLeft w:val="0"/>
          <w:marRight w:val="0"/>
          <w:marTop w:val="0"/>
          <w:marBottom w:val="0"/>
          <w:divBdr>
            <w:top w:val="none" w:sz="0" w:space="0" w:color="auto"/>
            <w:left w:val="none" w:sz="0" w:space="0" w:color="auto"/>
            <w:bottom w:val="none" w:sz="0" w:space="0" w:color="auto"/>
            <w:right w:val="none" w:sz="0" w:space="0" w:color="auto"/>
          </w:divBdr>
          <w:divsChild>
            <w:div w:id="1067993652">
              <w:marLeft w:val="0"/>
              <w:marRight w:val="0"/>
              <w:marTop w:val="0"/>
              <w:marBottom w:val="0"/>
              <w:divBdr>
                <w:top w:val="none" w:sz="0" w:space="0" w:color="auto"/>
                <w:left w:val="none" w:sz="0" w:space="0" w:color="auto"/>
                <w:bottom w:val="none" w:sz="0" w:space="0" w:color="auto"/>
                <w:right w:val="none" w:sz="0" w:space="0" w:color="auto"/>
              </w:divBdr>
            </w:div>
          </w:divsChild>
        </w:div>
        <w:div w:id="1513453273">
          <w:marLeft w:val="0"/>
          <w:marRight w:val="0"/>
          <w:marTop w:val="0"/>
          <w:marBottom w:val="0"/>
          <w:divBdr>
            <w:top w:val="none" w:sz="0" w:space="0" w:color="auto"/>
            <w:left w:val="none" w:sz="0" w:space="0" w:color="auto"/>
            <w:bottom w:val="none" w:sz="0" w:space="0" w:color="auto"/>
            <w:right w:val="none" w:sz="0" w:space="0" w:color="auto"/>
          </w:divBdr>
          <w:divsChild>
            <w:div w:id="2031685024">
              <w:marLeft w:val="0"/>
              <w:marRight w:val="0"/>
              <w:marTop w:val="0"/>
              <w:marBottom w:val="0"/>
              <w:divBdr>
                <w:top w:val="none" w:sz="0" w:space="0" w:color="auto"/>
                <w:left w:val="none" w:sz="0" w:space="0" w:color="auto"/>
                <w:bottom w:val="none" w:sz="0" w:space="0" w:color="auto"/>
                <w:right w:val="none" w:sz="0" w:space="0" w:color="auto"/>
              </w:divBdr>
            </w:div>
            <w:div w:id="1247693391">
              <w:marLeft w:val="0"/>
              <w:marRight w:val="0"/>
              <w:marTop w:val="0"/>
              <w:marBottom w:val="0"/>
              <w:divBdr>
                <w:top w:val="none" w:sz="0" w:space="0" w:color="auto"/>
                <w:left w:val="none" w:sz="0" w:space="0" w:color="auto"/>
                <w:bottom w:val="none" w:sz="0" w:space="0" w:color="auto"/>
                <w:right w:val="none" w:sz="0" w:space="0" w:color="auto"/>
              </w:divBdr>
            </w:div>
            <w:div w:id="1391460354">
              <w:marLeft w:val="0"/>
              <w:marRight w:val="0"/>
              <w:marTop w:val="0"/>
              <w:marBottom w:val="0"/>
              <w:divBdr>
                <w:top w:val="none" w:sz="0" w:space="0" w:color="auto"/>
                <w:left w:val="none" w:sz="0" w:space="0" w:color="auto"/>
                <w:bottom w:val="none" w:sz="0" w:space="0" w:color="auto"/>
                <w:right w:val="none" w:sz="0" w:space="0" w:color="auto"/>
              </w:divBdr>
            </w:div>
            <w:div w:id="1586960893">
              <w:marLeft w:val="0"/>
              <w:marRight w:val="0"/>
              <w:marTop w:val="0"/>
              <w:marBottom w:val="0"/>
              <w:divBdr>
                <w:top w:val="none" w:sz="0" w:space="0" w:color="auto"/>
                <w:left w:val="none" w:sz="0" w:space="0" w:color="auto"/>
                <w:bottom w:val="none" w:sz="0" w:space="0" w:color="auto"/>
                <w:right w:val="none" w:sz="0" w:space="0" w:color="auto"/>
              </w:divBdr>
            </w:div>
          </w:divsChild>
        </w:div>
        <w:div w:id="1634824027">
          <w:marLeft w:val="0"/>
          <w:marRight w:val="0"/>
          <w:marTop w:val="0"/>
          <w:marBottom w:val="0"/>
          <w:divBdr>
            <w:top w:val="none" w:sz="0" w:space="0" w:color="auto"/>
            <w:left w:val="none" w:sz="0" w:space="0" w:color="auto"/>
            <w:bottom w:val="none" w:sz="0" w:space="0" w:color="auto"/>
            <w:right w:val="none" w:sz="0" w:space="0" w:color="auto"/>
          </w:divBdr>
          <w:divsChild>
            <w:div w:id="445347406">
              <w:marLeft w:val="0"/>
              <w:marRight w:val="0"/>
              <w:marTop w:val="0"/>
              <w:marBottom w:val="0"/>
              <w:divBdr>
                <w:top w:val="none" w:sz="0" w:space="0" w:color="auto"/>
                <w:left w:val="none" w:sz="0" w:space="0" w:color="auto"/>
                <w:bottom w:val="none" w:sz="0" w:space="0" w:color="auto"/>
                <w:right w:val="none" w:sz="0" w:space="0" w:color="auto"/>
              </w:divBdr>
            </w:div>
            <w:div w:id="1129934582">
              <w:marLeft w:val="0"/>
              <w:marRight w:val="0"/>
              <w:marTop w:val="0"/>
              <w:marBottom w:val="0"/>
              <w:divBdr>
                <w:top w:val="none" w:sz="0" w:space="0" w:color="auto"/>
                <w:left w:val="none" w:sz="0" w:space="0" w:color="auto"/>
                <w:bottom w:val="none" w:sz="0" w:space="0" w:color="auto"/>
                <w:right w:val="none" w:sz="0" w:space="0" w:color="auto"/>
              </w:divBdr>
            </w:div>
          </w:divsChild>
        </w:div>
        <w:div w:id="681398230">
          <w:marLeft w:val="0"/>
          <w:marRight w:val="0"/>
          <w:marTop w:val="0"/>
          <w:marBottom w:val="0"/>
          <w:divBdr>
            <w:top w:val="none" w:sz="0" w:space="0" w:color="auto"/>
            <w:left w:val="none" w:sz="0" w:space="0" w:color="auto"/>
            <w:bottom w:val="none" w:sz="0" w:space="0" w:color="auto"/>
            <w:right w:val="none" w:sz="0" w:space="0" w:color="auto"/>
          </w:divBdr>
          <w:divsChild>
            <w:div w:id="515315828">
              <w:marLeft w:val="0"/>
              <w:marRight w:val="0"/>
              <w:marTop w:val="0"/>
              <w:marBottom w:val="0"/>
              <w:divBdr>
                <w:top w:val="none" w:sz="0" w:space="0" w:color="auto"/>
                <w:left w:val="none" w:sz="0" w:space="0" w:color="auto"/>
                <w:bottom w:val="none" w:sz="0" w:space="0" w:color="auto"/>
                <w:right w:val="none" w:sz="0" w:space="0" w:color="auto"/>
              </w:divBdr>
            </w:div>
            <w:div w:id="998967393">
              <w:marLeft w:val="0"/>
              <w:marRight w:val="0"/>
              <w:marTop w:val="0"/>
              <w:marBottom w:val="0"/>
              <w:divBdr>
                <w:top w:val="none" w:sz="0" w:space="0" w:color="auto"/>
                <w:left w:val="none" w:sz="0" w:space="0" w:color="auto"/>
                <w:bottom w:val="none" w:sz="0" w:space="0" w:color="auto"/>
                <w:right w:val="none" w:sz="0" w:space="0" w:color="auto"/>
              </w:divBdr>
            </w:div>
            <w:div w:id="133722533">
              <w:marLeft w:val="0"/>
              <w:marRight w:val="0"/>
              <w:marTop w:val="0"/>
              <w:marBottom w:val="0"/>
              <w:divBdr>
                <w:top w:val="none" w:sz="0" w:space="0" w:color="auto"/>
                <w:left w:val="none" w:sz="0" w:space="0" w:color="auto"/>
                <w:bottom w:val="none" w:sz="0" w:space="0" w:color="auto"/>
                <w:right w:val="none" w:sz="0" w:space="0" w:color="auto"/>
              </w:divBdr>
            </w:div>
            <w:div w:id="1921671798">
              <w:marLeft w:val="0"/>
              <w:marRight w:val="0"/>
              <w:marTop w:val="0"/>
              <w:marBottom w:val="0"/>
              <w:divBdr>
                <w:top w:val="none" w:sz="0" w:space="0" w:color="auto"/>
                <w:left w:val="none" w:sz="0" w:space="0" w:color="auto"/>
                <w:bottom w:val="none" w:sz="0" w:space="0" w:color="auto"/>
                <w:right w:val="none" w:sz="0" w:space="0" w:color="auto"/>
              </w:divBdr>
            </w:div>
          </w:divsChild>
        </w:div>
        <w:div w:id="773985601">
          <w:marLeft w:val="0"/>
          <w:marRight w:val="0"/>
          <w:marTop w:val="0"/>
          <w:marBottom w:val="0"/>
          <w:divBdr>
            <w:top w:val="none" w:sz="0" w:space="0" w:color="auto"/>
            <w:left w:val="none" w:sz="0" w:space="0" w:color="auto"/>
            <w:bottom w:val="none" w:sz="0" w:space="0" w:color="auto"/>
            <w:right w:val="none" w:sz="0" w:space="0" w:color="auto"/>
          </w:divBdr>
          <w:divsChild>
            <w:div w:id="1924294199">
              <w:marLeft w:val="0"/>
              <w:marRight w:val="0"/>
              <w:marTop w:val="0"/>
              <w:marBottom w:val="0"/>
              <w:divBdr>
                <w:top w:val="none" w:sz="0" w:space="0" w:color="auto"/>
                <w:left w:val="none" w:sz="0" w:space="0" w:color="auto"/>
                <w:bottom w:val="none" w:sz="0" w:space="0" w:color="auto"/>
                <w:right w:val="none" w:sz="0" w:space="0" w:color="auto"/>
              </w:divBdr>
            </w:div>
            <w:div w:id="1670258028">
              <w:marLeft w:val="0"/>
              <w:marRight w:val="0"/>
              <w:marTop w:val="0"/>
              <w:marBottom w:val="0"/>
              <w:divBdr>
                <w:top w:val="none" w:sz="0" w:space="0" w:color="auto"/>
                <w:left w:val="none" w:sz="0" w:space="0" w:color="auto"/>
                <w:bottom w:val="none" w:sz="0" w:space="0" w:color="auto"/>
                <w:right w:val="none" w:sz="0" w:space="0" w:color="auto"/>
              </w:divBdr>
            </w:div>
            <w:div w:id="1525287938">
              <w:marLeft w:val="0"/>
              <w:marRight w:val="0"/>
              <w:marTop w:val="0"/>
              <w:marBottom w:val="0"/>
              <w:divBdr>
                <w:top w:val="none" w:sz="0" w:space="0" w:color="auto"/>
                <w:left w:val="none" w:sz="0" w:space="0" w:color="auto"/>
                <w:bottom w:val="none" w:sz="0" w:space="0" w:color="auto"/>
                <w:right w:val="none" w:sz="0" w:space="0" w:color="auto"/>
              </w:divBdr>
            </w:div>
            <w:div w:id="1089960663">
              <w:marLeft w:val="0"/>
              <w:marRight w:val="0"/>
              <w:marTop w:val="0"/>
              <w:marBottom w:val="0"/>
              <w:divBdr>
                <w:top w:val="none" w:sz="0" w:space="0" w:color="auto"/>
                <w:left w:val="none" w:sz="0" w:space="0" w:color="auto"/>
                <w:bottom w:val="none" w:sz="0" w:space="0" w:color="auto"/>
                <w:right w:val="none" w:sz="0" w:space="0" w:color="auto"/>
              </w:divBdr>
            </w:div>
            <w:div w:id="5136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8905">
      <w:bodyDiv w:val="1"/>
      <w:marLeft w:val="0"/>
      <w:marRight w:val="0"/>
      <w:marTop w:val="0"/>
      <w:marBottom w:val="0"/>
      <w:divBdr>
        <w:top w:val="none" w:sz="0" w:space="0" w:color="auto"/>
        <w:left w:val="none" w:sz="0" w:space="0" w:color="auto"/>
        <w:bottom w:val="none" w:sz="0" w:space="0" w:color="auto"/>
        <w:right w:val="none" w:sz="0" w:space="0" w:color="auto"/>
      </w:divBdr>
    </w:div>
    <w:div w:id="471366113">
      <w:bodyDiv w:val="1"/>
      <w:marLeft w:val="0"/>
      <w:marRight w:val="0"/>
      <w:marTop w:val="0"/>
      <w:marBottom w:val="0"/>
      <w:divBdr>
        <w:top w:val="none" w:sz="0" w:space="0" w:color="auto"/>
        <w:left w:val="none" w:sz="0" w:space="0" w:color="auto"/>
        <w:bottom w:val="none" w:sz="0" w:space="0" w:color="auto"/>
        <w:right w:val="none" w:sz="0" w:space="0" w:color="auto"/>
      </w:divBdr>
    </w:div>
    <w:div w:id="472215057">
      <w:bodyDiv w:val="1"/>
      <w:marLeft w:val="0"/>
      <w:marRight w:val="0"/>
      <w:marTop w:val="0"/>
      <w:marBottom w:val="0"/>
      <w:divBdr>
        <w:top w:val="none" w:sz="0" w:space="0" w:color="auto"/>
        <w:left w:val="none" w:sz="0" w:space="0" w:color="auto"/>
        <w:bottom w:val="none" w:sz="0" w:space="0" w:color="auto"/>
        <w:right w:val="none" w:sz="0" w:space="0" w:color="auto"/>
      </w:divBdr>
    </w:div>
    <w:div w:id="479275446">
      <w:bodyDiv w:val="1"/>
      <w:marLeft w:val="0"/>
      <w:marRight w:val="0"/>
      <w:marTop w:val="0"/>
      <w:marBottom w:val="0"/>
      <w:divBdr>
        <w:top w:val="none" w:sz="0" w:space="0" w:color="auto"/>
        <w:left w:val="none" w:sz="0" w:space="0" w:color="auto"/>
        <w:bottom w:val="none" w:sz="0" w:space="0" w:color="auto"/>
        <w:right w:val="none" w:sz="0" w:space="0" w:color="auto"/>
      </w:divBdr>
    </w:div>
    <w:div w:id="516117539">
      <w:bodyDiv w:val="1"/>
      <w:marLeft w:val="0"/>
      <w:marRight w:val="0"/>
      <w:marTop w:val="0"/>
      <w:marBottom w:val="0"/>
      <w:divBdr>
        <w:top w:val="none" w:sz="0" w:space="0" w:color="auto"/>
        <w:left w:val="none" w:sz="0" w:space="0" w:color="auto"/>
        <w:bottom w:val="none" w:sz="0" w:space="0" w:color="auto"/>
        <w:right w:val="none" w:sz="0" w:space="0" w:color="auto"/>
      </w:divBdr>
    </w:div>
    <w:div w:id="540943224">
      <w:bodyDiv w:val="1"/>
      <w:marLeft w:val="0"/>
      <w:marRight w:val="0"/>
      <w:marTop w:val="0"/>
      <w:marBottom w:val="0"/>
      <w:divBdr>
        <w:top w:val="none" w:sz="0" w:space="0" w:color="auto"/>
        <w:left w:val="none" w:sz="0" w:space="0" w:color="auto"/>
        <w:bottom w:val="none" w:sz="0" w:space="0" w:color="auto"/>
        <w:right w:val="none" w:sz="0" w:space="0" w:color="auto"/>
      </w:divBdr>
    </w:div>
    <w:div w:id="545603261">
      <w:bodyDiv w:val="1"/>
      <w:marLeft w:val="0"/>
      <w:marRight w:val="0"/>
      <w:marTop w:val="0"/>
      <w:marBottom w:val="0"/>
      <w:divBdr>
        <w:top w:val="none" w:sz="0" w:space="0" w:color="auto"/>
        <w:left w:val="none" w:sz="0" w:space="0" w:color="auto"/>
        <w:bottom w:val="none" w:sz="0" w:space="0" w:color="auto"/>
        <w:right w:val="none" w:sz="0" w:space="0" w:color="auto"/>
      </w:divBdr>
      <w:divsChild>
        <w:div w:id="1378318941">
          <w:marLeft w:val="0"/>
          <w:marRight w:val="0"/>
          <w:marTop w:val="0"/>
          <w:marBottom w:val="0"/>
          <w:divBdr>
            <w:top w:val="none" w:sz="0" w:space="0" w:color="auto"/>
            <w:left w:val="none" w:sz="0" w:space="0" w:color="auto"/>
            <w:bottom w:val="none" w:sz="0" w:space="0" w:color="auto"/>
            <w:right w:val="none" w:sz="0" w:space="0" w:color="auto"/>
          </w:divBdr>
        </w:div>
        <w:div w:id="1911884665">
          <w:marLeft w:val="0"/>
          <w:marRight w:val="0"/>
          <w:marTop w:val="0"/>
          <w:marBottom w:val="0"/>
          <w:divBdr>
            <w:top w:val="none" w:sz="0" w:space="0" w:color="auto"/>
            <w:left w:val="none" w:sz="0" w:space="0" w:color="auto"/>
            <w:bottom w:val="none" w:sz="0" w:space="0" w:color="auto"/>
            <w:right w:val="none" w:sz="0" w:space="0" w:color="auto"/>
          </w:divBdr>
        </w:div>
      </w:divsChild>
    </w:div>
    <w:div w:id="548997116">
      <w:bodyDiv w:val="1"/>
      <w:marLeft w:val="0"/>
      <w:marRight w:val="0"/>
      <w:marTop w:val="0"/>
      <w:marBottom w:val="0"/>
      <w:divBdr>
        <w:top w:val="none" w:sz="0" w:space="0" w:color="auto"/>
        <w:left w:val="none" w:sz="0" w:space="0" w:color="auto"/>
        <w:bottom w:val="none" w:sz="0" w:space="0" w:color="auto"/>
        <w:right w:val="none" w:sz="0" w:space="0" w:color="auto"/>
      </w:divBdr>
    </w:div>
    <w:div w:id="641927008">
      <w:bodyDiv w:val="1"/>
      <w:marLeft w:val="0"/>
      <w:marRight w:val="0"/>
      <w:marTop w:val="0"/>
      <w:marBottom w:val="0"/>
      <w:divBdr>
        <w:top w:val="none" w:sz="0" w:space="0" w:color="auto"/>
        <w:left w:val="none" w:sz="0" w:space="0" w:color="auto"/>
        <w:bottom w:val="none" w:sz="0" w:space="0" w:color="auto"/>
        <w:right w:val="none" w:sz="0" w:space="0" w:color="auto"/>
      </w:divBdr>
    </w:div>
    <w:div w:id="717361308">
      <w:bodyDiv w:val="1"/>
      <w:marLeft w:val="0"/>
      <w:marRight w:val="0"/>
      <w:marTop w:val="0"/>
      <w:marBottom w:val="0"/>
      <w:divBdr>
        <w:top w:val="none" w:sz="0" w:space="0" w:color="auto"/>
        <w:left w:val="none" w:sz="0" w:space="0" w:color="auto"/>
        <w:bottom w:val="none" w:sz="0" w:space="0" w:color="auto"/>
        <w:right w:val="none" w:sz="0" w:space="0" w:color="auto"/>
      </w:divBdr>
    </w:div>
    <w:div w:id="755134975">
      <w:bodyDiv w:val="1"/>
      <w:marLeft w:val="0"/>
      <w:marRight w:val="0"/>
      <w:marTop w:val="0"/>
      <w:marBottom w:val="0"/>
      <w:divBdr>
        <w:top w:val="none" w:sz="0" w:space="0" w:color="auto"/>
        <w:left w:val="none" w:sz="0" w:space="0" w:color="auto"/>
        <w:bottom w:val="none" w:sz="0" w:space="0" w:color="auto"/>
        <w:right w:val="none" w:sz="0" w:space="0" w:color="auto"/>
      </w:divBdr>
      <w:divsChild>
        <w:div w:id="1156796130">
          <w:marLeft w:val="0"/>
          <w:marRight w:val="0"/>
          <w:marTop w:val="0"/>
          <w:marBottom w:val="0"/>
          <w:divBdr>
            <w:top w:val="none" w:sz="0" w:space="0" w:color="auto"/>
            <w:left w:val="none" w:sz="0" w:space="0" w:color="auto"/>
            <w:bottom w:val="none" w:sz="0" w:space="0" w:color="auto"/>
            <w:right w:val="none" w:sz="0" w:space="0" w:color="auto"/>
          </w:divBdr>
          <w:divsChild>
            <w:div w:id="983580594">
              <w:marLeft w:val="0"/>
              <w:marRight w:val="0"/>
              <w:marTop w:val="0"/>
              <w:marBottom w:val="0"/>
              <w:divBdr>
                <w:top w:val="none" w:sz="0" w:space="0" w:color="auto"/>
                <w:left w:val="none" w:sz="0" w:space="0" w:color="auto"/>
                <w:bottom w:val="none" w:sz="0" w:space="0" w:color="auto"/>
                <w:right w:val="none" w:sz="0" w:space="0" w:color="auto"/>
              </w:divBdr>
            </w:div>
          </w:divsChild>
        </w:div>
        <w:div w:id="219099897">
          <w:marLeft w:val="0"/>
          <w:marRight w:val="0"/>
          <w:marTop w:val="0"/>
          <w:marBottom w:val="0"/>
          <w:divBdr>
            <w:top w:val="none" w:sz="0" w:space="0" w:color="auto"/>
            <w:left w:val="none" w:sz="0" w:space="0" w:color="auto"/>
            <w:bottom w:val="none" w:sz="0" w:space="0" w:color="auto"/>
            <w:right w:val="none" w:sz="0" w:space="0" w:color="auto"/>
          </w:divBdr>
          <w:divsChild>
            <w:div w:id="1458990791">
              <w:marLeft w:val="0"/>
              <w:marRight w:val="0"/>
              <w:marTop w:val="0"/>
              <w:marBottom w:val="0"/>
              <w:divBdr>
                <w:top w:val="none" w:sz="0" w:space="0" w:color="auto"/>
                <w:left w:val="none" w:sz="0" w:space="0" w:color="auto"/>
                <w:bottom w:val="none" w:sz="0" w:space="0" w:color="auto"/>
                <w:right w:val="none" w:sz="0" w:space="0" w:color="auto"/>
              </w:divBdr>
            </w:div>
            <w:div w:id="2109083114">
              <w:marLeft w:val="0"/>
              <w:marRight w:val="0"/>
              <w:marTop w:val="0"/>
              <w:marBottom w:val="0"/>
              <w:divBdr>
                <w:top w:val="none" w:sz="0" w:space="0" w:color="auto"/>
                <w:left w:val="none" w:sz="0" w:space="0" w:color="auto"/>
                <w:bottom w:val="none" w:sz="0" w:space="0" w:color="auto"/>
                <w:right w:val="none" w:sz="0" w:space="0" w:color="auto"/>
              </w:divBdr>
            </w:div>
            <w:div w:id="1516580677">
              <w:marLeft w:val="0"/>
              <w:marRight w:val="0"/>
              <w:marTop w:val="0"/>
              <w:marBottom w:val="0"/>
              <w:divBdr>
                <w:top w:val="none" w:sz="0" w:space="0" w:color="auto"/>
                <w:left w:val="none" w:sz="0" w:space="0" w:color="auto"/>
                <w:bottom w:val="none" w:sz="0" w:space="0" w:color="auto"/>
                <w:right w:val="none" w:sz="0" w:space="0" w:color="auto"/>
              </w:divBdr>
            </w:div>
            <w:div w:id="2054310314">
              <w:marLeft w:val="0"/>
              <w:marRight w:val="0"/>
              <w:marTop w:val="0"/>
              <w:marBottom w:val="0"/>
              <w:divBdr>
                <w:top w:val="none" w:sz="0" w:space="0" w:color="auto"/>
                <w:left w:val="none" w:sz="0" w:space="0" w:color="auto"/>
                <w:bottom w:val="none" w:sz="0" w:space="0" w:color="auto"/>
                <w:right w:val="none" w:sz="0" w:space="0" w:color="auto"/>
              </w:divBdr>
            </w:div>
            <w:div w:id="161900198">
              <w:marLeft w:val="0"/>
              <w:marRight w:val="0"/>
              <w:marTop w:val="0"/>
              <w:marBottom w:val="0"/>
              <w:divBdr>
                <w:top w:val="none" w:sz="0" w:space="0" w:color="auto"/>
                <w:left w:val="none" w:sz="0" w:space="0" w:color="auto"/>
                <w:bottom w:val="none" w:sz="0" w:space="0" w:color="auto"/>
                <w:right w:val="none" w:sz="0" w:space="0" w:color="auto"/>
              </w:divBdr>
            </w:div>
            <w:div w:id="49303517">
              <w:marLeft w:val="0"/>
              <w:marRight w:val="0"/>
              <w:marTop w:val="0"/>
              <w:marBottom w:val="0"/>
              <w:divBdr>
                <w:top w:val="none" w:sz="0" w:space="0" w:color="auto"/>
                <w:left w:val="none" w:sz="0" w:space="0" w:color="auto"/>
                <w:bottom w:val="none" w:sz="0" w:space="0" w:color="auto"/>
                <w:right w:val="none" w:sz="0" w:space="0" w:color="auto"/>
              </w:divBdr>
            </w:div>
          </w:divsChild>
        </w:div>
        <w:div w:id="1755007736">
          <w:marLeft w:val="0"/>
          <w:marRight w:val="0"/>
          <w:marTop w:val="0"/>
          <w:marBottom w:val="0"/>
          <w:divBdr>
            <w:top w:val="none" w:sz="0" w:space="0" w:color="auto"/>
            <w:left w:val="none" w:sz="0" w:space="0" w:color="auto"/>
            <w:bottom w:val="none" w:sz="0" w:space="0" w:color="auto"/>
            <w:right w:val="none" w:sz="0" w:space="0" w:color="auto"/>
          </w:divBdr>
          <w:divsChild>
            <w:div w:id="335693582">
              <w:marLeft w:val="0"/>
              <w:marRight w:val="0"/>
              <w:marTop w:val="0"/>
              <w:marBottom w:val="0"/>
              <w:divBdr>
                <w:top w:val="none" w:sz="0" w:space="0" w:color="auto"/>
                <w:left w:val="none" w:sz="0" w:space="0" w:color="auto"/>
                <w:bottom w:val="none" w:sz="0" w:space="0" w:color="auto"/>
                <w:right w:val="none" w:sz="0" w:space="0" w:color="auto"/>
              </w:divBdr>
            </w:div>
            <w:div w:id="1919173133">
              <w:marLeft w:val="0"/>
              <w:marRight w:val="0"/>
              <w:marTop w:val="0"/>
              <w:marBottom w:val="0"/>
              <w:divBdr>
                <w:top w:val="none" w:sz="0" w:space="0" w:color="auto"/>
                <w:left w:val="none" w:sz="0" w:space="0" w:color="auto"/>
                <w:bottom w:val="none" w:sz="0" w:space="0" w:color="auto"/>
                <w:right w:val="none" w:sz="0" w:space="0" w:color="auto"/>
              </w:divBdr>
            </w:div>
          </w:divsChild>
        </w:div>
        <w:div w:id="2066097471">
          <w:marLeft w:val="0"/>
          <w:marRight w:val="0"/>
          <w:marTop w:val="0"/>
          <w:marBottom w:val="0"/>
          <w:divBdr>
            <w:top w:val="none" w:sz="0" w:space="0" w:color="auto"/>
            <w:left w:val="none" w:sz="0" w:space="0" w:color="auto"/>
            <w:bottom w:val="none" w:sz="0" w:space="0" w:color="auto"/>
            <w:right w:val="none" w:sz="0" w:space="0" w:color="auto"/>
          </w:divBdr>
          <w:divsChild>
            <w:div w:id="1309895990">
              <w:marLeft w:val="0"/>
              <w:marRight w:val="0"/>
              <w:marTop w:val="0"/>
              <w:marBottom w:val="0"/>
              <w:divBdr>
                <w:top w:val="none" w:sz="0" w:space="0" w:color="auto"/>
                <w:left w:val="none" w:sz="0" w:space="0" w:color="auto"/>
                <w:bottom w:val="none" w:sz="0" w:space="0" w:color="auto"/>
                <w:right w:val="none" w:sz="0" w:space="0" w:color="auto"/>
              </w:divBdr>
            </w:div>
            <w:div w:id="1251350348">
              <w:marLeft w:val="0"/>
              <w:marRight w:val="0"/>
              <w:marTop w:val="0"/>
              <w:marBottom w:val="0"/>
              <w:divBdr>
                <w:top w:val="none" w:sz="0" w:space="0" w:color="auto"/>
                <w:left w:val="none" w:sz="0" w:space="0" w:color="auto"/>
                <w:bottom w:val="none" w:sz="0" w:space="0" w:color="auto"/>
                <w:right w:val="none" w:sz="0" w:space="0" w:color="auto"/>
              </w:divBdr>
            </w:div>
          </w:divsChild>
        </w:div>
        <w:div w:id="2059088155">
          <w:marLeft w:val="0"/>
          <w:marRight w:val="0"/>
          <w:marTop w:val="0"/>
          <w:marBottom w:val="0"/>
          <w:divBdr>
            <w:top w:val="none" w:sz="0" w:space="0" w:color="auto"/>
            <w:left w:val="none" w:sz="0" w:space="0" w:color="auto"/>
            <w:bottom w:val="none" w:sz="0" w:space="0" w:color="auto"/>
            <w:right w:val="none" w:sz="0" w:space="0" w:color="auto"/>
          </w:divBdr>
          <w:divsChild>
            <w:div w:id="674577946">
              <w:marLeft w:val="0"/>
              <w:marRight w:val="0"/>
              <w:marTop w:val="0"/>
              <w:marBottom w:val="0"/>
              <w:divBdr>
                <w:top w:val="none" w:sz="0" w:space="0" w:color="auto"/>
                <w:left w:val="none" w:sz="0" w:space="0" w:color="auto"/>
                <w:bottom w:val="none" w:sz="0" w:space="0" w:color="auto"/>
                <w:right w:val="none" w:sz="0" w:space="0" w:color="auto"/>
              </w:divBdr>
            </w:div>
            <w:div w:id="2046904605">
              <w:marLeft w:val="0"/>
              <w:marRight w:val="0"/>
              <w:marTop w:val="0"/>
              <w:marBottom w:val="0"/>
              <w:divBdr>
                <w:top w:val="none" w:sz="0" w:space="0" w:color="auto"/>
                <w:left w:val="none" w:sz="0" w:space="0" w:color="auto"/>
                <w:bottom w:val="none" w:sz="0" w:space="0" w:color="auto"/>
                <w:right w:val="none" w:sz="0" w:space="0" w:color="auto"/>
              </w:divBdr>
            </w:div>
            <w:div w:id="152261965">
              <w:marLeft w:val="0"/>
              <w:marRight w:val="0"/>
              <w:marTop w:val="0"/>
              <w:marBottom w:val="0"/>
              <w:divBdr>
                <w:top w:val="none" w:sz="0" w:space="0" w:color="auto"/>
                <w:left w:val="none" w:sz="0" w:space="0" w:color="auto"/>
                <w:bottom w:val="none" w:sz="0" w:space="0" w:color="auto"/>
                <w:right w:val="none" w:sz="0" w:space="0" w:color="auto"/>
              </w:divBdr>
            </w:div>
            <w:div w:id="43918026">
              <w:marLeft w:val="0"/>
              <w:marRight w:val="0"/>
              <w:marTop w:val="0"/>
              <w:marBottom w:val="0"/>
              <w:divBdr>
                <w:top w:val="none" w:sz="0" w:space="0" w:color="auto"/>
                <w:left w:val="none" w:sz="0" w:space="0" w:color="auto"/>
                <w:bottom w:val="none" w:sz="0" w:space="0" w:color="auto"/>
                <w:right w:val="none" w:sz="0" w:space="0" w:color="auto"/>
              </w:divBdr>
            </w:div>
            <w:div w:id="964769958">
              <w:marLeft w:val="0"/>
              <w:marRight w:val="0"/>
              <w:marTop w:val="0"/>
              <w:marBottom w:val="0"/>
              <w:divBdr>
                <w:top w:val="none" w:sz="0" w:space="0" w:color="auto"/>
                <w:left w:val="none" w:sz="0" w:space="0" w:color="auto"/>
                <w:bottom w:val="none" w:sz="0" w:space="0" w:color="auto"/>
                <w:right w:val="none" w:sz="0" w:space="0" w:color="auto"/>
              </w:divBdr>
            </w:div>
            <w:div w:id="1463888802">
              <w:marLeft w:val="0"/>
              <w:marRight w:val="0"/>
              <w:marTop w:val="0"/>
              <w:marBottom w:val="0"/>
              <w:divBdr>
                <w:top w:val="none" w:sz="0" w:space="0" w:color="auto"/>
                <w:left w:val="none" w:sz="0" w:space="0" w:color="auto"/>
                <w:bottom w:val="none" w:sz="0" w:space="0" w:color="auto"/>
                <w:right w:val="none" w:sz="0" w:space="0" w:color="auto"/>
              </w:divBdr>
            </w:div>
            <w:div w:id="2115243403">
              <w:marLeft w:val="0"/>
              <w:marRight w:val="0"/>
              <w:marTop w:val="0"/>
              <w:marBottom w:val="0"/>
              <w:divBdr>
                <w:top w:val="none" w:sz="0" w:space="0" w:color="auto"/>
                <w:left w:val="none" w:sz="0" w:space="0" w:color="auto"/>
                <w:bottom w:val="none" w:sz="0" w:space="0" w:color="auto"/>
                <w:right w:val="none" w:sz="0" w:space="0" w:color="auto"/>
              </w:divBdr>
            </w:div>
            <w:div w:id="421342802">
              <w:marLeft w:val="0"/>
              <w:marRight w:val="0"/>
              <w:marTop w:val="0"/>
              <w:marBottom w:val="0"/>
              <w:divBdr>
                <w:top w:val="none" w:sz="0" w:space="0" w:color="auto"/>
                <w:left w:val="none" w:sz="0" w:space="0" w:color="auto"/>
                <w:bottom w:val="none" w:sz="0" w:space="0" w:color="auto"/>
                <w:right w:val="none" w:sz="0" w:space="0" w:color="auto"/>
              </w:divBdr>
            </w:div>
            <w:div w:id="497040092">
              <w:marLeft w:val="0"/>
              <w:marRight w:val="0"/>
              <w:marTop w:val="0"/>
              <w:marBottom w:val="0"/>
              <w:divBdr>
                <w:top w:val="none" w:sz="0" w:space="0" w:color="auto"/>
                <w:left w:val="none" w:sz="0" w:space="0" w:color="auto"/>
                <w:bottom w:val="none" w:sz="0" w:space="0" w:color="auto"/>
                <w:right w:val="none" w:sz="0" w:space="0" w:color="auto"/>
              </w:divBdr>
            </w:div>
            <w:div w:id="741097355">
              <w:marLeft w:val="0"/>
              <w:marRight w:val="0"/>
              <w:marTop w:val="0"/>
              <w:marBottom w:val="0"/>
              <w:divBdr>
                <w:top w:val="none" w:sz="0" w:space="0" w:color="auto"/>
                <w:left w:val="none" w:sz="0" w:space="0" w:color="auto"/>
                <w:bottom w:val="none" w:sz="0" w:space="0" w:color="auto"/>
                <w:right w:val="none" w:sz="0" w:space="0" w:color="auto"/>
              </w:divBdr>
            </w:div>
          </w:divsChild>
        </w:div>
        <w:div w:id="851990356">
          <w:marLeft w:val="0"/>
          <w:marRight w:val="0"/>
          <w:marTop w:val="0"/>
          <w:marBottom w:val="0"/>
          <w:divBdr>
            <w:top w:val="none" w:sz="0" w:space="0" w:color="auto"/>
            <w:left w:val="none" w:sz="0" w:space="0" w:color="auto"/>
            <w:bottom w:val="none" w:sz="0" w:space="0" w:color="auto"/>
            <w:right w:val="none" w:sz="0" w:space="0" w:color="auto"/>
          </w:divBdr>
          <w:divsChild>
            <w:div w:id="1809056021">
              <w:marLeft w:val="0"/>
              <w:marRight w:val="0"/>
              <w:marTop w:val="0"/>
              <w:marBottom w:val="0"/>
              <w:divBdr>
                <w:top w:val="none" w:sz="0" w:space="0" w:color="auto"/>
                <w:left w:val="none" w:sz="0" w:space="0" w:color="auto"/>
                <w:bottom w:val="none" w:sz="0" w:space="0" w:color="auto"/>
                <w:right w:val="none" w:sz="0" w:space="0" w:color="auto"/>
              </w:divBdr>
            </w:div>
            <w:div w:id="2027052589">
              <w:marLeft w:val="0"/>
              <w:marRight w:val="0"/>
              <w:marTop w:val="0"/>
              <w:marBottom w:val="0"/>
              <w:divBdr>
                <w:top w:val="none" w:sz="0" w:space="0" w:color="auto"/>
                <w:left w:val="none" w:sz="0" w:space="0" w:color="auto"/>
                <w:bottom w:val="none" w:sz="0" w:space="0" w:color="auto"/>
                <w:right w:val="none" w:sz="0" w:space="0" w:color="auto"/>
              </w:divBdr>
            </w:div>
            <w:div w:id="194268385">
              <w:marLeft w:val="0"/>
              <w:marRight w:val="0"/>
              <w:marTop w:val="0"/>
              <w:marBottom w:val="0"/>
              <w:divBdr>
                <w:top w:val="none" w:sz="0" w:space="0" w:color="auto"/>
                <w:left w:val="none" w:sz="0" w:space="0" w:color="auto"/>
                <w:bottom w:val="none" w:sz="0" w:space="0" w:color="auto"/>
                <w:right w:val="none" w:sz="0" w:space="0" w:color="auto"/>
              </w:divBdr>
            </w:div>
            <w:div w:id="1686050380">
              <w:marLeft w:val="0"/>
              <w:marRight w:val="0"/>
              <w:marTop w:val="0"/>
              <w:marBottom w:val="0"/>
              <w:divBdr>
                <w:top w:val="none" w:sz="0" w:space="0" w:color="auto"/>
                <w:left w:val="none" w:sz="0" w:space="0" w:color="auto"/>
                <w:bottom w:val="none" w:sz="0" w:space="0" w:color="auto"/>
                <w:right w:val="none" w:sz="0" w:space="0" w:color="auto"/>
              </w:divBdr>
            </w:div>
            <w:div w:id="2066249655">
              <w:marLeft w:val="0"/>
              <w:marRight w:val="0"/>
              <w:marTop w:val="0"/>
              <w:marBottom w:val="0"/>
              <w:divBdr>
                <w:top w:val="none" w:sz="0" w:space="0" w:color="auto"/>
                <w:left w:val="none" w:sz="0" w:space="0" w:color="auto"/>
                <w:bottom w:val="none" w:sz="0" w:space="0" w:color="auto"/>
                <w:right w:val="none" w:sz="0" w:space="0" w:color="auto"/>
              </w:divBdr>
            </w:div>
            <w:div w:id="1438253714">
              <w:marLeft w:val="0"/>
              <w:marRight w:val="0"/>
              <w:marTop w:val="0"/>
              <w:marBottom w:val="0"/>
              <w:divBdr>
                <w:top w:val="none" w:sz="0" w:space="0" w:color="auto"/>
                <w:left w:val="none" w:sz="0" w:space="0" w:color="auto"/>
                <w:bottom w:val="none" w:sz="0" w:space="0" w:color="auto"/>
                <w:right w:val="none" w:sz="0" w:space="0" w:color="auto"/>
              </w:divBdr>
            </w:div>
            <w:div w:id="469784041">
              <w:marLeft w:val="0"/>
              <w:marRight w:val="0"/>
              <w:marTop w:val="0"/>
              <w:marBottom w:val="0"/>
              <w:divBdr>
                <w:top w:val="none" w:sz="0" w:space="0" w:color="auto"/>
                <w:left w:val="none" w:sz="0" w:space="0" w:color="auto"/>
                <w:bottom w:val="none" w:sz="0" w:space="0" w:color="auto"/>
                <w:right w:val="none" w:sz="0" w:space="0" w:color="auto"/>
              </w:divBdr>
            </w:div>
            <w:div w:id="1717776417">
              <w:marLeft w:val="0"/>
              <w:marRight w:val="0"/>
              <w:marTop w:val="0"/>
              <w:marBottom w:val="0"/>
              <w:divBdr>
                <w:top w:val="none" w:sz="0" w:space="0" w:color="auto"/>
                <w:left w:val="none" w:sz="0" w:space="0" w:color="auto"/>
                <w:bottom w:val="none" w:sz="0" w:space="0" w:color="auto"/>
                <w:right w:val="none" w:sz="0" w:space="0" w:color="auto"/>
              </w:divBdr>
            </w:div>
            <w:div w:id="115605893">
              <w:marLeft w:val="0"/>
              <w:marRight w:val="0"/>
              <w:marTop w:val="0"/>
              <w:marBottom w:val="0"/>
              <w:divBdr>
                <w:top w:val="none" w:sz="0" w:space="0" w:color="auto"/>
                <w:left w:val="none" w:sz="0" w:space="0" w:color="auto"/>
                <w:bottom w:val="none" w:sz="0" w:space="0" w:color="auto"/>
                <w:right w:val="none" w:sz="0" w:space="0" w:color="auto"/>
              </w:divBdr>
            </w:div>
            <w:div w:id="1259800437">
              <w:marLeft w:val="0"/>
              <w:marRight w:val="0"/>
              <w:marTop w:val="0"/>
              <w:marBottom w:val="0"/>
              <w:divBdr>
                <w:top w:val="none" w:sz="0" w:space="0" w:color="auto"/>
                <w:left w:val="none" w:sz="0" w:space="0" w:color="auto"/>
                <w:bottom w:val="none" w:sz="0" w:space="0" w:color="auto"/>
                <w:right w:val="none" w:sz="0" w:space="0" w:color="auto"/>
              </w:divBdr>
            </w:div>
          </w:divsChild>
        </w:div>
        <w:div w:id="35132555">
          <w:marLeft w:val="0"/>
          <w:marRight w:val="0"/>
          <w:marTop w:val="0"/>
          <w:marBottom w:val="0"/>
          <w:divBdr>
            <w:top w:val="none" w:sz="0" w:space="0" w:color="auto"/>
            <w:left w:val="none" w:sz="0" w:space="0" w:color="auto"/>
            <w:bottom w:val="none" w:sz="0" w:space="0" w:color="auto"/>
            <w:right w:val="none" w:sz="0" w:space="0" w:color="auto"/>
          </w:divBdr>
          <w:divsChild>
            <w:div w:id="1235705339">
              <w:marLeft w:val="0"/>
              <w:marRight w:val="0"/>
              <w:marTop w:val="0"/>
              <w:marBottom w:val="0"/>
              <w:divBdr>
                <w:top w:val="none" w:sz="0" w:space="0" w:color="auto"/>
                <w:left w:val="none" w:sz="0" w:space="0" w:color="auto"/>
                <w:bottom w:val="none" w:sz="0" w:space="0" w:color="auto"/>
                <w:right w:val="none" w:sz="0" w:space="0" w:color="auto"/>
              </w:divBdr>
            </w:div>
            <w:div w:id="2067798510">
              <w:marLeft w:val="0"/>
              <w:marRight w:val="0"/>
              <w:marTop w:val="0"/>
              <w:marBottom w:val="0"/>
              <w:divBdr>
                <w:top w:val="none" w:sz="0" w:space="0" w:color="auto"/>
                <w:left w:val="none" w:sz="0" w:space="0" w:color="auto"/>
                <w:bottom w:val="none" w:sz="0" w:space="0" w:color="auto"/>
                <w:right w:val="none" w:sz="0" w:space="0" w:color="auto"/>
              </w:divBdr>
            </w:div>
            <w:div w:id="1624580821">
              <w:marLeft w:val="0"/>
              <w:marRight w:val="0"/>
              <w:marTop w:val="0"/>
              <w:marBottom w:val="0"/>
              <w:divBdr>
                <w:top w:val="none" w:sz="0" w:space="0" w:color="auto"/>
                <w:left w:val="none" w:sz="0" w:space="0" w:color="auto"/>
                <w:bottom w:val="none" w:sz="0" w:space="0" w:color="auto"/>
                <w:right w:val="none" w:sz="0" w:space="0" w:color="auto"/>
              </w:divBdr>
            </w:div>
            <w:div w:id="1447192670">
              <w:marLeft w:val="0"/>
              <w:marRight w:val="0"/>
              <w:marTop w:val="0"/>
              <w:marBottom w:val="0"/>
              <w:divBdr>
                <w:top w:val="none" w:sz="0" w:space="0" w:color="auto"/>
                <w:left w:val="none" w:sz="0" w:space="0" w:color="auto"/>
                <w:bottom w:val="none" w:sz="0" w:space="0" w:color="auto"/>
                <w:right w:val="none" w:sz="0" w:space="0" w:color="auto"/>
              </w:divBdr>
            </w:div>
            <w:div w:id="146365871">
              <w:marLeft w:val="0"/>
              <w:marRight w:val="0"/>
              <w:marTop w:val="0"/>
              <w:marBottom w:val="0"/>
              <w:divBdr>
                <w:top w:val="none" w:sz="0" w:space="0" w:color="auto"/>
                <w:left w:val="none" w:sz="0" w:space="0" w:color="auto"/>
                <w:bottom w:val="none" w:sz="0" w:space="0" w:color="auto"/>
                <w:right w:val="none" w:sz="0" w:space="0" w:color="auto"/>
              </w:divBdr>
            </w:div>
            <w:div w:id="499351301">
              <w:marLeft w:val="0"/>
              <w:marRight w:val="0"/>
              <w:marTop w:val="0"/>
              <w:marBottom w:val="0"/>
              <w:divBdr>
                <w:top w:val="none" w:sz="0" w:space="0" w:color="auto"/>
                <w:left w:val="none" w:sz="0" w:space="0" w:color="auto"/>
                <w:bottom w:val="none" w:sz="0" w:space="0" w:color="auto"/>
                <w:right w:val="none" w:sz="0" w:space="0" w:color="auto"/>
              </w:divBdr>
            </w:div>
            <w:div w:id="232930201">
              <w:marLeft w:val="0"/>
              <w:marRight w:val="0"/>
              <w:marTop w:val="0"/>
              <w:marBottom w:val="0"/>
              <w:divBdr>
                <w:top w:val="none" w:sz="0" w:space="0" w:color="auto"/>
                <w:left w:val="none" w:sz="0" w:space="0" w:color="auto"/>
                <w:bottom w:val="none" w:sz="0" w:space="0" w:color="auto"/>
                <w:right w:val="none" w:sz="0" w:space="0" w:color="auto"/>
              </w:divBdr>
            </w:div>
            <w:div w:id="2076194059">
              <w:marLeft w:val="0"/>
              <w:marRight w:val="0"/>
              <w:marTop w:val="0"/>
              <w:marBottom w:val="0"/>
              <w:divBdr>
                <w:top w:val="none" w:sz="0" w:space="0" w:color="auto"/>
                <w:left w:val="none" w:sz="0" w:space="0" w:color="auto"/>
                <w:bottom w:val="none" w:sz="0" w:space="0" w:color="auto"/>
                <w:right w:val="none" w:sz="0" w:space="0" w:color="auto"/>
              </w:divBdr>
            </w:div>
            <w:div w:id="268054260">
              <w:marLeft w:val="0"/>
              <w:marRight w:val="0"/>
              <w:marTop w:val="0"/>
              <w:marBottom w:val="0"/>
              <w:divBdr>
                <w:top w:val="none" w:sz="0" w:space="0" w:color="auto"/>
                <w:left w:val="none" w:sz="0" w:space="0" w:color="auto"/>
                <w:bottom w:val="none" w:sz="0" w:space="0" w:color="auto"/>
                <w:right w:val="none" w:sz="0" w:space="0" w:color="auto"/>
              </w:divBdr>
            </w:div>
            <w:div w:id="1684163947">
              <w:marLeft w:val="0"/>
              <w:marRight w:val="0"/>
              <w:marTop w:val="0"/>
              <w:marBottom w:val="0"/>
              <w:divBdr>
                <w:top w:val="none" w:sz="0" w:space="0" w:color="auto"/>
                <w:left w:val="none" w:sz="0" w:space="0" w:color="auto"/>
                <w:bottom w:val="none" w:sz="0" w:space="0" w:color="auto"/>
                <w:right w:val="none" w:sz="0" w:space="0" w:color="auto"/>
              </w:divBdr>
            </w:div>
          </w:divsChild>
        </w:div>
        <w:div w:id="1540629710">
          <w:marLeft w:val="0"/>
          <w:marRight w:val="0"/>
          <w:marTop w:val="0"/>
          <w:marBottom w:val="0"/>
          <w:divBdr>
            <w:top w:val="none" w:sz="0" w:space="0" w:color="auto"/>
            <w:left w:val="none" w:sz="0" w:space="0" w:color="auto"/>
            <w:bottom w:val="none" w:sz="0" w:space="0" w:color="auto"/>
            <w:right w:val="none" w:sz="0" w:space="0" w:color="auto"/>
          </w:divBdr>
          <w:divsChild>
            <w:div w:id="637690020">
              <w:marLeft w:val="0"/>
              <w:marRight w:val="0"/>
              <w:marTop w:val="0"/>
              <w:marBottom w:val="0"/>
              <w:divBdr>
                <w:top w:val="none" w:sz="0" w:space="0" w:color="auto"/>
                <w:left w:val="none" w:sz="0" w:space="0" w:color="auto"/>
                <w:bottom w:val="none" w:sz="0" w:space="0" w:color="auto"/>
                <w:right w:val="none" w:sz="0" w:space="0" w:color="auto"/>
              </w:divBdr>
            </w:div>
            <w:div w:id="453914993">
              <w:marLeft w:val="0"/>
              <w:marRight w:val="0"/>
              <w:marTop w:val="0"/>
              <w:marBottom w:val="0"/>
              <w:divBdr>
                <w:top w:val="none" w:sz="0" w:space="0" w:color="auto"/>
                <w:left w:val="none" w:sz="0" w:space="0" w:color="auto"/>
                <w:bottom w:val="none" w:sz="0" w:space="0" w:color="auto"/>
                <w:right w:val="none" w:sz="0" w:space="0" w:color="auto"/>
              </w:divBdr>
            </w:div>
            <w:div w:id="1630821104">
              <w:marLeft w:val="0"/>
              <w:marRight w:val="0"/>
              <w:marTop w:val="0"/>
              <w:marBottom w:val="0"/>
              <w:divBdr>
                <w:top w:val="none" w:sz="0" w:space="0" w:color="auto"/>
                <w:left w:val="none" w:sz="0" w:space="0" w:color="auto"/>
                <w:bottom w:val="none" w:sz="0" w:space="0" w:color="auto"/>
                <w:right w:val="none" w:sz="0" w:space="0" w:color="auto"/>
              </w:divBdr>
            </w:div>
            <w:div w:id="1495299679">
              <w:marLeft w:val="0"/>
              <w:marRight w:val="0"/>
              <w:marTop w:val="0"/>
              <w:marBottom w:val="0"/>
              <w:divBdr>
                <w:top w:val="none" w:sz="0" w:space="0" w:color="auto"/>
                <w:left w:val="none" w:sz="0" w:space="0" w:color="auto"/>
                <w:bottom w:val="none" w:sz="0" w:space="0" w:color="auto"/>
                <w:right w:val="none" w:sz="0" w:space="0" w:color="auto"/>
              </w:divBdr>
            </w:div>
            <w:div w:id="1349140815">
              <w:marLeft w:val="0"/>
              <w:marRight w:val="0"/>
              <w:marTop w:val="0"/>
              <w:marBottom w:val="0"/>
              <w:divBdr>
                <w:top w:val="none" w:sz="0" w:space="0" w:color="auto"/>
                <w:left w:val="none" w:sz="0" w:space="0" w:color="auto"/>
                <w:bottom w:val="none" w:sz="0" w:space="0" w:color="auto"/>
                <w:right w:val="none" w:sz="0" w:space="0" w:color="auto"/>
              </w:divBdr>
            </w:div>
            <w:div w:id="355428159">
              <w:marLeft w:val="0"/>
              <w:marRight w:val="0"/>
              <w:marTop w:val="0"/>
              <w:marBottom w:val="0"/>
              <w:divBdr>
                <w:top w:val="none" w:sz="0" w:space="0" w:color="auto"/>
                <w:left w:val="none" w:sz="0" w:space="0" w:color="auto"/>
                <w:bottom w:val="none" w:sz="0" w:space="0" w:color="auto"/>
                <w:right w:val="none" w:sz="0" w:space="0" w:color="auto"/>
              </w:divBdr>
            </w:div>
            <w:div w:id="220143584">
              <w:marLeft w:val="0"/>
              <w:marRight w:val="0"/>
              <w:marTop w:val="0"/>
              <w:marBottom w:val="0"/>
              <w:divBdr>
                <w:top w:val="none" w:sz="0" w:space="0" w:color="auto"/>
                <w:left w:val="none" w:sz="0" w:space="0" w:color="auto"/>
                <w:bottom w:val="none" w:sz="0" w:space="0" w:color="auto"/>
                <w:right w:val="none" w:sz="0" w:space="0" w:color="auto"/>
              </w:divBdr>
            </w:div>
          </w:divsChild>
        </w:div>
        <w:div w:id="1432359360">
          <w:marLeft w:val="0"/>
          <w:marRight w:val="0"/>
          <w:marTop w:val="0"/>
          <w:marBottom w:val="0"/>
          <w:divBdr>
            <w:top w:val="none" w:sz="0" w:space="0" w:color="auto"/>
            <w:left w:val="none" w:sz="0" w:space="0" w:color="auto"/>
            <w:bottom w:val="none" w:sz="0" w:space="0" w:color="auto"/>
            <w:right w:val="none" w:sz="0" w:space="0" w:color="auto"/>
          </w:divBdr>
          <w:divsChild>
            <w:div w:id="153766475">
              <w:marLeft w:val="0"/>
              <w:marRight w:val="0"/>
              <w:marTop w:val="0"/>
              <w:marBottom w:val="0"/>
              <w:divBdr>
                <w:top w:val="none" w:sz="0" w:space="0" w:color="auto"/>
                <w:left w:val="none" w:sz="0" w:space="0" w:color="auto"/>
                <w:bottom w:val="none" w:sz="0" w:space="0" w:color="auto"/>
                <w:right w:val="none" w:sz="0" w:space="0" w:color="auto"/>
              </w:divBdr>
            </w:div>
            <w:div w:id="1024480698">
              <w:marLeft w:val="0"/>
              <w:marRight w:val="0"/>
              <w:marTop w:val="0"/>
              <w:marBottom w:val="0"/>
              <w:divBdr>
                <w:top w:val="none" w:sz="0" w:space="0" w:color="auto"/>
                <w:left w:val="none" w:sz="0" w:space="0" w:color="auto"/>
                <w:bottom w:val="none" w:sz="0" w:space="0" w:color="auto"/>
                <w:right w:val="none" w:sz="0" w:space="0" w:color="auto"/>
              </w:divBdr>
            </w:div>
            <w:div w:id="1865095792">
              <w:marLeft w:val="0"/>
              <w:marRight w:val="0"/>
              <w:marTop w:val="0"/>
              <w:marBottom w:val="0"/>
              <w:divBdr>
                <w:top w:val="none" w:sz="0" w:space="0" w:color="auto"/>
                <w:left w:val="none" w:sz="0" w:space="0" w:color="auto"/>
                <w:bottom w:val="none" w:sz="0" w:space="0" w:color="auto"/>
                <w:right w:val="none" w:sz="0" w:space="0" w:color="auto"/>
              </w:divBdr>
            </w:div>
            <w:div w:id="1253972949">
              <w:marLeft w:val="0"/>
              <w:marRight w:val="0"/>
              <w:marTop w:val="0"/>
              <w:marBottom w:val="0"/>
              <w:divBdr>
                <w:top w:val="none" w:sz="0" w:space="0" w:color="auto"/>
                <w:left w:val="none" w:sz="0" w:space="0" w:color="auto"/>
                <w:bottom w:val="none" w:sz="0" w:space="0" w:color="auto"/>
                <w:right w:val="none" w:sz="0" w:space="0" w:color="auto"/>
              </w:divBdr>
            </w:div>
            <w:div w:id="1330868161">
              <w:marLeft w:val="0"/>
              <w:marRight w:val="0"/>
              <w:marTop w:val="0"/>
              <w:marBottom w:val="0"/>
              <w:divBdr>
                <w:top w:val="none" w:sz="0" w:space="0" w:color="auto"/>
                <w:left w:val="none" w:sz="0" w:space="0" w:color="auto"/>
                <w:bottom w:val="none" w:sz="0" w:space="0" w:color="auto"/>
                <w:right w:val="none" w:sz="0" w:space="0" w:color="auto"/>
              </w:divBdr>
            </w:div>
            <w:div w:id="1586181084">
              <w:marLeft w:val="0"/>
              <w:marRight w:val="0"/>
              <w:marTop w:val="0"/>
              <w:marBottom w:val="0"/>
              <w:divBdr>
                <w:top w:val="none" w:sz="0" w:space="0" w:color="auto"/>
                <w:left w:val="none" w:sz="0" w:space="0" w:color="auto"/>
                <w:bottom w:val="none" w:sz="0" w:space="0" w:color="auto"/>
                <w:right w:val="none" w:sz="0" w:space="0" w:color="auto"/>
              </w:divBdr>
            </w:div>
            <w:div w:id="537818454">
              <w:marLeft w:val="0"/>
              <w:marRight w:val="0"/>
              <w:marTop w:val="0"/>
              <w:marBottom w:val="0"/>
              <w:divBdr>
                <w:top w:val="none" w:sz="0" w:space="0" w:color="auto"/>
                <w:left w:val="none" w:sz="0" w:space="0" w:color="auto"/>
                <w:bottom w:val="none" w:sz="0" w:space="0" w:color="auto"/>
                <w:right w:val="none" w:sz="0" w:space="0" w:color="auto"/>
              </w:divBdr>
            </w:div>
            <w:div w:id="386800388">
              <w:marLeft w:val="0"/>
              <w:marRight w:val="0"/>
              <w:marTop w:val="0"/>
              <w:marBottom w:val="0"/>
              <w:divBdr>
                <w:top w:val="none" w:sz="0" w:space="0" w:color="auto"/>
                <w:left w:val="none" w:sz="0" w:space="0" w:color="auto"/>
                <w:bottom w:val="none" w:sz="0" w:space="0" w:color="auto"/>
                <w:right w:val="none" w:sz="0" w:space="0" w:color="auto"/>
              </w:divBdr>
            </w:div>
            <w:div w:id="1868058281">
              <w:marLeft w:val="0"/>
              <w:marRight w:val="0"/>
              <w:marTop w:val="0"/>
              <w:marBottom w:val="0"/>
              <w:divBdr>
                <w:top w:val="none" w:sz="0" w:space="0" w:color="auto"/>
                <w:left w:val="none" w:sz="0" w:space="0" w:color="auto"/>
                <w:bottom w:val="none" w:sz="0" w:space="0" w:color="auto"/>
                <w:right w:val="none" w:sz="0" w:space="0" w:color="auto"/>
              </w:divBdr>
            </w:div>
            <w:div w:id="1412967436">
              <w:marLeft w:val="0"/>
              <w:marRight w:val="0"/>
              <w:marTop w:val="0"/>
              <w:marBottom w:val="0"/>
              <w:divBdr>
                <w:top w:val="none" w:sz="0" w:space="0" w:color="auto"/>
                <w:left w:val="none" w:sz="0" w:space="0" w:color="auto"/>
                <w:bottom w:val="none" w:sz="0" w:space="0" w:color="auto"/>
                <w:right w:val="none" w:sz="0" w:space="0" w:color="auto"/>
              </w:divBdr>
            </w:div>
          </w:divsChild>
        </w:div>
        <w:div w:id="913201585">
          <w:marLeft w:val="0"/>
          <w:marRight w:val="0"/>
          <w:marTop w:val="0"/>
          <w:marBottom w:val="0"/>
          <w:divBdr>
            <w:top w:val="none" w:sz="0" w:space="0" w:color="auto"/>
            <w:left w:val="none" w:sz="0" w:space="0" w:color="auto"/>
            <w:bottom w:val="none" w:sz="0" w:space="0" w:color="auto"/>
            <w:right w:val="none" w:sz="0" w:space="0" w:color="auto"/>
          </w:divBdr>
          <w:divsChild>
            <w:div w:id="177501430">
              <w:marLeft w:val="0"/>
              <w:marRight w:val="0"/>
              <w:marTop w:val="0"/>
              <w:marBottom w:val="0"/>
              <w:divBdr>
                <w:top w:val="none" w:sz="0" w:space="0" w:color="auto"/>
                <w:left w:val="none" w:sz="0" w:space="0" w:color="auto"/>
                <w:bottom w:val="none" w:sz="0" w:space="0" w:color="auto"/>
                <w:right w:val="none" w:sz="0" w:space="0" w:color="auto"/>
              </w:divBdr>
            </w:div>
            <w:div w:id="698167716">
              <w:marLeft w:val="0"/>
              <w:marRight w:val="0"/>
              <w:marTop w:val="0"/>
              <w:marBottom w:val="0"/>
              <w:divBdr>
                <w:top w:val="none" w:sz="0" w:space="0" w:color="auto"/>
                <w:left w:val="none" w:sz="0" w:space="0" w:color="auto"/>
                <w:bottom w:val="none" w:sz="0" w:space="0" w:color="auto"/>
                <w:right w:val="none" w:sz="0" w:space="0" w:color="auto"/>
              </w:divBdr>
            </w:div>
          </w:divsChild>
        </w:div>
        <w:div w:id="1669744729">
          <w:marLeft w:val="0"/>
          <w:marRight w:val="0"/>
          <w:marTop w:val="0"/>
          <w:marBottom w:val="0"/>
          <w:divBdr>
            <w:top w:val="none" w:sz="0" w:space="0" w:color="auto"/>
            <w:left w:val="none" w:sz="0" w:space="0" w:color="auto"/>
            <w:bottom w:val="none" w:sz="0" w:space="0" w:color="auto"/>
            <w:right w:val="none" w:sz="0" w:space="0" w:color="auto"/>
          </w:divBdr>
          <w:divsChild>
            <w:div w:id="1546330804">
              <w:marLeft w:val="0"/>
              <w:marRight w:val="0"/>
              <w:marTop w:val="0"/>
              <w:marBottom w:val="0"/>
              <w:divBdr>
                <w:top w:val="none" w:sz="0" w:space="0" w:color="auto"/>
                <w:left w:val="none" w:sz="0" w:space="0" w:color="auto"/>
                <w:bottom w:val="none" w:sz="0" w:space="0" w:color="auto"/>
                <w:right w:val="none" w:sz="0" w:space="0" w:color="auto"/>
              </w:divBdr>
            </w:div>
          </w:divsChild>
        </w:div>
        <w:div w:id="1421901528">
          <w:marLeft w:val="0"/>
          <w:marRight w:val="0"/>
          <w:marTop w:val="0"/>
          <w:marBottom w:val="0"/>
          <w:divBdr>
            <w:top w:val="none" w:sz="0" w:space="0" w:color="auto"/>
            <w:left w:val="none" w:sz="0" w:space="0" w:color="auto"/>
            <w:bottom w:val="none" w:sz="0" w:space="0" w:color="auto"/>
            <w:right w:val="none" w:sz="0" w:space="0" w:color="auto"/>
          </w:divBdr>
          <w:divsChild>
            <w:div w:id="511918826">
              <w:marLeft w:val="0"/>
              <w:marRight w:val="0"/>
              <w:marTop w:val="0"/>
              <w:marBottom w:val="0"/>
              <w:divBdr>
                <w:top w:val="none" w:sz="0" w:space="0" w:color="auto"/>
                <w:left w:val="none" w:sz="0" w:space="0" w:color="auto"/>
                <w:bottom w:val="none" w:sz="0" w:space="0" w:color="auto"/>
                <w:right w:val="none" w:sz="0" w:space="0" w:color="auto"/>
              </w:divBdr>
            </w:div>
            <w:div w:id="914586178">
              <w:marLeft w:val="0"/>
              <w:marRight w:val="0"/>
              <w:marTop w:val="0"/>
              <w:marBottom w:val="0"/>
              <w:divBdr>
                <w:top w:val="none" w:sz="0" w:space="0" w:color="auto"/>
                <w:left w:val="none" w:sz="0" w:space="0" w:color="auto"/>
                <w:bottom w:val="none" w:sz="0" w:space="0" w:color="auto"/>
                <w:right w:val="none" w:sz="0" w:space="0" w:color="auto"/>
              </w:divBdr>
            </w:div>
            <w:div w:id="1712072873">
              <w:marLeft w:val="0"/>
              <w:marRight w:val="0"/>
              <w:marTop w:val="0"/>
              <w:marBottom w:val="0"/>
              <w:divBdr>
                <w:top w:val="none" w:sz="0" w:space="0" w:color="auto"/>
                <w:left w:val="none" w:sz="0" w:space="0" w:color="auto"/>
                <w:bottom w:val="none" w:sz="0" w:space="0" w:color="auto"/>
                <w:right w:val="none" w:sz="0" w:space="0" w:color="auto"/>
              </w:divBdr>
            </w:div>
            <w:div w:id="1811170621">
              <w:marLeft w:val="0"/>
              <w:marRight w:val="0"/>
              <w:marTop w:val="0"/>
              <w:marBottom w:val="0"/>
              <w:divBdr>
                <w:top w:val="none" w:sz="0" w:space="0" w:color="auto"/>
                <w:left w:val="none" w:sz="0" w:space="0" w:color="auto"/>
                <w:bottom w:val="none" w:sz="0" w:space="0" w:color="auto"/>
                <w:right w:val="none" w:sz="0" w:space="0" w:color="auto"/>
              </w:divBdr>
            </w:div>
            <w:div w:id="1427537597">
              <w:marLeft w:val="0"/>
              <w:marRight w:val="0"/>
              <w:marTop w:val="0"/>
              <w:marBottom w:val="0"/>
              <w:divBdr>
                <w:top w:val="none" w:sz="0" w:space="0" w:color="auto"/>
                <w:left w:val="none" w:sz="0" w:space="0" w:color="auto"/>
                <w:bottom w:val="none" w:sz="0" w:space="0" w:color="auto"/>
                <w:right w:val="none" w:sz="0" w:space="0" w:color="auto"/>
              </w:divBdr>
            </w:div>
            <w:div w:id="1420906552">
              <w:marLeft w:val="0"/>
              <w:marRight w:val="0"/>
              <w:marTop w:val="0"/>
              <w:marBottom w:val="0"/>
              <w:divBdr>
                <w:top w:val="none" w:sz="0" w:space="0" w:color="auto"/>
                <w:left w:val="none" w:sz="0" w:space="0" w:color="auto"/>
                <w:bottom w:val="none" w:sz="0" w:space="0" w:color="auto"/>
                <w:right w:val="none" w:sz="0" w:space="0" w:color="auto"/>
              </w:divBdr>
            </w:div>
          </w:divsChild>
        </w:div>
        <w:div w:id="1663923027">
          <w:marLeft w:val="0"/>
          <w:marRight w:val="0"/>
          <w:marTop w:val="0"/>
          <w:marBottom w:val="0"/>
          <w:divBdr>
            <w:top w:val="none" w:sz="0" w:space="0" w:color="auto"/>
            <w:left w:val="none" w:sz="0" w:space="0" w:color="auto"/>
            <w:bottom w:val="none" w:sz="0" w:space="0" w:color="auto"/>
            <w:right w:val="none" w:sz="0" w:space="0" w:color="auto"/>
          </w:divBdr>
          <w:divsChild>
            <w:div w:id="1306010307">
              <w:marLeft w:val="0"/>
              <w:marRight w:val="0"/>
              <w:marTop w:val="0"/>
              <w:marBottom w:val="0"/>
              <w:divBdr>
                <w:top w:val="none" w:sz="0" w:space="0" w:color="auto"/>
                <w:left w:val="none" w:sz="0" w:space="0" w:color="auto"/>
                <w:bottom w:val="none" w:sz="0" w:space="0" w:color="auto"/>
                <w:right w:val="none" w:sz="0" w:space="0" w:color="auto"/>
              </w:divBdr>
            </w:div>
          </w:divsChild>
        </w:div>
        <w:div w:id="1719276061">
          <w:marLeft w:val="0"/>
          <w:marRight w:val="0"/>
          <w:marTop w:val="0"/>
          <w:marBottom w:val="0"/>
          <w:divBdr>
            <w:top w:val="none" w:sz="0" w:space="0" w:color="auto"/>
            <w:left w:val="none" w:sz="0" w:space="0" w:color="auto"/>
            <w:bottom w:val="none" w:sz="0" w:space="0" w:color="auto"/>
            <w:right w:val="none" w:sz="0" w:space="0" w:color="auto"/>
          </w:divBdr>
          <w:divsChild>
            <w:div w:id="127208891">
              <w:marLeft w:val="0"/>
              <w:marRight w:val="0"/>
              <w:marTop w:val="0"/>
              <w:marBottom w:val="0"/>
              <w:divBdr>
                <w:top w:val="none" w:sz="0" w:space="0" w:color="auto"/>
                <w:left w:val="none" w:sz="0" w:space="0" w:color="auto"/>
                <w:bottom w:val="none" w:sz="0" w:space="0" w:color="auto"/>
                <w:right w:val="none" w:sz="0" w:space="0" w:color="auto"/>
              </w:divBdr>
            </w:div>
            <w:div w:id="1541212720">
              <w:marLeft w:val="0"/>
              <w:marRight w:val="0"/>
              <w:marTop w:val="0"/>
              <w:marBottom w:val="0"/>
              <w:divBdr>
                <w:top w:val="none" w:sz="0" w:space="0" w:color="auto"/>
                <w:left w:val="none" w:sz="0" w:space="0" w:color="auto"/>
                <w:bottom w:val="none" w:sz="0" w:space="0" w:color="auto"/>
                <w:right w:val="none" w:sz="0" w:space="0" w:color="auto"/>
              </w:divBdr>
            </w:div>
            <w:div w:id="1296327941">
              <w:marLeft w:val="0"/>
              <w:marRight w:val="0"/>
              <w:marTop w:val="0"/>
              <w:marBottom w:val="0"/>
              <w:divBdr>
                <w:top w:val="none" w:sz="0" w:space="0" w:color="auto"/>
                <w:left w:val="none" w:sz="0" w:space="0" w:color="auto"/>
                <w:bottom w:val="none" w:sz="0" w:space="0" w:color="auto"/>
                <w:right w:val="none" w:sz="0" w:space="0" w:color="auto"/>
              </w:divBdr>
            </w:div>
            <w:div w:id="280452655">
              <w:marLeft w:val="0"/>
              <w:marRight w:val="0"/>
              <w:marTop w:val="0"/>
              <w:marBottom w:val="0"/>
              <w:divBdr>
                <w:top w:val="none" w:sz="0" w:space="0" w:color="auto"/>
                <w:left w:val="none" w:sz="0" w:space="0" w:color="auto"/>
                <w:bottom w:val="none" w:sz="0" w:space="0" w:color="auto"/>
                <w:right w:val="none" w:sz="0" w:space="0" w:color="auto"/>
              </w:divBdr>
            </w:div>
            <w:div w:id="1584954523">
              <w:marLeft w:val="0"/>
              <w:marRight w:val="0"/>
              <w:marTop w:val="0"/>
              <w:marBottom w:val="0"/>
              <w:divBdr>
                <w:top w:val="none" w:sz="0" w:space="0" w:color="auto"/>
                <w:left w:val="none" w:sz="0" w:space="0" w:color="auto"/>
                <w:bottom w:val="none" w:sz="0" w:space="0" w:color="auto"/>
                <w:right w:val="none" w:sz="0" w:space="0" w:color="auto"/>
              </w:divBdr>
            </w:div>
          </w:divsChild>
        </w:div>
        <w:div w:id="1035498301">
          <w:marLeft w:val="0"/>
          <w:marRight w:val="0"/>
          <w:marTop w:val="0"/>
          <w:marBottom w:val="0"/>
          <w:divBdr>
            <w:top w:val="none" w:sz="0" w:space="0" w:color="auto"/>
            <w:left w:val="none" w:sz="0" w:space="0" w:color="auto"/>
            <w:bottom w:val="none" w:sz="0" w:space="0" w:color="auto"/>
            <w:right w:val="none" w:sz="0" w:space="0" w:color="auto"/>
          </w:divBdr>
          <w:divsChild>
            <w:div w:id="2139570266">
              <w:marLeft w:val="0"/>
              <w:marRight w:val="0"/>
              <w:marTop w:val="0"/>
              <w:marBottom w:val="0"/>
              <w:divBdr>
                <w:top w:val="none" w:sz="0" w:space="0" w:color="auto"/>
                <w:left w:val="none" w:sz="0" w:space="0" w:color="auto"/>
                <w:bottom w:val="none" w:sz="0" w:space="0" w:color="auto"/>
                <w:right w:val="none" w:sz="0" w:space="0" w:color="auto"/>
              </w:divBdr>
            </w:div>
          </w:divsChild>
        </w:div>
        <w:div w:id="999043480">
          <w:marLeft w:val="0"/>
          <w:marRight w:val="0"/>
          <w:marTop w:val="0"/>
          <w:marBottom w:val="0"/>
          <w:divBdr>
            <w:top w:val="none" w:sz="0" w:space="0" w:color="auto"/>
            <w:left w:val="none" w:sz="0" w:space="0" w:color="auto"/>
            <w:bottom w:val="none" w:sz="0" w:space="0" w:color="auto"/>
            <w:right w:val="none" w:sz="0" w:space="0" w:color="auto"/>
          </w:divBdr>
          <w:divsChild>
            <w:div w:id="298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6805">
      <w:bodyDiv w:val="1"/>
      <w:marLeft w:val="0"/>
      <w:marRight w:val="0"/>
      <w:marTop w:val="0"/>
      <w:marBottom w:val="0"/>
      <w:divBdr>
        <w:top w:val="none" w:sz="0" w:space="0" w:color="auto"/>
        <w:left w:val="none" w:sz="0" w:space="0" w:color="auto"/>
        <w:bottom w:val="none" w:sz="0" w:space="0" w:color="auto"/>
        <w:right w:val="none" w:sz="0" w:space="0" w:color="auto"/>
      </w:divBdr>
    </w:div>
    <w:div w:id="790365514">
      <w:bodyDiv w:val="1"/>
      <w:marLeft w:val="0"/>
      <w:marRight w:val="0"/>
      <w:marTop w:val="0"/>
      <w:marBottom w:val="0"/>
      <w:divBdr>
        <w:top w:val="none" w:sz="0" w:space="0" w:color="auto"/>
        <w:left w:val="none" w:sz="0" w:space="0" w:color="auto"/>
        <w:bottom w:val="none" w:sz="0" w:space="0" w:color="auto"/>
        <w:right w:val="none" w:sz="0" w:space="0" w:color="auto"/>
      </w:divBdr>
    </w:div>
    <w:div w:id="817190080">
      <w:bodyDiv w:val="1"/>
      <w:marLeft w:val="0"/>
      <w:marRight w:val="0"/>
      <w:marTop w:val="0"/>
      <w:marBottom w:val="0"/>
      <w:divBdr>
        <w:top w:val="none" w:sz="0" w:space="0" w:color="auto"/>
        <w:left w:val="none" w:sz="0" w:space="0" w:color="auto"/>
        <w:bottom w:val="none" w:sz="0" w:space="0" w:color="auto"/>
        <w:right w:val="none" w:sz="0" w:space="0" w:color="auto"/>
      </w:divBdr>
      <w:divsChild>
        <w:div w:id="1555848365">
          <w:marLeft w:val="0"/>
          <w:marRight w:val="0"/>
          <w:marTop w:val="0"/>
          <w:marBottom w:val="0"/>
          <w:divBdr>
            <w:top w:val="none" w:sz="0" w:space="0" w:color="auto"/>
            <w:left w:val="none" w:sz="0" w:space="0" w:color="auto"/>
            <w:bottom w:val="none" w:sz="0" w:space="0" w:color="auto"/>
            <w:right w:val="none" w:sz="0" w:space="0" w:color="auto"/>
          </w:divBdr>
        </w:div>
        <w:div w:id="1826050877">
          <w:marLeft w:val="0"/>
          <w:marRight w:val="0"/>
          <w:marTop w:val="0"/>
          <w:marBottom w:val="0"/>
          <w:divBdr>
            <w:top w:val="none" w:sz="0" w:space="0" w:color="auto"/>
            <w:left w:val="none" w:sz="0" w:space="0" w:color="auto"/>
            <w:bottom w:val="none" w:sz="0" w:space="0" w:color="auto"/>
            <w:right w:val="none" w:sz="0" w:space="0" w:color="auto"/>
          </w:divBdr>
        </w:div>
        <w:div w:id="1987197447">
          <w:marLeft w:val="0"/>
          <w:marRight w:val="0"/>
          <w:marTop w:val="0"/>
          <w:marBottom w:val="0"/>
          <w:divBdr>
            <w:top w:val="none" w:sz="0" w:space="0" w:color="auto"/>
            <w:left w:val="none" w:sz="0" w:space="0" w:color="auto"/>
            <w:bottom w:val="none" w:sz="0" w:space="0" w:color="auto"/>
            <w:right w:val="none" w:sz="0" w:space="0" w:color="auto"/>
          </w:divBdr>
        </w:div>
        <w:div w:id="912467297">
          <w:marLeft w:val="0"/>
          <w:marRight w:val="0"/>
          <w:marTop w:val="0"/>
          <w:marBottom w:val="0"/>
          <w:divBdr>
            <w:top w:val="none" w:sz="0" w:space="0" w:color="auto"/>
            <w:left w:val="none" w:sz="0" w:space="0" w:color="auto"/>
            <w:bottom w:val="none" w:sz="0" w:space="0" w:color="auto"/>
            <w:right w:val="none" w:sz="0" w:space="0" w:color="auto"/>
          </w:divBdr>
        </w:div>
        <w:div w:id="131215952">
          <w:marLeft w:val="0"/>
          <w:marRight w:val="0"/>
          <w:marTop w:val="0"/>
          <w:marBottom w:val="0"/>
          <w:divBdr>
            <w:top w:val="none" w:sz="0" w:space="0" w:color="auto"/>
            <w:left w:val="none" w:sz="0" w:space="0" w:color="auto"/>
            <w:bottom w:val="none" w:sz="0" w:space="0" w:color="auto"/>
            <w:right w:val="none" w:sz="0" w:space="0" w:color="auto"/>
          </w:divBdr>
        </w:div>
        <w:div w:id="913659050">
          <w:marLeft w:val="0"/>
          <w:marRight w:val="0"/>
          <w:marTop w:val="0"/>
          <w:marBottom w:val="0"/>
          <w:divBdr>
            <w:top w:val="none" w:sz="0" w:space="0" w:color="auto"/>
            <w:left w:val="none" w:sz="0" w:space="0" w:color="auto"/>
            <w:bottom w:val="none" w:sz="0" w:space="0" w:color="auto"/>
            <w:right w:val="none" w:sz="0" w:space="0" w:color="auto"/>
          </w:divBdr>
        </w:div>
      </w:divsChild>
    </w:div>
    <w:div w:id="843787182">
      <w:bodyDiv w:val="1"/>
      <w:marLeft w:val="0"/>
      <w:marRight w:val="0"/>
      <w:marTop w:val="0"/>
      <w:marBottom w:val="0"/>
      <w:divBdr>
        <w:top w:val="none" w:sz="0" w:space="0" w:color="auto"/>
        <w:left w:val="none" w:sz="0" w:space="0" w:color="auto"/>
        <w:bottom w:val="none" w:sz="0" w:space="0" w:color="auto"/>
        <w:right w:val="none" w:sz="0" w:space="0" w:color="auto"/>
      </w:divBdr>
    </w:div>
    <w:div w:id="856579772">
      <w:bodyDiv w:val="1"/>
      <w:marLeft w:val="0"/>
      <w:marRight w:val="0"/>
      <w:marTop w:val="0"/>
      <w:marBottom w:val="0"/>
      <w:divBdr>
        <w:top w:val="none" w:sz="0" w:space="0" w:color="auto"/>
        <w:left w:val="none" w:sz="0" w:space="0" w:color="auto"/>
        <w:bottom w:val="none" w:sz="0" w:space="0" w:color="auto"/>
        <w:right w:val="none" w:sz="0" w:space="0" w:color="auto"/>
      </w:divBdr>
    </w:div>
    <w:div w:id="870340265">
      <w:bodyDiv w:val="1"/>
      <w:marLeft w:val="0"/>
      <w:marRight w:val="0"/>
      <w:marTop w:val="0"/>
      <w:marBottom w:val="0"/>
      <w:divBdr>
        <w:top w:val="none" w:sz="0" w:space="0" w:color="auto"/>
        <w:left w:val="none" w:sz="0" w:space="0" w:color="auto"/>
        <w:bottom w:val="none" w:sz="0" w:space="0" w:color="auto"/>
        <w:right w:val="none" w:sz="0" w:space="0" w:color="auto"/>
      </w:divBdr>
    </w:div>
    <w:div w:id="886722685">
      <w:bodyDiv w:val="1"/>
      <w:marLeft w:val="0"/>
      <w:marRight w:val="0"/>
      <w:marTop w:val="0"/>
      <w:marBottom w:val="0"/>
      <w:divBdr>
        <w:top w:val="none" w:sz="0" w:space="0" w:color="auto"/>
        <w:left w:val="none" w:sz="0" w:space="0" w:color="auto"/>
        <w:bottom w:val="none" w:sz="0" w:space="0" w:color="auto"/>
        <w:right w:val="none" w:sz="0" w:space="0" w:color="auto"/>
      </w:divBdr>
    </w:div>
    <w:div w:id="924192901">
      <w:bodyDiv w:val="1"/>
      <w:marLeft w:val="0"/>
      <w:marRight w:val="0"/>
      <w:marTop w:val="0"/>
      <w:marBottom w:val="0"/>
      <w:divBdr>
        <w:top w:val="none" w:sz="0" w:space="0" w:color="auto"/>
        <w:left w:val="none" w:sz="0" w:space="0" w:color="auto"/>
        <w:bottom w:val="none" w:sz="0" w:space="0" w:color="auto"/>
        <w:right w:val="none" w:sz="0" w:space="0" w:color="auto"/>
      </w:divBdr>
    </w:div>
    <w:div w:id="956445792">
      <w:bodyDiv w:val="1"/>
      <w:marLeft w:val="0"/>
      <w:marRight w:val="0"/>
      <w:marTop w:val="0"/>
      <w:marBottom w:val="0"/>
      <w:divBdr>
        <w:top w:val="none" w:sz="0" w:space="0" w:color="auto"/>
        <w:left w:val="none" w:sz="0" w:space="0" w:color="auto"/>
        <w:bottom w:val="none" w:sz="0" w:space="0" w:color="auto"/>
        <w:right w:val="none" w:sz="0" w:space="0" w:color="auto"/>
      </w:divBdr>
    </w:div>
    <w:div w:id="1084304413">
      <w:bodyDiv w:val="1"/>
      <w:marLeft w:val="0"/>
      <w:marRight w:val="0"/>
      <w:marTop w:val="0"/>
      <w:marBottom w:val="0"/>
      <w:divBdr>
        <w:top w:val="none" w:sz="0" w:space="0" w:color="auto"/>
        <w:left w:val="none" w:sz="0" w:space="0" w:color="auto"/>
        <w:bottom w:val="none" w:sz="0" w:space="0" w:color="auto"/>
        <w:right w:val="none" w:sz="0" w:space="0" w:color="auto"/>
      </w:divBdr>
      <w:divsChild>
        <w:div w:id="1792554008">
          <w:marLeft w:val="0"/>
          <w:marRight w:val="0"/>
          <w:marTop w:val="0"/>
          <w:marBottom w:val="0"/>
          <w:divBdr>
            <w:top w:val="none" w:sz="0" w:space="0" w:color="auto"/>
            <w:left w:val="none" w:sz="0" w:space="0" w:color="auto"/>
            <w:bottom w:val="none" w:sz="0" w:space="0" w:color="auto"/>
            <w:right w:val="none" w:sz="0" w:space="0" w:color="auto"/>
          </w:divBdr>
        </w:div>
        <w:div w:id="264966665">
          <w:marLeft w:val="0"/>
          <w:marRight w:val="0"/>
          <w:marTop w:val="0"/>
          <w:marBottom w:val="0"/>
          <w:divBdr>
            <w:top w:val="none" w:sz="0" w:space="0" w:color="auto"/>
            <w:left w:val="none" w:sz="0" w:space="0" w:color="auto"/>
            <w:bottom w:val="none" w:sz="0" w:space="0" w:color="auto"/>
            <w:right w:val="none" w:sz="0" w:space="0" w:color="auto"/>
          </w:divBdr>
        </w:div>
        <w:div w:id="1961453430">
          <w:marLeft w:val="0"/>
          <w:marRight w:val="0"/>
          <w:marTop w:val="0"/>
          <w:marBottom w:val="0"/>
          <w:divBdr>
            <w:top w:val="none" w:sz="0" w:space="0" w:color="auto"/>
            <w:left w:val="none" w:sz="0" w:space="0" w:color="auto"/>
            <w:bottom w:val="none" w:sz="0" w:space="0" w:color="auto"/>
            <w:right w:val="none" w:sz="0" w:space="0" w:color="auto"/>
          </w:divBdr>
        </w:div>
        <w:div w:id="1052998345">
          <w:marLeft w:val="0"/>
          <w:marRight w:val="0"/>
          <w:marTop w:val="0"/>
          <w:marBottom w:val="0"/>
          <w:divBdr>
            <w:top w:val="none" w:sz="0" w:space="0" w:color="auto"/>
            <w:left w:val="none" w:sz="0" w:space="0" w:color="auto"/>
            <w:bottom w:val="none" w:sz="0" w:space="0" w:color="auto"/>
            <w:right w:val="none" w:sz="0" w:space="0" w:color="auto"/>
          </w:divBdr>
        </w:div>
        <w:div w:id="604534574">
          <w:marLeft w:val="0"/>
          <w:marRight w:val="0"/>
          <w:marTop w:val="0"/>
          <w:marBottom w:val="0"/>
          <w:divBdr>
            <w:top w:val="none" w:sz="0" w:space="0" w:color="auto"/>
            <w:left w:val="none" w:sz="0" w:space="0" w:color="auto"/>
            <w:bottom w:val="none" w:sz="0" w:space="0" w:color="auto"/>
            <w:right w:val="none" w:sz="0" w:space="0" w:color="auto"/>
          </w:divBdr>
        </w:div>
      </w:divsChild>
    </w:div>
    <w:div w:id="1100298334">
      <w:bodyDiv w:val="1"/>
      <w:marLeft w:val="0"/>
      <w:marRight w:val="0"/>
      <w:marTop w:val="0"/>
      <w:marBottom w:val="0"/>
      <w:divBdr>
        <w:top w:val="none" w:sz="0" w:space="0" w:color="auto"/>
        <w:left w:val="none" w:sz="0" w:space="0" w:color="auto"/>
        <w:bottom w:val="none" w:sz="0" w:space="0" w:color="auto"/>
        <w:right w:val="none" w:sz="0" w:space="0" w:color="auto"/>
      </w:divBdr>
    </w:div>
    <w:div w:id="1117527419">
      <w:bodyDiv w:val="1"/>
      <w:marLeft w:val="0"/>
      <w:marRight w:val="0"/>
      <w:marTop w:val="0"/>
      <w:marBottom w:val="0"/>
      <w:divBdr>
        <w:top w:val="none" w:sz="0" w:space="0" w:color="auto"/>
        <w:left w:val="none" w:sz="0" w:space="0" w:color="auto"/>
        <w:bottom w:val="none" w:sz="0" w:space="0" w:color="auto"/>
        <w:right w:val="none" w:sz="0" w:space="0" w:color="auto"/>
      </w:divBdr>
    </w:div>
    <w:div w:id="1141459751">
      <w:bodyDiv w:val="1"/>
      <w:marLeft w:val="0"/>
      <w:marRight w:val="0"/>
      <w:marTop w:val="0"/>
      <w:marBottom w:val="0"/>
      <w:divBdr>
        <w:top w:val="none" w:sz="0" w:space="0" w:color="auto"/>
        <w:left w:val="none" w:sz="0" w:space="0" w:color="auto"/>
        <w:bottom w:val="none" w:sz="0" w:space="0" w:color="auto"/>
        <w:right w:val="none" w:sz="0" w:space="0" w:color="auto"/>
      </w:divBdr>
    </w:div>
    <w:div w:id="1169759297">
      <w:bodyDiv w:val="1"/>
      <w:marLeft w:val="0"/>
      <w:marRight w:val="0"/>
      <w:marTop w:val="0"/>
      <w:marBottom w:val="0"/>
      <w:divBdr>
        <w:top w:val="none" w:sz="0" w:space="0" w:color="auto"/>
        <w:left w:val="none" w:sz="0" w:space="0" w:color="auto"/>
        <w:bottom w:val="none" w:sz="0" w:space="0" w:color="auto"/>
        <w:right w:val="none" w:sz="0" w:space="0" w:color="auto"/>
      </w:divBdr>
    </w:div>
    <w:div w:id="1178613664">
      <w:bodyDiv w:val="1"/>
      <w:marLeft w:val="0"/>
      <w:marRight w:val="0"/>
      <w:marTop w:val="0"/>
      <w:marBottom w:val="0"/>
      <w:divBdr>
        <w:top w:val="none" w:sz="0" w:space="0" w:color="auto"/>
        <w:left w:val="none" w:sz="0" w:space="0" w:color="auto"/>
        <w:bottom w:val="none" w:sz="0" w:space="0" w:color="auto"/>
        <w:right w:val="none" w:sz="0" w:space="0" w:color="auto"/>
      </w:divBdr>
    </w:div>
    <w:div w:id="1228761153">
      <w:bodyDiv w:val="1"/>
      <w:marLeft w:val="0"/>
      <w:marRight w:val="0"/>
      <w:marTop w:val="0"/>
      <w:marBottom w:val="0"/>
      <w:divBdr>
        <w:top w:val="none" w:sz="0" w:space="0" w:color="auto"/>
        <w:left w:val="none" w:sz="0" w:space="0" w:color="auto"/>
        <w:bottom w:val="none" w:sz="0" w:space="0" w:color="auto"/>
        <w:right w:val="none" w:sz="0" w:space="0" w:color="auto"/>
      </w:divBdr>
    </w:div>
    <w:div w:id="1280141445">
      <w:bodyDiv w:val="1"/>
      <w:marLeft w:val="0"/>
      <w:marRight w:val="0"/>
      <w:marTop w:val="0"/>
      <w:marBottom w:val="0"/>
      <w:divBdr>
        <w:top w:val="none" w:sz="0" w:space="0" w:color="auto"/>
        <w:left w:val="none" w:sz="0" w:space="0" w:color="auto"/>
        <w:bottom w:val="none" w:sz="0" w:space="0" w:color="auto"/>
        <w:right w:val="none" w:sz="0" w:space="0" w:color="auto"/>
      </w:divBdr>
    </w:div>
    <w:div w:id="1293173247">
      <w:bodyDiv w:val="1"/>
      <w:marLeft w:val="0"/>
      <w:marRight w:val="0"/>
      <w:marTop w:val="0"/>
      <w:marBottom w:val="0"/>
      <w:divBdr>
        <w:top w:val="none" w:sz="0" w:space="0" w:color="auto"/>
        <w:left w:val="none" w:sz="0" w:space="0" w:color="auto"/>
        <w:bottom w:val="none" w:sz="0" w:space="0" w:color="auto"/>
        <w:right w:val="none" w:sz="0" w:space="0" w:color="auto"/>
      </w:divBdr>
    </w:div>
    <w:div w:id="1332683991">
      <w:bodyDiv w:val="1"/>
      <w:marLeft w:val="0"/>
      <w:marRight w:val="0"/>
      <w:marTop w:val="0"/>
      <w:marBottom w:val="0"/>
      <w:divBdr>
        <w:top w:val="none" w:sz="0" w:space="0" w:color="auto"/>
        <w:left w:val="none" w:sz="0" w:space="0" w:color="auto"/>
        <w:bottom w:val="none" w:sz="0" w:space="0" w:color="auto"/>
        <w:right w:val="none" w:sz="0" w:space="0" w:color="auto"/>
      </w:divBdr>
    </w:div>
    <w:div w:id="1345860988">
      <w:bodyDiv w:val="1"/>
      <w:marLeft w:val="0"/>
      <w:marRight w:val="0"/>
      <w:marTop w:val="0"/>
      <w:marBottom w:val="0"/>
      <w:divBdr>
        <w:top w:val="none" w:sz="0" w:space="0" w:color="auto"/>
        <w:left w:val="none" w:sz="0" w:space="0" w:color="auto"/>
        <w:bottom w:val="none" w:sz="0" w:space="0" w:color="auto"/>
        <w:right w:val="none" w:sz="0" w:space="0" w:color="auto"/>
      </w:divBdr>
    </w:div>
    <w:div w:id="1350449421">
      <w:bodyDiv w:val="1"/>
      <w:marLeft w:val="0"/>
      <w:marRight w:val="0"/>
      <w:marTop w:val="0"/>
      <w:marBottom w:val="0"/>
      <w:divBdr>
        <w:top w:val="none" w:sz="0" w:space="0" w:color="auto"/>
        <w:left w:val="none" w:sz="0" w:space="0" w:color="auto"/>
        <w:bottom w:val="none" w:sz="0" w:space="0" w:color="auto"/>
        <w:right w:val="none" w:sz="0" w:space="0" w:color="auto"/>
      </w:divBdr>
    </w:div>
    <w:div w:id="1383405502">
      <w:bodyDiv w:val="1"/>
      <w:marLeft w:val="0"/>
      <w:marRight w:val="0"/>
      <w:marTop w:val="0"/>
      <w:marBottom w:val="0"/>
      <w:divBdr>
        <w:top w:val="none" w:sz="0" w:space="0" w:color="auto"/>
        <w:left w:val="none" w:sz="0" w:space="0" w:color="auto"/>
        <w:bottom w:val="none" w:sz="0" w:space="0" w:color="auto"/>
        <w:right w:val="none" w:sz="0" w:space="0" w:color="auto"/>
      </w:divBdr>
    </w:div>
    <w:div w:id="1424690686">
      <w:bodyDiv w:val="1"/>
      <w:marLeft w:val="0"/>
      <w:marRight w:val="0"/>
      <w:marTop w:val="0"/>
      <w:marBottom w:val="0"/>
      <w:divBdr>
        <w:top w:val="none" w:sz="0" w:space="0" w:color="auto"/>
        <w:left w:val="none" w:sz="0" w:space="0" w:color="auto"/>
        <w:bottom w:val="none" w:sz="0" w:space="0" w:color="auto"/>
        <w:right w:val="none" w:sz="0" w:space="0" w:color="auto"/>
      </w:divBdr>
    </w:div>
    <w:div w:id="1441339122">
      <w:bodyDiv w:val="1"/>
      <w:marLeft w:val="0"/>
      <w:marRight w:val="0"/>
      <w:marTop w:val="0"/>
      <w:marBottom w:val="0"/>
      <w:divBdr>
        <w:top w:val="none" w:sz="0" w:space="0" w:color="auto"/>
        <w:left w:val="none" w:sz="0" w:space="0" w:color="auto"/>
        <w:bottom w:val="none" w:sz="0" w:space="0" w:color="auto"/>
        <w:right w:val="none" w:sz="0" w:space="0" w:color="auto"/>
      </w:divBdr>
    </w:div>
    <w:div w:id="1470902130">
      <w:bodyDiv w:val="1"/>
      <w:marLeft w:val="0"/>
      <w:marRight w:val="0"/>
      <w:marTop w:val="0"/>
      <w:marBottom w:val="0"/>
      <w:divBdr>
        <w:top w:val="none" w:sz="0" w:space="0" w:color="auto"/>
        <w:left w:val="none" w:sz="0" w:space="0" w:color="auto"/>
        <w:bottom w:val="none" w:sz="0" w:space="0" w:color="auto"/>
        <w:right w:val="none" w:sz="0" w:space="0" w:color="auto"/>
      </w:divBdr>
    </w:div>
    <w:div w:id="1479228529">
      <w:bodyDiv w:val="1"/>
      <w:marLeft w:val="0"/>
      <w:marRight w:val="0"/>
      <w:marTop w:val="0"/>
      <w:marBottom w:val="0"/>
      <w:divBdr>
        <w:top w:val="none" w:sz="0" w:space="0" w:color="auto"/>
        <w:left w:val="none" w:sz="0" w:space="0" w:color="auto"/>
        <w:bottom w:val="none" w:sz="0" w:space="0" w:color="auto"/>
        <w:right w:val="none" w:sz="0" w:space="0" w:color="auto"/>
      </w:divBdr>
    </w:div>
    <w:div w:id="1502888900">
      <w:bodyDiv w:val="1"/>
      <w:marLeft w:val="0"/>
      <w:marRight w:val="0"/>
      <w:marTop w:val="0"/>
      <w:marBottom w:val="0"/>
      <w:divBdr>
        <w:top w:val="none" w:sz="0" w:space="0" w:color="auto"/>
        <w:left w:val="none" w:sz="0" w:space="0" w:color="auto"/>
        <w:bottom w:val="none" w:sz="0" w:space="0" w:color="auto"/>
        <w:right w:val="none" w:sz="0" w:space="0" w:color="auto"/>
      </w:divBdr>
    </w:div>
    <w:div w:id="1506243868">
      <w:bodyDiv w:val="1"/>
      <w:marLeft w:val="0"/>
      <w:marRight w:val="0"/>
      <w:marTop w:val="0"/>
      <w:marBottom w:val="0"/>
      <w:divBdr>
        <w:top w:val="none" w:sz="0" w:space="0" w:color="auto"/>
        <w:left w:val="none" w:sz="0" w:space="0" w:color="auto"/>
        <w:bottom w:val="none" w:sz="0" w:space="0" w:color="auto"/>
        <w:right w:val="none" w:sz="0" w:space="0" w:color="auto"/>
      </w:divBdr>
    </w:div>
    <w:div w:id="1518422640">
      <w:bodyDiv w:val="1"/>
      <w:marLeft w:val="0"/>
      <w:marRight w:val="0"/>
      <w:marTop w:val="0"/>
      <w:marBottom w:val="0"/>
      <w:divBdr>
        <w:top w:val="none" w:sz="0" w:space="0" w:color="auto"/>
        <w:left w:val="none" w:sz="0" w:space="0" w:color="auto"/>
        <w:bottom w:val="none" w:sz="0" w:space="0" w:color="auto"/>
        <w:right w:val="none" w:sz="0" w:space="0" w:color="auto"/>
      </w:divBdr>
    </w:div>
    <w:div w:id="1531913200">
      <w:bodyDiv w:val="1"/>
      <w:marLeft w:val="0"/>
      <w:marRight w:val="0"/>
      <w:marTop w:val="0"/>
      <w:marBottom w:val="0"/>
      <w:divBdr>
        <w:top w:val="none" w:sz="0" w:space="0" w:color="auto"/>
        <w:left w:val="none" w:sz="0" w:space="0" w:color="auto"/>
        <w:bottom w:val="none" w:sz="0" w:space="0" w:color="auto"/>
        <w:right w:val="none" w:sz="0" w:space="0" w:color="auto"/>
      </w:divBdr>
    </w:div>
    <w:div w:id="1554390865">
      <w:bodyDiv w:val="1"/>
      <w:marLeft w:val="0"/>
      <w:marRight w:val="0"/>
      <w:marTop w:val="0"/>
      <w:marBottom w:val="0"/>
      <w:divBdr>
        <w:top w:val="none" w:sz="0" w:space="0" w:color="auto"/>
        <w:left w:val="none" w:sz="0" w:space="0" w:color="auto"/>
        <w:bottom w:val="none" w:sz="0" w:space="0" w:color="auto"/>
        <w:right w:val="none" w:sz="0" w:space="0" w:color="auto"/>
      </w:divBdr>
    </w:div>
    <w:div w:id="1586527166">
      <w:bodyDiv w:val="1"/>
      <w:marLeft w:val="0"/>
      <w:marRight w:val="0"/>
      <w:marTop w:val="0"/>
      <w:marBottom w:val="0"/>
      <w:divBdr>
        <w:top w:val="none" w:sz="0" w:space="0" w:color="auto"/>
        <w:left w:val="none" w:sz="0" w:space="0" w:color="auto"/>
        <w:bottom w:val="none" w:sz="0" w:space="0" w:color="auto"/>
        <w:right w:val="none" w:sz="0" w:space="0" w:color="auto"/>
      </w:divBdr>
    </w:div>
    <w:div w:id="1590114074">
      <w:bodyDiv w:val="1"/>
      <w:marLeft w:val="0"/>
      <w:marRight w:val="0"/>
      <w:marTop w:val="0"/>
      <w:marBottom w:val="0"/>
      <w:divBdr>
        <w:top w:val="none" w:sz="0" w:space="0" w:color="auto"/>
        <w:left w:val="none" w:sz="0" w:space="0" w:color="auto"/>
        <w:bottom w:val="none" w:sz="0" w:space="0" w:color="auto"/>
        <w:right w:val="none" w:sz="0" w:space="0" w:color="auto"/>
      </w:divBdr>
      <w:divsChild>
        <w:div w:id="2022244654">
          <w:marLeft w:val="0"/>
          <w:marRight w:val="0"/>
          <w:marTop w:val="0"/>
          <w:marBottom w:val="0"/>
          <w:divBdr>
            <w:top w:val="none" w:sz="0" w:space="0" w:color="auto"/>
            <w:left w:val="none" w:sz="0" w:space="0" w:color="auto"/>
            <w:bottom w:val="none" w:sz="0" w:space="0" w:color="auto"/>
            <w:right w:val="none" w:sz="0" w:space="0" w:color="auto"/>
          </w:divBdr>
        </w:div>
        <w:div w:id="1533107066">
          <w:marLeft w:val="0"/>
          <w:marRight w:val="0"/>
          <w:marTop w:val="0"/>
          <w:marBottom w:val="0"/>
          <w:divBdr>
            <w:top w:val="none" w:sz="0" w:space="0" w:color="auto"/>
            <w:left w:val="none" w:sz="0" w:space="0" w:color="auto"/>
            <w:bottom w:val="none" w:sz="0" w:space="0" w:color="auto"/>
            <w:right w:val="none" w:sz="0" w:space="0" w:color="auto"/>
          </w:divBdr>
        </w:div>
        <w:div w:id="2116436322">
          <w:marLeft w:val="0"/>
          <w:marRight w:val="0"/>
          <w:marTop w:val="0"/>
          <w:marBottom w:val="0"/>
          <w:divBdr>
            <w:top w:val="none" w:sz="0" w:space="0" w:color="auto"/>
            <w:left w:val="none" w:sz="0" w:space="0" w:color="auto"/>
            <w:bottom w:val="none" w:sz="0" w:space="0" w:color="auto"/>
            <w:right w:val="none" w:sz="0" w:space="0" w:color="auto"/>
          </w:divBdr>
        </w:div>
      </w:divsChild>
    </w:div>
    <w:div w:id="1620185429">
      <w:bodyDiv w:val="1"/>
      <w:marLeft w:val="0"/>
      <w:marRight w:val="0"/>
      <w:marTop w:val="0"/>
      <w:marBottom w:val="0"/>
      <w:divBdr>
        <w:top w:val="none" w:sz="0" w:space="0" w:color="auto"/>
        <w:left w:val="none" w:sz="0" w:space="0" w:color="auto"/>
        <w:bottom w:val="none" w:sz="0" w:space="0" w:color="auto"/>
        <w:right w:val="none" w:sz="0" w:space="0" w:color="auto"/>
      </w:divBdr>
    </w:div>
    <w:div w:id="1659772377">
      <w:bodyDiv w:val="1"/>
      <w:marLeft w:val="0"/>
      <w:marRight w:val="0"/>
      <w:marTop w:val="0"/>
      <w:marBottom w:val="0"/>
      <w:divBdr>
        <w:top w:val="none" w:sz="0" w:space="0" w:color="auto"/>
        <w:left w:val="none" w:sz="0" w:space="0" w:color="auto"/>
        <w:bottom w:val="none" w:sz="0" w:space="0" w:color="auto"/>
        <w:right w:val="none" w:sz="0" w:space="0" w:color="auto"/>
      </w:divBdr>
    </w:div>
    <w:div w:id="1754543423">
      <w:bodyDiv w:val="1"/>
      <w:marLeft w:val="0"/>
      <w:marRight w:val="0"/>
      <w:marTop w:val="0"/>
      <w:marBottom w:val="0"/>
      <w:divBdr>
        <w:top w:val="none" w:sz="0" w:space="0" w:color="auto"/>
        <w:left w:val="none" w:sz="0" w:space="0" w:color="auto"/>
        <w:bottom w:val="none" w:sz="0" w:space="0" w:color="auto"/>
        <w:right w:val="none" w:sz="0" w:space="0" w:color="auto"/>
      </w:divBdr>
    </w:div>
    <w:div w:id="1758673095">
      <w:bodyDiv w:val="1"/>
      <w:marLeft w:val="0"/>
      <w:marRight w:val="0"/>
      <w:marTop w:val="0"/>
      <w:marBottom w:val="0"/>
      <w:divBdr>
        <w:top w:val="none" w:sz="0" w:space="0" w:color="auto"/>
        <w:left w:val="none" w:sz="0" w:space="0" w:color="auto"/>
        <w:bottom w:val="none" w:sz="0" w:space="0" w:color="auto"/>
        <w:right w:val="none" w:sz="0" w:space="0" w:color="auto"/>
      </w:divBdr>
    </w:div>
    <w:div w:id="1761834340">
      <w:bodyDiv w:val="1"/>
      <w:marLeft w:val="0"/>
      <w:marRight w:val="0"/>
      <w:marTop w:val="0"/>
      <w:marBottom w:val="0"/>
      <w:divBdr>
        <w:top w:val="none" w:sz="0" w:space="0" w:color="auto"/>
        <w:left w:val="none" w:sz="0" w:space="0" w:color="auto"/>
        <w:bottom w:val="none" w:sz="0" w:space="0" w:color="auto"/>
        <w:right w:val="none" w:sz="0" w:space="0" w:color="auto"/>
      </w:divBdr>
    </w:div>
    <w:div w:id="1765760194">
      <w:bodyDiv w:val="1"/>
      <w:marLeft w:val="0"/>
      <w:marRight w:val="0"/>
      <w:marTop w:val="0"/>
      <w:marBottom w:val="0"/>
      <w:divBdr>
        <w:top w:val="none" w:sz="0" w:space="0" w:color="auto"/>
        <w:left w:val="none" w:sz="0" w:space="0" w:color="auto"/>
        <w:bottom w:val="none" w:sz="0" w:space="0" w:color="auto"/>
        <w:right w:val="none" w:sz="0" w:space="0" w:color="auto"/>
      </w:divBdr>
    </w:div>
    <w:div w:id="1783451285">
      <w:bodyDiv w:val="1"/>
      <w:marLeft w:val="0"/>
      <w:marRight w:val="0"/>
      <w:marTop w:val="0"/>
      <w:marBottom w:val="0"/>
      <w:divBdr>
        <w:top w:val="none" w:sz="0" w:space="0" w:color="auto"/>
        <w:left w:val="none" w:sz="0" w:space="0" w:color="auto"/>
        <w:bottom w:val="none" w:sz="0" w:space="0" w:color="auto"/>
        <w:right w:val="none" w:sz="0" w:space="0" w:color="auto"/>
      </w:divBdr>
    </w:div>
    <w:div w:id="1805275456">
      <w:bodyDiv w:val="1"/>
      <w:marLeft w:val="0"/>
      <w:marRight w:val="0"/>
      <w:marTop w:val="0"/>
      <w:marBottom w:val="0"/>
      <w:divBdr>
        <w:top w:val="none" w:sz="0" w:space="0" w:color="auto"/>
        <w:left w:val="none" w:sz="0" w:space="0" w:color="auto"/>
        <w:bottom w:val="none" w:sz="0" w:space="0" w:color="auto"/>
        <w:right w:val="none" w:sz="0" w:space="0" w:color="auto"/>
      </w:divBdr>
    </w:div>
    <w:div w:id="1852404686">
      <w:bodyDiv w:val="1"/>
      <w:marLeft w:val="0"/>
      <w:marRight w:val="0"/>
      <w:marTop w:val="0"/>
      <w:marBottom w:val="0"/>
      <w:divBdr>
        <w:top w:val="none" w:sz="0" w:space="0" w:color="auto"/>
        <w:left w:val="none" w:sz="0" w:space="0" w:color="auto"/>
        <w:bottom w:val="none" w:sz="0" w:space="0" w:color="auto"/>
        <w:right w:val="none" w:sz="0" w:space="0" w:color="auto"/>
      </w:divBdr>
    </w:div>
    <w:div w:id="1879706246">
      <w:bodyDiv w:val="1"/>
      <w:marLeft w:val="0"/>
      <w:marRight w:val="0"/>
      <w:marTop w:val="0"/>
      <w:marBottom w:val="0"/>
      <w:divBdr>
        <w:top w:val="none" w:sz="0" w:space="0" w:color="auto"/>
        <w:left w:val="none" w:sz="0" w:space="0" w:color="auto"/>
        <w:bottom w:val="none" w:sz="0" w:space="0" w:color="auto"/>
        <w:right w:val="none" w:sz="0" w:space="0" w:color="auto"/>
      </w:divBdr>
    </w:div>
    <w:div w:id="1893928551">
      <w:bodyDiv w:val="1"/>
      <w:marLeft w:val="0"/>
      <w:marRight w:val="0"/>
      <w:marTop w:val="0"/>
      <w:marBottom w:val="0"/>
      <w:divBdr>
        <w:top w:val="none" w:sz="0" w:space="0" w:color="auto"/>
        <w:left w:val="none" w:sz="0" w:space="0" w:color="auto"/>
        <w:bottom w:val="none" w:sz="0" w:space="0" w:color="auto"/>
        <w:right w:val="none" w:sz="0" w:space="0" w:color="auto"/>
      </w:divBdr>
    </w:div>
    <w:div w:id="1932742277">
      <w:bodyDiv w:val="1"/>
      <w:marLeft w:val="0"/>
      <w:marRight w:val="0"/>
      <w:marTop w:val="0"/>
      <w:marBottom w:val="0"/>
      <w:divBdr>
        <w:top w:val="none" w:sz="0" w:space="0" w:color="auto"/>
        <w:left w:val="none" w:sz="0" w:space="0" w:color="auto"/>
        <w:bottom w:val="none" w:sz="0" w:space="0" w:color="auto"/>
        <w:right w:val="none" w:sz="0" w:space="0" w:color="auto"/>
      </w:divBdr>
    </w:div>
    <w:div w:id="1998653689">
      <w:bodyDiv w:val="1"/>
      <w:marLeft w:val="0"/>
      <w:marRight w:val="0"/>
      <w:marTop w:val="0"/>
      <w:marBottom w:val="0"/>
      <w:divBdr>
        <w:top w:val="none" w:sz="0" w:space="0" w:color="auto"/>
        <w:left w:val="none" w:sz="0" w:space="0" w:color="auto"/>
        <w:bottom w:val="none" w:sz="0" w:space="0" w:color="auto"/>
        <w:right w:val="none" w:sz="0" w:space="0" w:color="auto"/>
      </w:divBdr>
    </w:div>
    <w:div w:id="2023122319">
      <w:bodyDiv w:val="1"/>
      <w:marLeft w:val="0"/>
      <w:marRight w:val="0"/>
      <w:marTop w:val="0"/>
      <w:marBottom w:val="0"/>
      <w:divBdr>
        <w:top w:val="none" w:sz="0" w:space="0" w:color="auto"/>
        <w:left w:val="none" w:sz="0" w:space="0" w:color="auto"/>
        <w:bottom w:val="none" w:sz="0" w:space="0" w:color="auto"/>
        <w:right w:val="none" w:sz="0" w:space="0" w:color="auto"/>
      </w:divBdr>
    </w:div>
    <w:div w:id="2073429220">
      <w:bodyDiv w:val="1"/>
      <w:marLeft w:val="0"/>
      <w:marRight w:val="0"/>
      <w:marTop w:val="0"/>
      <w:marBottom w:val="0"/>
      <w:divBdr>
        <w:top w:val="none" w:sz="0" w:space="0" w:color="auto"/>
        <w:left w:val="none" w:sz="0" w:space="0" w:color="auto"/>
        <w:bottom w:val="none" w:sz="0" w:space="0" w:color="auto"/>
        <w:right w:val="none" w:sz="0" w:space="0" w:color="auto"/>
      </w:divBdr>
      <w:divsChild>
        <w:div w:id="1978685548">
          <w:marLeft w:val="0"/>
          <w:marRight w:val="0"/>
          <w:marTop w:val="0"/>
          <w:marBottom w:val="0"/>
          <w:divBdr>
            <w:top w:val="none" w:sz="0" w:space="0" w:color="auto"/>
            <w:left w:val="none" w:sz="0" w:space="0" w:color="auto"/>
            <w:bottom w:val="none" w:sz="0" w:space="0" w:color="auto"/>
            <w:right w:val="none" w:sz="0" w:space="0" w:color="auto"/>
          </w:divBdr>
          <w:divsChild>
            <w:div w:id="101196088">
              <w:marLeft w:val="0"/>
              <w:marRight w:val="0"/>
              <w:marTop w:val="0"/>
              <w:marBottom w:val="0"/>
              <w:divBdr>
                <w:top w:val="none" w:sz="0" w:space="0" w:color="auto"/>
                <w:left w:val="none" w:sz="0" w:space="0" w:color="auto"/>
                <w:bottom w:val="none" w:sz="0" w:space="0" w:color="auto"/>
                <w:right w:val="none" w:sz="0" w:space="0" w:color="auto"/>
              </w:divBdr>
            </w:div>
          </w:divsChild>
        </w:div>
        <w:div w:id="2135564527">
          <w:marLeft w:val="0"/>
          <w:marRight w:val="0"/>
          <w:marTop w:val="0"/>
          <w:marBottom w:val="0"/>
          <w:divBdr>
            <w:top w:val="none" w:sz="0" w:space="0" w:color="auto"/>
            <w:left w:val="none" w:sz="0" w:space="0" w:color="auto"/>
            <w:bottom w:val="none" w:sz="0" w:space="0" w:color="auto"/>
            <w:right w:val="none" w:sz="0" w:space="0" w:color="auto"/>
          </w:divBdr>
          <w:divsChild>
            <w:div w:id="18251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3512">
      <w:bodyDiv w:val="1"/>
      <w:marLeft w:val="0"/>
      <w:marRight w:val="0"/>
      <w:marTop w:val="0"/>
      <w:marBottom w:val="0"/>
      <w:divBdr>
        <w:top w:val="none" w:sz="0" w:space="0" w:color="auto"/>
        <w:left w:val="none" w:sz="0" w:space="0" w:color="auto"/>
        <w:bottom w:val="none" w:sz="0" w:space="0" w:color="auto"/>
        <w:right w:val="none" w:sz="0" w:space="0" w:color="auto"/>
      </w:divBdr>
    </w:div>
    <w:div w:id="2114282642">
      <w:bodyDiv w:val="1"/>
      <w:marLeft w:val="0"/>
      <w:marRight w:val="0"/>
      <w:marTop w:val="0"/>
      <w:marBottom w:val="0"/>
      <w:divBdr>
        <w:top w:val="none" w:sz="0" w:space="0" w:color="auto"/>
        <w:left w:val="none" w:sz="0" w:space="0" w:color="auto"/>
        <w:bottom w:val="none" w:sz="0" w:space="0" w:color="auto"/>
        <w:right w:val="none" w:sz="0" w:space="0" w:color="auto"/>
      </w:divBdr>
    </w:div>
    <w:div w:id="2120490406">
      <w:bodyDiv w:val="1"/>
      <w:marLeft w:val="0"/>
      <w:marRight w:val="0"/>
      <w:marTop w:val="0"/>
      <w:marBottom w:val="0"/>
      <w:divBdr>
        <w:top w:val="none" w:sz="0" w:space="0" w:color="auto"/>
        <w:left w:val="none" w:sz="0" w:space="0" w:color="auto"/>
        <w:bottom w:val="none" w:sz="0" w:space="0" w:color="auto"/>
        <w:right w:val="none" w:sz="0" w:space="0" w:color="auto"/>
      </w:divBdr>
    </w:div>
    <w:div w:id="2126578881">
      <w:bodyDiv w:val="1"/>
      <w:marLeft w:val="0"/>
      <w:marRight w:val="0"/>
      <w:marTop w:val="0"/>
      <w:marBottom w:val="0"/>
      <w:divBdr>
        <w:top w:val="none" w:sz="0" w:space="0" w:color="auto"/>
        <w:left w:val="none" w:sz="0" w:space="0" w:color="auto"/>
        <w:bottom w:val="none" w:sz="0" w:space="0" w:color="auto"/>
        <w:right w:val="none" w:sz="0" w:space="0" w:color="auto"/>
      </w:divBdr>
    </w:div>
    <w:div w:id="214192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6" Type="http://schemas.openxmlformats.org/officeDocument/2006/relationships/header" Target="header5.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28" Type="http://schemas.openxmlformats.org/officeDocument/2006/relationships/footer" Target="footer60.xml"/><Relationship Id="rId5" Type="http://schemas.openxmlformats.org/officeDocument/2006/relationships/settings" Target="settings.xml"/><Relationship Id="rId90" Type="http://schemas.openxmlformats.org/officeDocument/2006/relationships/footer" Target="footer41.xml"/><Relationship Id="rId95" Type="http://schemas.openxmlformats.org/officeDocument/2006/relationships/footer" Target="footer43.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80" Type="http://schemas.openxmlformats.org/officeDocument/2006/relationships/footer" Target="footer36.xml"/><Relationship Id="rId85" Type="http://schemas.openxmlformats.org/officeDocument/2006/relationships/header" Target="header39.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7" Type="http://schemas.openxmlformats.org/officeDocument/2006/relationships/footnotes" Target="footnotes.xml"/><Relationship Id="rId71" Type="http://schemas.openxmlformats.org/officeDocument/2006/relationships/footer" Target="footer31.xml"/><Relationship Id="rId92" Type="http://schemas.openxmlformats.org/officeDocument/2006/relationships/footer" Target="footer42.xml"/><Relationship Id="rId2" Type="http://schemas.openxmlformats.org/officeDocument/2006/relationships/customXml" Target="../customXml/item2.xml"/><Relationship Id="rId29" Type="http://schemas.openxmlformats.org/officeDocument/2006/relationships/footer" Target="footer10.xml"/><Relationship Id="Re86500e700394d91" Type="http://schemas.microsoft.com/office/2019/09/relationships/intelligence" Target="intelligence.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theme" Target="theme/theme1.xml"/><Relationship Id="rId61" Type="http://schemas.openxmlformats.org/officeDocument/2006/relationships/header" Target="header27.xml"/><Relationship Id="rId82" Type="http://schemas.openxmlformats.org/officeDocument/2006/relationships/header" Target="header38.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3" Type="http://schemas.openxmlformats.org/officeDocument/2006/relationships/numbering" Target="numbering.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footer" Target="footer9.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WDj/OtwLptJccWTuLcvs4FMBZxg==">AMUW2mXtUyMug7LA+hkNftpE11XfMudXKYKTu2IshA1+qN5K9N0/S/4Yav2PAwv8/4XhWJn6nTf52OZykBUfEilS3eniNXhB+BRRJJckZUVUem6lB0QveYCuzgupQRRXSNaMFlImgUaG2bNtxfSbPhgMpRRTsfLTNA==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9C26CF-0E49-4C5F-800B-C6DCB50E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64783</Words>
  <Characters>388704</Characters>
  <Application>Microsoft Office Word</Application>
  <DocSecurity>0</DocSecurity>
  <Lines>3239</Lines>
  <Paragraphs>905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2022-05-30T08:22:00Z</dcterms:created>
  <dcterms:modified xsi:type="dcterms:W3CDTF">2022-06-01T08:26:00Z</dcterms:modified>
</cp:coreProperties>
</file>