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F353" w14:textId="2E87C1D0" w:rsidR="00816802" w:rsidRPr="00483B69" w:rsidRDefault="00816802" w:rsidP="00816802">
      <w:pPr>
        <w:jc w:val="center"/>
        <w:rPr>
          <w:rFonts w:ascii="Abadi" w:hAnsi="Abadi"/>
          <w:b/>
          <w:bCs/>
          <w:color w:val="00B0F0"/>
          <w:sz w:val="36"/>
          <w:szCs w:val="36"/>
          <w:u w:val="single"/>
        </w:rPr>
      </w:pPr>
      <w:r w:rsidRPr="00483B69">
        <w:rPr>
          <w:rFonts w:ascii="Abadi" w:hAnsi="Abadi"/>
          <w:b/>
          <w:bCs/>
          <w:color w:val="00B0F0"/>
          <w:sz w:val="36"/>
          <w:szCs w:val="36"/>
          <w:u w:val="single"/>
        </w:rPr>
        <w:t>PODSUMOWANIE REFUNDACJI W 2022 ROKU (OBWIESZCZENIA NR 61-6</w:t>
      </w:r>
      <w:r w:rsidR="006110C1" w:rsidRPr="00483B69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Pr="00483B69">
        <w:rPr>
          <w:rFonts w:ascii="Abadi" w:hAnsi="Abadi"/>
          <w:b/>
          <w:bCs/>
          <w:color w:val="00B0F0"/>
          <w:sz w:val="36"/>
          <w:szCs w:val="36"/>
          <w:u w:val="single"/>
        </w:rPr>
        <w:t>)</w:t>
      </w:r>
    </w:p>
    <w:p w14:paraId="031E6709" w14:textId="77777777" w:rsidR="00816802" w:rsidRPr="00483B69" w:rsidRDefault="00816802" w:rsidP="00816802">
      <w:pPr>
        <w:spacing w:before="360"/>
        <w:jc w:val="center"/>
        <w:rPr>
          <w:rFonts w:ascii="Abadi" w:hAnsi="Abadi"/>
          <w:b/>
          <w:bCs/>
          <w:color w:val="00B0F0"/>
          <w:sz w:val="28"/>
          <w:szCs w:val="28"/>
        </w:rPr>
      </w:pPr>
      <w:r w:rsidRPr="00483B69"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p w14:paraId="4EAA632A" w14:textId="067E1C3E" w:rsidR="00816ED3" w:rsidRPr="004602B0" w:rsidRDefault="00816ED3" w:rsidP="00A541E2">
      <w:pPr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>W 202</w:t>
      </w:r>
      <w:r w:rsidR="007645CA" w:rsidRPr="004602B0">
        <w:rPr>
          <w:rFonts w:asciiTheme="majorHAnsi" w:hAnsiTheme="majorHAnsi" w:cstheme="majorHAnsi"/>
          <w:sz w:val="24"/>
          <w:szCs w:val="24"/>
        </w:rPr>
        <w:t>2</w:t>
      </w:r>
      <w:r w:rsidRPr="004602B0">
        <w:rPr>
          <w:rFonts w:asciiTheme="majorHAnsi" w:hAnsiTheme="majorHAnsi" w:cstheme="majorHAnsi"/>
          <w:sz w:val="24"/>
          <w:szCs w:val="24"/>
        </w:rPr>
        <w:t xml:space="preserve"> r. obwieszczenia refundacyjne obowiązujące od stycznia (nr </w:t>
      </w:r>
      <w:r w:rsidR="007645CA" w:rsidRPr="004602B0">
        <w:rPr>
          <w:rFonts w:asciiTheme="majorHAnsi" w:hAnsiTheme="majorHAnsi" w:cstheme="majorHAnsi"/>
          <w:sz w:val="24"/>
          <w:szCs w:val="24"/>
        </w:rPr>
        <w:t>61</w:t>
      </w:r>
      <w:r w:rsidRPr="004602B0">
        <w:rPr>
          <w:rFonts w:asciiTheme="majorHAnsi" w:hAnsiTheme="majorHAnsi" w:cstheme="majorHAnsi"/>
          <w:sz w:val="24"/>
          <w:szCs w:val="24"/>
        </w:rPr>
        <w:t>) do</w:t>
      </w:r>
      <w:r w:rsidR="002B1DA1">
        <w:rPr>
          <w:rFonts w:asciiTheme="majorHAnsi" w:hAnsiTheme="majorHAnsi" w:cstheme="majorHAnsi"/>
          <w:sz w:val="24"/>
          <w:szCs w:val="24"/>
        </w:rPr>
        <w:t xml:space="preserve"> listopada</w:t>
      </w:r>
      <w:r w:rsidRPr="004602B0">
        <w:rPr>
          <w:rFonts w:asciiTheme="majorHAnsi" w:hAnsiTheme="majorHAnsi" w:cstheme="majorHAnsi"/>
          <w:sz w:val="24"/>
          <w:szCs w:val="24"/>
        </w:rPr>
        <w:t xml:space="preserve"> (nr 6</w:t>
      </w:r>
      <w:r w:rsidR="006110C1" w:rsidRPr="004602B0">
        <w:rPr>
          <w:rFonts w:asciiTheme="majorHAnsi" w:hAnsiTheme="majorHAnsi" w:cstheme="majorHAnsi"/>
          <w:sz w:val="24"/>
          <w:szCs w:val="24"/>
        </w:rPr>
        <w:t>6</w:t>
      </w:r>
      <w:r w:rsidRPr="004602B0">
        <w:rPr>
          <w:rFonts w:asciiTheme="majorHAnsi" w:hAnsiTheme="majorHAnsi" w:cstheme="majorHAnsi"/>
          <w:sz w:val="24"/>
          <w:szCs w:val="24"/>
        </w:rPr>
        <w:t>) zawierały następujące zmiany:</w:t>
      </w:r>
    </w:p>
    <w:p w14:paraId="79AB1DE4" w14:textId="620C72D6" w:rsidR="00816ED3" w:rsidRPr="004602B0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 xml:space="preserve">W związku z wydaniem pozytywnych decyzji o objęciu refundacją zostało dodanych </w:t>
      </w:r>
      <w:r w:rsidR="006110C1" w:rsidRPr="004602B0">
        <w:rPr>
          <w:rFonts w:asciiTheme="majorHAnsi" w:hAnsiTheme="majorHAnsi" w:cstheme="majorHAnsi"/>
          <w:sz w:val="24"/>
          <w:szCs w:val="24"/>
        </w:rPr>
        <w:t>648</w:t>
      </w:r>
      <w:r w:rsidRPr="004602B0">
        <w:rPr>
          <w:rFonts w:asciiTheme="majorHAnsi" w:hAnsiTheme="majorHAnsi" w:cstheme="majorHAnsi"/>
          <w:sz w:val="24"/>
          <w:szCs w:val="24"/>
        </w:rPr>
        <w:t xml:space="preserve"> produktów bądź nowych wskazań.</w:t>
      </w:r>
    </w:p>
    <w:p w14:paraId="34A6B9A7" w14:textId="732927D2" w:rsidR="00816ED3" w:rsidRPr="004602B0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 xml:space="preserve">Dla </w:t>
      </w:r>
      <w:r w:rsidR="0006343F" w:rsidRPr="004602B0">
        <w:rPr>
          <w:rFonts w:asciiTheme="majorHAnsi" w:hAnsiTheme="majorHAnsi" w:cstheme="majorHAnsi"/>
          <w:sz w:val="24"/>
          <w:szCs w:val="24"/>
        </w:rPr>
        <w:t>1</w:t>
      </w:r>
      <w:r w:rsidR="006110C1" w:rsidRPr="004602B0">
        <w:rPr>
          <w:rFonts w:asciiTheme="majorHAnsi" w:hAnsiTheme="majorHAnsi" w:cstheme="majorHAnsi"/>
          <w:sz w:val="24"/>
          <w:szCs w:val="24"/>
        </w:rPr>
        <w:t>806</w:t>
      </w:r>
      <w:r w:rsidRPr="004602B0">
        <w:rPr>
          <w:rFonts w:asciiTheme="majorHAnsi" w:hAnsiTheme="majorHAnsi" w:cstheme="majorHAnsi"/>
          <w:sz w:val="24"/>
          <w:szCs w:val="24"/>
        </w:rPr>
        <w:t xml:space="preserve"> produktów wprowadzono obniżki urzędowych cen zbytu (od 0,01 zł do </w:t>
      </w:r>
      <w:r w:rsidR="00EB544D" w:rsidRPr="004602B0">
        <w:rPr>
          <w:rFonts w:asciiTheme="majorHAnsi" w:hAnsiTheme="majorHAnsi" w:cstheme="majorHAnsi"/>
          <w:sz w:val="24"/>
          <w:szCs w:val="24"/>
        </w:rPr>
        <w:t>7753,98</w:t>
      </w:r>
      <w:r w:rsidRPr="004602B0">
        <w:rPr>
          <w:rFonts w:asciiTheme="majorHAnsi" w:hAnsiTheme="majorHAnsi" w:cstheme="majorHAnsi"/>
          <w:sz w:val="24"/>
          <w:szCs w:val="24"/>
        </w:rPr>
        <w:t xml:space="preserve"> zł).</w:t>
      </w:r>
    </w:p>
    <w:p w14:paraId="7B2CFF06" w14:textId="6D2629B3" w:rsidR="00816ED3" w:rsidRPr="004602B0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 xml:space="preserve">Dla </w:t>
      </w:r>
      <w:r w:rsidR="006110C1" w:rsidRPr="004602B0">
        <w:rPr>
          <w:rFonts w:asciiTheme="majorHAnsi" w:hAnsiTheme="majorHAnsi" w:cstheme="majorHAnsi"/>
          <w:sz w:val="24"/>
          <w:szCs w:val="24"/>
        </w:rPr>
        <w:t>1</w:t>
      </w:r>
      <w:r w:rsidRPr="004602B0">
        <w:rPr>
          <w:rFonts w:asciiTheme="majorHAnsi" w:hAnsiTheme="majorHAnsi" w:cstheme="majorHAnsi"/>
          <w:sz w:val="24"/>
          <w:szCs w:val="24"/>
        </w:rPr>
        <w:t>6</w:t>
      </w:r>
      <w:r w:rsidR="006110C1" w:rsidRPr="004602B0">
        <w:rPr>
          <w:rFonts w:asciiTheme="majorHAnsi" w:hAnsiTheme="majorHAnsi" w:cstheme="majorHAnsi"/>
          <w:sz w:val="24"/>
          <w:szCs w:val="24"/>
        </w:rPr>
        <w:t>7</w:t>
      </w:r>
      <w:r w:rsidRPr="004602B0">
        <w:rPr>
          <w:rFonts w:asciiTheme="majorHAnsi" w:hAnsiTheme="majorHAnsi" w:cstheme="majorHAnsi"/>
          <w:sz w:val="24"/>
          <w:szCs w:val="24"/>
        </w:rPr>
        <w:t xml:space="preserve"> produktów podwyższono urzędowe ceny zbytu (od 0,</w:t>
      </w:r>
      <w:r w:rsidR="006110C1" w:rsidRPr="004602B0">
        <w:rPr>
          <w:rFonts w:asciiTheme="majorHAnsi" w:hAnsiTheme="majorHAnsi" w:cstheme="majorHAnsi"/>
          <w:sz w:val="24"/>
          <w:szCs w:val="24"/>
        </w:rPr>
        <w:t>08</w:t>
      </w:r>
      <w:r w:rsidRPr="004602B0">
        <w:rPr>
          <w:rFonts w:asciiTheme="majorHAnsi" w:hAnsiTheme="majorHAnsi" w:cstheme="majorHAnsi"/>
          <w:sz w:val="24"/>
          <w:szCs w:val="24"/>
        </w:rPr>
        <w:t xml:space="preserve"> zł do </w:t>
      </w:r>
      <w:r w:rsidR="00FD3BAC" w:rsidRPr="004602B0">
        <w:rPr>
          <w:rFonts w:asciiTheme="majorHAnsi" w:hAnsiTheme="majorHAnsi" w:cstheme="majorHAnsi"/>
          <w:sz w:val="24"/>
          <w:szCs w:val="24"/>
        </w:rPr>
        <w:t>3726</w:t>
      </w:r>
      <w:r w:rsidRPr="004602B0">
        <w:rPr>
          <w:rFonts w:asciiTheme="majorHAnsi" w:hAnsiTheme="majorHAnsi" w:cstheme="majorHAnsi"/>
          <w:sz w:val="24"/>
          <w:szCs w:val="24"/>
        </w:rPr>
        <w:t>,00 zł).</w:t>
      </w:r>
    </w:p>
    <w:p w14:paraId="084094B3" w14:textId="6D688F9E" w:rsidR="00816ED3" w:rsidRPr="004602B0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 xml:space="preserve">W związku z wpłynięciem wniosków o skrócenie terminu obowiązywania decyzji refundacyjnych lub upłynięciem terminu obowiązywania decyzji refundacyjnych lub odmową refundacji na kolejny okres z wykazów usunięto </w:t>
      </w:r>
      <w:r w:rsidR="006110C1" w:rsidRPr="004602B0">
        <w:rPr>
          <w:rFonts w:asciiTheme="majorHAnsi" w:hAnsiTheme="majorHAnsi" w:cstheme="majorHAnsi"/>
          <w:sz w:val="24"/>
          <w:szCs w:val="24"/>
        </w:rPr>
        <w:t>768</w:t>
      </w:r>
      <w:r w:rsidRPr="004602B0">
        <w:rPr>
          <w:rFonts w:asciiTheme="majorHAnsi" w:hAnsiTheme="majorHAnsi" w:cstheme="majorHAnsi"/>
          <w:sz w:val="24"/>
          <w:szCs w:val="24"/>
        </w:rPr>
        <w:t xml:space="preserve"> produktów bądź wskazań.</w:t>
      </w:r>
    </w:p>
    <w:p w14:paraId="6B99FA0C" w14:textId="3499A90A" w:rsidR="00816ED3" w:rsidRPr="004602B0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 xml:space="preserve">W związku z obwieszczeniami nr </w:t>
      </w:r>
      <w:r w:rsidR="00FD3BAC" w:rsidRPr="004602B0">
        <w:rPr>
          <w:rFonts w:asciiTheme="majorHAnsi" w:hAnsiTheme="majorHAnsi" w:cstheme="majorHAnsi"/>
          <w:sz w:val="24"/>
          <w:szCs w:val="24"/>
        </w:rPr>
        <w:t>61</w:t>
      </w:r>
      <w:r w:rsidRPr="004602B0">
        <w:rPr>
          <w:rFonts w:asciiTheme="majorHAnsi" w:hAnsiTheme="majorHAnsi" w:cstheme="majorHAnsi"/>
          <w:sz w:val="24"/>
          <w:szCs w:val="24"/>
        </w:rPr>
        <w:t xml:space="preserve"> – 6</w:t>
      </w:r>
      <w:r w:rsidR="006110C1" w:rsidRPr="004602B0">
        <w:rPr>
          <w:rFonts w:asciiTheme="majorHAnsi" w:hAnsiTheme="majorHAnsi" w:cstheme="majorHAnsi"/>
          <w:sz w:val="24"/>
          <w:szCs w:val="24"/>
        </w:rPr>
        <w:t>6</w:t>
      </w:r>
      <w:r w:rsidRPr="004602B0">
        <w:rPr>
          <w:rFonts w:asciiTheme="majorHAnsi" w:hAnsiTheme="majorHAnsi" w:cstheme="majorHAnsi"/>
          <w:sz w:val="24"/>
          <w:szCs w:val="24"/>
        </w:rPr>
        <w:t xml:space="preserve"> wydano </w:t>
      </w:r>
      <w:r w:rsidR="006110C1" w:rsidRPr="004602B0">
        <w:rPr>
          <w:rFonts w:asciiTheme="majorHAnsi" w:hAnsiTheme="majorHAnsi" w:cstheme="majorHAnsi"/>
          <w:sz w:val="24"/>
          <w:szCs w:val="24"/>
        </w:rPr>
        <w:t>7</w:t>
      </w:r>
      <w:r w:rsidR="004B709A" w:rsidRPr="004602B0">
        <w:rPr>
          <w:rFonts w:asciiTheme="majorHAnsi" w:hAnsiTheme="majorHAnsi" w:cstheme="majorHAnsi"/>
          <w:sz w:val="24"/>
          <w:szCs w:val="24"/>
        </w:rPr>
        <w:t>87</w:t>
      </w:r>
      <w:r w:rsidR="00091CDE" w:rsidRPr="004602B0">
        <w:rPr>
          <w:rFonts w:asciiTheme="majorHAnsi" w:hAnsiTheme="majorHAnsi" w:cstheme="majorHAnsi"/>
          <w:sz w:val="24"/>
          <w:szCs w:val="24"/>
        </w:rPr>
        <w:t>4</w:t>
      </w:r>
      <w:r w:rsidRPr="004602B0">
        <w:rPr>
          <w:rFonts w:asciiTheme="majorHAnsi" w:hAnsiTheme="majorHAnsi" w:cstheme="majorHAnsi"/>
          <w:sz w:val="24"/>
          <w:szCs w:val="24"/>
        </w:rPr>
        <w:t xml:space="preserve"> decyzj</w:t>
      </w:r>
      <w:r w:rsidR="006110C1" w:rsidRPr="004602B0">
        <w:rPr>
          <w:rFonts w:asciiTheme="majorHAnsi" w:hAnsiTheme="majorHAnsi" w:cstheme="majorHAnsi"/>
          <w:sz w:val="24"/>
          <w:szCs w:val="24"/>
        </w:rPr>
        <w:t>e</w:t>
      </w:r>
      <w:r w:rsidRPr="004602B0">
        <w:rPr>
          <w:rFonts w:asciiTheme="majorHAnsi" w:hAnsiTheme="majorHAnsi" w:cstheme="majorHAnsi"/>
          <w:sz w:val="24"/>
          <w:szCs w:val="24"/>
        </w:rPr>
        <w:t xml:space="preserve"> administracyjn</w:t>
      </w:r>
      <w:r w:rsidR="006110C1" w:rsidRPr="004602B0">
        <w:rPr>
          <w:rFonts w:asciiTheme="majorHAnsi" w:hAnsiTheme="majorHAnsi" w:cstheme="majorHAnsi"/>
          <w:sz w:val="24"/>
          <w:szCs w:val="24"/>
        </w:rPr>
        <w:t>e</w:t>
      </w:r>
      <w:r w:rsidR="0010323F" w:rsidRPr="004602B0">
        <w:rPr>
          <w:rFonts w:asciiTheme="majorHAnsi" w:hAnsiTheme="majorHAnsi" w:cstheme="majorHAnsi"/>
          <w:sz w:val="24"/>
          <w:szCs w:val="24"/>
        </w:rPr>
        <w:t xml:space="preserve"> (do 15 grudnia 2022 r.)</w:t>
      </w:r>
      <w:r w:rsidR="00652447" w:rsidRPr="004602B0">
        <w:rPr>
          <w:rFonts w:asciiTheme="majorHAnsi" w:hAnsiTheme="majorHAnsi" w:cstheme="majorHAnsi"/>
          <w:sz w:val="24"/>
          <w:szCs w:val="24"/>
        </w:rPr>
        <w:t xml:space="preserve"> (dla porównania w związku z obwieszczeniami 55 – 60 wydano 3</w:t>
      </w:r>
      <w:r w:rsidR="004B709A" w:rsidRPr="004602B0">
        <w:rPr>
          <w:rFonts w:asciiTheme="majorHAnsi" w:hAnsiTheme="majorHAnsi" w:cstheme="majorHAnsi"/>
          <w:sz w:val="24"/>
          <w:szCs w:val="24"/>
        </w:rPr>
        <w:t>435</w:t>
      </w:r>
      <w:r w:rsidR="00652447" w:rsidRPr="004602B0">
        <w:rPr>
          <w:rFonts w:asciiTheme="majorHAnsi" w:hAnsiTheme="majorHAnsi" w:cstheme="majorHAnsi"/>
          <w:sz w:val="24"/>
          <w:szCs w:val="24"/>
        </w:rPr>
        <w:t xml:space="preserve"> decyzji administracyjnych)</w:t>
      </w:r>
      <w:r w:rsidR="003C2525" w:rsidRPr="004602B0">
        <w:rPr>
          <w:rFonts w:asciiTheme="majorHAnsi" w:hAnsiTheme="majorHAnsi" w:cstheme="majorHAnsi"/>
          <w:sz w:val="24"/>
          <w:szCs w:val="24"/>
        </w:rPr>
        <w:t>.</w:t>
      </w:r>
    </w:p>
    <w:p w14:paraId="0D1A9CEB" w14:textId="633B790E" w:rsidR="00816ED3" w:rsidRPr="004602B0" w:rsidRDefault="00974E35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 xml:space="preserve">W 2022 r. (do 15 </w:t>
      </w:r>
      <w:r w:rsidR="006110C1" w:rsidRPr="004602B0">
        <w:rPr>
          <w:rFonts w:asciiTheme="majorHAnsi" w:hAnsiTheme="majorHAnsi" w:cstheme="majorHAnsi"/>
          <w:sz w:val="24"/>
          <w:szCs w:val="24"/>
        </w:rPr>
        <w:t>grudnia</w:t>
      </w:r>
      <w:r w:rsidRPr="004602B0">
        <w:rPr>
          <w:rFonts w:asciiTheme="majorHAnsi" w:hAnsiTheme="majorHAnsi" w:cstheme="majorHAnsi"/>
          <w:sz w:val="24"/>
          <w:szCs w:val="24"/>
        </w:rPr>
        <w:t xml:space="preserve"> 2022 r.) </w:t>
      </w:r>
      <w:r w:rsidR="00816ED3" w:rsidRPr="004602B0">
        <w:rPr>
          <w:rFonts w:asciiTheme="majorHAnsi" w:hAnsiTheme="majorHAnsi" w:cstheme="majorHAnsi"/>
          <w:sz w:val="24"/>
          <w:szCs w:val="24"/>
        </w:rPr>
        <w:t xml:space="preserve">wpłynęło </w:t>
      </w:r>
      <w:r w:rsidR="006110C1" w:rsidRPr="004602B0">
        <w:rPr>
          <w:rFonts w:asciiTheme="majorHAnsi" w:hAnsiTheme="majorHAnsi" w:cstheme="majorHAnsi"/>
          <w:sz w:val="24"/>
          <w:szCs w:val="24"/>
        </w:rPr>
        <w:t>2</w:t>
      </w:r>
      <w:r w:rsidR="0010323F" w:rsidRPr="004602B0">
        <w:rPr>
          <w:rFonts w:asciiTheme="majorHAnsi" w:hAnsiTheme="majorHAnsi" w:cstheme="majorHAnsi"/>
          <w:sz w:val="24"/>
          <w:szCs w:val="24"/>
        </w:rPr>
        <w:t>403</w:t>
      </w:r>
      <w:r w:rsidR="006110C1" w:rsidRPr="004602B0">
        <w:rPr>
          <w:rFonts w:asciiTheme="majorHAnsi" w:hAnsiTheme="majorHAnsi" w:cstheme="majorHAnsi"/>
          <w:sz w:val="24"/>
          <w:szCs w:val="24"/>
        </w:rPr>
        <w:t xml:space="preserve"> </w:t>
      </w:r>
      <w:r w:rsidR="00816ED3" w:rsidRPr="004602B0">
        <w:rPr>
          <w:rFonts w:asciiTheme="majorHAnsi" w:hAnsiTheme="majorHAnsi" w:cstheme="majorHAnsi"/>
          <w:sz w:val="24"/>
          <w:szCs w:val="24"/>
        </w:rPr>
        <w:t>wniosk</w:t>
      </w:r>
      <w:r w:rsidR="00091CDE" w:rsidRPr="004602B0">
        <w:rPr>
          <w:rFonts w:asciiTheme="majorHAnsi" w:hAnsiTheme="majorHAnsi" w:cstheme="majorHAnsi"/>
          <w:sz w:val="24"/>
          <w:szCs w:val="24"/>
        </w:rPr>
        <w:t>i</w:t>
      </w:r>
      <w:r w:rsidR="00816ED3" w:rsidRPr="004602B0">
        <w:rPr>
          <w:rFonts w:asciiTheme="majorHAnsi" w:hAnsiTheme="majorHAnsi" w:cstheme="majorHAnsi"/>
          <w:sz w:val="24"/>
          <w:szCs w:val="24"/>
        </w:rPr>
        <w:t xml:space="preserve"> </w:t>
      </w:r>
      <w:r w:rsidRPr="004602B0">
        <w:rPr>
          <w:rFonts w:asciiTheme="majorHAnsi" w:hAnsiTheme="majorHAnsi" w:cstheme="majorHAnsi"/>
          <w:sz w:val="24"/>
          <w:szCs w:val="24"/>
        </w:rPr>
        <w:t xml:space="preserve">(łącznie: </w:t>
      </w:r>
      <w:r w:rsidR="00816ED3" w:rsidRPr="004602B0">
        <w:rPr>
          <w:rFonts w:asciiTheme="majorHAnsi" w:hAnsiTheme="majorHAnsi" w:cstheme="majorHAnsi"/>
          <w:sz w:val="24"/>
          <w:szCs w:val="24"/>
        </w:rPr>
        <w:t>o objęcie refundacją i ustalenie urzędowej ceny zbytu,</w:t>
      </w:r>
      <w:r w:rsidRPr="004602B0">
        <w:rPr>
          <w:rFonts w:asciiTheme="majorHAnsi" w:hAnsiTheme="majorHAnsi" w:cstheme="majorHAnsi"/>
          <w:sz w:val="24"/>
          <w:szCs w:val="24"/>
        </w:rPr>
        <w:t xml:space="preserve"> podwyższenie, obniżenie urzędowej ceny zbytu oraz skrócenie obowiązywania decyzji) (dla porównania </w:t>
      </w:r>
      <w:r w:rsidR="00BC5518" w:rsidRPr="004602B0">
        <w:rPr>
          <w:rFonts w:asciiTheme="majorHAnsi" w:hAnsiTheme="majorHAnsi" w:cstheme="majorHAnsi"/>
          <w:sz w:val="24"/>
          <w:szCs w:val="24"/>
        </w:rPr>
        <w:t xml:space="preserve">w </w:t>
      </w:r>
      <w:r w:rsidRPr="004602B0">
        <w:rPr>
          <w:rFonts w:asciiTheme="majorHAnsi" w:hAnsiTheme="majorHAnsi" w:cstheme="majorHAnsi"/>
          <w:sz w:val="24"/>
          <w:szCs w:val="24"/>
        </w:rPr>
        <w:t>2021</w:t>
      </w:r>
      <w:r w:rsidR="00816ED3" w:rsidRPr="004602B0">
        <w:rPr>
          <w:rFonts w:asciiTheme="majorHAnsi" w:hAnsiTheme="majorHAnsi" w:cstheme="majorHAnsi"/>
          <w:sz w:val="24"/>
          <w:szCs w:val="24"/>
        </w:rPr>
        <w:t xml:space="preserve"> wpłynęło</w:t>
      </w:r>
      <w:r w:rsidR="00BC5518" w:rsidRPr="004602B0">
        <w:rPr>
          <w:rFonts w:asciiTheme="majorHAnsi" w:hAnsiTheme="majorHAnsi" w:cstheme="majorHAnsi"/>
          <w:sz w:val="24"/>
          <w:szCs w:val="24"/>
        </w:rPr>
        <w:t xml:space="preserve"> 411</w:t>
      </w:r>
      <w:r w:rsidR="008A3002" w:rsidRPr="004602B0">
        <w:rPr>
          <w:rFonts w:asciiTheme="majorHAnsi" w:hAnsiTheme="majorHAnsi" w:cstheme="majorHAnsi"/>
          <w:sz w:val="24"/>
          <w:szCs w:val="24"/>
        </w:rPr>
        <w:t>6</w:t>
      </w:r>
      <w:r w:rsidR="00BC5518" w:rsidRPr="004602B0">
        <w:rPr>
          <w:rFonts w:asciiTheme="majorHAnsi" w:hAnsiTheme="majorHAnsi" w:cstheme="majorHAnsi"/>
          <w:sz w:val="24"/>
          <w:szCs w:val="24"/>
        </w:rPr>
        <w:t xml:space="preserve"> </w:t>
      </w:r>
      <w:r w:rsidR="00804B8E" w:rsidRPr="004602B0">
        <w:rPr>
          <w:rFonts w:asciiTheme="majorHAnsi" w:hAnsiTheme="majorHAnsi" w:cstheme="majorHAnsi"/>
          <w:sz w:val="24"/>
          <w:szCs w:val="24"/>
        </w:rPr>
        <w:t>wniosków</w:t>
      </w:r>
      <w:r w:rsidR="00BC5518" w:rsidRPr="004602B0">
        <w:rPr>
          <w:rFonts w:asciiTheme="majorHAnsi" w:hAnsiTheme="majorHAnsi" w:cstheme="majorHAnsi"/>
          <w:sz w:val="24"/>
          <w:szCs w:val="24"/>
        </w:rPr>
        <w:t>)</w:t>
      </w:r>
      <w:r w:rsidR="00804B8E" w:rsidRPr="004602B0">
        <w:rPr>
          <w:rFonts w:asciiTheme="majorHAnsi" w:hAnsiTheme="majorHAnsi" w:cstheme="majorHAnsi"/>
          <w:sz w:val="24"/>
          <w:szCs w:val="24"/>
        </w:rPr>
        <w:t>.</w:t>
      </w:r>
    </w:p>
    <w:p w14:paraId="51028EE7" w14:textId="77B21BC7" w:rsidR="00816ED3" w:rsidRPr="004602B0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602B0">
        <w:rPr>
          <w:rFonts w:asciiTheme="majorHAnsi" w:hAnsiTheme="majorHAnsi" w:cstheme="majorHAnsi"/>
          <w:sz w:val="24"/>
          <w:szCs w:val="24"/>
        </w:rPr>
        <w:t>W 202</w:t>
      </w:r>
      <w:r w:rsidR="00FD3BAC" w:rsidRPr="004602B0">
        <w:rPr>
          <w:rFonts w:asciiTheme="majorHAnsi" w:hAnsiTheme="majorHAnsi" w:cstheme="majorHAnsi"/>
          <w:sz w:val="24"/>
          <w:szCs w:val="24"/>
        </w:rPr>
        <w:t>2</w:t>
      </w:r>
      <w:r w:rsidRPr="004602B0">
        <w:rPr>
          <w:rFonts w:asciiTheme="majorHAnsi" w:hAnsiTheme="majorHAnsi" w:cstheme="majorHAnsi"/>
          <w:sz w:val="24"/>
          <w:szCs w:val="24"/>
        </w:rPr>
        <w:t xml:space="preserve"> r. refundacją objęto </w:t>
      </w:r>
      <w:r w:rsidR="006110C1" w:rsidRPr="004602B0">
        <w:rPr>
          <w:rFonts w:asciiTheme="majorHAnsi" w:hAnsiTheme="majorHAnsi" w:cstheme="majorHAnsi"/>
          <w:sz w:val="24"/>
          <w:szCs w:val="24"/>
        </w:rPr>
        <w:t>115</w:t>
      </w:r>
      <w:r w:rsidRPr="004602B0">
        <w:rPr>
          <w:rFonts w:asciiTheme="majorHAnsi" w:hAnsiTheme="majorHAnsi" w:cstheme="majorHAnsi"/>
          <w:sz w:val="24"/>
          <w:szCs w:val="24"/>
        </w:rPr>
        <w:t xml:space="preserve"> nowych cząsteczko</w:t>
      </w:r>
      <w:r w:rsidR="002B1197" w:rsidRPr="004602B0">
        <w:rPr>
          <w:rFonts w:asciiTheme="majorHAnsi" w:hAnsiTheme="majorHAnsi" w:cstheme="majorHAnsi"/>
          <w:sz w:val="24"/>
          <w:szCs w:val="24"/>
        </w:rPr>
        <w:t>-</w:t>
      </w:r>
      <w:r w:rsidRPr="004602B0">
        <w:rPr>
          <w:rFonts w:asciiTheme="majorHAnsi" w:hAnsiTheme="majorHAnsi" w:cstheme="majorHAnsi"/>
          <w:sz w:val="24"/>
          <w:szCs w:val="24"/>
        </w:rPr>
        <w:t>wskazań</w:t>
      </w:r>
      <w:r w:rsidR="00B25313" w:rsidRPr="004602B0">
        <w:rPr>
          <w:rFonts w:asciiTheme="majorHAnsi" w:hAnsiTheme="majorHAnsi" w:cstheme="majorHAnsi"/>
          <w:sz w:val="24"/>
          <w:szCs w:val="24"/>
        </w:rPr>
        <w:t xml:space="preserve"> (dla porównania w 2021 r. refundacją objęto 68 nowych cząsteczko</w:t>
      </w:r>
      <w:r w:rsidR="002B1197" w:rsidRPr="004602B0">
        <w:rPr>
          <w:rFonts w:asciiTheme="majorHAnsi" w:hAnsiTheme="majorHAnsi" w:cstheme="majorHAnsi"/>
          <w:sz w:val="24"/>
          <w:szCs w:val="24"/>
        </w:rPr>
        <w:t>-</w:t>
      </w:r>
      <w:r w:rsidR="00B25313" w:rsidRPr="004602B0">
        <w:rPr>
          <w:rFonts w:asciiTheme="majorHAnsi" w:hAnsiTheme="majorHAnsi" w:cstheme="majorHAnsi"/>
          <w:sz w:val="24"/>
          <w:szCs w:val="24"/>
        </w:rPr>
        <w:t>wskazań)</w:t>
      </w:r>
      <w:r w:rsidRPr="004602B0">
        <w:rPr>
          <w:rFonts w:asciiTheme="majorHAnsi" w:hAnsiTheme="majorHAnsi" w:cstheme="majorHAnsi"/>
          <w:sz w:val="24"/>
          <w:szCs w:val="24"/>
        </w:rPr>
        <w:t>. Podział ze względu na rodzaj wskazań, kategorię dostępności, choroby rzadkie przedstawiono na wykresach poniżej.</w:t>
      </w:r>
    </w:p>
    <w:p w14:paraId="79FA59D7" w14:textId="731A1EC3" w:rsidR="00816ED3" w:rsidRDefault="00816ED3" w:rsidP="00816ED3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69411C75" w14:textId="21E329F6" w:rsidR="00816802" w:rsidRDefault="00E25EC3" w:rsidP="00816802">
      <w:pPr>
        <w:rPr>
          <w:noProof/>
        </w:rPr>
      </w:pPr>
      <w:r w:rsidRPr="00E25EC3">
        <w:rPr>
          <w:noProof/>
        </w:rPr>
        <w:lastRenderedPageBreak/>
        <w:t xml:space="preserve"> </w:t>
      </w:r>
      <w:r w:rsidR="00D37E96">
        <w:rPr>
          <w:noProof/>
        </w:rPr>
        <w:drawing>
          <wp:inline distT="0" distB="0" distL="0" distR="0" wp14:anchorId="43E5E0BB" wp14:editId="119923E4">
            <wp:extent cx="2924175" cy="2962275"/>
            <wp:effectExtent l="0" t="0" r="9525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729F3DEE-6105-4281-860A-FBD639556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8735B">
        <w:rPr>
          <w:noProof/>
        </w:rPr>
        <w:t xml:space="preserve"> </w:t>
      </w:r>
      <w:r w:rsidR="00B8735B">
        <w:rPr>
          <w:noProof/>
        </w:rPr>
        <w:drawing>
          <wp:inline distT="0" distB="0" distL="0" distR="0" wp14:anchorId="246D8C06" wp14:editId="59AE2706">
            <wp:extent cx="2933065" cy="2962275"/>
            <wp:effectExtent l="0" t="0" r="635" b="952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118770CA-56B6-4805-B90C-A976181714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8735B">
        <w:rPr>
          <w:noProof/>
        </w:rPr>
        <w:t xml:space="preserve"> </w:t>
      </w:r>
      <w:r w:rsidR="00BB115A">
        <w:rPr>
          <w:noProof/>
        </w:rPr>
        <w:drawing>
          <wp:inline distT="0" distB="0" distL="0" distR="0" wp14:anchorId="60BC8EB9" wp14:editId="69F8E94E">
            <wp:extent cx="2903855" cy="2967355"/>
            <wp:effectExtent l="0" t="0" r="10795" b="444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FD90813B-9E6A-4837-A68A-23B083805A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B115A">
        <w:rPr>
          <w:noProof/>
        </w:rPr>
        <w:t xml:space="preserve"> </w:t>
      </w:r>
    </w:p>
    <w:p w14:paraId="02485099" w14:textId="6A7E590F" w:rsidR="00BA1ACD" w:rsidRDefault="0028574E" w:rsidP="00097FDB">
      <w:pPr>
        <w:suppressAutoHyphens w:val="0"/>
        <w:spacing w:line="252" w:lineRule="auto"/>
        <w:textAlignment w:val="auto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 w:rsidR="00BA1ACD">
        <w:rPr>
          <w:noProof/>
        </w:rPr>
        <w:drawing>
          <wp:inline distT="0" distB="0" distL="0" distR="0" wp14:anchorId="5CFE6AAF" wp14:editId="34A00207">
            <wp:extent cx="4389120" cy="2915996"/>
            <wp:effectExtent l="0" t="0" r="11430" b="1778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D04F5"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 w:rsidR="00CD04F5">
        <w:rPr>
          <w:noProof/>
        </w:rPr>
        <w:drawing>
          <wp:inline distT="0" distB="0" distL="0" distR="0" wp14:anchorId="0C2B7509" wp14:editId="66C3FD4F">
            <wp:extent cx="4362450" cy="2924582"/>
            <wp:effectExtent l="0" t="0" r="0" b="9525"/>
            <wp:docPr id="18" name="Wykres 18">
              <a:extLst xmlns:a="http://schemas.openxmlformats.org/drawingml/2006/main">
                <a:ext uri="{FF2B5EF4-FFF2-40B4-BE49-F238E27FC236}">
                  <a16:creationId xmlns:a16="http://schemas.microsoft.com/office/drawing/2014/main" id="{A8113DE0-A247-4936-8FA2-1B2E0783D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EDA114" w14:textId="77777777" w:rsidR="00816802" w:rsidRPr="00880D84" w:rsidRDefault="00816802" w:rsidP="00816802">
      <w:pPr>
        <w:jc w:val="center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880D84">
        <w:rPr>
          <w:rFonts w:asciiTheme="majorHAnsi" w:hAnsiTheme="majorHAnsi" w:cstheme="majorHAnsi"/>
          <w:b/>
          <w:bCs/>
          <w:color w:val="00B0F0"/>
          <w:sz w:val="28"/>
          <w:szCs w:val="28"/>
        </w:rPr>
        <w:lastRenderedPageBreak/>
        <w:t>NOWE WSKAZANIA ORAZ ZMIANY W PROGRAMACH LEKOWYCH i CHEMIOTERAPII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509"/>
        <w:gridCol w:w="1853"/>
        <w:gridCol w:w="1996"/>
        <w:gridCol w:w="3401"/>
        <w:gridCol w:w="4643"/>
      </w:tblGrid>
      <w:tr w:rsidR="00816802" w:rsidRPr="00880D84" w14:paraId="57DBB0A2" w14:textId="77777777" w:rsidTr="004D78D6">
        <w:trPr>
          <w:cantSplit/>
          <w:trHeight w:val="19"/>
        </w:trPr>
        <w:tc>
          <w:tcPr>
            <w:tcW w:w="5000" w:type="pct"/>
            <w:gridSpan w:val="6"/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3750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Programy lekowe i chemioterapia</w:t>
            </w:r>
          </w:p>
        </w:tc>
      </w:tr>
      <w:tr w:rsidR="00816802" w:rsidRPr="00880D84" w14:paraId="7B0FB716" w14:textId="77777777" w:rsidTr="004D78D6">
        <w:trPr>
          <w:cantSplit/>
          <w:trHeight w:val="19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2D04" w14:textId="0EB001CC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 xml:space="preserve">Nowe </w:t>
            </w:r>
            <w:r w:rsidR="00E26A4D" w:rsidRPr="00880D84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80D84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wskazania onkologiczne</w:t>
            </w:r>
          </w:p>
        </w:tc>
      </w:tr>
      <w:tr w:rsidR="00816802" w:rsidRPr="00880D84" w14:paraId="4ECF3EF6" w14:textId="77777777" w:rsidTr="00C64949">
        <w:trPr>
          <w:cantSplit/>
          <w:trHeight w:val="19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AF85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43C8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078D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713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9965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21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841E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Nazwa programu lekowego / </w:t>
            </w:r>
          </w:p>
          <w:p w14:paraId="6402573A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Załącznika chemioterapii</w:t>
            </w:r>
          </w:p>
        </w:tc>
        <w:tc>
          <w:tcPr>
            <w:tcW w:w="165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2E3A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D71BA7" w:rsidRPr="00880D84" w14:paraId="6CBB0A25" w14:textId="77777777" w:rsidTr="00C64949">
        <w:trPr>
          <w:cantSplit/>
          <w:trHeight w:val="19"/>
        </w:trPr>
        <w:tc>
          <w:tcPr>
            <w:tcW w:w="21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3FAD" w14:textId="4D1BE303" w:rsidR="00D71BA7" w:rsidRPr="00880D84" w:rsidRDefault="00D71BA7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C7AA" w14:textId="4356A492" w:rsidR="00D71BA7" w:rsidRPr="00880D84" w:rsidRDefault="00D71BA7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Tecentriq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62F4" w14:textId="6DF45FA9" w:rsidR="00D71BA7" w:rsidRPr="00880D84" w:rsidRDefault="00D71BA7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atezolizu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0C34" w14:textId="5306C271" w:rsidR="00D71BA7" w:rsidRPr="00880D84" w:rsidRDefault="00D71BA7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D27F" w14:textId="455E4031" w:rsidR="00D71BA7" w:rsidRPr="00880D84" w:rsidRDefault="00D71BA7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WĄTROBOWOKOMÓRKOWEGO (ICD-10: C22.0)</w:t>
            </w:r>
          </w:p>
        </w:tc>
        <w:tc>
          <w:tcPr>
            <w:tcW w:w="1659" w:type="pct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7B28" w14:textId="39AEABED" w:rsidR="00D71BA7" w:rsidRPr="00880D84" w:rsidRDefault="00D71BA7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 linii raka wątrobowokomórkowego atezolizumabem w skojarzeniu z bewacyzumabem u dorosłych pacjentów bez przerzutów poza wątrobę i pacjentów z przerzutami pozawątrobowymi.</w:t>
            </w:r>
          </w:p>
          <w:p w14:paraId="5A96F828" w14:textId="3E6E81D3" w:rsidR="00D71BA7" w:rsidRPr="00880D84" w:rsidRDefault="00D71BA7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D71BA7" w:rsidRPr="00880D84" w14:paraId="3470220E" w14:textId="77777777" w:rsidTr="00D71BA7">
        <w:trPr>
          <w:cantSplit/>
          <w:trHeight w:val="682"/>
        </w:trPr>
        <w:tc>
          <w:tcPr>
            <w:tcW w:w="21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14F6" w14:textId="77777777" w:rsidR="00D71BA7" w:rsidRPr="00880D84" w:rsidRDefault="00D71BA7" w:rsidP="00D71B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F5F7" w14:textId="6824B627" w:rsidR="00D71BA7" w:rsidRPr="00880D84" w:rsidRDefault="00D71BA7" w:rsidP="00D71B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Avastin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BAFA" w14:textId="636CEA15" w:rsidR="00D71BA7" w:rsidRPr="00880D84" w:rsidRDefault="00D71BA7" w:rsidP="00D71B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bewacyzu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F624" w14:textId="645D0164" w:rsidR="00D71BA7" w:rsidRPr="00880D84" w:rsidRDefault="00D71BA7" w:rsidP="00D71B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C.82.d.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B472" w14:textId="5F0B4A65" w:rsidR="00D71BA7" w:rsidRPr="00880D84" w:rsidRDefault="00D71BA7" w:rsidP="00D71B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BEVACIZUMABUM</w:t>
            </w:r>
          </w:p>
        </w:tc>
        <w:tc>
          <w:tcPr>
            <w:tcW w:w="1659" w:type="pct"/>
            <w:vMerge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4C70" w14:textId="5C6AFC8D" w:rsidR="00D71BA7" w:rsidRPr="00880D84" w:rsidRDefault="00D71BA7" w:rsidP="00D71BA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096A" w:rsidRPr="00880D84" w14:paraId="0019EE1E" w14:textId="77777777" w:rsidTr="00C64949">
        <w:trPr>
          <w:cantSplit/>
          <w:trHeight w:val="74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1B2" w14:textId="658481BF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B501" w14:textId="3D519A3D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Kadcyla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AAF4" w14:textId="7E96E235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trastuzumab emtanzyna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FFA" w14:textId="38300112" w:rsidR="0039096A" w:rsidRPr="00880D84" w:rsidRDefault="002B1197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B.9.FM.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92E" w14:textId="76EAE123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35E2" w14:textId="2BCC061C" w:rsidR="0039096A" w:rsidRPr="00880D84" w:rsidRDefault="0039096A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pooperacyjne wczesnego, HER2-dodatniego raka piersi z chorobą resztkową</w:t>
            </w:r>
          </w:p>
        </w:tc>
      </w:tr>
      <w:tr w:rsidR="00C24E46" w:rsidRPr="00880D84" w14:paraId="044EEB5D" w14:textId="77777777" w:rsidTr="00C64949">
        <w:trPr>
          <w:cantSplit/>
          <w:trHeight w:val="169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38F7" w14:textId="510A38D0" w:rsidR="00C24E46" w:rsidRPr="00880D84" w:rsidRDefault="00986C4C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2B01" w14:textId="10B9F42C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Piqray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A5F2" w14:textId="48D908C9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alpelisyb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13EC" w14:textId="6BD93202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B.9.FM</w:t>
            </w:r>
            <w:r w:rsidR="00E26F6A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2ADD" w14:textId="40F47D91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FD70" w14:textId="7D067045" w:rsidR="00C24E46" w:rsidRPr="00880D84" w:rsidRDefault="00C24E46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lub II linii przerzutowego HER-2 ujemnego raka piersi z obecnością mutacji </w:t>
            </w: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PIK3CA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472C29DD" w14:textId="5BE4A2C1" w:rsidR="00C24E46" w:rsidRPr="00880D84" w:rsidRDefault="00C24E46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Terapia skojarzona z fluwestrantem, stosowana po progresji lub nawrocie raka piersi w trakcie lub po zakończeniu leczenia hormonalnego z zastosowaniem inhibitora aromatazy.</w:t>
            </w:r>
          </w:p>
        </w:tc>
      </w:tr>
      <w:tr w:rsidR="00C24E46" w:rsidRPr="00880D84" w14:paraId="45CA1288" w14:textId="77777777" w:rsidTr="00C64949">
        <w:trPr>
          <w:cantSplit/>
          <w:trHeight w:val="126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945C" w14:textId="79B42D60" w:rsidR="00C24E46" w:rsidRPr="00880D84" w:rsidRDefault="00986C4C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7605" w14:textId="6D44A3B2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Talzenna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8D88" w14:textId="7D48DED8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talazoparyb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93F1" w14:textId="066061CE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B.9.FM</w:t>
            </w:r>
            <w:r w:rsidR="00E26F6A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5000" w14:textId="007EA595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0CD4" w14:textId="15A3014D" w:rsidR="00C24E46" w:rsidRPr="00880D84" w:rsidRDefault="00C24E46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II lub III linii przerzutowego HER-2 ujemnego raka piersi z obecnością mutacji w genach BRCA 1/2, po uprzednim zastosowaniu hormonoterapii z lub bez inhibitorów CDK4/6.</w:t>
            </w:r>
          </w:p>
        </w:tc>
      </w:tr>
      <w:tr w:rsidR="00C24E46" w:rsidRPr="00880D84" w14:paraId="2ECFFB00" w14:textId="77777777" w:rsidTr="00C64949">
        <w:trPr>
          <w:cantSplit/>
          <w:trHeight w:val="102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A77F" w14:textId="2C3413B4" w:rsidR="00C24E46" w:rsidRPr="00880D84" w:rsidRDefault="00986C4C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B12B" w14:textId="297594FB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Talzenna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862E" w14:textId="1EE13465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talazoparyb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5819" w14:textId="3A94BEAE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B.9.FM</w:t>
            </w:r>
            <w:r w:rsidR="00E26F6A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7234" w14:textId="6561B742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F46E" w14:textId="70C058CF" w:rsidR="00C24E46" w:rsidRPr="00880D84" w:rsidRDefault="00C24E46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lub II linii przerzutowego potrójnie ujemnego raka piersi z obecnością mutacji w genach </w:t>
            </w: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BRCA 1/2.</w:t>
            </w:r>
          </w:p>
        </w:tc>
      </w:tr>
      <w:tr w:rsidR="00C24E46" w:rsidRPr="00880D84" w14:paraId="2693D9E7" w14:textId="77777777" w:rsidTr="00C64949">
        <w:trPr>
          <w:cantSplit/>
          <w:trHeight w:val="197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979D" w14:textId="328A807B" w:rsidR="00C24E46" w:rsidRPr="00880D84" w:rsidRDefault="00986C4C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5115" w14:textId="1E1BE461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Trodelvy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4D72" w14:textId="2F15155C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sacytuzumab gowitekan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FECE" w14:textId="7763DE71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B.9.FM</w:t>
            </w:r>
            <w:r w:rsidR="00E26F6A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105C" w14:textId="1B4C6CC8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F3BF" w14:textId="49F67622" w:rsidR="00C24E46" w:rsidRPr="00880D84" w:rsidRDefault="00C24E46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II lub III linii przerzutowego potrójnie ujemnego </w:t>
            </w:r>
            <w:r w:rsidR="00D71BA7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raka piersi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przypadku pacjentów, którzy wcześniej otrzymali co najmniej dwie linie leczenia systemowego.</w:t>
            </w:r>
          </w:p>
          <w:p w14:paraId="6D5665FF" w14:textId="5B5E4CA2" w:rsidR="00C24E46" w:rsidRPr="00880D84" w:rsidRDefault="00C24E46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Technologia lekowa o wysokim poziomie innowacyjności (technologia finansowana z Funduszu Medycznego)</w:t>
            </w:r>
          </w:p>
        </w:tc>
      </w:tr>
      <w:tr w:rsidR="0039096A" w:rsidRPr="00880D84" w14:paraId="045D80D5" w14:textId="77777777" w:rsidTr="00C64949">
        <w:trPr>
          <w:cantSplit/>
          <w:trHeight w:val="97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DED2" w14:textId="099D6C28" w:rsidR="0039096A" w:rsidRPr="00880D84" w:rsidRDefault="00986C4C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39096A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EE75" w14:textId="51647046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Cabometyx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0C58" w14:textId="15341D00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kabozantynib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5FF7" w14:textId="0B494E3D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51F5" w14:textId="164B2758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0BEF" w14:textId="5C3122C0" w:rsidR="0039096A" w:rsidRPr="00880D84" w:rsidRDefault="0039096A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 w I linii leczenia raka nerkowokomórkowego w przypadku rokowania pośredniego i niekorzystnego</w:t>
            </w:r>
          </w:p>
        </w:tc>
      </w:tr>
      <w:tr w:rsidR="0039096A" w:rsidRPr="00880D84" w14:paraId="5F9B6B42" w14:textId="77777777" w:rsidTr="00C64949">
        <w:trPr>
          <w:cantSplit/>
          <w:trHeight w:val="69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16EA" w14:textId="118829AB" w:rsidR="0039096A" w:rsidRPr="00880D84" w:rsidRDefault="00986C4C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39096A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D6F1" w14:textId="640EFA09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Cabo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metyx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9D69" w14:textId="2D9B26C1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kabozantynib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B862" w14:textId="342A7AC7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6F61" w14:textId="5CB4F4C4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A5AB" w14:textId="251EE031" w:rsidR="0039096A" w:rsidRPr="00880D84" w:rsidRDefault="0039096A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 w III linii leczenia raka nerkowokomórkowego</w:t>
            </w:r>
          </w:p>
        </w:tc>
      </w:tr>
      <w:tr w:rsidR="0039096A" w:rsidRPr="00880D84" w14:paraId="34F09147" w14:textId="77777777" w:rsidTr="00C64949">
        <w:trPr>
          <w:cantSplit/>
          <w:trHeight w:val="79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B085" w14:textId="09FC5258" w:rsidR="0039096A" w:rsidRPr="00880D84" w:rsidRDefault="00986C4C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39096A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D95" w14:textId="2C8B7B3D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Opdivo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C337" w14:textId="7E0398EA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niwolumab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F903" w14:textId="6B0E4D54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AE5F" w14:textId="1EB98754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5AE3" w14:textId="4E896613" w:rsidR="0039096A" w:rsidRPr="00880D84" w:rsidRDefault="0039096A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 w III linii leczenia raka nerkowokomórkowego</w:t>
            </w:r>
          </w:p>
        </w:tc>
      </w:tr>
      <w:tr w:rsidR="00146A54" w:rsidRPr="00880D84" w14:paraId="02F3174F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8FE6" w14:textId="60EB0AA1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66CA" w14:textId="708F9B9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Opdivo + Yervoy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0D28" w14:textId="50519B0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niwolumab+ ipilimumab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6CBB" w14:textId="65B5F10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1A6C" w14:textId="0FEB7E7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0" w:name="_Hlk101258012"/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  <w:bookmarkEnd w:id="0"/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8EEF" w14:textId="585E8F0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Terapia skojarzona w I linii leczenia raka nerkowokomórkowego w przypadku rokowania pośredniego i niekorzystnego</w:t>
            </w:r>
          </w:p>
        </w:tc>
      </w:tr>
      <w:tr w:rsidR="00146A54" w:rsidRPr="00880D84" w14:paraId="6302BDAC" w14:textId="77777777" w:rsidTr="00C64949">
        <w:trPr>
          <w:cantSplit/>
          <w:trHeight w:val="103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3054" w14:textId="03EEB40A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D0B2" w14:textId="081DC87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0FC3" w14:textId="79A01D5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eweroli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mus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702C" w14:textId="0E93C2C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3B00" w14:textId="55A4B43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C2D3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Monoterapia w III linii leczenia raka nerkowokomórkowego</w:t>
            </w:r>
          </w:p>
          <w:p w14:paraId="2D2441F2" w14:textId="1ABBD84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(wskazanie off-label)</w:t>
            </w:r>
          </w:p>
        </w:tc>
      </w:tr>
      <w:tr w:rsidR="00146A54" w:rsidRPr="00880D84" w14:paraId="0CFAB685" w14:textId="77777777" w:rsidTr="00C64949">
        <w:trPr>
          <w:cantSplit/>
          <w:trHeight w:val="211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6ABD" w14:textId="5755F2D3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CD24" w14:textId="4D05E2F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Lynparza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E147" w14:textId="75E0B58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olaparyb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3CBA" w14:textId="48A1FFA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B.50.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A6E6" w14:textId="09D94EE9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(ICD-10: C56, C57, C48)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C503" w14:textId="70B4FEA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olaparybem w skojarzeniu z bewcyzumabem pacjentek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z nowo zdiagnozowanym zawansowanym, rakiem jajnika (stopień zaawansowania FIGO IV lub III) z obecnością mutacji w genach 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BRCA1/2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 lub potwierdzonym niedoborem homologicznej rekombinacji (HRD) bez względu na obecność choroby resztkowej.</w:t>
            </w:r>
          </w:p>
        </w:tc>
      </w:tr>
      <w:tr w:rsidR="00146A54" w:rsidRPr="00880D84" w14:paraId="02A7B50D" w14:textId="77777777" w:rsidTr="00C64949">
        <w:trPr>
          <w:cantSplit/>
          <w:trHeight w:val="140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D676" w14:textId="57DFFB99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1AA7" w14:textId="55EF318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Zejula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2B79" w14:textId="544BA85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niraparyb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7A48" w14:textId="670C6ED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B.50.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CDE9" w14:textId="298D154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(ICD-10: C56, C57, C48)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2E80" w14:textId="6A9B68B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I linia leczenia podtrzymującego noworozpoznanego zaawansowanego raka jajnika, jajowodu lub pierwotnego raka otrzewnej, niezależnie od stanu mutacji w genach BRCA1/BRCA2</w:t>
            </w:r>
          </w:p>
        </w:tc>
      </w:tr>
      <w:tr w:rsidR="00146A54" w:rsidRPr="00880D84" w14:paraId="29F0788A" w14:textId="77777777" w:rsidTr="00C64949">
        <w:trPr>
          <w:cantSplit/>
          <w:trHeight w:val="14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ADAD" w14:textId="2A80D19D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BC77" w14:textId="0C43579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C2F4" w14:textId="0E83A3A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pembrolizumab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B414" w14:textId="6B2A242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 52. 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646" w14:textId="4ABA720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PŁASKONABŁONKOWEGO RAKA NARZĄDÓW GŁOWY I SZYI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FF3C" w14:textId="02851DE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Objęcie refundacją w pierwszej linii terapii płaskonabłonkowego raka jamy ustnej, gardła lub krtani substancji czynnej </w:t>
            </w: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pembrolizumab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monoterapii lub terapii łączonej z chemioterapią u pacjentów z ekspresją CPS ≥ 1</w:t>
            </w:r>
          </w:p>
        </w:tc>
      </w:tr>
      <w:tr w:rsidR="00146A54" w:rsidRPr="00880D84" w14:paraId="53519397" w14:textId="77777777" w:rsidTr="00C64949">
        <w:trPr>
          <w:cantSplit/>
          <w:trHeight w:val="148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9579" w14:textId="37E67262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1F6C" w14:textId="7598B99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Darzalex (s.c.)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2B42" w14:textId="7F15589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daratumumab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3F38" w14:textId="70F42DE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22AF" w14:textId="62921F2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2CF3" w14:textId="061A175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II-IV linia leczenia dorosłych pacjentów z opornym lub nawrotowym szpiczakiem plazmocytowym – leczenie daratumumabem (w formie podskórnej) w skojarzeniu z bortezomibem i deksametazonem</w:t>
            </w:r>
          </w:p>
          <w:p w14:paraId="1AB9572A" w14:textId="7FE638B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1857779B" w14:textId="77777777" w:rsidTr="00C64949">
        <w:trPr>
          <w:cantSplit/>
          <w:trHeight w:val="152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0D2E" w14:textId="482273BF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8B55" w14:textId="4C56467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Imnovid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0BC0" w14:textId="24DAECC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pomalidomid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B6B6" w14:textId="7DBA26B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6EF6" w14:textId="696C42E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4F18" w14:textId="2F157B5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II-IV linia leczenia dorosłych pacjentów z opornym lub nawrotowym szpiczakiem plazmocytowym – leczenie pomalidomidem w skojarzeniu z bortezomibem i deksametazonem</w:t>
            </w:r>
          </w:p>
          <w:p w14:paraId="06E19D2D" w14:textId="18F7331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2FCB8661" w14:textId="77777777" w:rsidTr="00C64949">
        <w:trPr>
          <w:cantSplit/>
          <w:trHeight w:val="127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C929" w14:textId="4468EE39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F040" w14:textId="39C8221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Revlimid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B697" w14:textId="4DD19F4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BBEA" w14:textId="7DD76FF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B98E" w14:textId="4CEEE0B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433E" w14:textId="032EECA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linia leczenia dorosłych pacjentów z nieleczonym uprzednio szpiczakiem plazmocytowym – leczenie lenalidomidem w skojarzeniu z deksametazonem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(Choroba rzadka)</w:t>
            </w:r>
          </w:p>
        </w:tc>
      </w:tr>
      <w:tr w:rsidR="00146A54" w:rsidRPr="00880D84" w14:paraId="3E334ABB" w14:textId="77777777" w:rsidTr="00C64949">
        <w:trPr>
          <w:cantSplit/>
          <w:trHeight w:val="14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FD73" w14:textId="605658C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86C4C" w:rsidRPr="00880D8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DFD2" w14:textId="3A3969E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Revlimid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A3A" w14:textId="47A1B03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1BDE" w14:textId="20F14BC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B.54.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E15A" w14:textId="63F3D99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8132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linia leczenia dorosłych pacjentów z nieleczonym uprzednio szpiczakiem plazmocytowym – leczenie lenalidomidem w skojarzeniu z bortezomibem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i deksametazonem</w:t>
            </w:r>
          </w:p>
          <w:p w14:paraId="0B28FB09" w14:textId="04DF15C3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39005D91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6514" w14:textId="73B0D49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86C4C" w:rsidRPr="00880D8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95F2" w14:textId="66073B3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Erleada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2B0B" w14:textId="3E78513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apalutamid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45CC" w14:textId="08AFB4B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863D" w14:textId="6AE36E03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95803576"/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(ICD-10 C61)</w:t>
            </w:r>
            <w:bookmarkEnd w:id="1"/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591B" w14:textId="3317216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</w:p>
        </w:tc>
      </w:tr>
      <w:tr w:rsidR="00146A54" w:rsidRPr="00880D84" w14:paraId="212C88E8" w14:textId="77777777" w:rsidTr="00C64949">
        <w:trPr>
          <w:cantSplit/>
          <w:trHeight w:val="98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47C9" w14:textId="10DAA4CD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20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C820" w14:textId="19682DC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Nubeqa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7939" w14:textId="4CB1E7B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darolutamid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5474" w14:textId="57B4953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AA54" w14:textId="1184AE19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(ICD-10 C61)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0D8C" w14:textId="6A1E4A6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</w:p>
        </w:tc>
      </w:tr>
      <w:tr w:rsidR="00146A54" w:rsidRPr="00880D84" w14:paraId="3BA356CF" w14:textId="77777777" w:rsidTr="00C64949">
        <w:trPr>
          <w:cantSplit/>
          <w:trHeight w:val="98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E5FA" w14:textId="435F1A84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7C69" w14:textId="271A394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Xtandi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CB1F" w14:textId="3415028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enzalutamid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2B38" w14:textId="45CC41E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DDB4" w14:textId="2A17B76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(ICD-10 C61)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CF17" w14:textId="35E02B7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</w:p>
        </w:tc>
      </w:tr>
      <w:tr w:rsidR="00146A54" w:rsidRPr="00880D84" w14:paraId="3C6CBE16" w14:textId="77777777" w:rsidTr="00C64949">
        <w:trPr>
          <w:cantSplit/>
          <w:trHeight w:val="140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2B7D" w14:textId="3F9E6F51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0DBD" w14:textId="33AB441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Cyramza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CF66" w14:textId="4C606F9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ramucyrumab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3752" w14:textId="2AA6AF8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B.58.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38A1" w14:textId="57A8B18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ZAAWANSOWANEGO RAKA PRZEŁYKU I ŻOŁĄDKA (ICD-10: C15-C16)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4B70" w14:textId="7DB02A1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II linii zaawansowanego raka żołądka w przypadku pacjentów, u których wykazano progresję choroby po wcześniejszej chemioterapii pochodnymi platyny i fluoropirymidyną. Terapia skojarzona z paklitakselem.</w:t>
            </w:r>
          </w:p>
        </w:tc>
      </w:tr>
      <w:tr w:rsidR="00146A54" w:rsidRPr="00880D84" w14:paraId="79BB4D43" w14:textId="77777777" w:rsidTr="00C64949">
        <w:trPr>
          <w:cantSplit/>
          <w:trHeight w:val="12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3E31" w14:textId="31759689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C281" w14:textId="6A4B933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Opdivo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AD7F" w14:textId="705B7D5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niwolumab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CAC9" w14:textId="00E3928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B.58.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5F35" w14:textId="3579E41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ZAAWANSOWANEGO RAKA PRZEŁYKU I ŻOŁĄDKA (ICD-10: C15-C16)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3419" w14:textId="2030416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II linii zaawansowanego raka przełyku w przypadku pacjentów, którzy wcześniej otrzymywali chemioterapię opartą na pochodnych platyny w skojarzeniu z fluoropirymidyną.</w:t>
            </w:r>
          </w:p>
        </w:tc>
      </w:tr>
      <w:tr w:rsidR="00146A54" w:rsidRPr="00880D84" w14:paraId="30B5FC26" w14:textId="77777777" w:rsidTr="00C64949">
        <w:trPr>
          <w:cantSplit/>
          <w:trHeight w:val="196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B03C" w14:textId="7CEA76A1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DD38" w14:textId="1E8FADC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Inrebic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64A5" w14:textId="090B04A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fedratynib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C35E" w14:textId="06BE9EE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B.81.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B42F" w14:textId="5260AC3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MIELOFIBROZY PIERWOTNEJ ORAZ MIELOFIBROZY WTÓRNEJ W PRZEBIEGU CZERWIENICY PRAWDZIWEJ I NADPŁYTKOWOŚCI SAMOISTNEJ (ICD-10: D47.1)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358B" w14:textId="7BC79E5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fedratynibem chorych na mielofibrozę pierwotną lub mielofibrozę wtórną w przebiegu czerwienicy prawdziwej lub nadpłytkowości samoistnej, którzy nie byli wcześniej leczeni inhibitorami kinazy janusowej lub byli wcześniej leczeni ruksolitynibem.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(Choroba rzadka)</w:t>
            </w:r>
          </w:p>
        </w:tc>
      </w:tr>
      <w:tr w:rsidR="00146A54" w:rsidRPr="00880D84" w14:paraId="330371A0" w14:textId="77777777" w:rsidTr="00C64949">
        <w:trPr>
          <w:cantSplit/>
          <w:trHeight w:val="143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7BA5" w14:textId="64F0CCF5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4FD1" w14:textId="541D12C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Lynparza 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EDE8" w14:textId="7A65BCD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olaparyb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7CC1" w14:textId="2C09B96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B.85.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B6AD" w14:textId="0C1A7AA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GRUCZOLAKORAKIEM TRZUSTKI (ICD-10 C 25.0, C 25.1, C 25.2, C 25.3, C 25.5, C 25.6, C 25.7, C 25.8, C 25.9)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1564" w14:textId="7B0E0AB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podtrzymujące pacjentów z gruczolakorakiem trzustki z mutacją w genach </w:t>
            </w: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BRCA1/2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u których zakończono co najmniej 16-tygodniowy cykl chemioterapii z udziałem pochodnych platyny.</w:t>
            </w:r>
          </w:p>
        </w:tc>
      </w:tr>
      <w:tr w:rsidR="00146A54" w:rsidRPr="00880D84" w14:paraId="1BD56362" w14:textId="77777777" w:rsidTr="00C64949">
        <w:trPr>
          <w:cantSplit/>
          <w:trHeight w:val="197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F13A" w14:textId="1392D8B2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F824" w14:textId="38E379C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Kymriah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4E27" w14:textId="09C4AD7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tisagenlecleucel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F62D" w14:textId="593EF7E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6508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ROZLANE Z DUŻYCH KOMÓREK B ORAZ INNE CHŁONIAKI</w:t>
            </w:r>
          </w:p>
          <w:p w14:paraId="202EE52E" w14:textId="6665D75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B-KOMÓRKOWE (ICD-10: C83, C85)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2DD4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III i kolejne linie leczenia dorosłych chorych na chłoniaka rozlanego z dużych komórek B (DLBCL), chłoniaka z komórek B o wysokim stopniu złośliwości (HGBCL) oraz stransformowanego w DLBCL chłoniaka grudkowego (TFL). Kolejna terapia CAR-T.</w:t>
            </w:r>
          </w:p>
          <w:p w14:paraId="421ADE77" w14:textId="775F017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4398F4F4" w14:textId="77777777" w:rsidTr="00C64949">
        <w:trPr>
          <w:cantSplit/>
          <w:trHeight w:val="236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188C" w14:textId="5B06872F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6211" w14:textId="226DE473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Polivy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EA48" w14:textId="6CE1CDF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polatuzu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 wedotyny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D0A1" w14:textId="2DA773C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FE5A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ROZLANE Z DUŻYCH KOMÓREK B ORAZ INNE CHŁONIAKI</w:t>
            </w:r>
          </w:p>
          <w:p w14:paraId="5BCE8FB9" w14:textId="295780B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B-KOMÓRKOWE (ICD-10: C83, C85)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956C" w14:textId="662A6418" w:rsidR="00146A54" w:rsidRPr="00880D84" w:rsidRDefault="00146A54" w:rsidP="00C6494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 i kolejne linie leczenia dorosłych chorych na nawrotowego lub opornego chłoniaka rozlanego z dużych komórek B (DLBCL) niekwalifikujących się do przeszczepienia krwiotwórczych komórek macierzystych - leczenie polatuzumabem wedotyny w skojarzeniu z bendamustyną i rytuksumabem</w:t>
            </w:r>
          </w:p>
          <w:p w14:paraId="1E6C80E1" w14:textId="215B2402" w:rsidR="00146A54" w:rsidRPr="00880D84" w:rsidRDefault="00146A54" w:rsidP="00C6494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45CB042E" w14:textId="77777777" w:rsidTr="00C64949">
        <w:trPr>
          <w:cantSplit/>
          <w:trHeight w:val="139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8134" w14:textId="61F1D2CB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B13C" w14:textId="5276806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Revlimid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22B0" w14:textId="2727C6E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9641" w14:textId="3C06789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E6B2" w14:textId="1224E9A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ROZLANE Z DUŻYCH KOMÓREK B ORAZ INNE CHŁONIAKI B-KOMÓRKOWE (ICD-10: C83, C85)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2584" w14:textId="034EC73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lenalidomidem dorosłych chorych na opornego lub nawrotowego chłoniaka z komórek płaszcza (ICD-10: C85.7).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(Choroba rzadka)</w:t>
            </w:r>
          </w:p>
        </w:tc>
      </w:tr>
      <w:tr w:rsidR="00146A54" w:rsidRPr="00880D84" w14:paraId="1E8741EC" w14:textId="77777777" w:rsidTr="00C64949">
        <w:trPr>
          <w:cantSplit/>
          <w:trHeight w:val="2615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1DD7" w14:textId="04F6DC8D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9BD8" w14:textId="4081170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Yescarta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8609" w14:textId="335E1BA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aksykabtagen cyloleucel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D591" w14:textId="3C57858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B.93.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2853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CHŁONIAKI ROZLANE Z DUŻYCH KOMÓREK B ORAZ INNE CHŁONIAKI</w:t>
            </w:r>
          </w:p>
          <w:p w14:paraId="58FA14C2" w14:textId="3536B12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B-KOMÓRKOWE (ICD-10: C83, C85)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C798" w14:textId="003E0C7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III i kolejne linie leczenia dorosłych chorych na chłoniaka rozlanego z dużych komórek B (DLBCL), pierwotnego chłoniaka śródpiersia z dużych komórek B (PMBCL), chłoniaka z komórek B o wysokim stopniu złośliwości (HGBCL) oraz stransformowanego w DLBCL chłoniaka grudkowego (TFL)</w:t>
            </w:r>
          </w:p>
          <w:p w14:paraId="0CF0C732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Kolejna terapia CAR-T.</w:t>
            </w:r>
          </w:p>
          <w:p w14:paraId="0CFB44B3" w14:textId="0C168CC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0A75AC66" w14:textId="77777777" w:rsidTr="00C64949">
        <w:trPr>
          <w:cantSplit/>
          <w:trHeight w:val="197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50AC" w14:textId="67CF7BD0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CA79" w14:textId="1E5C99C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Mylotarg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64B0" w14:textId="6184B4A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gemtuzumab ozogamycyny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A0F5" w14:textId="3B13FF9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B.114.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BBDC" w14:textId="3A7A3DA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OSTRĄ BIAŁACZKĘ SZPIKOWĄ (ICD-10: C92.0)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29EE" w14:textId="5E1832B5" w:rsidR="00146A54" w:rsidRPr="00880D84" w:rsidRDefault="00146A54" w:rsidP="00146A5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gemtuzumabem ozogamycyny w skojarzeniu z daunorubicyną i cytarabiną chorych w wieku 15 lat i powyżej na nowo rozpoznaną ostrą białaczkę szpikową występującą </w:t>
            </w: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de novo,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kwalifikujących się do intensywnej chemioterapii indukującej</w:t>
            </w:r>
          </w:p>
          <w:p w14:paraId="05E3AD22" w14:textId="45936C7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1057A7F9" w14:textId="77777777" w:rsidTr="00C64949">
        <w:trPr>
          <w:cantSplit/>
          <w:trHeight w:val="1688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1F8B" w14:textId="2DEAE0BE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CDD2" w14:textId="43B43B3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Venclyxto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BF37" w14:textId="745072B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wenetoklaks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7739" w14:textId="4D4E9A9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B.114.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A22C" w14:textId="7E9B0BF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OSTRĄ BIAŁACZKĘ SZPIKOWĄ (ICD-10: C92.0)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B71B" w14:textId="296D385E" w:rsidR="00146A54" w:rsidRPr="00880D84" w:rsidRDefault="00146A54" w:rsidP="00146A5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wenetoklaksem w skojarzeniu z azacytydyną dorosłych chorych na nowo rozpoznaną ostrą białaczkę szpikową występującą </w:t>
            </w: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de novo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lub wtórną, niekwalifikujących się do intensywnej chemioterapii</w:t>
            </w:r>
          </w:p>
          <w:p w14:paraId="6AAD2B01" w14:textId="5BBC3B0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7025082D" w14:textId="77777777" w:rsidTr="00C64949">
        <w:trPr>
          <w:cantSplit/>
          <w:trHeight w:val="127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059B" w14:textId="3E84E443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C035" w14:textId="5F3192E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Xospata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943C" w14:textId="0BDD581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gilterytynib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999C" w14:textId="4589890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B.114.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F161" w14:textId="1D26478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OSTRĄ BIAŁACZKĘ SZPIKOWĄ (ICD-10: C92.0)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23A8" w14:textId="7D7C6CF7" w:rsidR="00146A54" w:rsidRPr="00880D84" w:rsidRDefault="00146A54" w:rsidP="00146A5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gilterytynibem dorosłych chorych na oporną lub nawrotową ostrą białaczkę szpikową </w:t>
            </w: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FLT3+</w:t>
            </w:r>
          </w:p>
          <w:p w14:paraId="7ECBEBE1" w14:textId="534C8AE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679F5174" w14:textId="77777777" w:rsidTr="00C64949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9ABC" w14:textId="064A4C55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113D" w14:textId="1A14652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Sylvant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1D36" w14:textId="1B78C5B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siltuksimab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8877" w14:textId="034684D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 131. 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3425" w14:textId="34FE653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IDIOPATYCZNĄ WIELOOGNISKOWĄ CHOROBĄ CASTLEMANA (ICD-10: D47.7)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2D1B" w14:textId="5CD62109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wieloogniskową chorobą Castlemana w wieku powyżej 18 lat, których choroba nie jest związana z infekcją wirusami HIV oraz HHV-8. Pierwsza refundowana terapia w tej rzadkiej chorobie.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(Choroba rzadka)</w:t>
            </w:r>
          </w:p>
        </w:tc>
      </w:tr>
      <w:tr w:rsidR="00146A54" w:rsidRPr="00880D84" w14:paraId="7D11B9FB" w14:textId="77777777" w:rsidTr="00C64949">
        <w:trPr>
          <w:cantSplit/>
          <w:trHeight w:val="438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0194" w14:textId="021CA4E9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82A7" w14:textId="1DBE2CD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Prevymis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0C1F" w14:textId="23C9F989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letermowir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7BA" w14:textId="615E2B4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B.132</w:t>
            </w:r>
            <w:r w:rsidR="0034231B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EBF1" w14:textId="29CBE48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STOSOWANIE LETERMOWIRU W CELU ZAPOBIEGANIA REAKTYWACJI CYTOMEGALOWIRUSA (CMV) I ROZWOJOWI CHOROBY U DOROSŁYCH, SEROPOZYTYWNYCH WZGLĘDEM CMV PACJENTÓW, KTÓRZY BYLI PODDANI ZABIEGOWI PRZESZCZEPIENIA ALLOGENICZNYCH KRWIOTWÓRCZYCH KOMÓREK MACIERZYSTYCH (ICD-10: C81, C82, C83, C84, C85, C88, C90, C91, C92, C93, C94, C95, C96, C45, D46, D47, D56, D57, D58, D61, D75, D80, D81, D82, D84)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2935" w14:textId="00EAD09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Lek stosowany w profilaktyce reaktywacji cytomegalowirusa u pacjentów po allogenicznym przeszczepie krwiotwórczych komórek macierzystych.</w:t>
            </w:r>
          </w:p>
        </w:tc>
      </w:tr>
      <w:tr w:rsidR="00146A54" w:rsidRPr="00880D84" w14:paraId="57139782" w14:textId="77777777" w:rsidTr="00C64949">
        <w:trPr>
          <w:cantSplit/>
          <w:trHeight w:val="267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3CBC" w14:textId="64CE2825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B06B" w14:textId="6F378F0A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Xgeva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D495" w14:textId="4177745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denosumab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3E8E" w14:textId="74B0629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B.134</w:t>
            </w:r>
            <w:r w:rsidR="0034231B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B30A" w14:textId="6105E2D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ZAPOBIEGANIE POWIKŁANIOM KOSTNYM U DOROSŁYCH PACJENTÓW Z ZAAWANSOWANYM PROCESEM NOWOTWOROWYM OBEJMUJĄCYM KOŚCI Z ZASTOSOWANIEM DENOSUMABU (ICD-10: C18, C19, C20, C34, C50, C61, C64, C67, C79.5, C90.0)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5E3A" w14:textId="4B4FDF8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Zapobieganie powikłaniom kostnym u dorosłych pacjentów z zaawansowanym procesem nowotworowym obejmującym kości, tj. z przerzutami do kości guzów litych w przypadku nietolerancji lub przeciwskazań do zastosowania bisfosfonianów oraz pacjentów ze szpiczakiem plazmocytowym.</w:t>
            </w:r>
          </w:p>
        </w:tc>
      </w:tr>
      <w:tr w:rsidR="00146A54" w:rsidRPr="00880D84" w14:paraId="13BC9427" w14:textId="77777777" w:rsidTr="00C64949">
        <w:trPr>
          <w:cantSplit/>
          <w:trHeight w:val="1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C848" w14:textId="277B7337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7385" w14:textId="0659BDA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Lutathera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9334" w14:textId="3BCDFFE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lutetu (177Lu) oksodotreotyd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FC37" w14:textId="68DEC590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B.139. 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D160" w14:textId="454E093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NOWOTWORAMI NEUROENDOKRYNNYMI UKŁADU POKARMOWEGO Z ZASTOSOWANIEM RADIOFARMACEUTYKÓW (ICD-10: C25.4, C17.0-C17.9, C18.0-C18.4)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7B82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pacjentów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guzami neuroendokrynnymi trzustki (ICD-10 C 25.4)</w:t>
            </w:r>
          </w:p>
          <w:p w14:paraId="1F8A3268" w14:textId="2F661AD8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(Choroba rzadka)</w:t>
            </w:r>
          </w:p>
        </w:tc>
      </w:tr>
      <w:tr w:rsidR="00146A54" w:rsidRPr="00880D84" w14:paraId="1E0147B3" w14:textId="77777777" w:rsidTr="00C64949">
        <w:trPr>
          <w:cantSplit/>
          <w:trHeight w:val="225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8911" w14:textId="31FE48AF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022E" w14:textId="7B20AA8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Lutathera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709B" w14:textId="2F3B09FC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lutetu (177Lu) oksodotreotyd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D89B" w14:textId="06FAD5A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B.139. 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742C" w14:textId="5FE3179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NOWOTWORAMI NEUROENDOKRYNNYMI UKŁADU POKARMOWEGO Z ZASTOSOWANIEM RADIOFARMACEUTYKÓW (ICD-10: C25.4, C17.0-C17.9, C18.0-C18.4)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1232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nowotworami neuroendokrynnymi przewodu pokarmowego wywodzącego się ze środkowego odcinka prajelita (MIDGUT) (ICD-10 C17.0-C17.9, C18.0-C18.4)</w:t>
            </w:r>
          </w:p>
          <w:p w14:paraId="1D1A88DD" w14:textId="04DCBD1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146A54" w:rsidRPr="00880D84" w14:paraId="79100AA5" w14:textId="77777777" w:rsidTr="00C64949">
        <w:trPr>
          <w:cantSplit/>
          <w:trHeight w:val="2185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6E68" w14:textId="2B719331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5BA8" w14:textId="41229289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Bavencio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07A3" w14:textId="665C659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awelumab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B642" w14:textId="480A2C1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B.141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C4BD" w14:textId="4F3A1F1B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UROTELIALNYM (ICD-10: C61, C65, C66, C67, C68)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5A6E" w14:textId="03C8256F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podtrzymujące awelumabem pierwszego rzutu raka urotelialnego w stadium miejscowego zaawansowania poza możliwościami miejscowego leczenia o charakterze radykalnym lub w stadium uogólnienia u pacjentów, u których nie doszło do progresji choroby podczas stosowania chemioterapii paliatywnej opartej na pochodnych platyny</w:t>
            </w:r>
          </w:p>
        </w:tc>
      </w:tr>
      <w:tr w:rsidR="00146A54" w:rsidRPr="00880D84" w14:paraId="30410EA2" w14:textId="77777777" w:rsidTr="00C64949">
        <w:trPr>
          <w:cantSplit/>
          <w:trHeight w:val="312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FCC8" w14:textId="3EDA09F3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  <w:r w:rsidR="00146A54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3D88" w14:textId="478F964E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38B6" w14:textId="31B28681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oksaliplatyna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81B2" w14:textId="08E275C6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C.46.b.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72DC" w14:textId="384B4D2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OXALIPLATINUM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D473" w14:textId="77777777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Nowe wskazania do stosowania oksaliplatyny wg klasyfikacji ICD-10:</w:t>
            </w:r>
          </w:p>
          <w:p w14:paraId="01C92B27" w14:textId="77777777" w:rsidR="00146A54" w:rsidRPr="00880D84" w:rsidRDefault="00146A54" w:rsidP="0034231B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25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C81-C85 (+ wybrane rozszerzenia) - chłoniaki;</w:t>
            </w:r>
          </w:p>
          <w:p w14:paraId="1D8935CF" w14:textId="77777777" w:rsidR="00146A54" w:rsidRPr="00880D84" w:rsidRDefault="00146A54" w:rsidP="0034231B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25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C22-C24 (+ wybrane rozszerzenia) – nowotwory wątroby, przewodów żółciowych, pęcherzyka żółciowego;</w:t>
            </w:r>
          </w:p>
          <w:p w14:paraId="33E21A59" w14:textId="77777777" w:rsidR="00146A54" w:rsidRPr="00880D84" w:rsidRDefault="00146A54" w:rsidP="0034231B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25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C.88.0 – makroglobulinemia Waldenströma;</w:t>
            </w:r>
          </w:p>
          <w:p w14:paraId="04199224" w14:textId="77777777" w:rsidR="00146A54" w:rsidRPr="00880D84" w:rsidRDefault="00146A54" w:rsidP="0034231B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25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C.88.4 – chłoniak typu MALT</w:t>
            </w:r>
          </w:p>
          <w:p w14:paraId="3879B5D2" w14:textId="64081F54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(Choroby rzadkie)</w:t>
            </w:r>
          </w:p>
        </w:tc>
      </w:tr>
      <w:tr w:rsidR="00146A54" w:rsidRPr="00880D84" w14:paraId="5036261B" w14:textId="77777777" w:rsidTr="00C64949">
        <w:trPr>
          <w:cantSplit/>
          <w:trHeight w:val="140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4BCA" w14:textId="4FF367EA" w:rsidR="00146A54" w:rsidRPr="00880D84" w:rsidRDefault="00986C4C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C305B" w:rsidRPr="00880D8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59F4" w14:textId="1BC6D3A3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Vyxeos liposomal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A9C0" w14:textId="35B1D13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daunorubicyna + cytarabina</w:t>
            </w:r>
          </w:p>
        </w:tc>
        <w:tc>
          <w:tcPr>
            <w:tcW w:w="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08DC" w14:textId="01B3B28D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C.83. 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BF29" w14:textId="65D58BF5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DAUNORUBICINUM + CYTARABINUM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33CF" w14:textId="72FFFB09" w:rsidR="00146A54" w:rsidRPr="00880D84" w:rsidRDefault="00146A54" w:rsidP="00146A5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chorych na nowo rozpoznaną ostrą białaczkę szpikową zależną od terapii (t-AML) lub ostrą białaczkę szpikową z cechami zależnymi od mielodysplazji (AML-MRC)</w:t>
            </w:r>
          </w:p>
          <w:p w14:paraId="3C923633" w14:textId="2E3B7C12" w:rsidR="00146A54" w:rsidRPr="00880D84" w:rsidRDefault="00146A54" w:rsidP="00146A5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</w:tbl>
    <w:p w14:paraId="686D2E82" w14:textId="77777777" w:rsidR="00816802" w:rsidRPr="004D78D6" w:rsidRDefault="00816802" w:rsidP="00816802">
      <w:pPr>
        <w:rPr>
          <w:rFonts w:asciiTheme="majorHAnsi" w:hAnsiTheme="majorHAnsi" w:cstheme="majorHAnsi"/>
          <w:sz w:val="20"/>
          <w:szCs w:val="20"/>
        </w:rPr>
      </w:pPr>
    </w:p>
    <w:p w14:paraId="3F9E140F" w14:textId="77777777" w:rsidR="00816802" w:rsidRPr="004D78D6" w:rsidRDefault="00816802" w:rsidP="00816802">
      <w:pPr>
        <w:suppressAutoHyphens w:val="0"/>
        <w:rPr>
          <w:rFonts w:asciiTheme="majorHAnsi" w:hAnsiTheme="majorHAnsi" w:cstheme="majorHAnsi"/>
          <w:sz w:val="20"/>
          <w:szCs w:val="20"/>
        </w:rPr>
      </w:pPr>
      <w:r w:rsidRPr="004D78D6">
        <w:rPr>
          <w:rFonts w:asciiTheme="majorHAnsi" w:hAnsiTheme="majorHAnsi" w:cstheme="majorHAnsi"/>
          <w:sz w:val="20"/>
          <w:szCs w:val="20"/>
        </w:rPr>
        <w:br w:type="page"/>
      </w:r>
    </w:p>
    <w:p w14:paraId="2E744D54" w14:textId="77777777" w:rsidR="00816802" w:rsidRPr="004D78D6" w:rsidRDefault="00816802" w:rsidP="00816802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1509"/>
        <w:gridCol w:w="1853"/>
        <w:gridCol w:w="1993"/>
        <w:gridCol w:w="3546"/>
        <w:gridCol w:w="4500"/>
      </w:tblGrid>
      <w:tr w:rsidR="00816802" w:rsidRPr="00880D84" w14:paraId="03B15345" w14:textId="77777777" w:rsidTr="00E23C62">
        <w:trPr>
          <w:cantSplit/>
          <w:trHeight w:val="20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6D1A" w14:textId="692091DA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Nowe wskazania nieonkologiczne</w:t>
            </w:r>
          </w:p>
        </w:tc>
      </w:tr>
      <w:tr w:rsidR="00816802" w:rsidRPr="00880D84" w14:paraId="0B21BDF5" w14:textId="77777777" w:rsidTr="00986C4C">
        <w:trPr>
          <w:cantSplit/>
          <w:trHeight w:val="20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22DB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0C85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FF71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Substancja czynna</w:t>
            </w:r>
          </w:p>
        </w:tc>
        <w:tc>
          <w:tcPr>
            <w:tcW w:w="7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6393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26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C9DC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programu lekowego / </w:t>
            </w:r>
          </w:p>
          <w:p w14:paraId="735EAD06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Załącznika chemioterapii</w:t>
            </w:r>
          </w:p>
        </w:tc>
        <w:tc>
          <w:tcPr>
            <w:tcW w:w="1608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B08D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Doprecyzowanie wskazania</w:t>
            </w:r>
          </w:p>
        </w:tc>
      </w:tr>
      <w:tr w:rsidR="0039096A" w:rsidRPr="00880D84" w14:paraId="56FE626A" w14:textId="77777777" w:rsidTr="00D24198">
        <w:trPr>
          <w:cantSplit/>
          <w:trHeight w:val="147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2457" w14:textId="2407B956" w:rsidR="0039096A" w:rsidRPr="00880D84" w:rsidRDefault="00DA0796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EA41" w14:textId="19203192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Nuwiq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B8D9" w14:textId="031A748D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simoktokog alfa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32C7" w14:textId="494A4605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B.15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BCE2" w14:textId="7EE2A1BE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ZAPOBIEGANIE KRWAWIENIOM U DZIECI Z HEMOFILIĄ A I B (ICD-10 D 66, D 67)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EDAF" w14:textId="77777777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Pierwotna i wtórna profilaktyka krwawień u dzieci od 1. dnia życia do ukończenia 18. roku życia, chorych na hemofilię z użyciem rekombinowanego czynnika krzepnięcia VIII</w:t>
            </w:r>
          </w:p>
          <w:p w14:paraId="1E30F39C" w14:textId="2FA22F90" w:rsidR="0039096A" w:rsidRPr="00880D84" w:rsidRDefault="0039096A" w:rsidP="0039096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C24E46" w:rsidRPr="00880D84" w14:paraId="6101D43D" w14:textId="77777777" w:rsidTr="00D24198">
        <w:trPr>
          <w:cantSplit/>
          <w:trHeight w:val="134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E62A" w14:textId="486AD4D4" w:rsidR="00C24E46" w:rsidRPr="00880D84" w:rsidRDefault="00D24198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A0A9" w14:textId="732EBA33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Betaferon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7792" w14:textId="62AA3CF2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interferon beta-1b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DF67" w14:textId="416D1B96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3135" w14:textId="3540A95E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39DE" w14:textId="77777777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wtórnie postępującą postacią stwardnienia rozsianego (SPMS). </w:t>
            </w:r>
          </w:p>
          <w:p w14:paraId="6AC6A055" w14:textId="12EEAE67" w:rsidR="00C24E46" w:rsidRPr="00880D84" w:rsidRDefault="00C24E46" w:rsidP="00C24E4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populacja pacjentów do tej pory nieobjęta refundacją.</w:t>
            </w:r>
          </w:p>
        </w:tc>
      </w:tr>
      <w:tr w:rsidR="00433F1E" w:rsidRPr="00880D84" w14:paraId="0AE7FCCC" w14:textId="77777777" w:rsidTr="00D24198">
        <w:trPr>
          <w:cantSplit/>
          <w:trHeight w:val="14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3C18" w14:textId="016F0F66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54A9" w14:textId="255C36E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Gilenya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BF78" w14:textId="5DB1ECE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fingolimod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43E6" w14:textId="11C8274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9836" w14:textId="767C096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F508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Złagodzenie kryteriów kwalifikacji w II linii leczenia pacjentów z rzutowo-remisyjną postacią stwardnienia rozsianego (RRMS) oraz szybko rozwijającą się, ciężką postacią (RES). </w:t>
            </w:r>
          </w:p>
          <w:p w14:paraId="0BA3184D" w14:textId="6144F44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Obniżenie wieku kwalifikacji pacjentów od 10 r.ż.</w:t>
            </w:r>
          </w:p>
        </w:tc>
      </w:tr>
      <w:tr w:rsidR="00433F1E" w:rsidRPr="00880D84" w14:paraId="5CEE5ECE" w14:textId="77777777" w:rsidTr="00D24198">
        <w:trPr>
          <w:cantSplit/>
          <w:trHeight w:val="108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9537" w14:textId="68110793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5E48" w14:textId="6289E67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Kesimpta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E14B" w14:textId="5F5B951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ofatumumab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053C" w14:textId="46989EB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CCE7" w14:textId="202BCF8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9B34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w I linii pacjentów z rzutowo-remisyjną postacią stwardnienia rozsianego (RRMS). </w:t>
            </w:r>
          </w:p>
          <w:p w14:paraId="681A885E" w14:textId="76DFEAF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opcja terapeutyczna w I linii leczenia.</w:t>
            </w:r>
          </w:p>
        </w:tc>
      </w:tr>
      <w:tr w:rsidR="00433F1E" w:rsidRPr="00880D84" w14:paraId="5E6310AA" w14:textId="77777777" w:rsidTr="00D24198">
        <w:trPr>
          <w:cantSplit/>
          <w:trHeight w:val="129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FC8D" w14:textId="2553C0DA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F9" w14:textId="768A55C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Mavenclad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D59F" w14:textId="34097CC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kladrybina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309E" w14:textId="175CF0A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00E8" w14:textId="4CF12A4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8026" w14:textId="5AEFAAF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Złagodzenie kryteriów kwalifikacji w II linii leczenia pacjentów z rzutowo-remisyjną postacią stwardnienia rozsianego (RRMS) oraz szybko rozwijającą się, ciężką postacią (RES).</w:t>
            </w:r>
          </w:p>
        </w:tc>
      </w:tr>
      <w:tr w:rsidR="00433F1E" w:rsidRPr="00880D84" w14:paraId="05C85326" w14:textId="77777777" w:rsidTr="00D24198">
        <w:trPr>
          <w:cantSplit/>
          <w:trHeight w:val="134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C920" w14:textId="1EDA4753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8740" w14:textId="1FCC3CE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Mayzent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65AF" w14:textId="7948CB4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siponimod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D6B2" w14:textId="6388F0B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489F" w14:textId="54D5DA2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1829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wtórnie postępującą postacią stwardnienia rozsianego (SPMS). </w:t>
            </w:r>
          </w:p>
          <w:p w14:paraId="5935F36C" w14:textId="62EE986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populacja pacjentów do tej pory nieobjęta refundacją.</w:t>
            </w:r>
          </w:p>
        </w:tc>
      </w:tr>
      <w:tr w:rsidR="00433F1E" w:rsidRPr="00880D84" w14:paraId="0E58374A" w14:textId="77777777" w:rsidTr="00D24198">
        <w:trPr>
          <w:cantSplit/>
          <w:trHeight w:val="112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4FF" w14:textId="09CF0AF0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18FA" w14:textId="100E9C1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Ocrevus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0D75" w14:textId="1B87034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okrelizumab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04CB" w14:textId="178853B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9792" w14:textId="000D8DF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7BE2" w14:textId="230B829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Złagodzenie kryteriów kwalifikacji w II linii leczenia pacjentów z rzutowo-remisyjną postacią stwardnienia rozsianego (RRMS).</w:t>
            </w:r>
          </w:p>
        </w:tc>
      </w:tr>
      <w:tr w:rsidR="00433F1E" w:rsidRPr="00880D84" w14:paraId="12C598CC" w14:textId="77777777" w:rsidTr="00D24198">
        <w:trPr>
          <w:cantSplit/>
          <w:trHeight w:val="112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ED2A" w14:textId="37577A92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0C0B" w14:textId="584B967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Ponvory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ED24" w14:textId="66D76D6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ponesimod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74B0" w14:textId="64011B4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7261" w14:textId="45AE25B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C65A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w I linii pacjentów z rzutowo-remisyjną postacią stwardnienia rozsianego (RRMS). </w:t>
            </w:r>
          </w:p>
          <w:p w14:paraId="4A0DE98D" w14:textId="310E366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opcja terapeutyczna w I linii leczenia.</w:t>
            </w:r>
          </w:p>
        </w:tc>
      </w:tr>
      <w:tr w:rsidR="00433F1E" w:rsidRPr="00880D84" w14:paraId="30B0E2FF" w14:textId="77777777" w:rsidTr="00D24198">
        <w:trPr>
          <w:cantSplit/>
          <w:trHeight w:val="133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6701" w14:textId="2C822CEA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880D" w14:textId="5574433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Tysabri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29C6" w14:textId="684302F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natalizumab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5C9B" w14:textId="1981482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91AF" w14:textId="6678611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A54B" w14:textId="3331A21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Złagodzenie kryteriów kwalifikacji w II linii leczenia pacjentów z rzutowo-remisyjną postacią stwardnienia rozsianego (RRMS) oraz szybko rozwijającą się, ciężką postacią (RES).</w:t>
            </w:r>
          </w:p>
        </w:tc>
      </w:tr>
      <w:tr w:rsidR="00433F1E" w:rsidRPr="00880D84" w14:paraId="69B43A60" w14:textId="77777777" w:rsidTr="00D24198">
        <w:trPr>
          <w:cantSplit/>
          <w:trHeight w:val="110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A297" w14:textId="0AA28DFE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2770" w14:textId="2CE5B74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Zeposia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D073" w14:textId="03B57A7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ozanimod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A0AC" w14:textId="0FBA626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B89A" w14:textId="0804329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9629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w I linii pacjentów z rzutowo-remisyjną postacią stwardnienia rozsianego (RRMS). </w:t>
            </w:r>
          </w:p>
          <w:p w14:paraId="6705EF25" w14:textId="6B2E6B6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opcja terapeutyczna w I linii leczenia.</w:t>
            </w:r>
          </w:p>
        </w:tc>
      </w:tr>
      <w:tr w:rsidR="00433F1E" w:rsidRPr="00880D84" w14:paraId="28D56BDA" w14:textId="77777777" w:rsidTr="00D24198">
        <w:trPr>
          <w:cantSplit/>
          <w:trHeight w:val="105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F9BE" w14:textId="38A1E737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ADDC" w14:textId="4E22FD7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Entyvio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C7D4" w14:textId="2F63CC7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1A55" w14:textId="7C5CE50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14B5" w14:textId="280FC2F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CHOROBĄ LEŚNIOWSKIEGO - CROHNA (ICD-10 K 50)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37D4" w14:textId="7FB7C68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terapii pacjentów leczonych wedolizumabem w ramach programu lekowego B.32.</w:t>
            </w:r>
          </w:p>
        </w:tc>
      </w:tr>
      <w:tr w:rsidR="00433F1E" w:rsidRPr="00880D84" w14:paraId="27FFA94B" w14:textId="77777777" w:rsidTr="00D24198">
        <w:trPr>
          <w:cantSplit/>
          <w:trHeight w:val="103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DEFF" w14:textId="02B43EAD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8000" w14:textId="48486E2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Entyvio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(forma podskórna)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7605" w14:textId="1DB7B0A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wedolizumab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4527" w14:textId="2B00DD9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D0DE" w14:textId="5B42E64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CHOROBĄ LEŚNIOWSKIEGO – CROHNA (ICD-10: K50)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BD79" w14:textId="30889FD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wedolizumabem pacjentów z chorobą Leśniowskiego-Crohna w formie podskórnej stosowanej w terapii podtrzymującej.</w:t>
            </w:r>
          </w:p>
        </w:tc>
      </w:tr>
      <w:tr w:rsidR="00433F1E" w:rsidRPr="00880D84" w14:paraId="0B6055C7" w14:textId="77777777" w:rsidTr="00D24198">
        <w:trPr>
          <w:cantSplit/>
          <w:trHeight w:val="175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20D2" w14:textId="1981A99C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0AC7" w14:textId="75CBE77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Kineret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631D" w14:textId="2A7B5FE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anakinra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1BD0" w14:textId="5A1BF19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B.33.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D0F5" w14:textId="7D0F4C2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0B09" w14:textId="4EE92D0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dzieci anakinrą (inhibitorem interleukiny-1)  z MIZS w wieku 8 miesiąca - 2 r.ż. oraz jako dodatkowa opcja terapeutyczna dla pacjentów po nieskutecznym leczeniu NLPZ, glikokortykosteroidami, lekami modyfikującymi przebieg choroby lub lekami biologicznymi.</w:t>
            </w:r>
          </w:p>
        </w:tc>
      </w:tr>
      <w:tr w:rsidR="00433F1E" w:rsidRPr="00880D84" w14:paraId="167E0AD7" w14:textId="77777777" w:rsidTr="00D24198">
        <w:trPr>
          <w:cantSplit/>
          <w:trHeight w:val="14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7E53" w14:textId="6B5C9DB8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14.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176A" w14:textId="3C1A149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Olumiant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E824" w14:textId="4F94EC5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barycytynib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947A" w14:textId="12CB037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B.33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FFA2" w14:textId="38B7980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AKTYWNEJ POSTACI REUMATOIDALNEGO ZAPALENIA STAWÓW I MŁODZIEŃCZEGO IDIOPATYCZNEGO ZAPALENIA STAWÓW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D8AD" w14:textId="7650D08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wskazania refundacyjnego o II i kolejne linie terapii RZS</w:t>
            </w:r>
          </w:p>
        </w:tc>
      </w:tr>
      <w:tr w:rsidR="00433F1E" w:rsidRPr="00880D84" w14:paraId="5DC096E4" w14:textId="77777777" w:rsidTr="00D24198">
        <w:trPr>
          <w:cantSplit/>
          <w:trHeight w:val="183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65EE" w14:textId="11FFE480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15</w:t>
            </w:r>
            <w:r w:rsidR="00433F1E"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4B1A" w14:textId="155DF3B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Rinvoq 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1729" w14:textId="505C61D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5D55" w14:textId="032165B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B.33.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4CC4" w14:textId="33471E2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E602" w14:textId="4A5D8D4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Kolejna opcja terapeutyczna w leczeniu RZS upadacytynibem (wybiórczym i odwracalnym inhibitorem JAK). </w:t>
            </w:r>
          </w:p>
        </w:tc>
      </w:tr>
      <w:tr w:rsidR="00433F1E" w:rsidRPr="00880D84" w14:paraId="1D1522DA" w14:textId="77777777" w:rsidTr="00D24198">
        <w:trPr>
          <w:cantSplit/>
          <w:trHeight w:val="140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C6BD" w14:textId="5102A4C7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3747" w14:textId="18C61C0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Rinvoq 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4083" w14:textId="032E87E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B163" w14:textId="2B1F407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B.35.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196E" w14:textId="68F9EA6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ŁUSZCZYCOWEGO ZAPALENIA STAWÓW (ŁZS) (ICD-10: L40.5, M07.1, M07.2, M07.3)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4B1A" w14:textId="56A17C7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Kolejna opcja terapeutyczna w leczeniu ŁZS upadacytynibem (wybiórczym i odwracalnym inhibitorem JAK).</w:t>
            </w:r>
          </w:p>
        </w:tc>
      </w:tr>
      <w:tr w:rsidR="00433F1E" w:rsidRPr="00880D84" w14:paraId="67B83EC0" w14:textId="77777777" w:rsidTr="00D24198">
        <w:trPr>
          <w:cantSplit/>
          <w:trHeight w:val="140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A390" w14:textId="0C5A7178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9305" w14:textId="0C30599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Rinvoq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FA23" w14:textId="35E9BB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E9F4" w14:textId="62C9944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B.36.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1C4B" w14:textId="6A495B2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ZESZTYWNIAJĄCEGO ZAPALENIA STAWÓW KRĘGOSŁUPA (ZZSK) (ICD-10: M45)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3D3D" w14:textId="1B3AC35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Kolejna opcja terapeutyczna w leczeniu ZZSK upadacytynibem. (pierwszym lekiem anty-JAK oraz pierwszym lekiem stosowanym doustnie w terapii ZZSK).</w:t>
            </w:r>
          </w:p>
        </w:tc>
      </w:tr>
      <w:tr w:rsidR="00433F1E" w:rsidRPr="00880D84" w14:paraId="0D6C8549" w14:textId="77777777" w:rsidTr="00D24198">
        <w:trPr>
          <w:cantSplit/>
          <w:trHeight w:val="140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C94C" w14:textId="0AF74A5D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2AC5" w14:textId="3864576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Taltz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B051" w14:textId="7C79640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iksekizumab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01B9" w14:textId="580046E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B.36.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D812" w14:textId="1DADC3D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AKTYWNĄ POSTACIĄ ZESZTYWNIAJĄCEGO ZAPALENIA STAWÓW KRĘGOSŁUPA (ZZSK) (ICD-10: M45)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F76B" w14:textId="2E3F15D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Kolejna opcja terapeutyczna w leczeniu ZZSK iksekizumabem (przeciwciałem monoklonalnym, inhibitorem interleukiny 17A).</w:t>
            </w:r>
            <w:r w:rsidRPr="00880D8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33F1E" w:rsidRPr="00880D84" w14:paraId="1F465A75" w14:textId="77777777" w:rsidTr="00D24198">
        <w:trPr>
          <w:cantSplit/>
          <w:trHeight w:val="196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DC32" w14:textId="6882073A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3DF0" w14:textId="5A7E7F0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Dupixent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D683" w14:textId="41DC239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dupilumab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2D83" w14:textId="11503EC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F731" w14:textId="2CE80A8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ASTMY (ICD-10: J45, J82)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15B3" w14:textId="5CE9A17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pacjentów z astmą z zapaleniem typu 2 charakteryzującym się liczbą eozynofili we krwi na poziomie ≥350 komórek/µl oraz pacjenci powyżej 12 roku z ciężką, niekontrolowaną astmą z zapaleniem typu 2 charakteryzującym się liczbą eozynofilii we krwi na poziomie ≥150 komórek/µl</w:t>
            </w:r>
          </w:p>
        </w:tc>
      </w:tr>
      <w:tr w:rsidR="00433F1E" w:rsidRPr="00880D84" w14:paraId="25A5367B" w14:textId="77777777" w:rsidTr="00D24198">
        <w:trPr>
          <w:cantSplit/>
          <w:trHeight w:val="85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8841" w14:textId="5BC34FC5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20.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D07A" w14:textId="09E4D8D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Fasenra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87E8" w14:textId="2B6015F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benralizumab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8081" w14:textId="4E841BC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860E" w14:textId="2A509B8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ASTMY (ICD-10: J45, J82)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739" w14:textId="716B884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Mniejszy poziom eozynofilii w kryteriach niż aktualnie w programie</w:t>
            </w:r>
          </w:p>
        </w:tc>
      </w:tr>
      <w:tr w:rsidR="00433F1E" w:rsidRPr="00880D84" w14:paraId="38FF3AC5" w14:textId="77777777" w:rsidTr="00D24198">
        <w:trPr>
          <w:cantSplit/>
          <w:trHeight w:val="1245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1267" w14:textId="1A85C182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E1F1" w14:textId="41A9360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Entyvio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C34D" w14:textId="138B714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3844" w14:textId="3D2A547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53A2" w14:textId="3228C21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WRZODZIEJĄCYM ZAPALENIEM JELITA GRUBEGO (WZJG) (ICD-10 K51)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39E7" w14:textId="60AB02A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terapii pacjentów leczonych wedolizumabem w ramach programu lekowego B.55.</w:t>
            </w:r>
          </w:p>
        </w:tc>
      </w:tr>
      <w:tr w:rsidR="00433F1E" w:rsidRPr="00880D84" w14:paraId="298451A5" w14:textId="77777777" w:rsidTr="00D24198">
        <w:trPr>
          <w:cantSplit/>
          <w:trHeight w:val="1288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8EC4" w14:textId="376142E6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F579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Entyvio</w:t>
            </w:r>
          </w:p>
          <w:p w14:paraId="1713A636" w14:textId="4982E1E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(forma podskórna)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1126" w14:textId="3D20FE3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wedolizumab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CD1A" w14:textId="35C5264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204E" w14:textId="675B12C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WRZODZIEJĄCYM ZAPALENIEM JELITA GRUBEGO (WZJG) (ICD-10: K51)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4394" w14:textId="2BECBFC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wedolizumabem pacjentów z wrzodziejącym zapaleniem jelita grubego w formie podskórnej stosowanej w terapii podtrzymującej.</w:t>
            </w:r>
          </w:p>
        </w:tc>
      </w:tr>
      <w:tr w:rsidR="00433F1E" w:rsidRPr="00880D84" w14:paraId="228060E7" w14:textId="77777777" w:rsidTr="00D24198">
        <w:trPr>
          <w:cantSplit/>
          <w:trHeight w:val="12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33AD" w14:textId="49288B8F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4B36" w14:textId="5A26195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Stelara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4EE0" w14:textId="02A64E4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ustekinumab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D5AB" w14:textId="1BF75BC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E959" w14:textId="04C26AB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WRZODZIEJĄCYM ZAPALENIEM JELITA GRUBEGO (WZJG) (ICD-10 K51)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C849" w14:textId="3183C05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Umożliwienie terapii ustekinumabem pacjentom z rozpoznaną ciężką lub umiarkowaną postacią wrzodziejącego zapalenia jelita grubego.</w:t>
            </w:r>
          </w:p>
        </w:tc>
      </w:tr>
      <w:tr w:rsidR="00433F1E" w:rsidRPr="00880D84" w14:paraId="40DB4308" w14:textId="77777777" w:rsidTr="00D24198">
        <w:trPr>
          <w:cantSplit/>
          <w:trHeight w:val="169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433A" w14:textId="00325F64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E296" w14:textId="2C96400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Cystadrops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C6DA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merkatamina </w:t>
            </w:r>
          </w:p>
          <w:p w14:paraId="6D665826" w14:textId="2033542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(cysteamina)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AAD6" w14:textId="6C30A73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B.61.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8A84" w14:textId="218C18F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bookmarkStart w:id="2" w:name="_Hlk80007338"/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CYSTYNOZĘ NEFROPATYCZNĄ (ICD-10: E72.0)</w:t>
            </w:r>
            <w:bookmarkEnd w:id="2"/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6F50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powikłań ocznych cystynozy nefropatycznej.</w:t>
            </w:r>
          </w:p>
          <w:p w14:paraId="30661BE4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Nowa forma leczenia cysteaminy w postaci kropli do oczu finansowana w ramach programu. </w:t>
            </w:r>
          </w:p>
          <w:p w14:paraId="1CECBB54" w14:textId="5848CCC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433F1E" w:rsidRPr="00880D84" w14:paraId="37FD29D4" w14:textId="77777777" w:rsidTr="00D24198">
        <w:trPr>
          <w:cantSplit/>
          <w:trHeight w:val="179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689E" w14:textId="7891BB79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3FA7" w14:textId="1FBD3B8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Cosentyx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C3BB" w14:textId="39A0D71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sekukinumab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C383" w14:textId="6A68B0F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B.82.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45B2" w14:textId="4D5B1B7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PACJENTÓW Z AKTYWNĄ POSTACIĄ SPONDYLOARTROPATII (SpA) BEZ ZMIAN RADIOGRAFICZNYCH CHARAKTERYSTYCZNYCH DLA ZZSK (ICD-10: M46.8)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6D9F" w14:textId="3B38EB6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zarówno postaci osiowej, jak i obwodowej SpA. sekukinumabem (przeciwciałem monoklonalnym, inhibitorem interleukiny 17A).</w:t>
            </w:r>
          </w:p>
        </w:tc>
      </w:tr>
      <w:tr w:rsidR="00433F1E" w:rsidRPr="00880D84" w14:paraId="7E1768E8" w14:textId="77777777" w:rsidTr="00D24198">
        <w:trPr>
          <w:cantSplit/>
          <w:trHeight w:val="1788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8548" w14:textId="5ED3AD4E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D7C7" w14:textId="536BCC2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Taltz 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9EBF" w14:textId="69838AC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iksekizumab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DABB" w14:textId="7670886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B.82.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0D81" w14:textId="562DBE8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PACJENTÓW Z AKTYWNĄ POSTACIĄ SPONDYLOARTROPATII (SpA) BEZ ZMIAN RADIOGRAFICZNYCH CHARAKTERYSTYCZNYCH DLA ZZSK (ICD-10: M46.8)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1B90" w14:textId="33F2CBC2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zarówno postaci osiowej, jak i obwodowej SpA iksekizumabem (przeciwciałem monoklonalnym, inhibitorem interleukiny 17A).</w:t>
            </w:r>
          </w:p>
        </w:tc>
      </w:tr>
      <w:tr w:rsidR="00433F1E" w:rsidRPr="00880D84" w14:paraId="1A8C8C87" w14:textId="77777777" w:rsidTr="00D24198">
        <w:trPr>
          <w:cantSplit/>
          <w:trHeight w:val="290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1EC4" w14:textId="4FD2E30C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105C" w14:textId="05EE7A7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Soliris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5404" w14:textId="28DCA28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ekulizumab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F8F2" w14:textId="7B87E4F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B.96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0713" w14:textId="1C74ABF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NOCNEJ NAPADOWEJ HEMOGLOBINURII (PNH) (ICD-10 D59.5)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2F5B" w14:textId="42F6F110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Ponowne objęcie refundacją leku Soliris w populacji pacjentów z PNH zarówno nowo-zdiagnozowanych jak i kontynuujących dotychczasową terapię finansowaną od dnia 1 maja 2021 r. w oparciu o możliwości wskazane w art. 37b ustawy 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 refundacji leków, środków spożywczych specjalnego przeznaczenia żywieniowego oraz wyrobów medycznych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. Program lekowy będzie miał tą samą treść jak obowiązująca do końca kwietnia 2021 r. (Choroba ultrarzadka)</w:t>
            </w:r>
          </w:p>
        </w:tc>
      </w:tr>
      <w:tr w:rsidR="00433F1E" w:rsidRPr="00880D84" w14:paraId="19462110" w14:textId="77777777" w:rsidTr="00D24198">
        <w:trPr>
          <w:cantSplit/>
          <w:trHeight w:val="254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916B" w14:textId="15FC061A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6F56" w14:textId="3FD4168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Leqvio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42A9" w14:textId="4670DE2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inklisiran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1027" w14:textId="730694D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B.101.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A24E" w14:textId="5E88074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PACJENTÓW Z ZABURZENIAMI LIPIDOWYMI (ICD-10 E78.01, I21, I22, I25)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40D0" w14:textId="238C9B58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Leczenie dorosłych pacjentów z hipercholesterolemią rodzinną lub z bardzo wysokim ryzykiem chorób układu sercowo-naczyniowego </w:t>
            </w: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 jako uzupełnienie diety u pacjentów, u których nie można osiągnąć stężenia LDL-C będącego celem terapii w wyniku stosowania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intensywnego leczenia statynami, w tym leczenia skojarzonego z ezetymibem, jak również</w:t>
            </w: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u pacjentów nietolerujących statyn.</w:t>
            </w:r>
          </w:p>
        </w:tc>
      </w:tr>
      <w:tr w:rsidR="00433F1E" w:rsidRPr="00880D84" w14:paraId="3D62E5BB" w14:textId="77777777" w:rsidTr="00D24198">
        <w:trPr>
          <w:cantSplit/>
          <w:trHeight w:val="254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58B4" w14:textId="5B58C4FB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CFF4" w14:textId="2B22082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Evrysdi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7FF5" w14:textId="539F8B7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risdiplam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BC50" w14:textId="2AB6697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B.102.FM.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0886" w14:textId="32F9B3A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CHORYCH NA RDZENIOWY ZANIK MIĘŚNI (ICD-10: G12.0, G12.1)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064E" w14:textId="77777777" w:rsidR="00433F1E" w:rsidRPr="00880D84" w:rsidRDefault="00433F1E" w:rsidP="00433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Dodanie nowej terapii w leczeniu pacjentów z SMA u których stwierdzone zostały przeciwwskazania do leczenia nusinersenem. Do terapii kwalifikowani zostaną pacjenci w wieku 2 miesięcy i starsi: </w:t>
            </w: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z klinicznym rozpoznaniem SMA typu 1, typu 2 lub typu 3 lub posiadający od jednej do czterech kopii genu SMN2. </w:t>
            </w:r>
          </w:p>
          <w:p w14:paraId="41A6F71D" w14:textId="07F4A2C0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(Choroba rzadka)</w:t>
            </w:r>
          </w:p>
        </w:tc>
      </w:tr>
      <w:tr w:rsidR="00433F1E" w:rsidRPr="00880D84" w14:paraId="25038806" w14:textId="77777777" w:rsidTr="00D24198">
        <w:trPr>
          <w:cantSplit/>
          <w:trHeight w:val="338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1CF7" w14:textId="2E8EFC0A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988" w14:textId="331A7FB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Zolgensma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3C29" w14:textId="1AA1F2A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onasemnogen abeparwowek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F539" w14:textId="51E60D5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B.102.FM.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36CB" w14:textId="0199957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CHORYCH NA RDZENIOWY ZANIK MIĘŚNI (ICD-10: G12.0, G12.1)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1904" w14:textId="77777777" w:rsidR="00433F1E" w:rsidRPr="00880D84" w:rsidRDefault="00433F1E" w:rsidP="00433F1E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Dodanie nowej terapii genowej w leczeniu pacjentów z SMA u których uprzednio nie zostało zastosowane jakiekolwiek leczenie. Do terapii kwalifikowani zostaną pacjenci przedobjawowi i objawowi z rozpoznaniem rdzeniowego zaniku mięśni (SMA) 5q z bialleliczną mutacją genu SMN1 i z nie więcej niż 3 kopiami genu SMN2 badani w ramach Narodowego Programu Badań Przesiewowych Noworodków w Polsce. </w:t>
            </w:r>
          </w:p>
          <w:p w14:paraId="3757B028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(Choroba rzadka)</w:t>
            </w:r>
          </w:p>
          <w:p w14:paraId="685BCE3A" w14:textId="3A0DBDBB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Technologia lekowa o wysokim poziomie innowacyjności (technologia finansowana z Funduszu Medycznego)</w:t>
            </w:r>
          </w:p>
        </w:tc>
      </w:tr>
      <w:tr w:rsidR="00433F1E" w:rsidRPr="00880D84" w14:paraId="392277B3" w14:textId="77777777" w:rsidTr="00D24198">
        <w:trPr>
          <w:cantSplit/>
          <w:trHeight w:val="212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8763" w14:textId="7F153C7D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CB96" w14:textId="7B3C775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eastAsia="Times New Roman" w:hAnsiTheme="majorHAnsi" w:cstheme="majorHAnsi"/>
                <w:sz w:val="20"/>
                <w:szCs w:val="20"/>
              </w:rPr>
              <w:t>Kaftrio i Kalydeco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258A" w14:textId="59BC73F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 + tezakaftor + eleksakaftor i iwakaftor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F646" w14:textId="27688AA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BEC9" w14:textId="49FBD7E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MUKOWISCYDOZĘ (ICD-10: E84).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592A" w14:textId="5D9649ED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Leczenie eleksakaftorem/ tezakaftorem /iwakaftorem w skojarzeniu z iwakaftorem chorych w wieku co najmniej 12 lat homozygotycznych pod względem mutacji F508del genu 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 lub heterozygotycznych pod względem mutacji F508del z mutacją o minimalnej wartości funkcji (MF) genu 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CFTR.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(Choroba rzadka)</w:t>
            </w:r>
          </w:p>
        </w:tc>
      </w:tr>
      <w:tr w:rsidR="00433F1E" w:rsidRPr="00880D84" w14:paraId="1A63DC83" w14:textId="77777777" w:rsidTr="00D24198">
        <w:trPr>
          <w:cantSplit/>
          <w:trHeight w:val="140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FB91" w14:textId="7175144B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99DC" w14:textId="70413CE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Orkambi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4F89" w14:textId="11CA218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lumakaftor + iwakaftor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009B" w14:textId="709B690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F8E0" w14:textId="1DBAB1E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MUKOWISCYDOZĘ (ICD-10: E84).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768D" w14:textId="1E47C582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Leczenie lumakaftorem w skojarzeniu z iwakaftorem chorych w wieku co najmniej 2 lat z potwierdzonym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br/>
              <w:t>wystąpieniem mutacji F508del genu CFTR na obu allelach.(Choroba rzadka)</w:t>
            </w:r>
          </w:p>
        </w:tc>
      </w:tr>
      <w:tr w:rsidR="00433F1E" w:rsidRPr="00880D84" w14:paraId="3768D4F7" w14:textId="77777777" w:rsidTr="00D24198">
        <w:trPr>
          <w:cantSplit/>
          <w:trHeight w:val="2965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A201" w14:textId="22C7E613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EB10" w14:textId="56C5355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eastAsia="Times New Roman" w:hAnsiTheme="majorHAnsi" w:cstheme="majorHAnsi"/>
                <w:sz w:val="20"/>
                <w:szCs w:val="20"/>
              </w:rPr>
              <w:t>Symkevi i Kalydeco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9177" w14:textId="669CFD0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tezakaftor + iwakaftor i iwakaftor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5519" w14:textId="151A0FC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9C3D" w14:textId="6D91264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MUKOWISCYDOZĘ (ICD-10: E84).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D202" w14:textId="77777777" w:rsidR="00D24198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Leczenie tezakaftorem/iwakaftorem w skojarzeniu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 iwakaftorem chorych w wieku co najmniej 6 lat homozygotycznych pod względem mutacji F508del lub heterozygotycznych pod względem mutacji F508del i mających jedną z następujących mutacji genu 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: P67L, R117C, L206W, R352Q, A455E, D579G, 711+3A→G, S945L, S977F, R1070W, D1152H, 2789+5G→A, 3272-26A→G i 3849+10kbC→T.</w:t>
            </w:r>
          </w:p>
          <w:p w14:paraId="010BA941" w14:textId="1E9346EE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(Choroba rzadka)</w:t>
            </w:r>
          </w:p>
        </w:tc>
      </w:tr>
      <w:tr w:rsidR="00433F1E" w:rsidRPr="00880D84" w14:paraId="669B143A" w14:textId="77777777" w:rsidTr="00D24198">
        <w:trPr>
          <w:cantSplit/>
          <w:trHeight w:val="117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C868" w14:textId="52DDBAAD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F620" w14:textId="6DB7284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Dupixent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1A3E" w14:textId="2690D35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dupilumab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96AA" w14:textId="1D09204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BEF0" w14:textId="0229067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EC75" w14:textId="7AE8AFB4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ciężkiej postaci atopowego zapalenia skóry u pacjentów w wieku od 6 do 12 lat za pomocą dupilumabu (przeciwciała monoklonalnego) do podawania podskórnego.</w:t>
            </w:r>
          </w:p>
        </w:tc>
      </w:tr>
      <w:tr w:rsidR="00433F1E" w:rsidRPr="00880D84" w14:paraId="62E9727D" w14:textId="77777777" w:rsidTr="00D24198">
        <w:trPr>
          <w:cantSplit/>
          <w:trHeight w:val="123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E6E4" w14:textId="321B2726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A300" w14:textId="4BA9955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Dupixent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1FAD" w14:textId="43D3DCD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dupilumab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003E" w14:textId="31CBE59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46E7" w14:textId="7633C89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F9D7" w14:textId="3BA42B6B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ciężkiej postaci atopowego zapalenia skóry u pacjentów w wieku od 12 do 18 lat za pomocą dupilumabu (przeciwciała monoklonalnego) do podawania podskórnego.</w:t>
            </w:r>
          </w:p>
        </w:tc>
      </w:tr>
      <w:tr w:rsidR="00433F1E" w:rsidRPr="00880D84" w14:paraId="37058540" w14:textId="77777777" w:rsidTr="00D24198">
        <w:trPr>
          <w:cantSplit/>
          <w:trHeight w:val="127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06E5" w14:textId="1D3E40C5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3EBB" w14:textId="6E8635D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Olumiant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66F9" w14:textId="2DCCE4C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baricytynib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2C88" w14:textId="2870A3F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4195" w14:textId="045025F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EBB6" w14:textId="11CDFECE" w:rsidR="00433F1E" w:rsidRPr="00880D84" w:rsidRDefault="00433F1E" w:rsidP="00433F1E">
            <w:pPr>
              <w:suppressAutoHyphens w:val="0"/>
              <w:autoSpaceDE w:val="0"/>
              <w:adjustRightInd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ciężkiej postaci atopowego zapalenia skóry u pacjentów w wieku 18 lat i powyżej za pomocą baricytynibu (inhibitora JAK) do podawania doustnego.</w:t>
            </w:r>
          </w:p>
        </w:tc>
      </w:tr>
      <w:tr w:rsidR="00433F1E" w:rsidRPr="00880D84" w14:paraId="49ACDAFA" w14:textId="77777777" w:rsidTr="00D24198">
        <w:trPr>
          <w:cantSplit/>
          <w:trHeight w:val="1165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BB85" w14:textId="44F6C946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E23D" w14:textId="46649BF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Rinvoq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20FF" w14:textId="1CBF75B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7A27" w14:textId="7814EA4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07C1" w14:textId="556C104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4BEF" w14:textId="2DB9BBC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ciężkiej postaci atopowego zapalenia skóry u pacjentów w wieku 12 lat i powyżej za pomocą upadacytynibu (inhibitora JAK) do podawania doustnego.</w:t>
            </w:r>
          </w:p>
        </w:tc>
      </w:tr>
      <w:tr w:rsidR="00433F1E" w:rsidRPr="00880D84" w14:paraId="3081E134" w14:textId="77777777" w:rsidTr="00D24198">
        <w:trPr>
          <w:cantSplit/>
          <w:trHeight w:val="1648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B723" w14:textId="290EF713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8278" w14:textId="1825E91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Givlaari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1DBE" w14:textId="016CCC5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giwosyran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EE73" w14:textId="45E8C28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B.128.FM.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5EE2" w14:textId="0D7CB95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OSTRĄ PORFIRIĘ WĄTROBOWĄ (AHP) U DOROSŁYCH I MŁODZIEŻY W WIEKU OD 12 LAT (ICD-10: E80.2)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6E23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Pierwsza technologia lekowa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o wysokim poziomie innowacyjności</w:t>
            </w:r>
          </w:p>
          <w:p w14:paraId="6433E50B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ultrarzadka)</w:t>
            </w:r>
          </w:p>
          <w:p w14:paraId="51CFEB47" w14:textId="35E6B6E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(technologia finansowana z Funduszu Medycznego)</w:t>
            </w:r>
          </w:p>
        </w:tc>
      </w:tr>
      <w:tr w:rsidR="00433F1E" w:rsidRPr="00880D84" w14:paraId="6733CFCA" w14:textId="77777777" w:rsidTr="00D24198">
        <w:trPr>
          <w:cantSplit/>
          <w:trHeight w:val="12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920A" w14:textId="62DC9329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2C67" w14:textId="6F03A8F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Oxlumo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29AF" w14:textId="7A74E40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lumazyran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F63D" w14:textId="715D405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B.129.FM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6FEE" w14:textId="217AAC1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PIERWOTNĄ HIPEROKSALURIĘ TYPU 1 (ICD-10: E74.8)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B244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Druga technologia lekowa o wysokim poziomie innowacyjności finansowana w ramach Funduszu Medycznego</w:t>
            </w:r>
          </w:p>
          <w:p w14:paraId="2DC7DB46" w14:textId="2CA8E3D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ultrarzadka)</w:t>
            </w:r>
          </w:p>
        </w:tc>
      </w:tr>
      <w:tr w:rsidR="00433F1E" w:rsidRPr="00880D84" w14:paraId="6B9F7903" w14:textId="77777777" w:rsidTr="00D24198">
        <w:trPr>
          <w:cantSplit/>
          <w:trHeight w:val="2115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0A62" w14:textId="630BD2FF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F710" w14:textId="6638D8B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Translarna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1A1F" w14:textId="2DDEADC3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ataluren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F407" w14:textId="23DB5F0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B.130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5F13" w14:textId="329F1B6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DYSTROFIĄ MIĘŚNIOWĄ DUCHENNE’A SPOWODOWANĄ MUTACJĄ NONSENSOWNĄ W GENIE DYSTROFINY (ICD-10: G71.0)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C665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Chodzący pacjenci w wieku od 2 lat i z masą ciała powyżej 12 kg z dystrofią mięśniową Duchenne’a spowodowaną przez mutację nonsensowną w genie dystrofiny (nmDMD). Pacjenci z DMD bez mutacji nonsensownej nie powinni otrzymywać atalurenu.</w:t>
            </w:r>
          </w:p>
          <w:p w14:paraId="5B912E06" w14:textId="1C26C11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ultrarzadka)</w:t>
            </w:r>
          </w:p>
        </w:tc>
      </w:tr>
      <w:tr w:rsidR="00433F1E" w:rsidRPr="00880D84" w14:paraId="318404C9" w14:textId="77777777" w:rsidTr="00D24198">
        <w:trPr>
          <w:cantSplit/>
          <w:trHeight w:val="1658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FDF7" w14:textId="79A89D02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CEE3" w14:textId="4887CB6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Aimovig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B25A" w14:textId="1C93C4E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erenumab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295F" w14:textId="31D8F89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B.133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F2F5" w14:textId="705A328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PROFILAKTYCZNE LECZENIE CHORYCH NA MIGRENĘ PRZEWLEKŁĄ (ICD-10: G43)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8BDA" w14:textId="4F523E8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profilaktyczne chorych na migrenę przewlekłą mających co najmniej 15 dni z bólem głowy w miesiącu przez co najmniej 3 kolejne miesiące jako kolejna linia leczenia po niepowodzeniu profilaktyki terapiami doustnymi oraz toksyną botulinową typu A.</w:t>
            </w:r>
          </w:p>
        </w:tc>
      </w:tr>
      <w:tr w:rsidR="00433F1E" w:rsidRPr="00880D84" w14:paraId="53EB37F7" w14:textId="77777777" w:rsidTr="00986C4C">
        <w:trPr>
          <w:cantSplit/>
          <w:trHeight w:val="179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89C8" w14:textId="656B5B24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72C9" w14:textId="5B3069E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Ajovy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342D" w14:textId="6B5C801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fremanezumab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942A" w14:textId="6BC688E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B.133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E5BA" w14:textId="70BED3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PROFILAKTYCZNE LECZENIE CHORYCH NA MIGRENĘ PRZEWLEKŁĄ (ICD-10: G43)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696C" w14:textId="63C3629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profilaktyczne chorych na migrenę przewlekłą mających co najmniej 15 dni z bólem głowy w miesiącu przez co najmniej 3 kolejne miesiące jako kolejna linia leczenia po niepowodzeniu profilaktyki terapiami doustnymi oraz toksyną botulinową typu A.</w:t>
            </w:r>
          </w:p>
        </w:tc>
      </w:tr>
      <w:tr w:rsidR="00433F1E" w:rsidRPr="00880D84" w14:paraId="0FD87A45" w14:textId="77777777" w:rsidTr="00986C4C">
        <w:trPr>
          <w:cantSplit/>
          <w:trHeight w:val="149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CF82" w14:textId="3D971FBD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5A5B" w14:textId="69D815A5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Botox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54BD" w14:textId="21C33B9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toksyna botulinowa typu 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B4FF" w14:textId="3A7F1F5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B.133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686A" w14:textId="725049F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PROFILAKTYCZNE LECZENIE CHORYCH NA MIGRENĘ PRZEWLEKŁĄ (ICD-10: G43)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72D1" w14:textId="0D3205F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profilaktyczne chorych na migrenę przewlekłą mających co najmniej 15 dni z bólem głowy w miesiącu przez co najmniej 3 kolejne miesiące po niepowodzeniu profilaktyki terapiami doustnymi.</w:t>
            </w:r>
          </w:p>
        </w:tc>
      </w:tr>
      <w:tr w:rsidR="00433F1E" w:rsidRPr="00880D84" w14:paraId="4E3C0903" w14:textId="77777777" w:rsidTr="00986C4C">
        <w:trPr>
          <w:cantSplit/>
          <w:trHeight w:val="12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F16D" w14:textId="17F8D4EF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B35F" w14:textId="360FEA3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Ofev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1602" w14:textId="1B9899D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nintedanib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240B" w14:textId="39E3595A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B.135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8141" w14:textId="28FD5F8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</w:pPr>
            <w:bookmarkStart w:id="3" w:name="_Hlk106024854"/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NINTEDANIBEM CHOROBY ŚRÓDMIĄŻSZOWEJ PŁUC ZWIĄZANEJ Z TWARDZINĄ UKŁADOWĄ (ICD-10: M34, J.99.1)</w:t>
            </w:r>
            <w:bookmarkEnd w:id="3"/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6A7D" w14:textId="1B45B26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Pierwsza celowana terapia dla pacjentów z chorobą śródmiąższową płuc związaną z twardziną układową</w:t>
            </w:r>
          </w:p>
        </w:tc>
      </w:tr>
      <w:tr w:rsidR="00433F1E" w:rsidRPr="00880D84" w14:paraId="7EACB039" w14:textId="77777777" w:rsidTr="00986C4C">
        <w:trPr>
          <w:cantSplit/>
          <w:trHeight w:val="22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40AF" w14:textId="3B010C18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2CE7" w14:textId="2C1E965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Dovprela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5DA7" w14:textId="2C7AEA9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pretomanid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B14D" w14:textId="0285776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B.136.FM.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A474" w14:textId="55432D4B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GRUŹLICĘ LEKOOPORNĄ (MDR/XDR) (ICD-10: A15)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85E5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Terapia gruźlicy płuc wielolekoopornej (MDR-TB) lub gruźlicy płuc o rozszerzonej oporności (XDR-TB) pretomanidem w skojarzeniu z bedakiliną i linezolidem.</w:t>
            </w:r>
          </w:p>
          <w:p w14:paraId="26765F09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  <w:p w14:paraId="5E1FA292" w14:textId="2628A2A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Technologia lekowa o wysokim poziomie innowacyjności (technologia finansowana </w:t>
            </w: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z Funduszu Medycznego)</w:t>
            </w:r>
          </w:p>
        </w:tc>
      </w:tr>
      <w:tr w:rsidR="00433F1E" w:rsidRPr="00880D84" w14:paraId="03D67883" w14:textId="77777777" w:rsidTr="00986C4C">
        <w:trPr>
          <w:cantSplit/>
          <w:trHeight w:val="112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0AD4" w14:textId="36F521EF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5C5A" w14:textId="1BAF3CE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Sirturo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D3C4" w14:textId="2CC0FA2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bedakilina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F5C5" w14:textId="0248C06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B.136.FM.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723D" w14:textId="3C08C412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GRUŹLICĘ LEKOOPORNĄ (MDR/XDR) (ICD-10: A15)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ABED" w14:textId="77777777" w:rsidR="00433F1E" w:rsidRPr="00880D84" w:rsidRDefault="00433F1E" w:rsidP="00433F1E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Terapia bedakiliną gruźlicy płuc wielolekoopornej (MDR-TB).</w:t>
            </w:r>
          </w:p>
          <w:p w14:paraId="37E268AD" w14:textId="130E7539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433F1E" w:rsidRPr="00880D84" w14:paraId="392D0B9C" w14:textId="77777777" w:rsidTr="00986C4C">
        <w:trPr>
          <w:cantSplit/>
          <w:trHeight w:val="218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DCF7" w14:textId="03D62340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D6D5" w14:textId="4E38D83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Idefirix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80D2" w14:textId="75CC7AB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imlifidaza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D127" w14:textId="408CC78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B.137.FM.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AF57" w14:textId="73CF420F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ODCZULANIE WYSOKO IMMUNIZOWANYCH DOROSŁYCH BIORCÓW PRZESZCZEPU NERKI </w:t>
            </w:r>
            <w:r w:rsidRPr="00880D84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br/>
              <w:t>(ICD-10: N18)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263E" w14:textId="77777777" w:rsidR="00433F1E" w:rsidRPr="00880D84" w:rsidRDefault="00433F1E" w:rsidP="00433F1E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Leczenie desensytyzacyjne (odczulanie) u wysoko immunizowanych biorców przeszczepu nerki.</w:t>
            </w:r>
          </w:p>
          <w:p w14:paraId="5F960ED5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  <w:p w14:paraId="7C328534" w14:textId="1AC3FA64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Technologia lekowa o wysokim poziomie innowacyjności (technologia finansowana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z Funduszu Medycznego)</w:t>
            </w:r>
          </w:p>
        </w:tc>
      </w:tr>
      <w:tr w:rsidR="00433F1E" w:rsidRPr="00880D84" w14:paraId="486348B6" w14:textId="77777777" w:rsidTr="00986C4C">
        <w:trPr>
          <w:cantSplit/>
          <w:trHeight w:val="310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7D1D" w14:textId="59646D28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B141" w14:textId="3BCCAB21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Enspryng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DDDB" w14:textId="35CDEF66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satralizumab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1332" w14:textId="3865F0CD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B.138.FM.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29B9" w14:textId="39D3ACA8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ZE SPEKTRUM ZAPALENIA NERWÓW WZROKOWYCH I RDZENIA KRĘGOWEGO (NMOSD) (ICD-10: G36.0)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8E1D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Leczenie w monoterapii lub w skojarzeniu z terapią immunosupresyjną w leczeniu chorób ze spektrum zapalenia nerwów wzrokowych oraz rdzenia kręgowego (NMOSD, choroba Devica) u pacjentów dorosłych i młodzieży w wieku powyżej 12 lat, u których występują przeciwciała IgG przeciwko akwaporynie-4 (AQP4-IgG).</w:t>
            </w:r>
          </w:p>
          <w:p w14:paraId="1FBFA349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(Choroba rzadka)</w:t>
            </w:r>
          </w:p>
          <w:p w14:paraId="5DE57FC3" w14:textId="15E7FC91" w:rsidR="00433F1E" w:rsidRPr="00880D84" w:rsidRDefault="00433F1E" w:rsidP="00433F1E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Technologia lekowa o wysokim poziomie innowacyjności (technologia finansowana </w:t>
            </w: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z Funduszu Medycznego)</w:t>
            </w:r>
          </w:p>
        </w:tc>
      </w:tr>
      <w:tr w:rsidR="00433F1E" w:rsidRPr="00880D84" w14:paraId="065E1D6A" w14:textId="77777777" w:rsidTr="00986C4C">
        <w:trPr>
          <w:cantSplit/>
          <w:trHeight w:val="338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430B" w14:textId="079D9090" w:rsidR="00433F1E" w:rsidRPr="00880D84" w:rsidRDefault="00D24198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7B6" w14:textId="7FD1005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Ravicti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A9C1" w14:textId="1008111C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fenylomaślan glicerolu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27FF" w14:textId="61E7A35E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B.140</w:t>
            </w:r>
            <w:r w:rsidR="00C23F56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1963" w14:textId="2C967710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WSPOMAGAJĄCE ZABURZEŃ CYKLU MOCZNIKOWEGO (ICD-10: E72.2)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770F" w14:textId="77777777" w:rsidR="00433F1E" w:rsidRPr="00880D84" w:rsidRDefault="00433F1E" w:rsidP="00433F1E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Leczenie zaburzeń cyklu mocznikowego obejmujące niedobór: syntetazy karbamoilofosforanowej I lub karbamoilotransferazy ornitynowej lub syntetazy argininobursztynianow lub liazy argininobursztynianowej lub arginazy lub translokazy ornitynowej (tzw. zespół HHH tj. hiperamonemia-hiperornitynemia-homocytrulinuria), w przypadku gdy ograniczenie spożycia białka bądź suplementacja aminokwasów nie są skuteczne.</w:t>
            </w:r>
          </w:p>
          <w:p w14:paraId="6994A3D5" w14:textId="137E308D" w:rsidR="00433F1E" w:rsidRPr="00880D84" w:rsidRDefault="00433F1E" w:rsidP="00433F1E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(Choroba rzadka)</w:t>
            </w:r>
          </w:p>
        </w:tc>
      </w:tr>
    </w:tbl>
    <w:p w14:paraId="45E40E76" w14:textId="77777777" w:rsidR="00816802" w:rsidRPr="004D78D6" w:rsidRDefault="00816802" w:rsidP="00816802">
      <w:pPr>
        <w:rPr>
          <w:rFonts w:asciiTheme="majorHAnsi" w:hAnsiTheme="majorHAnsi" w:cstheme="majorHAnsi"/>
          <w:sz w:val="20"/>
          <w:szCs w:val="20"/>
        </w:rPr>
      </w:pPr>
    </w:p>
    <w:p w14:paraId="590BA29A" w14:textId="77777777" w:rsidR="00816802" w:rsidRPr="004D78D6" w:rsidRDefault="00816802" w:rsidP="00816802">
      <w:pPr>
        <w:suppressAutoHyphens w:val="0"/>
        <w:rPr>
          <w:rFonts w:asciiTheme="majorHAnsi" w:hAnsiTheme="majorHAnsi" w:cstheme="majorHAnsi"/>
          <w:sz w:val="20"/>
          <w:szCs w:val="20"/>
        </w:rPr>
      </w:pPr>
      <w:r w:rsidRPr="004D78D6">
        <w:rPr>
          <w:rFonts w:asciiTheme="majorHAnsi" w:hAnsiTheme="majorHAnsi" w:cstheme="majorHAnsi"/>
          <w:sz w:val="20"/>
          <w:szCs w:val="20"/>
        </w:rPr>
        <w:br w:type="page"/>
      </w:r>
    </w:p>
    <w:p w14:paraId="2E69D0B4" w14:textId="77777777" w:rsidR="00816802" w:rsidRPr="004D78D6" w:rsidRDefault="00816802" w:rsidP="00816802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509"/>
        <w:gridCol w:w="3846"/>
        <w:gridCol w:w="8049"/>
      </w:tblGrid>
      <w:tr w:rsidR="00816802" w:rsidRPr="004D78D6" w14:paraId="1E1407AE" w14:textId="77777777" w:rsidTr="00E23C62">
        <w:trPr>
          <w:cantSplit/>
          <w:trHeight w:val="20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C4E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Zmiany w programach lekowych i chemioterapii</w:t>
            </w:r>
          </w:p>
        </w:tc>
      </w:tr>
      <w:tr w:rsidR="00816802" w:rsidRPr="004D78D6" w14:paraId="48C5C608" w14:textId="77777777" w:rsidTr="00DA0796">
        <w:trPr>
          <w:cantSplit/>
          <w:trHeight w:val="20"/>
        </w:trPr>
        <w:tc>
          <w:tcPr>
            <w:tcW w:w="21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72A9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65B4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programu lekowego lub numeru załącznika</w:t>
            </w:r>
          </w:p>
        </w:tc>
        <w:tc>
          <w:tcPr>
            <w:tcW w:w="1374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9FF3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programu lekowego lub załącznika chemioterapii</w:t>
            </w:r>
          </w:p>
        </w:tc>
        <w:tc>
          <w:tcPr>
            <w:tcW w:w="2876" w:type="pct"/>
            <w:shd w:val="clear" w:color="auto" w:fill="A7E8FF"/>
            <w:vAlign w:val="center"/>
          </w:tcPr>
          <w:p w14:paraId="548D38B8" w14:textId="77777777" w:rsidR="00816802" w:rsidRPr="00880D84" w:rsidRDefault="00816802" w:rsidP="00C61F3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Krótki opis zmian dokonanych w obrębie programu lekowego / załącznika chemioterapii</w:t>
            </w:r>
          </w:p>
        </w:tc>
      </w:tr>
      <w:tr w:rsidR="00351237" w:rsidRPr="004D78D6" w14:paraId="7F757960" w14:textId="77777777" w:rsidTr="00433F1E">
        <w:trPr>
          <w:cantSplit/>
          <w:trHeight w:val="573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FCEB" w14:textId="6B2A7F8B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9F4E" w14:textId="24ED7860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6EAB" w14:textId="4BCE5F47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PRZEWLEKŁE WIRUSOWE ZAPALENIA WĄTROBY TYPU B (ICD-10: B18.1)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151F01E" w14:textId="545420EE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z treści programu lekowego zapisów dotyczących adefowiru i możliwości jego stosowania w ramach programu lekowego B.1. Decyzją podmiotu odpowiedzialnego, lek Hepsera nie przedłużył decyzji refundacyjnej. Ponadto, dokonano porządkowej zmiany nazwy programu lekowego zgodnie z wewnętrznymi wytycznymi.</w:t>
            </w:r>
          </w:p>
        </w:tc>
      </w:tr>
      <w:tr w:rsidR="00351237" w:rsidRPr="004D78D6" w14:paraId="26E1F0B8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EF7B" w14:textId="3CAF11F4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2904" w14:textId="27D0F054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</w:t>
            </w:r>
            <w:r w:rsidR="00433F1E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1E13" w14:textId="180C804C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4" w:name="_Hlk98837831"/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ZAAWANSOWANEGO RAKA JELITA GRUBEGO (ICD-10: C18 – C20)</w:t>
            </w:r>
            <w:bookmarkEnd w:id="4"/>
          </w:p>
        </w:tc>
        <w:tc>
          <w:tcPr>
            <w:tcW w:w="2876" w:type="pct"/>
            <w:shd w:val="clear" w:color="auto" w:fill="auto"/>
            <w:vAlign w:val="center"/>
          </w:tcPr>
          <w:p w14:paraId="61A58B68" w14:textId="32A2A180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Zmiany zapisów w kryteriach kwalifikacji doprecyzowujące okres od zakończenia uzupełniającej chemioterapii pooperacyjnej z udziałem oksaliplatyny.</w:t>
            </w:r>
          </w:p>
        </w:tc>
      </w:tr>
      <w:tr w:rsidR="00351237" w:rsidRPr="004D78D6" w14:paraId="3A9AEA69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46D8" w14:textId="64F2C550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A6C3" w14:textId="54D73EA7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3599" w14:textId="608B73C5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WĄTROBOWOKOMÓRKOWEGO (ICD-10: C22.0)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475145D" w14:textId="60E52402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Kompleksowa zmiana budowy programu lekowego wynikająca z wprowadzeniem terapii skojarzonej w I linii leczenia – zmiany w kryteriach kwalifikacji, kryteriach wyłączenia oraz badaniach diagnostycznych stosowanych podczas kwalifikacji oraz monitorowania leczenia. Ujednolicono populację kwalifikującą się do programu poprzez udostępnienie leczenia I linii niezależnie od obecności przerzutów pozawątrobowych. Rozszerzenie wskazania technologii II linii leczenia w programie (off-label).</w:t>
            </w:r>
          </w:p>
        </w:tc>
      </w:tr>
      <w:tr w:rsidR="00351237" w:rsidRPr="004D78D6" w14:paraId="4855223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E4C8" w14:textId="1D852964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9FE7" w14:textId="51A33997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3330" w14:textId="7DE54007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NERKI (ICD-10 C64)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4EFA337" w14:textId="5ED63524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Liczne zmiany w zakresie kryteriów kwalifikacji w tym brak obowiązku wykonania nefrektomii częściowej/całkowitej podczas kwalifikacji, wprowadzenie możliwości ponownej oceny progresji choroby w przypadku immunoterapii, umożliwienie terapii innych typów histologicznych raka nerkowokomórkowego, możliwość wzajemnej zamiany (w przypadku nietolerancji, a nie progresji choroby) inhibitorów kinaz tyrozynowych w I linii terapii, ujednolicenie skali rokowniczych</w:t>
            </w:r>
          </w:p>
        </w:tc>
      </w:tr>
      <w:tr w:rsidR="00351237" w:rsidRPr="004D78D6" w14:paraId="540A9979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C0E1" w14:textId="280E6615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7F6F" w14:textId="15A09B6A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B.19</w:t>
            </w:r>
            <w:r w:rsidR="00433F1E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9D5E" w14:textId="3B8A4B9A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NISKOROSŁYCH DZIECI Z SOMATOTROPINOWĄ NIEWYDOLNOŚCIĄ PRZYSADKI (ICD-10: E23)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413568A" w14:textId="6522C9DA" w:rsidR="00433F1E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Wprowadzenie szeregu zmian, które umożliwią objęcie leczeniem: </w:t>
            </w:r>
          </w:p>
          <w:p w14:paraId="74644FA2" w14:textId="7BA91EF5" w:rsidR="00433F1E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</w:t>
            </w:r>
            <w:r w:rsidR="00433F1E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dzieci z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wielohormonalną niedoczynnością przysadki, </w:t>
            </w:r>
          </w:p>
          <w:p w14:paraId="62BA16F0" w14:textId="77777777" w:rsidR="00433F1E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dzieci z udokumentowanymi mutacjami związanymi z niedoborem hormonu wzrostu, </w:t>
            </w:r>
          </w:p>
          <w:p w14:paraId="0C0C2700" w14:textId="77777777" w:rsidR="00433F1E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3) dzieci u których rozpoczęto terapie w okresie niemowlęcym lub poniemowlęcym, </w:t>
            </w:r>
          </w:p>
          <w:p w14:paraId="1358E309" w14:textId="180ED4F3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4) dzieci po terapii chorób rozrostowych.</w:t>
            </w:r>
          </w:p>
        </w:tc>
      </w:tr>
      <w:tr w:rsidR="00B9028B" w:rsidRPr="004D78D6" w14:paraId="34FB6E0A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AB24" w14:textId="7B148C6A" w:rsidR="00B9028B" w:rsidRPr="00880D84" w:rsidRDefault="00C87906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59CC" w14:textId="2F64C1E8" w:rsidR="00B9028B" w:rsidRPr="00880D84" w:rsidRDefault="00B9028B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  <w:r w:rsidR="00237F9E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B929" w14:textId="21CFBCFB" w:rsidR="00B9028B" w:rsidRPr="00880D84" w:rsidRDefault="00B9028B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991B8E8" w14:textId="14E87E1E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Program B.29 oraz B.46 połączono w jeden kompleksowy program leczenia SM. Program będzie realizowany w ośrodkach posiadających kontrakt na realizację programu B.29, aby nie ograniczać dostępu wyłącznie do ośrodków wysokospecjalistycznych.</w:t>
            </w:r>
          </w:p>
          <w:p w14:paraId="266F8050" w14:textId="77777777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Oprócz wskazanych powyżej zmian w zakresie dodania nowej populacji chorych na wtórnie postępującą postać SM oraz nowych opcji terapeutycznych w I linii leczenia RRMS złagodzone zostały kryteria kwalifikacji do II linii leczenia w rzutowo-remisyjnej postaci SM w tym również w przypadku szybko rozwijającej się, ciężkiej postaci RES (dla dotychczas stosowanych leków)</w:t>
            </w:r>
          </w:p>
          <w:p w14:paraId="1E9A4359" w14:textId="77777777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 leczenia teriflunomidem i fingolimodem będzie możliwość kwalifikacji pacjentów od 10 r.ż. - leki mają postać doustną (tabletki, kapsułki) co ma szczególne znaczenie dla populacji pediatrycznej.</w:t>
            </w:r>
          </w:p>
          <w:p w14:paraId="1F166F59" w14:textId="77777777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Zarówno w I jak i w II linii leczenia RRMS dopuszczono zmianę leku na inny tak aby dobrać najbardziej optymalną terapię do pacjenta.</w:t>
            </w:r>
          </w:p>
          <w:p w14:paraId="3ABA5DC8" w14:textId="77777777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Pacjentom leczonym preparatami II linii umożliwiono deeskalację terapii na preparaty I linii leczenia.</w:t>
            </w:r>
          </w:p>
          <w:p w14:paraId="263E0967" w14:textId="1AACA131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Czasową zmianę terapii umożliwiono też dla kobiet planujących ciążę, w ciąży oraz w okresie karmienia piersią oraz dopuszczono odstąpienie od wykonania badania MRI w trakcie monitorowania programu w przypadku kobiet w ciąży</w:t>
            </w:r>
          </w:p>
        </w:tc>
      </w:tr>
      <w:tr w:rsidR="00351237" w:rsidRPr="004D78D6" w14:paraId="1946A41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4CEA" w14:textId="7ED5D346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5CD0" w14:textId="476FB1D4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</w:t>
            </w:r>
            <w:r w:rsidR="00237F9E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6D0F" w14:textId="46629AE3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CHOROBĄ LEŚNIOWSKIEGO - CROHNA (ICD-10 K 50)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FDCCEBB" w14:textId="77777777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leczenia dla wszystkich leków biologicznych dostępnych w ramach programu lekowego B.32.</w:t>
            </w:r>
          </w:p>
          <w:p w14:paraId="64F3B4B9" w14:textId="77777777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programu.</w:t>
            </w:r>
          </w:p>
          <w:p w14:paraId="0C1B9598" w14:textId="74690069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Modyfikacja badań diagnostycznych wymaganych podczas kwalifikacji do programu, a także stosowanych w celu optymalizacji leczenia i oceny zasadności kontynuowania terapii.</w:t>
            </w:r>
          </w:p>
        </w:tc>
      </w:tr>
      <w:tr w:rsidR="00351237" w:rsidRPr="004D78D6" w14:paraId="7665124A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5D8C" w14:textId="4F5547A1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B335" w14:textId="2305F5F9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B.39</w:t>
            </w:r>
            <w:r w:rsidR="00237F9E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A895" w14:textId="72976EB1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B.39 LECZENIE WTÓRNEJ NADCZYNNOŚCI PRZYTARCZYC U PACJENTÓW LECZONYCH NERKOZASTĘPCZO DIALIZAMI (ICD-10: N25.8)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8EA5D40" w14:textId="363B038A" w:rsidR="00351237" w:rsidRPr="00880D84" w:rsidRDefault="00351237" w:rsidP="00433F1E">
            <w:pPr>
              <w:suppressAutoHyphens w:val="0"/>
              <w:autoSpaceDE w:val="0"/>
              <w:adjustRightInd w:val="0"/>
              <w:spacing w:before="120" w:after="120" w:line="240" w:lineRule="auto"/>
              <w:ind w:left="142" w:right="97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Umożliwienie terapii za pomocą cynakalcetu pacjentom dializowanym otrzewnowo.</w:t>
            </w:r>
          </w:p>
          <w:p w14:paraId="242D3C0A" w14:textId="42082D5A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Połączenie programu lekowego B.39 wraz z programem lekowym B.69, obejmującym terapię parykalcytolem.</w:t>
            </w:r>
          </w:p>
        </w:tc>
      </w:tr>
      <w:tr w:rsidR="00351237" w:rsidRPr="004D78D6" w14:paraId="2A1116E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638B" w14:textId="2DF56E53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B166" w14:textId="6C617E21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B.44.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7117" w14:textId="7330A29C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ASTMY (ICD-10: J45, J82)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B273CC" w14:textId="2BDB26CC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Ujednolicenie kryteriów włączenia do terapii biologicznej dla wszystkich trzech leków, stosowanych w programie, mniejszy poziom eozynofilii w kryteriach niż aktualnie w programie, usunięcia przeciwwskazań do leczenia biologicznego dla osób stosujących jednoczesną terapię lekami immunosupresyjnymi, przeciwnowotworowymi, wlewami z immunoglobulin lub innymi lekami biologicznymi</w:t>
            </w:r>
          </w:p>
        </w:tc>
      </w:tr>
      <w:tr w:rsidR="008A241B" w:rsidRPr="004D78D6" w14:paraId="179584D1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2AD1" w14:textId="7F99DF45" w:rsidR="008A241B" w:rsidRPr="00880D84" w:rsidRDefault="00C87906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812B" w14:textId="0FD0FA88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B.44.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4862" w14:textId="5F27DD70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chorych z ciężką postacią astmy (ICD-10: J45, J82)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2029185" w14:textId="2BA285C2" w:rsidR="008A241B" w:rsidRPr="00880D84" w:rsidRDefault="008A241B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Rozszerzenia wskazania dla dupilumabu u osób powyżej 18. roku życia z ciężką, oporną na leczenie astmą z zapaleniem typu 2 o liczbę eozynofilii we krwi obwodowej od ≥ 150 do &lt; 350 komórek/μl stosujący glikokortykosteroidy</w:t>
            </w:r>
          </w:p>
        </w:tc>
      </w:tr>
      <w:tr w:rsidR="00351237" w:rsidRPr="004D78D6" w14:paraId="6E7A0125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A2C5" w14:textId="43ECC694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2B66" w14:textId="14F22198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B.50</w:t>
            </w:r>
            <w:r w:rsidR="0022056F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ABA4" w14:textId="03CCFAF3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(ICD-10: C56, C57, C48)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BA68645" w14:textId="69C3F8BE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Zdefiniowano okno czasowe terapii, w którym leczenie inhibitorami PARP powinno rozpocząć się najpóźniej w 12 tygodniu od zakończenia chemioterapii. Dodatkowo ujednolicono zapisy określające czas leczenia w programie dla niraparybu.  W części dotyczącej monitorowania skuteczności leczenia zmieniono oznaczenie stężenia CA125 co 1 miesiąc lub w przypadku podejrzenia progresji choroby nowotworowej, jak również dokonano doprecyzowania częstości wykonywania badania tomografii komputerowej lub rezonansu magnetycznego oraz zmieniono szyk zdania ułatwiający zrozumienie zapisu.</w:t>
            </w:r>
          </w:p>
        </w:tc>
      </w:tr>
      <w:tr w:rsidR="00351237" w:rsidRPr="004D78D6" w14:paraId="6C728706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9810" w14:textId="058ED98C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8CDC" w14:textId="27FF8DF3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B.50</w:t>
            </w:r>
            <w:r w:rsidR="0022056F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8EE3" w14:textId="09E14DD0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(ICD-10: C56, C57, C48)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C8098CA" w14:textId="0A57CC78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uwagi na zaprzestanie wprowadzania do obrotu na rynek europejski leku Lynparza (olaparyb) w postaci kapsułek, usunięto zapisy odnoszące się do możliwości stosowania tej postaci leku. Pacjentki, które do tej pory stosowały olaparyb w postaci kapsułek, mają kontynuowaną terapię przy wykorzystaniu olaparybu w postaci tabletek.</w:t>
            </w:r>
          </w:p>
        </w:tc>
      </w:tr>
      <w:tr w:rsidR="00351237" w:rsidRPr="004D78D6" w14:paraId="16C6EDEE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BEDA" w14:textId="20192F33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8963" w14:textId="11F572EE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B.52</w:t>
            </w:r>
            <w:r w:rsidR="0022056F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6CCA" w14:textId="156C8B40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LECZENIE PŁASKONABŁONKOWEGO RAKA NARZĄDÓW GŁOWY I SZYI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FCA1650" w14:textId="0026E108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Umożliwiono podawanie cetuksymabu dożylnie w dawce 500 mg/m2, co 2 tygodnie</w:t>
            </w:r>
          </w:p>
        </w:tc>
      </w:tr>
      <w:tr w:rsidR="008A241B" w:rsidRPr="004D78D6" w14:paraId="206004F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A0DA" w14:textId="1A3E4D9C" w:rsidR="008A241B" w:rsidRPr="00880D84" w:rsidRDefault="00C87906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BFB6" w14:textId="5FF3654B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 52.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6DE7" w14:textId="1781DDBE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płaskonabłonkowego raka narządów głowy i szyi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4FE0705" w14:textId="6C248049" w:rsidR="008A241B" w:rsidRPr="00880D84" w:rsidRDefault="008A241B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Dodanie nowego schematu chemioterapii w przypadku terapii łączonej z </w:t>
            </w: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cetuksymabem</w:t>
            </w: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(TPEx)</w:t>
            </w:r>
          </w:p>
        </w:tc>
      </w:tr>
      <w:tr w:rsidR="00351237" w:rsidRPr="004D78D6" w14:paraId="4935FD9C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8865" w14:textId="151C899F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68BA" w14:textId="36BA10C6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  <w:r w:rsidR="00237F9E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7FD6" w14:textId="50C50E5E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WRZODZIEJĄCYM ZAPALENIEM JELITA GRUBEGO (WZJG) (ICD-10 K51)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2C515E0" w14:textId="77777777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leczenia dla wszystkich leków biologicznych dostępnych w ramach programu lekowego B.55.</w:t>
            </w:r>
          </w:p>
          <w:p w14:paraId="4DE4F12A" w14:textId="77777777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Dodanie zapisów związanych z udostępnieniem nowej terapii ustekinumabem w ramach programu lekowego B.55.</w:t>
            </w:r>
          </w:p>
          <w:p w14:paraId="6304BA56" w14:textId="77777777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</w:t>
            </w:r>
          </w:p>
          <w:p w14:paraId="168A0D89" w14:textId="476D6C87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Modyfikacja badań diagnostycznych wymaganych podczas kwalifikacji do programu, a także stosowanych w celu optymalizacji leczenia i oceny zasadności kontynuowania terapii.</w:t>
            </w:r>
          </w:p>
        </w:tc>
      </w:tr>
      <w:tr w:rsidR="008A241B" w:rsidRPr="004D78D6" w14:paraId="0FF2127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FF70" w14:textId="71976043" w:rsidR="008A241B" w:rsidRPr="00880D84" w:rsidRDefault="00C87906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46BA" w14:textId="1DCAFDFE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B.59.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BA6" w14:textId="63FD633F" w:rsidR="008A241B" w:rsidRPr="00880D84" w:rsidRDefault="0022056F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PACJENTÓW Z CZERNIAKIEM SKÓRY LUB BŁON ŚLUZOWYCH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8076D1F" w14:textId="1046CB29" w:rsidR="008A241B" w:rsidRPr="00880D84" w:rsidRDefault="008A241B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Zmiana częstotliwości badań obrazowych wykonywanych w trakcie monitorowania terapii w przypadku pacjentów leczonych przez co najmniej 24 miesiące w programie</w:t>
            </w:r>
          </w:p>
        </w:tc>
      </w:tr>
      <w:tr w:rsidR="00B9028B" w:rsidRPr="004D78D6" w14:paraId="2E30209F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543B" w14:textId="3266428A" w:rsidR="00B9028B" w:rsidRPr="00880D84" w:rsidRDefault="00C87906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2D7A" w14:textId="43E14850" w:rsidR="00B9028B" w:rsidRPr="00880D84" w:rsidRDefault="00B9028B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B.61.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9D8D" w14:textId="34A00AE4" w:rsidR="00B9028B" w:rsidRPr="00880D84" w:rsidRDefault="00B9028B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CYSTYNOZĘ NEFROPATYCZNĄ (ICD-10: E72.0)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28E0A5B" w14:textId="7ACEA0E5" w:rsidR="00B9028B" w:rsidRPr="00880D84" w:rsidRDefault="00B9028B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zapisów w kryteriach kwalifikacji do leczenia cysteaminą w postaci doustnej oraz modyfikacje w zakresie badań laboratoryjnych wykonywanych przy kwalifikacji oraz badań wykonywanych podczas monitorowania leczenia.</w:t>
            </w:r>
          </w:p>
        </w:tc>
      </w:tr>
      <w:tr w:rsidR="00351237" w:rsidRPr="004D78D6" w14:paraId="679CE748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B1EC" w14:textId="4F10EC1E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9522" w14:textId="57F16371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B.70. 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107E" w14:textId="332E3382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CHOROBAMI SIATKÓWKI (ICD-10: H35.3, H36.0)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DA39520" w14:textId="014E33FE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Połączenie programów lekowych dotyczących terapii obrzęku plamki zawiązanego z wiekiem (AMD) i cukrzycowego obrzęku plamki (DME) w jedno świadczenie.</w:t>
            </w:r>
          </w:p>
        </w:tc>
      </w:tr>
      <w:tr w:rsidR="00351237" w:rsidRPr="004D78D6" w14:paraId="3DD913F0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D6C1" w14:textId="1E750DFA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19.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5079" w14:textId="302D5B29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B.71.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3229" w14:textId="1693754E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TERAPIĄ BEZINTERFERONOWĄ CHORYCH NA PRZEWLEKŁE WIRUSOWE ZAPALENIE WĄTROBY TYPU C (ICD-10: B 18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.2)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70820A4" w14:textId="75109F2D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z treści programu lekowego zapisów dotyczących rybawiryny i możliwości jej stosowania w ramach programu lekowego B.1. Decyzją podmiotu odpowiedzialnego, lek Rebetol nie przedłużył decyzji refundacyjnej. Ponadto, dokonano porządkowej zmiany nazwy programu lekowego zgodnie z wewnętrznymi wytycznymi.</w:t>
            </w:r>
          </w:p>
        </w:tc>
      </w:tr>
      <w:tr w:rsidR="00351237" w:rsidRPr="004D78D6" w14:paraId="2C20D76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3F85" w14:textId="7BD67102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9AE6" w14:textId="06ECAE4D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B.75</w:t>
            </w:r>
            <w:r w:rsidR="0022056F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2B45" w14:textId="50B22398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AKTYWNĄ POSTAĆ ZIARNINIAKOWATOŚCI Z ZAPALENIEM NACZYŃ (GPA) LUB MIKROSKOPOWE ZAPALENIE NACZYŃ (MPA) (ICD-10: M31.3, M31.8)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684B503" w14:textId="3B4F0730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 indukcji remisji umożliwiono stosowanie rytuksymabu w leczeniu podtrzymującym do maksymalnie 5 lat.</w:t>
            </w:r>
          </w:p>
        </w:tc>
      </w:tr>
      <w:tr w:rsidR="008A241B" w:rsidRPr="004D78D6" w14:paraId="556020D4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DD86" w14:textId="0CD36AE2" w:rsidR="008A241B" w:rsidRPr="00880D84" w:rsidRDefault="00C87906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0B03" w14:textId="2F362203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B.82.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47CE" w14:textId="4410D986" w:rsidR="008A241B" w:rsidRPr="00880D84" w:rsidRDefault="0022056F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LECZENIE PACJENTÓW Z AKTYWNĄ POSTACIĄ SPONDYLOARTROPATII (SpA) BEZ ZMIAN RADIOGRAFICZNYCH CHARAKTERYSTYCZNYCH DLA </w:t>
            </w:r>
            <w:r w:rsidR="008A241B"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ZZSK (ICD-10: M46.8)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3DFA23F" w14:textId="5575D01B" w:rsidR="008A241B" w:rsidRPr="00880D84" w:rsidRDefault="008A241B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Refundacja leków zawierających substancję czynną etanercept w zakresie wskazań do odmiennych niż określone w Charakterystyce Produktu Leczniczego, tj. leczenie obwodowej postaci SpA</w:t>
            </w:r>
          </w:p>
        </w:tc>
      </w:tr>
      <w:tr w:rsidR="00351237" w:rsidRPr="004D78D6" w14:paraId="734A6BC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A3AB" w14:textId="02C15FD0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B528" w14:textId="23798B6B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B.86</w:t>
            </w:r>
            <w:r w:rsidR="0022056F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97CC" w14:textId="1F20ED88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WRODZONYMI ZESPOŁAMI AUTOZAPALNYMI (ICD-10: E85, R50.9, D89.8, D89.9)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09445E7" w14:textId="3BD121E5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Zmiany dotyczące nazewnictwa Zespołu Koordynacyjnego i sekcji monitorowania leczenia.</w:t>
            </w:r>
          </w:p>
        </w:tc>
      </w:tr>
      <w:tr w:rsidR="00351237" w:rsidRPr="004D78D6" w14:paraId="1F70E28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3665" w14:textId="2E31995A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89AB" w14:textId="422029BD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B.92.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622D" w14:textId="4BD0C745" w:rsidR="00351237" w:rsidRPr="00880D84" w:rsidRDefault="0022056F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PRZEWLEKŁĄ BIAŁACZKĘ LIMFOCYTOWĄ IBRUTYNIBEM </w:t>
            </w:r>
            <w:r w:rsidR="00351237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 10: C91.1)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68F3854" w14:textId="54EE9B02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Zmiana w kryteriach kwalifikacji w części II programu lekowego w punkcie dotyczącym przeciwwskazań medycznych do zastosowania schematu zawierającego wenetoklaks w skojarzeniu z rytuksymabem</w:t>
            </w:r>
          </w:p>
        </w:tc>
      </w:tr>
      <w:tr w:rsidR="00351237" w:rsidRPr="004D78D6" w14:paraId="268EC2C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6D7F" w14:textId="2E003EBF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9E91" w14:textId="0BAFDF76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B.98.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FD0F" w14:textId="751C7BAB" w:rsidR="00351237" w:rsidRPr="00880D84" w:rsidRDefault="00351237" w:rsidP="0035123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PEDIATRYCZNYCH CHORYCH NA PIERWOTNĄ MAŁOPŁYTKOWOŚĆ IMMUNOLOGICZNĄ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015273A" w14:textId="60C14C1A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Rozszerzenie kwalifikacji o postać przetrwałą choroby (rozumianej jako trwającej powyżej 6 miesięcy) dla eltrombopagu oraz romiplostymu (off-label) odstąpienie od wymogu trepanobiopsji przy kwalifikacji do programu lekowego</w:t>
            </w:r>
          </w:p>
        </w:tc>
      </w:tr>
      <w:tr w:rsidR="00351237" w:rsidRPr="004D78D6" w14:paraId="4ABD07AC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4F98" w14:textId="01134DED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19C4" w14:textId="047EFDC7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B.100.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4FE7" w14:textId="16DA70B8" w:rsidR="00351237" w:rsidRPr="00880D84" w:rsidRDefault="00351237" w:rsidP="0035123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CHORYCH NA OPORNĄ I NAWROTOWĄ POSTAĆ KLASYCZNEGO CHŁONIAKA HODGKINA Z ZASTOSOWANIEM NIWOLUMABU (ICD-10: C81)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841433C" w14:textId="552309E0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Zmiana w kryteriach kwalifikacji do programu lekowego, tj. rozszerzenie limitu wiekowego z „18 lat i powyżej” na „12 lat i powyżej”</w:t>
            </w:r>
          </w:p>
        </w:tc>
      </w:tr>
      <w:tr w:rsidR="00B9028B" w:rsidRPr="004D78D6" w14:paraId="16876A7E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05B8" w14:textId="49486A4B" w:rsidR="00B9028B" w:rsidRPr="00880D84" w:rsidRDefault="00C87906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4A6B" w14:textId="7415DD94" w:rsidR="00B9028B" w:rsidRPr="00880D84" w:rsidRDefault="00B9028B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B.101.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DE43" w14:textId="05E2722D" w:rsidR="00B9028B" w:rsidRPr="00880D84" w:rsidRDefault="00B9028B" w:rsidP="00B902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PACJENTÓW Z ZABURZENIAMI LIPIDOWYMI (ICD-10 E78.01, I21, I22, I25)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4387FB0" w14:textId="2884A500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Dostosowanie zapisów programu lekowego do aktualnych  wytycznych klinicznych. Przykładowo rozszerzono wskazania dla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alirokumabu i ewolokumabu o pacjentów z nietolerancją statyn, wydłużono czas od ostatniego zawału z obecnych 12 miesięcy do 24 miesięcy, jak również dodano sekcję umożliwiającą zamianę leków wg określonych zasad.</w:t>
            </w:r>
          </w:p>
        </w:tc>
      </w:tr>
      <w:tr w:rsidR="008A241B" w:rsidRPr="004D78D6" w14:paraId="0919912F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6077" w14:textId="0B519B9B" w:rsidR="008A241B" w:rsidRPr="00880D84" w:rsidRDefault="00C87906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6F60" w14:textId="08AF6CD0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B.107.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DEA" w14:textId="7F77442F" w:rsidR="008A241B" w:rsidRPr="00880D84" w:rsidRDefault="0022056F" w:rsidP="008A241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PRZEWLEKŁĄ POKRZYWKĄ SPONTANICZNĄ (ICD-10: L50.1)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B983442" w14:textId="03BAC825" w:rsidR="008A241B" w:rsidRPr="00880D84" w:rsidRDefault="008A241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Zmiany mają głównie charakter administracyjny i będą ułatwieniem dla pacjentów oraz realizatorów programu. Przykładem zmiany jest zniesienie wymogu co najmniej sześciomiesięcznego udokumentowania historii przewlekłej pokrzywki spontanicznej</w:t>
            </w:r>
          </w:p>
        </w:tc>
      </w:tr>
      <w:tr w:rsidR="008A241B" w:rsidRPr="004D78D6" w14:paraId="116F4B2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3B92" w14:textId="4FDF25DD" w:rsidR="008A241B" w:rsidRPr="00880D84" w:rsidRDefault="00C87906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02C3" w14:textId="6EF4D842" w:rsidR="008A241B" w:rsidRPr="00880D84" w:rsidRDefault="008A241B" w:rsidP="008A241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B.110.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F1EB" w14:textId="2F068763" w:rsidR="008A241B" w:rsidRPr="00880D84" w:rsidRDefault="0022056F" w:rsidP="008A241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DINUTUKSYMABEM BETA PACJENTÓW Z NERWIAKIEM ZARODKOWYM WSPÓŁCZULNYM (ICD-10: C47)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085A09C" w14:textId="5D437876" w:rsidR="008A241B" w:rsidRPr="00880D84" w:rsidRDefault="008A241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Zmiany mają charakter porządkujący oraz dostosowują zapisy programu lekowego do aktualnych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wytycznych klinicznych. Główna zmiana to rezygnacja z części badań kontrolnych wymaganych w związku ze stosowaniem interleukiny 2 (IL-2).</w:t>
            </w:r>
          </w:p>
        </w:tc>
      </w:tr>
      <w:tr w:rsidR="00B9028B" w:rsidRPr="004D78D6" w14:paraId="743D38E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5F7D" w14:textId="5DBFFCD0" w:rsidR="00B9028B" w:rsidRPr="00880D84" w:rsidRDefault="00C87906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29.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13D5" w14:textId="6D22E9BB" w:rsidR="00B9028B" w:rsidRPr="00880D84" w:rsidRDefault="00B9028B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B.118.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888D" w14:textId="6F6DA776" w:rsidR="00B9028B" w:rsidRPr="00880D84" w:rsidRDefault="00B9028B" w:rsidP="00B902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LECZENIE PACJENTÓW Z CHOROBĄ CUSHINGA (ICD-10: E24.0)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D86F92" w14:textId="5CBE55DF" w:rsidR="00B9028B" w:rsidRPr="00880D84" w:rsidRDefault="00B9028B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Zmiany mają charakter porządkujący oraz dostosowują zapisy programu lekowego do aktualnych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wytycznych klinicznych.</w:t>
            </w:r>
          </w:p>
        </w:tc>
      </w:tr>
      <w:tr w:rsidR="00351237" w:rsidRPr="004D78D6" w14:paraId="2CFE0A2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9B13" w14:textId="0ABA01C3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E650" w14:textId="32C0A69F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B.123</w:t>
            </w:r>
            <w:r w:rsidR="0022056F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9706" w14:textId="60225818" w:rsidR="00351237" w:rsidRPr="00880D84" w:rsidRDefault="00351237" w:rsidP="0035123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CHOROBĄ WILSONA (ICD-10: E83.0)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0AECD12" w14:textId="33472287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Zmiana w zapisie badań przy kwalifikacji i monitorowania leczenia dotycząca pomiaru stężenia ceruloplazminy.</w:t>
            </w:r>
          </w:p>
        </w:tc>
      </w:tr>
      <w:tr w:rsidR="00351237" w:rsidRPr="004D78D6" w14:paraId="01DA3A51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AE7D" w14:textId="2E9DD582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B179" w14:textId="23C4E280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B.128.FM</w:t>
            </w:r>
            <w:r w:rsidR="0022056F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546A" w14:textId="6A711B2D" w:rsidR="00351237" w:rsidRPr="00880D84" w:rsidRDefault="00351237" w:rsidP="0035123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OSTRĄ PORFIRIĘ WĄTROBOWĄ (AHP) U DOROSŁYCH I MŁODZIEŻY W WIEKU OD 12 LAT (ICD-10: E80.2)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02C853C" w14:textId="77777777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contextualSpacing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Dodanie zapisu o możliwości kwalifikacji do programu lekowego pacjentów, którzy rozpoczęli leczenie giwosyranem sodowym w ramach innego sposobu finansowania, pod warunkiem, że w chwili rozpoczęcia leczenia spełniali kryteria kwalifikacji do programu lekowego.</w:t>
            </w:r>
          </w:p>
          <w:p w14:paraId="61332333" w14:textId="17001A41" w:rsidR="00351237" w:rsidRPr="00880D84" w:rsidRDefault="00351237" w:rsidP="00433F1E">
            <w:pPr>
              <w:spacing w:before="60" w:after="60" w:line="240" w:lineRule="auto"/>
              <w:ind w:left="142" w:right="9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programu.</w:t>
            </w:r>
          </w:p>
        </w:tc>
      </w:tr>
      <w:tr w:rsidR="00351237" w:rsidRPr="004D78D6" w14:paraId="5B9AA9A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15E3" w14:textId="5F80BF65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5C63" w14:textId="44D03076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C.0.05.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2146" w14:textId="01DFF304" w:rsidR="00351237" w:rsidRPr="00880D84" w:rsidRDefault="00351237" w:rsidP="0035123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EPOETINUM BETA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7C85610" w14:textId="077A9342" w:rsidR="00351237" w:rsidRPr="00880D84" w:rsidRDefault="00351237" w:rsidP="00433F1E">
            <w:pPr>
              <w:pStyle w:val="Akapitzlist"/>
              <w:spacing w:before="60" w:after="60" w:line="240" w:lineRule="auto"/>
              <w:ind w:left="142" w:right="97"/>
              <w:contextualSpacing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całego załącznika nr C.0.05. z katalogu chemioterapii. Decyzją podmiotu odpowiedzialnego, lek NeoRecormon będący jedyną refundowaną epoetyną beta, nie przedłużył decyzji refundacyjnej.</w:t>
            </w:r>
          </w:p>
        </w:tc>
      </w:tr>
      <w:tr w:rsidR="00351237" w:rsidRPr="004D78D6" w14:paraId="649E0B8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9D48" w14:textId="236E23FE" w:rsidR="00351237" w:rsidRPr="00880D84" w:rsidRDefault="00C87906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D404" w14:textId="53321FF1" w:rsidR="00351237" w:rsidRPr="00880D84" w:rsidRDefault="00351237" w:rsidP="00351237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C.82.a</w:t>
            </w:r>
            <w:r w:rsidR="0022056F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5A6B4E" w14:textId="4500396A" w:rsidR="00351237" w:rsidRPr="00880D84" w:rsidRDefault="00351237" w:rsidP="00351237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C.82.b</w:t>
            </w:r>
            <w:r w:rsidR="0022056F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BB97A58" w14:textId="34A781AF" w:rsidR="00351237" w:rsidRPr="00880D84" w:rsidRDefault="00351237" w:rsidP="0035123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C.82.c</w:t>
            </w:r>
            <w:r w:rsidR="0022056F" w:rsidRPr="00880D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5BBB" w14:textId="25E16742" w:rsidR="00351237" w:rsidRPr="00880D84" w:rsidRDefault="00351237" w:rsidP="0035123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BEVACIZUMABUM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34307B2" w14:textId="77777777" w:rsidR="00351237" w:rsidRPr="00880D84" w:rsidRDefault="00351237" w:rsidP="00433F1E">
            <w:pPr>
              <w:suppressAutoHyphens w:val="0"/>
              <w:spacing w:before="60" w:after="60" w:line="240" w:lineRule="auto"/>
              <w:ind w:left="142" w:right="97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Zmiana kategorii dostępności dla bewacyzumabu:</w:t>
            </w:r>
          </w:p>
          <w:p w14:paraId="4D8B24C2" w14:textId="77777777" w:rsidR="00351237" w:rsidRPr="00880D84" w:rsidRDefault="00351237" w:rsidP="0022056F">
            <w:pPr>
              <w:pStyle w:val="Akapitzlist"/>
              <w:numPr>
                <w:ilvl w:val="0"/>
                <w:numId w:val="7"/>
              </w:numPr>
              <w:suppressAutoHyphens w:val="0"/>
              <w:spacing w:before="60" w:after="60" w:line="240" w:lineRule="auto"/>
              <w:ind w:left="567" w:right="97" w:firstLine="0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z programu lekowego B.50 do katalogu chemioterapii C.82.a</w:t>
            </w:r>
          </w:p>
          <w:p w14:paraId="6E0E124C" w14:textId="77777777" w:rsidR="00351237" w:rsidRPr="00880D84" w:rsidRDefault="00351237" w:rsidP="0022056F">
            <w:pPr>
              <w:pStyle w:val="Akapitzlist"/>
              <w:numPr>
                <w:ilvl w:val="0"/>
                <w:numId w:val="7"/>
              </w:numPr>
              <w:suppressAutoHyphens w:val="0"/>
              <w:spacing w:before="60" w:after="60" w:line="240" w:lineRule="auto"/>
              <w:ind w:left="567" w:right="97" w:firstLine="0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z programu lekowego B.116 do katalogu chemioterapii C.82.b</w:t>
            </w:r>
          </w:p>
          <w:p w14:paraId="2AA70601" w14:textId="2CE0D610" w:rsidR="00351237" w:rsidRPr="00880D84" w:rsidRDefault="00351237" w:rsidP="0022056F">
            <w:pPr>
              <w:pStyle w:val="Akapitzlist"/>
              <w:numPr>
                <w:ilvl w:val="0"/>
                <w:numId w:val="7"/>
              </w:numPr>
              <w:suppressAutoHyphens w:val="0"/>
              <w:spacing w:before="60" w:after="60" w:line="240" w:lineRule="auto"/>
              <w:ind w:left="567" w:right="97" w:firstLine="0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z programu lekowego B.4 do katalogu chemioterapii C.82.c</w:t>
            </w:r>
          </w:p>
        </w:tc>
      </w:tr>
      <w:tr w:rsidR="00B9028B" w:rsidRPr="004D78D6" w14:paraId="1CABE4BC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C446" w14:textId="4D6AAB3A" w:rsidR="00B9028B" w:rsidRPr="00880D84" w:rsidRDefault="00C87906" w:rsidP="00B9028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34.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AE55" w14:textId="734436C5" w:rsidR="00B9028B" w:rsidRPr="00880D84" w:rsidRDefault="00B9028B" w:rsidP="00B9028B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C.82.a.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EB4A" w14:textId="1AF623FF" w:rsidR="00B9028B" w:rsidRPr="00880D84" w:rsidRDefault="00B9028B" w:rsidP="00B902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Cs/>
                <w:sz w:val="20"/>
                <w:szCs w:val="20"/>
              </w:rPr>
              <w:t>BEVACIZUMABUM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1094BC0" w14:textId="6FCFADFF" w:rsidR="00B9028B" w:rsidRPr="00880D84" w:rsidRDefault="00B9028B" w:rsidP="00433F1E">
            <w:pPr>
              <w:suppressAutoHyphens w:val="0"/>
              <w:spacing w:before="60" w:after="60" w:line="240" w:lineRule="auto"/>
              <w:ind w:left="142" w:right="97"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wskazań dla bewacyzumabu stosowanego w skojarzeniu z olaparybem u pacjentek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z zawansowanym rakiem jajnika (stopień zaawansowania FIGO IV lub III) z obecnością mutacji w genach 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BRCA1/2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 lub potwierdzonym niedoborem homologicznej rekombinacji (HRD) bez względu na obecność choroby resztkowej</w:t>
            </w:r>
          </w:p>
        </w:tc>
      </w:tr>
    </w:tbl>
    <w:p w14:paraId="50DC3823" w14:textId="77777777" w:rsidR="00816802" w:rsidRPr="004D78D6" w:rsidRDefault="00816802" w:rsidP="00816802">
      <w:pPr>
        <w:rPr>
          <w:rFonts w:asciiTheme="majorHAnsi" w:hAnsiTheme="majorHAnsi" w:cstheme="majorHAnsi"/>
          <w:b/>
          <w:bCs/>
          <w:color w:val="00B0F0"/>
          <w:sz w:val="20"/>
          <w:szCs w:val="20"/>
        </w:rPr>
      </w:pPr>
    </w:p>
    <w:p w14:paraId="2B626AB6" w14:textId="77777777" w:rsidR="00816802" w:rsidRPr="004D78D6" w:rsidRDefault="00816802" w:rsidP="00816802">
      <w:pPr>
        <w:suppressAutoHyphens w:val="0"/>
        <w:rPr>
          <w:rFonts w:asciiTheme="majorHAnsi" w:hAnsiTheme="majorHAnsi" w:cstheme="majorHAnsi"/>
          <w:b/>
          <w:bCs/>
          <w:color w:val="00B0F0"/>
          <w:sz w:val="20"/>
          <w:szCs w:val="20"/>
        </w:rPr>
      </w:pPr>
      <w:r w:rsidRPr="004D78D6">
        <w:rPr>
          <w:rFonts w:asciiTheme="majorHAnsi" w:hAnsiTheme="majorHAnsi" w:cstheme="majorHAnsi"/>
          <w:b/>
          <w:bCs/>
          <w:color w:val="00B0F0"/>
          <w:sz w:val="20"/>
          <w:szCs w:val="20"/>
        </w:rPr>
        <w:br w:type="page"/>
      </w:r>
    </w:p>
    <w:p w14:paraId="79A49358" w14:textId="77777777" w:rsidR="00816802" w:rsidRPr="00880D84" w:rsidRDefault="00816802" w:rsidP="00816802">
      <w:pPr>
        <w:jc w:val="center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880D84">
        <w:rPr>
          <w:rFonts w:asciiTheme="majorHAnsi" w:hAnsiTheme="majorHAnsi" w:cstheme="majorHAns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891"/>
        <w:gridCol w:w="2249"/>
        <w:gridCol w:w="16"/>
        <w:gridCol w:w="2224"/>
        <w:gridCol w:w="4524"/>
        <w:gridCol w:w="4084"/>
      </w:tblGrid>
      <w:tr w:rsidR="00816802" w:rsidRPr="00880D84" w14:paraId="02D1EEA3" w14:textId="77777777" w:rsidTr="00C87906">
        <w:trPr>
          <w:trHeight w:val="458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7EE5" w14:textId="77777777" w:rsidR="00816802" w:rsidRPr="00880D84" w:rsidRDefault="00816802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bookmarkStart w:id="5" w:name="_Hlk121899750"/>
            <w:r w:rsidRPr="00880D84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Apteka</w:t>
            </w:r>
          </w:p>
        </w:tc>
      </w:tr>
      <w:tr w:rsidR="00816802" w:rsidRPr="00880D84" w14:paraId="3FC877A8" w14:textId="77777777" w:rsidTr="00C87906">
        <w:trPr>
          <w:trHeight w:val="46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95B7" w14:textId="77777777" w:rsidR="00816802" w:rsidRPr="00880D84" w:rsidRDefault="00816802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t>Nowe wskazania refundacyjne</w:t>
            </w:r>
          </w:p>
        </w:tc>
      </w:tr>
      <w:tr w:rsidR="00C87906" w:rsidRPr="00880D84" w14:paraId="50860718" w14:textId="77777777" w:rsidTr="009B4965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4146" w14:textId="77777777" w:rsidR="00816802" w:rsidRPr="00880D84" w:rsidRDefault="00816802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DAB7" w14:textId="77777777" w:rsidR="00816802" w:rsidRPr="00880D84" w:rsidRDefault="00816802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Nazwa leku, środka spożywczego specjalnego przeznaczenia lub wyrobu </w:t>
            </w:r>
            <w:r w:rsidRPr="00880D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medycznego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98D7" w14:textId="77777777" w:rsidR="00816802" w:rsidRPr="00880D84" w:rsidRDefault="00816802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3B69" w14:textId="77777777" w:rsidR="00816802" w:rsidRPr="00880D84" w:rsidRDefault="00816802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F3AD" w14:textId="77777777" w:rsidR="00816802" w:rsidRPr="00880D84" w:rsidRDefault="00816802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bookmarkEnd w:id="5"/>
      <w:tr w:rsidR="00EC2373" w:rsidRPr="00880D84" w14:paraId="015750D8" w14:textId="77777777" w:rsidTr="009B4965">
        <w:trPr>
          <w:trHeight w:val="141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F5FE" w14:textId="6B6A9347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D5AF" w14:textId="31C21B52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Atectura Breezhaler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6E33" w14:textId="7E9EE609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indakaterol + </w:t>
            </w:r>
            <w:r w:rsidRPr="00880D84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 furoinian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42EB" w14:textId="30EBF1E3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Podtrzymujące leczenie astmy u osób dorosłych i młodzieży w wieku od 12 lat z niewystarczającą kontrolą astmy za pomocą wziewnych kortykosteroidów oraz wziewnych krótko działających beta-2- mimetyków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E12C" w14:textId="66AB6CCD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Wziewna terapia dwuskładnikowa stanowiąca połączenie glikokortykosteroidu (wGKS) oraz długo działającego beta-</w:t>
            </w:r>
            <w:r w:rsidRPr="00880D84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β-2-agonisty (LABA) pozwalająca na poprawę compliance i skuteczności leczenia astmy.</w:t>
            </w:r>
          </w:p>
        </w:tc>
      </w:tr>
      <w:tr w:rsidR="00EC2373" w:rsidRPr="00880D84" w14:paraId="0C710DF3" w14:textId="77777777" w:rsidTr="009B4965">
        <w:trPr>
          <w:trHeight w:val="9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32A5" w14:textId="2435ECBB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E2F1" w14:textId="49F75C19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lang w:val="en-GB" w:eastAsia="pl-PL"/>
              </w:rPr>
              <w:t>BD Micro-Fine Plus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3341" w14:textId="3195011A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Igły do penów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408B" w14:textId="3C580A01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Cukrzyca wymagająca podawania insuliny, z ograniczeniem do 4 opakowań igieł na rok dla jednego pacjenta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FF1E" w14:textId="77777777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2056F" w:rsidRPr="00880D84" w14:paraId="53CB523D" w14:textId="77777777" w:rsidTr="009B4965">
        <w:trPr>
          <w:trHeight w:val="197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FB73" w14:textId="5AA75880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5720" w14:textId="3F174F78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Briviact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3347" w14:textId="10336B94" w:rsidR="0022056F" w:rsidRPr="00880D84" w:rsidRDefault="000D0826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</w:t>
            </w:r>
            <w:r w:rsidR="0022056F"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rivaracetamum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FDAA" w14:textId="35923E66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Terapia dodana po co najmniej trzech nieudanych próbach leczenia u dzieci powyżej 4 r.ż. i młodzieży poniżej 16. roku życia z encefalopatiami padaczkowymi pod postacią zespołu Lennoxa-Gastauta, Zespołu Dravet, zespołu Westa i innych rzadkich genetycznie uwarunkowanych encefalopatii padaczkowych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388D" w14:textId="4670981C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o populację dzieci od 4 roku życia z encefalopatiami padaczkowymi</w:t>
            </w:r>
          </w:p>
        </w:tc>
      </w:tr>
      <w:tr w:rsidR="0022056F" w:rsidRPr="00880D84" w14:paraId="699C3699" w14:textId="77777777" w:rsidTr="009B4965">
        <w:trPr>
          <w:trHeight w:val="12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394A" w14:textId="178B23D1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A8F2" w14:textId="2FF83C2F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Buccolam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1652" w14:textId="6129AB84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096D" w14:textId="16A5DBFE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Przedłużone, ostre napady drgawkowe u niemowląt, dzieci i młodzieży (od 6 miesięcy do 18 lat)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78F0" w14:textId="73F56E78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Podanie podpoliczkowe - alternatywa dla refundowanego diazepamu podawanego doodbytniczo w celu przerwania napadów drgawkowych.</w:t>
            </w:r>
          </w:p>
        </w:tc>
      </w:tr>
      <w:tr w:rsidR="00EC2373" w:rsidRPr="00880D84" w14:paraId="1BC77B89" w14:textId="77777777" w:rsidTr="009B496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EC6F" w14:textId="556087EA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4AAC" w14:textId="6727128E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Enerzair Breezhaler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7523" w14:textId="60FFB2D7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indakaterol + glikopyronium bromek + </w:t>
            </w:r>
            <w:r w:rsidRPr="00880D84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 furoinian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297" w14:textId="4C7CD977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Podtrzymujące leczenie astmy u dorosłych pacjentów, u których nie uzyskano odpowiedniej kontroli choroby w wyniku podtrzymującego leczenia skojarzonego długo działającym beta2- mimetykiem i kortykosteroidem wziewnym podawanym w dużych dawkach, u których wystąpiło co najmniej jedno zaostrzenie astmy w poprzednim roku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5A49" w14:textId="6CAF91A1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Wziewna terapia trójskładnikowa stanowiąca połączenie glikokortykosteroidu (wGKS), długo  długodziałającego antagonisty receptorów muskarynowych (LAMA) oraz długo działającego beta- β-2-agonisty (LABA) pozwalająca na poprawę compliance i skuteczności leczenia astmy.</w:t>
            </w:r>
          </w:p>
        </w:tc>
      </w:tr>
      <w:tr w:rsidR="00EC2373" w:rsidRPr="00880D84" w14:paraId="58283EBD" w14:textId="77777777" w:rsidTr="009B4965">
        <w:trPr>
          <w:trHeight w:val="120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D625" w14:textId="21BFE9BA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24B5" w14:textId="3BF13FED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Exufiber Ag+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0760" w14:textId="312E4AD4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opatrunek specjalistyczny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BCA0" w14:textId="57F977CA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Rany przewlekłe z równoczesnym ubytkiem tkankowym (tj. rany głębokie) z cechami infekcji, ze średnim i dużym wysiękiem o różnej etiologii.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1C4C" w14:textId="187552E2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Terapia ran przewlekłych z równoczesnym ubytkiem tkankowym (tj. rany głębokie) z cechami infekcji, ze średnim i dużym wysiękiem o różnej etiologii.</w:t>
            </w:r>
          </w:p>
        </w:tc>
      </w:tr>
      <w:tr w:rsidR="0022056F" w:rsidRPr="00880D84" w14:paraId="116CECF8" w14:textId="77777777" w:rsidTr="009B4965">
        <w:trPr>
          <w:trHeight w:val="226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8903" w14:textId="0417789F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2329" w14:textId="28595641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Forxiga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B77" w14:textId="064ECB6A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dapagliflozyna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598B" w14:textId="17DE6625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Przewlekła niewydolność serca u dorosłych pacjentów z obniżoną frakcją wyrzutową lewej komory serca (LVEF≤40%) oraz utrzymującymi się objawami choroby w klasie II-IV NYHA pomimo zastosowania terapii opartej na ACEi (lub ARB/ARNi) i lekach z grupy betaadrenolityków oraz jeśli wskazane antagonistach receptora mineralokortykoidów;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DDA5" w14:textId="4A015B9A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 dla flozyn w zakresie niewydolności serca obok leczenia cukrzycy</w:t>
            </w:r>
          </w:p>
        </w:tc>
      </w:tr>
      <w:tr w:rsidR="00EC2373" w:rsidRPr="00880D84" w14:paraId="1B995FF4" w14:textId="77777777" w:rsidTr="009B4965">
        <w:trPr>
          <w:trHeight w:val="141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2BB0" w14:textId="76336FC7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C1C6" w14:textId="31240BB2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Forxiga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AF2B" w14:textId="4EE182F4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dapagliflozyna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EBE0" w14:textId="3C69BBEF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Przewlekła choroba nerek u dorosłych pacjentów z eGFR&lt;60 ml/min/1.73m2, </w:t>
            </w: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 xml:space="preserve">albuminurią </w:t>
            </w:r>
            <w:r w:rsidRPr="00880D8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≥200mg/g oraz leczonych terapią opartą na ACE-i /ARB nie krócej niż 4 tygodnie lub z przeciwskazaniami do tych terapii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AF65" w14:textId="3B64CF21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aktualnie obowiązujących wskazań obok leczenia niewydolności serca oraz cukrzycy.</w:t>
            </w:r>
          </w:p>
        </w:tc>
      </w:tr>
      <w:tr w:rsidR="00EC2373" w:rsidRPr="00880D84" w14:paraId="1D5C0231" w14:textId="77777777" w:rsidTr="009B496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87CE" w14:textId="6A216E0F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ADCB" w14:textId="506E8E24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Forxiga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3B49" w14:textId="3C4FE1BB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dapagliflozyna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20A2" w14:textId="5F9396ED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 leczonych co najmniej dwoma lekami hipoglikemizującymi, z HbA1c ≥ 7,5% oraz bardzo wysokim ryzykiem sercowo-naczyniowym rozumianym jako: 1) potwierdzona choroba sercowo-naczyniowa, lub 2) uszkodzenie innych narządów objawiające się poprzez: białkomocz lub przerost lewej komory lub retinopatię, lub 3) obecność 3 lub więcej głównych czynników ryzyka spośród wymienionych poniżej: -wiek ≥ 55 lat dla mężczyzn, ≥60 lat dla kobiet, -dyslipidemia, -nadciśnienie tętnicze, -palenie tytoniu, -otyłość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F3B1" w14:textId="77777777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refundacyjnego, tj.:</w:t>
            </w:r>
          </w:p>
          <w:p w14:paraId="17BE8EDE" w14:textId="77777777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136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zmniejszenie wymogu z HbA1c ≥ 8,0% na HbA1c ≥ 7,5%</w:t>
            </w:r>
          </w:p>
          <w:p w14:paraId="047B8BA8" w14:textId="77777777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136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ograniczenia w zakresie braku stosowania insuliny przez pacjenta przed zastosowaniem leków flozynowych</w:t>
            </w:r>
          </w:p>
          <w:p w14:paraId="367ABAC6" w14:textId="12A95791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136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konieczności 6 miesięcznego okresu stosowania dwóch leków przed włączeniem do leczenia lekami flozynowymi</w:t>
            </w:r>
          </w:p>
        </w:tc>
      </w:tr>
      <w:tr w:rsidR="00EC2373" w:rsidRPr="00880D84" w14:paraId="59502DF1" w14:textId="77777777" w:rsidTr="009B4965">
        <w:trPr>
          <w:trHeight w:val="168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708F" w14:textId="1DE48038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1E60" w14:textId="05911D9C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Galvus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2F9B" w14:textId="2B29AB89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widagliptyna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01FC" w14:textId="78A673A5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doustnej terapii, w skojarzeniu z metforminą: cukrzyca typu 2 u pacjentów u których zastosowanie metforminy w maksymalnie tolerowanej dawce w monoterapii nie pozwala osiągnąć dobrej kontroli glikemii, wartość HbA1c&gt;7% (przez co najmniej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3 miesiące)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EE9F" w14:textId="24AF68B8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refundowana grupa leków przeciwcukrzycowych z grupy inhibitorów DPP-4</w:t>
            </w:r>
          </w:p>
        </w:tc>
      </w:tr>
      <w:tr w:rsidR="00DC2663" w:rsidRPr="00880D84" w14:paraId="7C6D8824" w14:textId="77777777" w:rsidTr="009B4965">
        <w:trPr>
          <w:trHeight w:val="122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D29C" w14:textId="6F5676E4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87A9" w14:textId="0273B124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Ikervis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21D4" w14:textId="2B5F555F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cyklosporyna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AE24" w14:textId="035AE633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Ciężkie zapalenie rogówki u dorosłych pacjentów z zespołem suchego oka, u których nie nastąpiła poprawa pomimo stosowania preparatów sztucznych łez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52AD" w14:textId="513DDDFC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Krople do oczu z cyklosporyną we wskazaniu leczenia zapalenia rogówki</w:t>
            </w:r>
          </w:p>
        </w:tc>
      </w:tr>
      <w:tr w:rsidR="00DC2663" w:rsidRPr="00880D84" w14:paraId="18972112" w14:textId="77777777" w:rsidTr="009B4965">
        <w:trPr>
          <w:trHeight w:val="327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97D2" w14:textId="467373BB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5A9B" w14:textId="4D79F3DF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Invokana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EE4F" w14:textId="5A8D9E5B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kanagliflozyna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2C3B" w14:textId="0600FBED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 leczonych co najmniej dwoma lekami hipoglikemizującymi, z HbA1c ≥ 7,5% oraz bardzo wysokim ryzykiem sercowo-naczyniowym rozumianym jako: 1)potwierdzona choroba sercowo-naczyniowa, lub 2)uszkodzenie innych narządów objawiające się poprzez: białkomocz lub przerost lewej komory lub retinopatię, lub 3)obecność 3 lub więcej głównych czynników ryzyka spośród wymienionych poniżej: -wiek ≥ 55 lat dla mężczyzn, ≥60 lat dla kobiet, -dyslipidemia, -nadciśnienie tętnicze, -palenie tytoniu, -otyłość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7807" w14:textId="77777777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refundacyjnego, tj.:</w:t>
            </w:r>
          </w:p>
          <w:p w14:paraId="5B82A8F1" w14:textId="77777777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zmniejszenie wymogu z HbA1c ≥ 8,0% na HbA1c ≥ 7,5%</w:t>
            </w:r>
          </w:p>
          <w:p w14:paraId="3E97FDE4" w14:textId="77777777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ograniczenia w zakresie braku stosowania insuliny przez pacjenta przed zastosowaniem leków flozynowych</w:t>
            </w:r>
          </w:p>
          <w:p w14:paraId="061CC3FB" w14:textId="67F3F396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konieczności 6 miesięcznego okresu stosowania dwóch leków przed włączeniem do leczenia lekami flozynowymi</w:t>
            </w:r>
          </w:p>
        </w:tc>
      </w:tr>
      <w:tr w:rsidR="00DC2663" w:rsidRPr="00880D84" w14:paraId="6803217E" w14:textId="77777777" w:rsidTr="009B4965">
        <w:trPr>
          <w:trHeight w:val="178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F062" w14:textId="7402DD2E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9FF7" w14:textId="400246C0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Janumet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A1B1" w14:textId="3260F949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sitagliptyna+metformina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F0C6" w14:textId="4D482E93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 doustnej terapii, w skojarzeniu z metforminą: cukrzyca typu 2 u pacjentów u których zastosowanie metforminy w maksymalnie tolerowanej dawce w monoterapii nie pozwala osiągnąć dobrej kontroli glikemii, wartość HbA1c&gt;7% (przez co najmniej </w:t>
            </w: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3 miesiące)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9DDE" w14:textId="652F9B10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refundowana grupa leków przeciwcukrzycowych z grupy inhibitorów DPP-4</w:t>
            </w:r>
          </w:p>
        </w:tc>
      </w:tr>
      <w:tr w:rsidR="00DC2663" w:rsidRPr="00880D84" w14:paraId="6CCDE5FF" w14:textId="77777777" w:rsidTr="009B496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7A26" w14:textId="2B972A82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CE5D" w14:textId="6E2389F4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Januvia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6EFE" w14:textId="647037A5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sitagliptyna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02BA" w14:textId="4013A542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doustnej terapii, w skojarzeniu z metforminą: cukrzyca typu 2 u pacjentów u których zastosowanie metforminy w maksymalnie tolerowanej dawce w monoterapii nie pozwala osiągnąć dobrej kontroli glikemii, wartość HbA1c&gt;7% (przez co najmniej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3 miesiące)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8E88" w14:textId="4CB7B988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refundowana grupa leków przeciwcukrzycowych z grupy inhibitorów DPP-4</w:t>
            </w:r>
          </w:p>
        </w:tc>
      </w:tr>
      <w:tr w:rsidR="00EC2373" w:rsidRPr="00880D84" w14:paraId="1260893C" w14:textId="77777777" w:rsidTr="009B4965">
        <w:trPr>
          <w:trHeight w:val="43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94F7" w14:textId="07DDC8D9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7B0F" w14:textId="20C274E3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Jardiance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B22F" w14:textId="5F0AF929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empagliflozyna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8BC9" w14:textId="256AFC82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 leczonych co najmniej dwoma lekami hipoglikemizującymi, z HbA1c ≥ 7,5% oraz bardzo wysokim ryzykiem sercowo-naczyniowym rozumianym jako:</w:t>
            </w:r>
          </w:p>
          <w:p w14:paraId="46D07B74" w14:textId="1465C0B3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 potwierdzona choroba sercowo-naczyniowa, lub</w:t>
            </w:r>
          </w:p>
          <w:p w14:paraId="471CFE63" w14:textId="1E9E52B8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2) uszkodzenie innych narządów objawiające się poprzez: białkomocz lub przerost lewej komory lub retinopatię, lub</w:t>
            </w:r>
          </w:p>
          <w:p w14:paraId="3E57EF5C" w14:textId="3AD81F75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 obecność 3 lub więcej głównych czynników ryzyka spośród wymienionych poniżej:</w:t>
            </w:r>
          </w:p>
          <w:p w14:paraId="4E867CA1" w14:textId="77777777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-wiek ≥ 55 lat dla mężczyzn, ≥60 lat dla kobiet,</w:t>
            </w:r>
          </w:p>
          <w:p w14:paraId="18680F06" w14:textId="5843752B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-dyslipidemia,</w:t>
            </w:r>
          </w:p>
          <w:p w14:paraId="6B15072F" w14:textId="2EF2E629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-nadciśnienie tętnicze,</w:t>
            </w:r>
          </w:p>
          <w:p w14:paraId="20C18425" w14:textId="3774902E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-palenie tytoniu,</w:t>
            </w:r>
          </w:p>
          <w:p w14:paraId="4C2896B5" w14:textId="3AF752D6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-otyłość;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BBF3" w14:textId="77777777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refundacyjnego, tj.:</w:t>
            </w:r>
          </w:p>
          <w:p w14:paraId="38043BCF" w14:textId="77777777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zmniejszenie wymogu z HbA1c ≥ 8,0% na HbA1c ≥ 7,5%</w:t>
            </w:r>
          </w:p>
          <w:p w14:paraId="15774892" w14:textId="77777777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ograniczenia w zakresie braku stosowania insuliny przez pacjenta przed zastosowaniem leków flozynowych</w:t>
            </w:r>
          </w:p>
          <w:p w14:paraId="4C2A6B3B" w14:textId="1C27D0BF" w:rsidR="0022056F" w:rsidRPr="00880D84" w:rsidRDefault="0022056F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konieczności 6 miesięcznego okresu stosowania dwóch leków przed włączeniem do leczenia lekami flozynowymi</w:t>
            </w:r>
          </w:p>
        </w:tc>
      </w:tr>
      <w:tr w:rsidR="00EC2373" w:rsidRPr="00880D84" w14:paraId="67DEAA32" w14:textId="77777777" w:rsidTr="009B4965">
        <w:trPr>
          <w:trHeight w:val="224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A32F" w14:textId="65E46FE1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F0C1" w14:textId="6FA6699B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Jardiance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FC2C" w14:textId="5E2E4150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empagliflozyna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F895" w14:textId="2F8C8A62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Przewlekła niewydolność serca u dorosłych pacjentów z obniżoną frakcją wyrzutową lewej komory serca (LVEF≤40%) oraz utrzymującymi się objawami choroby w klasie II-IV NYHA pomimo zastosowania terapii opartej na ACEi (lub ARB/ARNi) i lekach z grupy betaadrenolityków oraz jeśli wskazane antagonistach receptora mineralokortykoidów;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2261" w14:textId="3DA58FCB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 dla flozyn w zakresie niewydolności serca obok leczenia cukrzycy</w:t>
            </w:r>
          </w:p>
        </w:tc>
      </w:tr>
      <w:tr w:rsidR="00EC2373" w:rsidRPr="00880D84" w14:paraId="0E8E6432" w14:textId="77777777" w:rsidTr="009B4965">
        <w:trPr>
          <w:trHeight w:val="115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0D94" w14:textId="3E7FD5E0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B43D" w14:textId="34741785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Latuda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8151" w14:textId="64B7172A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lurazydon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F5B0" w14:textId="5F009BE5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Schizofrenia u pacjentów od 13-go roku życia po nieskuteczności lub w przypadku przeciwwskazań do terapii pozostałymi lekami przeciwpsychotycznymi 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II generacji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451D" w14:textId="356980C6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Poszerzenie aktualnego wskazania o populację pacjentów od 13 r.ż.</w:t>
            </w:r>
          </w:p>
        </w:tc>
      </w:tr>
      <w:tr w:rsidR="00EC2373" w:rsidRPr="00880D84" w14:paraId="479FEA85" w14:textId="77777777" w:rsidTr="009B4965">
        <w:trPr>
          <w:trHeight w:val="762"/>
        </w:trPr>
        <w:tc>
          <w:tcPr>
            <w:tcW w:w="3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D833" w14:textId="15DD21FE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FE16" w14:textId="47196C8B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lang w:val="en-GB" w:eastAsia="pl-PL"/>
              </w:rPr>
              <w:t>Mevalia PKU Motion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5880" w14:textId="2894100A" w:rsidR="0022056F" w:rsidRPr="00880D84" w:rsidRDefault="000D0826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d</w:t>
            </w:r>
            <w:r w:rsidR="0022056F"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ieta eliminacyjna w fenyloketonurii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FD6A" w14:textId="19B7427B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3 roku życia</w:t>
            </w:r>
          </w:p>
        </w:tc>
        <w:tc>
          <w:tcPr>
            <w:tcW w:w="1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14BC" w14:textId="77777777" w:rsidR="004D4365" w:rsidRPr="00880D84" w:rsidRDefault="004D4365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warianty smakowe: </w:t>
            </w:r>
          </w:p>
          <w:p w14:paraId="2F665465" w14:textId="6F48C26F" w:rsidR="004D4365" w:rsidRPr="00880D84" w:rsidRDefault="004D4365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Red Fruits, Tropical, Yellow Fruits</w:t>
            </w:r>
          </w:p>
          <w:p w14:paraId="30B5C053" w14:textId="2A523920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22056F" w:rsidRPr="00880D84" w14:paraId="11E5EED3" w14:textId="77777777" w:rsidTr="009B4965">
        <w:trPr>
          <w:trHeight w:val="1964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00EE" w14:textId="45BA170A" w:rsidR="0022056F" w:rsidRPr="00880D84" w:rsidRDefault="004D4365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</w:t>
            </w:r>
            <w:r w:rsidR="00DC2663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7323" w14:textId="25E2E68B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GB" w:eastAsia="pl-PL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Mizetam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0D42" w14:textId="0CB3232A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ezetymib + atorwastatyna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8D73" w14:textId="4F58AC5E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Leczenie wspomagające do stosowania wraz z dietą u pacjentów dorosłych z pierwotną hipercholesterolemią (heterozygotyczną i homozygotyczną rodzinną i nierodzinną) lub mieszaną hiperlipidemią już kontrolowaną za pomocą atorwastatyny i ezetymibu, które są podawane w takich samych dawkach.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1A9D" w14:textId="17D96F23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Doustna terapia stanowiąca nowe połączenie ezetymibu ze statyną w zakresie leczenia hipercholesterolemii lub hiperlipidemii</w:t>
            </w:r>
          </w:p>
        </w:tc>
      </w:tr>
      <w:tr w:rsidR="00EC2373" w:rsidRPr="00880D84" w14:paraId="63949F60" w14:textId="77777777" w:rsidTr="009B4965">
        <w:trPr>
          <w:trHeight w:val="353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2D96" w14:textId="5CB92B15" w:rsidR="00EC237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2</w:t>
            </w:r>
            <w:r w:rsidR="004D4365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BE0B" w14:textId="0BE59BD8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Ozempic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6AB6" w14:textId="02987075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semaglutyd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A33B" w14:textId="2D1EFAD1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 leczonych co najmniej dwoma lekami hipoglikemizującymi, z HbA1c ≥ 7,5%, z otyłością definiowaną jako BMI ≥30 kg/m2 oraz bardzo wysokim ryzykiem sercowo-naczyniowym rozumianym jako: 1) potwierdzona choroba sercowo-naczyniowa, lub 2) uszkodzenie innych narządów objawiające się poprzez: białkomocz lub przerost lewej komory lub retinopatię, lub 3) obecność 2 lub więcej głównych czynników ryzyka spośród wymienionych poniżej: -wiek ≥ 55 lat dla mężczyzn, ≥60 lat dla kobiet, -dyslipidemia, -nadciśnienie tętnicze, -palenie tytoniu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F441" w14:textId="77777777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refundacyjnego, tj.:</w:t>
            </w:r>
          </w:p>
          <w:p w14:paraId="590F214D" w14:textId="77777777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zmniejszenie wymogu z HbA1c ≥ 8,0% na HbA1c ≥ 7,5%</w:t>
            </w:r>
          </w:p>
          <w:p w14:paraId="347D6FF3" w14:textId="77777777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zmniejszenie wymogu z BMI ≥35 kg/m2 na BMI ≥30 kg/m2</w:t>
            </w:r>
          </w:p>
          <w:p w14:paraId="4B3C831C" w14:textId="77777777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ograniczenia w zakresie braku stosowania insuliny przez pacjenta przed zastosowaniem analogów GLP-1</w:t>
            </w:r>
          </w:p>
          <w:p w14:paraId="5725E37A" w14:textId="6B7EAE19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konieczności 6 miesięcznego okresu stosowania dwóch leków przed włączeniem do leczenia analogami GLP-1</w:t>
            </w:r>
          </w:p>
        </w:tc>
      </w:tr>
      <w:tr w:rsidR="00C87906" w:rsidRPr="00880D84" w14:paraId="727470E0" w14:textId="77777777" w:rsidTr="009B4965">
        <w:trPr>
          <w:trHeight w:val="131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71EE" w14:textId="6A2EADA1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4D4365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8ED4" w14:textId="706542BA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PKU Sphere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CE9" w14:textId="39AE9357" w:rsidR="0022056F" w:rsidRPr="00880D84" w:rsidRDefault="000D0826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d</w:t>
            </w:r>
            <w:r w:rsidR="0022056F"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ieta eliminacyjna w fenyloketonurii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D4F1" w14:textId="50432CF2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4 roku życia, u których dobowa tolerancja fenyloalaniny pozwala na zastosowanie preparatów glikomakropeptydowych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7B29" w14:textId="77777777" w:rsidR="009E306A" w:rsidRPr="00880D84" w:rsidRDefault="00763DEC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PKU Sphare 15 </w:t>
            </w:r>
            <w:r w:rsidR="009E306A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PKU Sphere 20</w:t>
            </w:r>
          </w:p>
          <w:p w14:paraId="71DF2DBE" w14:textId="2C3F0B9E" w:rsidR="004D4365" w:rsidRPr="00880D84" w:rsidRDefault="00763DEC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dwóch wariantach smakowych: waniliowy </w:t>
            </w:r>
            <w:r w:rsidR="009E306A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oraz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E306A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 smaku czerwonych owoców</w:t>
            </w:r>
          </w:p>
          <w:p w14:paraId="4FD32663" w14:textId="04CF47E2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Choroba rzadka</w:t>
            </w:r>
          </w:p>
        </w:tc>
      </w:tr>
      <w:tr w:rsidR="00DC2663" w:rsidRPr="00880D84" w14:paraId="6F7223A3" w14:textId="77777777" w:rsidTr="009B4965">
        <w:trPr>
          <w:trHeight w:val="338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1A7E" w14:textId="7AF30F16" w:rsidR="0022056F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9B4965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1A0F" w14:textId="1D41E919" w:rsidR="0022056F" w:rsidRPr="00880D84" w:rsidRDefault="0022056F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Prevenar 13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7376" w14:textId="34D3168A" w:rsidR="0022056F" w:rsidRPr="00880D84" w:rsidRDefault="000D0826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="0022056F"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zczepionka przeciw pneumokokom sacharydowa, skoniugowana, adsorbowana (13-walentna)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50AD" w14:textId="5EA382E1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Profilaktyka osób powyżej 65 r.ż. ze zwiększonym (umiarkowanym do wysokiego) ryzykiem choroby pneumokokowej tj. z: przewlekłą chorobą serca, przewlekłą chorobą wątroby, przewlekłą chorobą płuc, cukrzycą, implantem ślimakowym, wyciekiem płynu mózgowordzeniowego, wrodzoną lub nabytą asplenią, niedokrwistością sierpowatą i innymi hemoglobinopatiami, przewlekłą niewydolnością nerek, wrodzonym lub nabytym niedoborem odporności, uogólnioną choroba nowotworową, zakażeniem wirusem HIV, chorobą Hodgkina, jatrogenną immunosupresją, białaczką, szpiczakiem mnogim, przeszczepem narządu litego;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02BE" w14:textId="13E80416" w:rsidR="0022056F" w:rsidRPr="00880D84" w:rsidRDefault="0022056F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C2373" w:rsidRPr="00880D84" w14:paraId="1EF3ED7E" w14:textId="77777777" w:rsidTr="009B4965">
        <w:trPr>
          <w:trHeight w:val="1544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7956" w14:textId="04D60E13" w:rsidR="00EC237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2</w:t>
            </w:r>
            <w:r w:rsidR="009B4965"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CF74" w14:textId="00BC30E2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Ruconest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6E9B" w14:textId="4EAC03F9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konestat alfa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0581" w14:textId="3821584D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ostrych, zagrażających życiu napadów obrzęku naczynioruchowego u dzieci (od 2 roku życia), młodzieży oraz dorosłych chorych na dziedziczny obrzęk naczynioruchowy wywołany niedoborem inhibitora esterazy C1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560A" w14:textId="77777777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ostrych, zagrażających życiu napadów obrzęku naczynioruchowego rekombinowanym inhibitorem esterazy C1</w:t>
            </w:r>
          </w:p>
          <w:p w14:paraId="3C90ED7F" w14:textId="6902B631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EC2373" w:rsidRPr="00880D84" w14:paraId="28750AD1" w14:textId="77777777" w:rsidTr="009B4965">
        <w:trPr>
          <w:trHeight w:val="2689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3417" w14:textId="0360A6E4" w:rsidR="00EC237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  <w:r w:rsidR="009B4965"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3451" w14:textId="3AD5D849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Trelegy Ellipta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D8B8" w14:textId="38D743A2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flutykazonu furoinian + umeklidynium bromek + wilanterol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0E1E" w14:textId="354A72E5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podtrzymujące u pacjentów dorosłych z umiarkowaną lub ciężką przewlekłą obturacyjną chorobą płuc (POChP),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7BA" w14:textId="04269B41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Wziewna terapia trójskładnikowa stanowiąca połączenie glikokortykosteroidu (wGKS), długo  długodziałającego antagonisty receptorów muskarynowych (LAMA) oraz długo działającego beta- β-2-agonisty (LABA) pozwalająca na poprawę compliance i skuteczności leczenia POChP.</w:t>
            </w:r>
          </w:p>
        </w:tc>
      </w:tr>
      <w:tr w:rsidR="00DC2663" w:rsidRPr="00880D84" w14:paraId="5822341C" w14:textId="77777777" w:rsidTr="009B4965">
        <w:trPr>
          <w:trHeight w:val="69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24B8" w14:textId="4B0DA34F" w:rsidR="00EC237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9B4965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6E19" w14:textId="7E546997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Trimbow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3465" w14:textId="0763D2A6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beklametazonu dipropionian + formoterolu fumaran + glikopyronium bromek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C4CF" w14:textId="1B94E979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podtrzymujące astmy u pacjentów z niewystarczającą kontrolą objawów choroby po zastosowaniu produktu złożonego z długo działającego agonisty receptorów beta-2 i średnich dawek kortykosteroidu wziewnego, u których wystąpiło jedno lub więcej zaostrzeń astmy w ciągu poprzedniego roku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02ED" w14:textId="3ACD7F27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Wziewna terapia trójskładnikowa stanowiąca połączenie glikokortykosteroidu (wGKS), długo  długodziałającego antagonisty receptorów muskarynowych (LAMA) oraz długo działającego beta- β-2-agonisty (LABA) pozwalająca na poprawę compliance i skuteczności leczenia astmy.</w:t>
            </w:r>
          </w:p>
        </w:tc>
      </w:tr>
      <w:tr w:rsidR="00DC2663" w:rsidRPr="00880D84" w14:paraId="6A5E23AD" w14:textId="77777777" w:rsidTr="009B4965">
        <w:trPr>
          <w:trHeight w:val="3523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AC05" w14:textId="4C685E40" w:rsidR="00EC2373" w:rsidRPr="00880D84" w:rsidRDefault="009B4965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</w:t>
            </w:r>
            <w:r w:rsidR="00DC2663"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2132" w14:textId="401E707D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Trulicity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4BCA" w14:textId="6ACE3B48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dulaglutyd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48F2" w14:textId="04C52B20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 leczonych co najmniej dwoma lekami hipoglikemizującymi, z HbA1c ≥ 7,5%, z otyłością definiowaną jako BMI ≥30 kg/m2 oraz bardzo wysokim ryzykiem sercowo-naczyniowym rozumianym jako: 1) potwierdzona choroba sercowo-naczyniowa, lub 2) uszkodzenie innych narządów objawiające się poprzez: białkomocz lub przerost lewej komory lub retinopatię, lub 3) obecność 2 lub więcej głównych czynników ryzyka spośród wymienionych poniżej: -wiek ≥ 55 lat dla mężczyzn, ≥60 lat dla kobiet, -dyslipidemia, -nadciśnienie tętnicze, -palenie tytoniu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28BE" w14:textId="77777777" w:rsidR="00EC2373" w:rsidRPr="00880D84" w:rsidRDefault="00EC2373" w:rsidP="00DC2663">
            <w:pPr>
              <w:keepLines/>
              <w:spacing w:before="60" w:after="60" w:line="240" w:lineRule="auto"/>
              <w:ind w:left="6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refundacyjnego, tj.:</w:t>
            </w:r>
          </w:p>
          <w:p w14:paraId="6F6BCAC0" w14:textId="77777777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zmniejszenie wymogu z HbA1c ≥ 8,0% na HbA1c ≥ 7,5%</w:t>
            </w:r>
          </w:p>
          <w:p w14:paraId="154E1DC4" w14:textId="77777777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zmniejszenie wymogu z BMI ≥35 kg/m2 na BMI ≥30 kg/m2</w:t>
            </w:r>
          </w:p>
          <w:p w14:paraId="70D89EF9" w14:textId="77777777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ograniczenia w zakresie braku stosowania insuliny przez pacjenta przed zastosowaniem analogów GLP-1</w:t>
            </w:r>
          </w:p>
          <w:p w14:paraId="4DF9271B" w14:textId="4157AE31" w:rsidR="00EC2373" w:rsidRPr="00880D84" w:rsidRDefault="00EC2373" w:rsidP="00DC2663">
            <w:pPr>
              <w:keepLines/>
              <w:numPr>
                <w:ilvl w:val="0"/>
                <w:numId w:val="10"/>
              </w:numPr>
              <w:spacing w:before="60" w:after="60" w:line="240" w:lineRule="auto"/>
              <w:ind w:left="63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 konieczności 6 miesięcznego okresu stosowania dwóch leków przed włączeniem do leczenia analogami GLP-1</w:t>
            </w:r>
          </w:p>
        </w:tc>
      </w:tr>
      <w:tr w:rsidR="00EC2373" w:rsidRPr="00880D84" w14:paraId="16F89402" w14:textId="77777777" w:rsidTr="00C61F38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D224" w14:textId="4C45CB36" w:rsidR="00EC2373" w:rsidRPr="00880D84" w:rsidRDefault="00EC237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</w:rPr>
              <w:lastRenderedPageBreak/>
              <w:t>Zmiany na liście 75+</w:t>
            </w:r>
          </w:p>
        </w:tc>
      </w:tr>
      <w:tr w:rsidR="00DC2663" w:rsidRPr="00880D84" w14:paraId="4278D016" w14:textId="77777777" w:rsidTr="004D4365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DDFA" w14:textId="77777777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A413" w14:textId="77777777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3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765E" w14:textId="02BCF1E9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</w:tr>
      <w:tr w:rsidR="00DC2663" w:rsidRPr="00880D84" w14:paraId="489DC59C" w14:textId="77777777" w:rsidTr="004D4365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B0F6" w14:textId="6FD71E42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A674" w14:textId="2AB0CB28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ezetymib + atorwastatyna</w:t>
            </w:r>
          </w:p>
        </w:tc>
        <w:tc>
          <w:tcPr>
            <w:tcW w:w="3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D395" w14:textId="3FCE85C9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Leczenie wspomagające do stosowania wraz z dietą u pacjentów dorosłych z pierwotną hipercholesterolemią (heterozygotyczną i homozygotyczną rodzinną i nierodzinną) lub mieszaną hiperlipidemią już kontrolowaną za pomocą atorwastatyny i ezetymibu, które są podawane w takich samych dawkach.</w:t>
            </w:r>
          </w:p>
        </w:tc>
      </w:tr>
      <w:tr w:rsidR="00DC2663" w:rsidRPr="00880D84" w14:paraId="08BFAA78" w14:textId="77777777" w:rsidTr="004D4365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BF10" w14:textId="37CCA192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7CD0" w14:textId="405F3123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indakaterol + </w:t>
            </w:r>
            <w:r w:rsidRPr="00880D84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 furoinian</w:t>
            </w:r>
          </w:p>
        </w:tc>
        <w:tc>
          <w:tcPr>
            <w:tcW w:w="3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AA35" w14:textId="37913FB7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sz w:val="20"/>
                <w:szCs w:val="20"/>
              </w:rPr>
              <w:t>Podtrzymujące leczenie astmy u osób dorosłych i młodzieży w wieku od 12 lat z niewystarczającą kontrolą astmy za pomocą wziewnych kortykosteroidów oraz wziewnych krótko działających beta2-mimetyków</w:t>
            </w:r>
          </w:p>
        </w:tc>
      </w:tr>
      <w:tr w:rsidR="00DC2663" w:rsidRPr="00880D84" w14:paraId="634356FB" w14:textId="77777777" w:rsidTr="004D4365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BD1C" w14:textId="7DF64F5F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B2E9" w14:textId="6D4FE8BE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indakaterol + glikopyronium bromek + </w:t>
            </w:r>
            <w:r w:rsidRPr="00880D84">
              <w:rPr>
                <w:rFonts w:asciiTheme="majorHAnsi" w:hAnsiTheme="majorHAnsi" w:cstheme="majorHAns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</w:t>
            </w: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ometazonu furoinian</w:t>
            </w:r>
          </w:p>
        </w:tc>
        <w:tc>
          <w:tcPr>
            <w:tcW w:w="3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4E4B" w14:textId="4FF140D0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Podtrzymujące leczenie astmy u dorosłych pacjentów, u których nie uzyskano odpowiedniej kontroli choroby w wyniku podtrzymującego leczenia skojarzonego długo działającym beta2- mimetykiem i kortykosteroidem wziewnym podawanym w dużych dawkach, u których wystąpiło co najmniej jedno zaostrzenie astmy w poprzednim roku</w:t>
            </w:r>
          </w:p>
        </w:tc>
      </w:tr>
      <w:tr w:rsidR="00DC2663" w:rsidRPr="00880D84" w14:paraId="46E49E0E" w14:textId="77777777" w:rsidTr="004D4365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A78B" w14:textId="0A8C268C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8C4A" w14:textId="3DAF72F8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beklametazonu dipropionian + formoterolu fumaran + glikopyronium bromek,</w:t>
            </w:r>
          </w:p>
        </w:tc>
        <w:tc>
          <w:tcPr>
            <w:tcW w:w="3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54EC" w14:textId="3850BA01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podtrzymujące astmy u pacjentów z niewystarczającą kontrolą objawów choroby po zastosowaniu produktu złożonego z długo działającego agonisty receptorów beta-2 i średnich dawek kortykosteroidu wziewnego, u których wystąpiło jedno lub więcej zaostrzeń astmy w ciągu poprzedniego roku</w:t>
            </w:r>
          </w:p>
        </w:tc>
      </w:tr>
      <w:tr w:rsidR="00DC2663" w:rsidRPr="00880D84" w14:paraId="42F9082C" w14:textId="77777777" w:rsidTr="004D4365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0FA" w14:textId="6D30F610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21D5" w14:textId="0A5CAFF0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flutykazonu furoinian + umeklidynium bromek + wilanterol</w:t>
            </w:r>
          </w:p>
        </w:tc>
        <w:tc>
          <w:tcPr>
            <w:tcW w:w="38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20E7" w14:textId="60E2E4FA" w:rsidR="00DC2663" w:rsidRPr="00880D84" w:rsidRDefault="00DC2663" w:rsidP="00DC2663">
            <w:pPr>
              <w:keepLines/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80D8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podtrzymujące u pacjentów dorosłych z umiarkowaną lub ciężką przewlekłą obturacyjną chorobą płuc (POChP),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</w:t>
            </w:r>
          </w:p>
        </w:tc>
      </w:tr>
    </w:tbl>
    <w:p w14:paraId="5805F36A" w14:textId="301B79F8" w:rsidR="000B14BF" w:rsidRPr="00880D84" w:rsidRDefault="000B14BF">
      <w:pPr>
        <w:rPr>
          <w:rFonts w:asciiTheme="majorHAnsi" w:hAnsiTheme="majorHAnsi" w:cstheme="majorHAnsi"/>
        </w:rPr>
      </w:pPr>
    </w:p>
    <w:sectPr w:rsidR="000B14BF" w:rsidRPr="00880D84" w:rsidSect="00BA1ACD">
      <w:headerReference w:type="first" r:id="rId12"/>
      <w:pgSz w:w="16838" w:h="11906" w:orient="landscape"/>
      <w:pgMar w:top="1135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D7FB" w14:textId="77777777" w:rsidR="00D44863" w:rsidRDefault="00D44863">
      <w:pPr>
        <w:spacing w:after="0" w:line="240" w:lineRule="auto"/>
      </w:pPr>
      <w:r>
        <w:separator/>
      </w:r>
    </w:p>
  </w:endnote>
  <w:endnote w:type="continuationSeparator" w:id="0">
    <w:p w14:paraId="6D34E1DE" w14:textId="77777777" w:rsidR="00D44863" w:rsidRDefault="00D4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0C9F" w14:textId="77777777" w:rsidR="00D44863" w:rsidRDefault="00D44863">
      <w:pPr>
        <w:spacing w:after="0" w:line="240" w:lineRule="auto"/>
      </w:pPr>
      <w:r>
        <w:separator/>
      </w:r>
    </w:p>
  </w:footnote>
  <w:footnote w:type="continuationSeparator" w:id="0">
    <w:p w14:paraId="409582BB" w14:textId="77777777" w:rsidR="00D44863" w:rsidRDefault="00D4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0756" w14:textId="6F0D6A95" w:rsidR="005058F2" w:rsidRDefault="008D3B01">
    <w:pPr>
      <w:pStyle w:val="Nagwek"/>
    </w:pPr>
    <w:bookmarkStart w:id="6" w:name="_Hlk74147372"/>
    <w:bookmarkEnd w:id="6"/>
    <w:r>
      <w:rPr>
        <w:noProof/>
        <w:lang w:eastAsia="pl-PL"/>
      </w:rPr>
      <w:drawing>
        <wp:inline distT="0" distB="0" distL="0" distR="0" wp14:anchorId="42AF5BC3" wp14:editId="5C602486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770"/>
    <w:multiLevelType w:val="hybridMultilevel"/>
    <w:tmpl w:val="29F4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4D741F7C"/>
    <w:multiLevelType w:val="hybridMultilevel"/>
    <w:tmpl w:val="2FFE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02"/>
    <w:rsid w:val="0006343F"/>
    <w:rsid w:val="00091CDE"/>
    <w:rsid w:val="00097FDB"/>
    <w:rsid w:val="000B14BF"/>
    <w:rsid w:val="000D0826"/>
    <w:rsid w:val="0010323F"/>
    <w:rsid w:val="001330D1"/>
    <w:rsid w:val="00146A54"/>
    <w:rsid w:val="00166A65"/>
    <w:rsid w:val="001D42A3"/>
    <w:rsid w:val="0022056F"/>
    <w:rsid w:val="00237F9E"/>
    <w:rsid w:val="0028574E"/>
    <w:rsid w:val="002B1197"/>
    <w:rsid w:val="002B1DA1"/>
    <w:rsid w:val="002F3CB0"/>
    <w:rsid w:val="0034231B"/>
    <w:rsid w:val="00351237"/>
    <w:rsid w:val="0039096A"/>
    <w:rsid w:val="003B16BD"/>
    <w:rsid w:val="003C2525"/>
    <w:rsid w:val="003C658E"/>
    <w:rsid w:val="00433F1E"/>
    <w:rsid w:val="004602B0"/>
    <w:rsid w:val="00483B69"/>
    <w:rsid w:val="00486D5B"/>
    <w:rsid w:val="004B709A"/>
    <w:rsid w:val="004C305B"/>
    <w:rsid w:val="004D4365"/>
    <w:rsid w:val="004D78D6"/>
    <w:rsid w:val="005041F2"/>
    <w:rsid w:val="0051089F"/>
    <w:rsid w:val="00536D0B"/>
    <w:rsid w:val="005E0AF0"/>
    <w:rsid w:val="006110C1"/>
    <w:rsid w:val="0062070A"/>
    <w:rsid w:val="00652447"/>
    <w:rsid w:val="006B140F"/>
    <w:rsid w:val="00700B89"/>
    <w:rsid w:val="007020B6"/>
    <w:rsid w:val="00703C04"/>
    <w:rsid w:val="00760E7F"/>
    <w:rsid w:val="00763DEC"/>
    <w:rsid w:val="007645CA"/>
    <w:rsid w:val="00804B8E"/>
    <w:rsid w:val="00816802"/>
    <w:rsid w:val="00816ED3"/>
    <w:rsid w:val="00866175"/>
    <w:rsid w:val="00880D84"/>
    <w:rsid w:val="00886A7F"/>
    <w:rsid w:val="008A241B"/>
    <w:rsid w:val="008A3002"/>
    <w:rsid w:val="008D3B01"/>
    <w:rsid w:val="008F02E9"/>
    <w:rsid w:val="00931E90"/>
    <w:rsid w:val="00951BFC"/>
    <w:rsid w:val="009534DF"/>
    <w:rsid w:val="00974E35"/>
    <w:rsid w:val="00986C4C"/>
    <w:rsid w:val="009B4965"/>
    <w:rsid w:val="009E306A"/>
    <w:rsid w:val="00A04370"/>
    <w:rsid w:val="00A541E2"/>
    <w:rsid w:val="00A715CC"/>
    <w:rsid w:val="00B25313"/>
    <w:rsid w:val="00B5310B"/>
    <w:rsid w:val="00B8735B"/>
    <w:rsid w:val="00B9028B"/>
    <w:rsid w:val="00BA1ACD"/>
    <w:rsid w:val="00BB115A"/>
    <w:rsid w:val="00BC5518"/>
    <w:rsid w:val="00BD625C"/>
    <w:rsid w:val="00C03781"/>
    <w:rsid w:val="00C23F56"/>
    <w:rsid w:val="00C24E46"/>
    <w:rsid w:val="00C64949"/>
    <w:rsid w:val="00C77C8F"/>
    <w:rsid w:val="00C87906"/>
    <w:rsid w:val="00CD04F5"/>
    <w:rsid w:val="00D24198"/>
    <w:rsid w:val="00D37E96"/>
    <w:rsid w:val="00D44863"/>
    <w:rsid w:val="00D71BA7"/>
    <w:rsid w:val="00DA0796"/>
    <w:rsid w:val="00DC2663"/>
    <w:rsid w:val="00E01DB2"/>
    <w:rsid w:val="00E105EB"/>
    <w:rsid w:val="00E23C62"/>
    <w:rsid w:val="00E25EC3"/>
    <w:rsid w:val="00E26A4D"/>
    <w:rsid w:val="00E26F6A"/>
    <w:rsid w:val="00EB544D"/>
    <w:rsid w:val="00EC2373"/>
    <w:rsid w:val="00F43B23"/>
    <w:rsid w:val="00F72C52"/>
    <w:rsid w:val="00FA08BE"/>
    <w:rsid w:val="00FD3BAC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34A9"/>
  <w15:chartTrackingRefBased/>
  <w15:docId w15:val="{0C29BA6F-0725-4ABA-BB66-925A9D5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802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B0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B1197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A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wskazania%20od%20201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</a:rPr>
              <a:t>Liczba nowych cząsteczko-wskazań 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</a:rPr>
              <a:t>- ONKO/NIEONKO</a:t>
            </a:r>
            <a:endParaRPr lang="pl-PL" sz="9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0106698970321021"/>
          <c:y val="1.66017852998761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9745867694309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ONKO_NIEONKO!$A$3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1025641025640271E-3"/>
                  <c:y val="7.8870900788708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FE-43D9-9D9E-2ECBD919FB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ONKO_NIEONKO!$B$2</c:f>
              <c:numCache>
                <c:formatCode>General</c:formatCode>
                <c:ptCount val="1"/>
                <c:pt idx="0">
                  <c:v>2022</c:v>
                </c:pt>
              </c:numCache>
              <c:extLst/>
            </c:numRef>
          </c:cat>
          <c:val>
            <c:numRef>
              <c:f>ONKO_NIEONKO!$B$3</c:f>
              <c:numCache>
                <c:formatCode>General</c:formatCode>
                <c:ptCount val="1"/>
                <c:pt idx="0">
                  <c:v>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7FE-43D9-9D9E-2ECBD919FB3E}"/>
            </c:ext>
          </c:extLst>
        </c:ser>
        <c:ser>
          <c:idx val="1"/>
          <c:order val="1"/>
          <c:tx>
            <c:strRef>
              <c:f>ONKO_NIEONKO!$A$4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5D91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0563834123022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FE-43D9-9D9E-2ECBD919FB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ONKO_NIEONKO!$B$2</c:f>
              <c:numCache>
                <c:formatCode>General</c:formatCode>
                <c:ptCount val="1"/>
                <c:pt idx="0">
                  <c:v>2022</c:v>
                </c:pt>
              </c:numCache>
              <c:extLst/>
            </c:numRef>
          </c:cat>
          <c:val>
            <c:numRef>
              <c:f>ONKO_NIEONKO!$B$4</c:f>
              <c:numCache>
                <c:formatCode>General</c:formatCode>
                <c:ptCount val="1"/>
                <c:pt idx="0">
                  <c:v>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C7FE-43D9-9D9E-2ECBD919FB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</a:rPr>
              <a:t>Liczba nowych cząsteczko-wskazań 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</a:rPr>
              <a:t>- kategorie dostępności</a:t>
            </a:r>
            <a:endParaRPr lang="pl-PL" sz="9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89452607083908E-2"/>
          <c:y val="0.14957494407158836"/>
          <c:w val="0.90386492410098218"/>
          <c:h val="0.68584754008552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'Kategoria dostępności'!$A$3</c:f>
              <c:strCache>
                <c:ptCount val="1"/>
                <c:pt idx="0">
                  <c:v>Apteka</c:v>
                </c:pt>
              </c:strCache>
            </c:strRef>
          </c:tx>
          <c:spPr>
            <a:solidFill>
              <a:srgbClr val="519DF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5D91D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AADB-4B98-981F-9594FE8AE71E}"/>
              </c:ext>
            </c:extLst>
          </c:dPt>
          <c:dLbls>
            <c:dLbl>
              <c:idx val="0"/>
              <c:layout>
                <c:manualLayout>
                  <c:x val="4.5506257110352671E-3"/>
                  <c:y val="7.867494824016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DB-4B98-981F-9594FE8AE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dostępności'!$B$2</c:f>
              <c:numCache>
                <c:formatCode>General</c:formatCode>
                <c:ptCount val="1"/>
                <c:pt idx="0">
                  <c:v>2022</c:v>
                </c:pt>
              </c:numCache>
              <c:extLst/>
            </c:numRef>
          </c:cat>
          <c:val>
            <c:numRef>
              <c:f>'Kategoria dostępności'!$B$3</c:f>
              <c:numCache>
                <c:formatCode>General</c:formatCode>
                <c:ptCount val="1"/>
                <c:pt idx="0">
                  <c:v>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ADB-4B98-981F-9594FE8AE71E}"/>
            </c:ext>
          </c:extLst>
        </c:ser>
        <c:ser>
          <c:idx val="1"/>
          <c:order val="1"/>
          <c:tx>
            <c:strRef>
              <c:f>'Kategoria dostępności'!$A$4</c:f>
              <c:strCache>
                <c:ptCount val="1"/>
                <c:pt idx="0">
                  <c:v>Chemioterapia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651877133105719E-2"/>
                  <c:y val="1.2422360248447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DB-4B98-981F-9594FE8AE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dostępności'!$B$2</c:f>
              <c:numCache>
                <c:formatCode>General</c:formatCode>
                <c:ptCount val="1"/>
                <c:pt idx="0">
                  <c:v>2022</c:v>
                </c:pt>
              </c:numCache>
              <c:extLst/>
            </c:numRef>
          </c:cat>
          <c:val>
            <c:numRef>
              <c:f>'Kategoria dostępności'!$B$4</c:f>
              <c:numCache>
                <c:formatCode>General</c:formatCode>
                <c:ptCount val="1"/>
                <c:pt idx="0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ADB-4B98-981F-9594FE8AE71E}"/>
            </c:ext>
          </c:extLst>
        </c:ser>
        <c:ser>
          <c:idx val="2"/>
          <c:order val="2"/>
          <c:tx>
            <c:strRef>
              <c:f>'Kategoria dostępności'!$A$5</c:f>
              <c:strCache>
                <c:ptCount val="1"/>
                <c:pt idx="0">
                  <c:v>Program lekowy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8.342717427781019E-17"/>
                  <c:y val="7.039337474120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DB-4B98-981F-9594FE8AE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dostępności'!$B$2</c:f>
              <c:numCache>
                <c:formatCode>General</c:formatCode>
                <c:ptCount val="1"/>
                <c:pt idx="0">
                  <c:v>2022</c:v>
                </c:pt>
              </c:numCache>
              <c:extLst/>
            </c:numRef>
          </c:cat>
          <c:val>
            <c:numRef>
              <c:f>'Kategoria dostępności'!$B$5</c:f>
              <c:numCache>
                <c:formatCode>General</c:formatCode>
                <c:ptCount val="1"/>
                <c:pt idx="0">
                  <c:v>88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AADB-4B98-981F-9594FE8AE7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8787007"/>
        <c:axId val="1288791583"/>
        <c:axId val="0"/>
      </c:bar3DChart>
      <c:catAx>
        <c:axId val="1288787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8791583"/>
        <c:crosses val="autoZero"/>
        <c:auto val="1"/>
        <c:lblAlgn val="ctr"/>
        <c:lblOffset val="100"/>
        <c:noMultiLvlLbl val="0"/>
      </c:catAx>
      <c:valAx>
        <c:axId val="1288791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8787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>
                <a:solidFill>
                  <a:sysClr val="windowText" lastClr="000000"/>
                </a:solidFill>
              </a:rPr>
              <a:t>Liczba nowych cząsteczko-wskazań 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pl-PL" sz="900">
                <a:solidFill>
                  <a:sysClr val="windowText" lastClr="000000"/>
                </a:solidFill>
              </a:rPr>
              <a:t>- wskazania rzadkie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281496004364293E-2"/>
          <c:y val="0.1510622060345618"/>
          <c:w val="0.91934852360152752"/>
          <c:h val="0.6857864844681436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'Wskazania rzadkie'!$A$4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5D91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1141406101096159E-17"/>
                  <c:y val="7.3310423825887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59-4E61-83FC-57A76B091F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'Wskazania rzadkie'!$B$2</c:f>
              <c:numCache>
                <c:formatCode>General</c:formatCode>
                <c:ptCount val="1"/>
                <c:pt idx="0">
                  <c:v>2022</c:v>
                </c:pt>
              </c:numCache>
              <c:extLst/>
            </c:numRef>
          </c:cat>
          <c:val>
            <c:numRef>
              <c:f>'Wskazania rzadkie'!$B$4</c:f>
              <c:numCache>
                <c:formatCode>General</c:formatCode>
                <c:ptCount val="1"/>
                <c:pt idx="0">
                  <c:v>78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459-4E61-83FC-57A76B091F8D}"/>
            </c:ext>
          </c:extLst>
        </c:ser>
        <c:ser>
          <c:idx val="0"/>
          <c:order val="1"/>
          <c:tx>
            <c:strRef>
              <c:f>'Wskazania rzadkie'!$A$3</c:f>
              <c:strCache>
                <c:ptCount val="1"/>
                <c:pt idx="0">
                  <c:v>Wskazanie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331042382588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59-4E61-83FC-57A76B091F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'Wskazania rzadkie'!$B$2</c:f>
              <c:numCache>
                <c:formatCode>General</c:formatCode>
                <c:ptCount val="1"/>
                <c:pt idx="0">
                  <c:v>2022</c:v>
                </c:pt>
              </c:numCache>
              <c:extLst/>
            </c:numRef>
          </c:cat>
          <c:val>
            <c:numRef>
              <c:f>'Wskazania rzadkie'!$B$3</c:f>
              <c:numCache>
                <c:formatCode>General</c:formatCode>
                <c:ptCount val="1"/>
                <c:pt idx="0">
                  <c:v>37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0459-4E61-83FC-57A76B091F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3837167"/>
        <c:axId val="703834255"/>
        <c:axId val="0"/>
      </c:bar3DChart>
      <c:catAx>
        <c:axId val="703837167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255"/>
        <c:crosses val="autoZero"/>
        <c:auto val="1"/>
        <c:lblAlgn val="ctr"/>
        <c:lblOffset val="100"/>
        <c:noMultiLvlLbl val="0"/>
      </c:catAx>
      <c:valAx>
        <c:axId val="703834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7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</a:rPr>
              <a:t>Cząsteczko-wskazania onkologiczne w 2022 r.</a:t>
            </a:r>
          </a:p>
        </c:rich>
      </c:tx>
      <c:layout>
        <c:manualLayout>
          <c:xMode val="edge"/>
          <c:yMode val="edge"/>
          <c:x val="0.24815817293671624"/>
          <c:y val="1.3342615709621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27000400991543"/>
          <c:y val="8.706981890751736E-2"/>
          <c:w val="0.73101942986293378"/>
          <c:h val="0.82159634060798858"/>
        </c:manualLayout>
      </c:layout>
      <c:bar3DChart>
        <c:barDir val="bar"/>
        <c:grouping val="clustered"/>
        <c:varyColors val="0"/>
        <c:ser>
          <c:idx val="10"/>
          <c:order val="0"/>
          <c:tx>
            <c:strRef>
              <c:f>'onko_2012_-_2021_1'!$B$2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('onko_2012_-_2021_1'!$A$3:$A$5,'onko_2012_-_2021_1'!$A$7,'onko_2012_-_2021_1'!$A$9:$A$12)</c:f>
              <c:strCache>
                <c:ptCount val="8"/>
                <c:pt idx="0">
                  <c:v>Inne</c:v>
                </c:pt>
                <c:pt idx="1">
                  <c:v>Nowotwory układu 
urologicznego</c:v>
                </c:pt>
                <c:pt idx="2">
                  <c:v>Nowotwory układu 
pokarmowego</c:v>
                </c:pt>
                <c:pt idx="3">
                  <c:v>Nowotwory układu 
endokrynnego</c:v>
                </c:pt>
                <c:pt idx="4">
                  <c:v>Nowotwory nerki</c:v>
                </c:pt>
                <c:pt idx="5">
                  <c:v>Nowotwory głowy 
i szyi</c:v>
                </c:pt>
                <c:pt idx="6">
                  <c:v>Nowotwory 
ginekologiczne</c:v>
                </c:pt>
                <c:pt idx="7">
                  <c:v>Hematoonkologia</c:v>
                </c:pt>
              </c:strCache>
              <c:extLst/>
            </c:strRef>
          </c:cat>
          <c:val>
            <c:numRef>
              <c:f>('onko_2012_-_2021_1'!$B$3:$B$5,'onko_2012_-_2021_1'!$B$7,'onko_2012_-_2021_1'!$B$9:$B$12)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7</c:v>
                </c:pt>
                <c:pt idx="7">
                  <c:v>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472-450C-9E4F-059C2E803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('onko_2012_-_2021_1'!$C$3:$C$5,'onko_2012_-_2021_1'!$C$7,'onko_2012_-_2021_1'!$C$9:$C$12)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4</c:v>
                      </c:pt>
                      <c:pt idx="7">
                        <c:v>11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8472-450C-9E4F-059C2E803C9A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('onko_2012_-_2021_1'!$D$3:$D$5,'onko_2012_-_2021_1'!$D$7,'onko_2012_-_2021_1'!$D$9:$D$12)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6</c:v>
                      </c:pt>
                      <c:pt idx="7">
                        <c:v>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8472-450C-9E4F-059C2E803C9A}"/>
                  </c:ext>
                </c:extLst>
              </c15:ser>
            </c15:filteredBarSeries>
            <c15:filteredBar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('onko_2012_-_2021_1'!$E$3:$E$5,'onko_2012_-_2021_1'!$E$7,'onko_2012_-_2021_1'!$E$9:$E$12)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4</c:v>
                      </c:pt>
                      <c:pt idx="7">
                        <c:v>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8472-450C-9E4F-059C2E803C9A}"/>
                  </c:ext>
                </c:extLst>
              </c15:ser>
            </c15:filteredBarSeries>
            <c15:filteredBar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('onko_2012_-_2021_1'!$F$3:$F$5,'onko_2012_-_2021_1'!$F$7,'onko_2012_-_2021_1'!$F$9:$F$12)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472-450C-9E4F-059C2E803C9A}"/>
                  </c:ext>
                </c:extLst>
              </c15:ser>
            </c15:filteredBarSeries>
            <c15:filteredBarSeries>
              <c15:ser>
                <c:idx val="4"/>
                <c:order val="5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('onko_2012_-_2021_1'!$G$3:$G$5,'onko_2012_-_2021_1'!$G$7,'onko_2012_-_2021_1'!$G$9:$G$12)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</c:v>
                      </c:pt>
                      <c:pt idx="1">
                        <c:v>3</c:v>
                      </c:pt>
                      <c:pt idx="2">
                        <c:v>4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472-450C-9E4F-059C2E803C9A}"/>
                  </c:ext>
                </c:extLst>
              </c15:ser>
            </c15:filteredBarSeries>
            <c15:filteredBar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('onko_2012_-_2021_1'!$H$3:$H$5,'onko_2012_-_2021_1'!$H$7,'onko_2012_-_2021_1'!$H$9:$H$12)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8472-450C-9E4F-059C2E803C9A}"/>
                  </c:ext>
                </c:extLst>
              </c15:ser>
            </c15:filteredBarSeries>
            <c15:filteredBa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('onko_2012_-_2021_1'!$I$3:$I$5,'onko_2012_-_2021_1'!$I$7,'onko_2012_-_2021_1'!$I$9:$I$12)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3</c:v>
                      </c:pt>
                      <c:pt idx="1">
                        <c:v>0</c:v>
                      </c:pt>
                      <c:pt idx="2">
                        <c:v>4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8472-450C-9E4F-059C2E803C9A}"/>
                  </c:ext>
                </c:extLst>
              </c15:ser>
            </c15:filteredBarSeries>
            <c15:filteredBa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('onko_2012_-_2021_1'!$J$3:$J$5,'onko_2012_-_2021_1'!$J$7,'onko_2012_-_2021_1'!$J$9:$J$12)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10</c:v>
                      </c:pt>
                      <c:pt idx="1">
                        <c:v>1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8472-450C-9E4F-059C2E803C9A}"/>
                  </c:ext>
                </c:extLst>
              </c15:ser>
            </c15:filteredBarSeries>
            <c15:filteredBarSeries>
              <c15:ser>
                <c:idx val="8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('onko_2012_-_2021_1'!$K$3:$K$5,'onko_2012_-_2021_1'!$K$7,'onko_2012_-_2021_1'!$K$9:$K$12)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8472-450C-9E4F-059C2E803C9A}"/>
                  </c:ext>
                </c:extLst>
              </c15:ser>
            </c15:filteredBarSeries>
            <c15:filteredBarSeries>
              <c15:ser>
                <c:idx val="9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('onko_2012_-_2021_1'!$L$3:$L$5,'onko_2012_-_2021_1'!$L$7,'onko_2012_-_2021_1'!$L$9:$L$12)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3</c:v>
                      </c:pt>
                      <c:pt idx="1">
                        <c:v>1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8472-450C-9E4F-059C2E803C9A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  <c:max val="1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5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/>
              <a:t>Cząsteczko-wskazania nieonkologiczne w 2022 r.</a:t>
            </a:r>
          </a:p>
        </c:rich>
      </c:tx>
      <c:layout>
        <c:manualLayout>
          <c:xMode val="edge"/>
          <c:yMode val="edge"/>
          <c:x val="0.23048034934497816"/>
          <c:y val="1.7372421281216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707091100791887"/>
          <c:y val="9.6642124661628942E-2"/>
          <c:w val="0.68284361890661105"/>
          <c:h val="0.79649508248920697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'nieonko_2016_-_2021'!$B$2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('nieonko_2016_-_2021'!$A$4:$A$11,'nieonko_2016_-_2021'!$A$13,'nieonko_2016_-_2021'!$A$15,'nieonko_2016_-_2021'!$A$17:$A$19)</c:f>
              <c:strCache>
                <c:ptCount val="13"/>
                <c:pt idx="0">
                  <c:v>Reumatologia</c:v>
                </c:pt>
                <c:pt idx="1">
                  <c:v>Pulmonologia</c:v>
                </c:pt>
                <c:pt idx="2">
                  <c:v>Psychiatria</c:v>
                </c:pt>
                <c:pt idx="3">
                  <c:v>Okulistyka</c:v>
                </c:pt>
                <c:pt idx="4">
                  <c:v>Neurologia</c:v>
                </c:pt>
                <c:pt idx="5">
                  <c:v>Nefrologia </c:v>
                </c:pt>
                <c:pt idx="6">
                  <c:v>Kardiologia</c:v>
                </c:pt>
                <c:pt idx="7">
                  <c:v>Immunologia</c:v>
                </c:pt>
                <c:pt idx="8">
                  <c:v>Hematologia</c:v>
                </c:pt>
                <c:pt idx="9">
                  <c:v>Gastroenterologia</c:v>
                </c:pt>
                <c:pt idx="10">
                  <c:v>Diabetologia</c:v>
                </c:pt>
                <c:pt idx="11">
                  <c:v>Dermatologia</c:v>
                </c:pt>
                <c:pt idx="12">
                  <c:v>Choroby metaboliczne</c:v>
                </c:pt>
              </c:strCache>
              <c:extLst/>
            </c:strRef>
          </c:cat>
          <c:val>
            <c:numRef>
              <c:f>('nieonko_2016_-_2021'!$B$4:$B$11,'nieonko_2016_-_2021'!$B$13,'nieonko_2016_-_2021'!$B$15,'nieonko_2016_-_2021'!$B$17:$B$19)</c:f>
              <c:numCache>
                <c:formatCode>General</c:formatCode>
                <c:ptCount val="13"/>
                <c:pt idx="0">
                  <c:v>9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18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3</c:v>
                </c:pt>
                <c:pt idx="9">
                  <c:v>7</c:v>
                </c:pt>
                <c:pt idx="10">
                  <c:v>9</c:v>
                </c:pt>
                <c:pt idx="11">
                  <c:v>5</c:v>
                </c:pt>
                <c:pt idx="12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D9F-4B53-B96B-73231A02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('nieonko_2016_-_2021'!$C$4:$C$11,'nieonko_2016_-_2021'!$C$13,'nieonko_2016_-_2021'!$C$15,'nieonko_2016_-_2021'!$C$17:$C$19)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7</c:v>
                      </c:pt>
                      <c:pt idx="4">
                        <c:v>2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6</c:v>
                      </c:pt>
                      <c:pt idx="9">
                        <c:v>2</c:v>
                      </c:pt>
                      <c:pt idx="10">
                        <c:v>1</c:v>
                      </c:pt>
                      <c:pt idx="11">
                        <c:v>3</c:v>
                      </c:pt>
                      <c:pt idx="12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4D9F-4B53-B96B-73231A02772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('nieonko_2016_-_2021'!$D$4:$D$11,'nieonko_2016_-_2021'!$D$13,'nieonko_2016_-_2021'!$D$15,'nieonko_2016_-_2021'!$D$17:$D$19)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2</c:v>
                      </c:pt>
                      <c:pt idx="2">
                        <c:v>4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3</c:v>
                      </c:pt>
                      <c:pt idx="9">
                        <c:v>2</c:v>
                      </c:pt>
                      <c:pt idx="10">
                        <c:v>3</c:v>
                      </c:pt>
                      <c:pt idx="11">
                        <c:v>3</c:v>
                      </c:pt>
                      <c:pt idx="12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4D9F-4B53-B96B-73231A027727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('nieonko_2016_-_2021'!$E$4:$E$11,'nieonko_2016_-_2021'!$E$13,'nieonko_2016_-_2021'!$E$15,'nieonko_2016_-_2021'!$E$17:$E$19)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3</c:v>
                      </c:pt>
                      <c:pt idx="1">
                        <c:v>3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3</c:v>
                      </c:pt>
                      <c:pt idx="5">
                        <c:v>0</c:v>
                      </c:pt>
                      <c:pt idx="6">
                        <c:v>3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3</c:v>
                      </c:pt>
                      <c:pt idx="10">
                        <c:v>5</c:v>
                      </c:pt>
                      <c:pt idx="11">
                        <c:v>1</c:v>
                      </c:pt>
                      <c:pt idx="12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D9F-4B53-B96B-73231A027727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('nieonko_2016_-_2021'!$F$4:$F$11,'nieonko_2016_-_2021'!$F$13,'nieonko_2016_-_2021'!$F$15,'nieonko_2016_-_2021'!$F$17:$F$19)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4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3</c:v>
                      </c:pt>
                      <c:pt idx="8">
                        <c:v>4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3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D9F-4B53-B96B-73231A027727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'nieonko_2016_-_2021'!$G$2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('nieonko_2016_-_2021'!$G$4:$G$11,'nieonko_2016_-_2021'!$G$13,'nieonko_2016_-_2021'!$G$15,'nieonko_2016_-_2021'!$G$17:$G$19)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</c:v>
                      </c:pt>
                      <c:pt idx="1">
                        <c:v>5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3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2</c:v>
                      </c:pt>
                      <c:pt idx="9">
                        <c:v>2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D9F-4B53-B96B-73231A027727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('nieonko_2016_-_2021'!$H$4:$H$11,'nieonko_2016_-_2021'!$H$13,'nieonko_2016_-_2021'!$H$15,'nieonko_2016_-_2021'!$H$17:$H$19)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0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3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4D9F-4B53-B96B-73231A027727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('nieonko_2016_-_2021'!$I$4:$I$11,'nieonko_2016_-_2021'!$I$13,'nieonko_2016_-_2021'!$I$15,'nieonko_2016_-_2021'!$I$17:$I$19)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0</c:v>
                      </c:pt>
                      <c:pt idx="1">
                        <c:v>1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5</c:v>
                      </c:pt>
                      <c:pt idx="7">
                        <c:v>2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D9F-4B53-B96B-73231A027727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('nieonko_2016_-_2021'!$J$4:$J$11,'nieonko_2016_-_2021'!$J$13,'nieonko_2016_-_2021'!$J$15,'nieonko_2016_-_2021'!$J$17:$J$19)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4</c:v>
                      </c:pt>
                      <c:pt idx="1">
                        <c:v>3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6</c:v>
                      </c:pt>
                      <c:pt idx="5">
                        <c:v>0</c:v>
                      </c:pt>
                      <c:pt idx="6">
                        <c:v>3</c:v>
                      </c:pt>
                      <c:pt idx="7">
                        <c:v>1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4D9F-4B53-B96B-73231A027727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('nieonko_2016_-_2021'!$K$4:$K$11,'nieonko_2016_-_2021'!$K$13,'nieonko_2016_-_2021'!$K$15,'nieonko_2016_-_2021'!$K$17:$K$19)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7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1</c:v>
                      </c:pt>
                      <c:pt idx="10">
                        <c:v>3</c:v>
                      </c:pt>
                      <c:pt idx="11">
                        <c:v>2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4D9F-4B53-B96B-73231A027727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('nieonko_2016_-_2021'!$L$4:$L$11,'nieonko_2016_-_2021'!$L$13,'nieonko_2016_-_2021'!$L$15,'nieonko_2016_-_2021'!$L$17:$L$19)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2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4D9F-4B53-B96B-73231A027727}"/>
                  </c:ext>
                </c:extLst>
              </c15:ser>
            </c15:filteredBarSeries>
          </c:ext>
        </c:extLst>
      </c:bar3DChart>
      <c:valAx>
        <c:axId val="241294831"/>
        <c:scaling>
          <c:orientation val="minMax"/>
          <c:max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8121</Words>
  <Characters>48732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Aleksandra</dc:creator>
  <cp:keywords/>
  <dc:description/>
  <cp:lastModifiedBy>Tobiaszewski Paweł</cp:lastModifiedBy>
  <cp:revision>3</cp:revision>
  <dcterms:created xsi:type="dcterms:W3CDTF">2022-12-21T09:10:00Z</dcterms:created>
  <dcterms:modified xsi:type="dcterms:W3CDTF">2022-12-22T09:39:00Z</dcterms:modified>
</cp:coreProperties>
</file>