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F0" w:rsidRDefault="00A27A7A" w:rsidP="00A27A7A">
      <w:r>
        <w:t>RM-06111-29-21</w:t>
      </w:r>
    </w:p>
    <w:p w:rsidR="0079564A" w:rsidRPr="0079564A" w:rsidRDefault="0079564A" w:rsidP="0079564A">
      <w:pPr>
        <w:pStyle w:val="OZNRODZAKTUtznustawalubrozporzdzenieiorganwydajcy"/>
      </w:pPr>
      <w:r w:rsidRPr="0079564A">
        <w:t xml:space="preserve">UCHWAŁA NR </w:t>
      </w:r>
      <w:r w:rsidR="00A27A7A">
        <w:t>31</w:t>
      </w:r>
      <w:r w:rsidRPr="0079564A">
        <w:t>/</w:t>
      </w:r>
      <w:r w:rsidR="00623DE0" w:rsidRPr="0079564A">
        <w:t>20</w:t>
      </w:r>
      <w:r w:rsidR="00646A49">
        <w:t>21</w:t>
      </w:r>
    </w:p>
    <w:p w:rsidR="0079564A" w:rsidRDefault="0079564A" w:rsidP="0079564A">
      <w:pPr>
        <w:pStyle w:val="OZNRODZAKTUtznustawalubrozporzdzenieiorganwydajcy"/>
      </w:pPr>
      <w:r w:rsidRPr="0079564A">
        <w:t>RADY MINISTRÓW</w:t>
      </w:r>
    </w:p>
    <w:p w:rsidR="00AC6A2E" w:rsidRPr="00AC6A2E" w:rsidRDefault="005A0B6F" w:rsidP="00545D77">
      <w:pPr>
        <w:pStyle w:val="DATAAKTUdatauchwalenialubwydaniaaktu"/>
      </w:pPr>
      <w:r>
        <w:t xml:space="preserve">z dnia </w:t>
      </w:r>
      <w:r w:rsidR="00A27A7A">
        <w:t>3 marca</w:t>
      </w:r>
      <w:r w:rsidR="00EC6475">
        <w:t xml:space="preserve"> </w:t>
      </w:r>
      <w:r w:rsidR="00623DE0" w:rsidRPr="00AC6A2E">
        <w:t>20</w:t>
      </w:r>
      <w:r w:rsidR="00646A49">
        <w:t>21</w:t>
      </w:r>
      <w:r w:rsidR="00623DE0" w:rsidRPr="00AC6A2E">
        <w:t xml:space="preserve"> </w:t>
      </w:r>
      <w:r w:rsidR="00AC6A2E" w:rsidRPr="00AC6A2E">
        <w:t>r.</w:t>
      </w:r>
    </w:p>
    <w:p w:rsidR="0079564A" w:rsidRPr="009B7210" w:rsidRDefault="0079564A" w:rsidP="00394365">
      <w:pPr>
        <w:pStyle w:val="TYTUAKTUprzedmiotregulacjiustawylubrozporzdzenia"/>
      </w:pPr>
      <w:r>
        <w:t xml:space="preserve">zmieniająca uchwałę w sprawie ustanowienia programu wieloletniego </w:t>
      </w:r>
      <w:r w:rsidRPr="006243A8">
        <w:t>„</w:t>
      </w:r>
      <w:r>
        <w:t>Modernizacja Krajowej Administracji Skarbowej w latach 2020–2022</w:t>
      </w:r>
      <w:r w:rsidRPr="006243A8">
        <w:t>”</w:t>
      </w:r>
    </w:p>
    <w:p w:rsidR="0079564A" w:rsidRPr="008F4072" w:rsidRDefault="0079564A" w:rsidP="003F69EE">
      <w:pPr>
        <w:pStyle w:val="USTustnpkodeksu"/>
      </w:pPr>
      <w:r w:rsidRPr="006243A8">
        <w:t>Na podstawie art. 1</w:t>
      </w:r>
      <w:r>
        <w:t>36</w:t>
      </w:r>
      <w:r w:rsidRPr="006243A8">
        <w:t xml:space="preserve"> ust. 2 ustawy z dnia 27 sierpnia 2009 r. o finansach publicznych (Dz. U. </w:t>
      </w:r>
      <w:r>
        <w:t>z 20</w:t>
      </w:r>
      <w:r w:rsidR="00DF6128">
        <w:t>21 r. poz. 305</w:t>
      </w:r>
      <w:r w:rsidR="00277E8C">
        <w:t xml:space="preserve">) </w:t>
      </w:r>
      <w:r w:rsidRPr="00081A83">
        <w:t>Rada Ministrów uchwala, co następuje:</w:t>
      </w:r>
    </w:p>
    <w:p w:rsidR="00C13B2D" w:rsidRDefault="00416F45" w:rsidP="00C769BF">
      <w:pPr>
        <w:pStyle w:val="ARTartustawynprozporzdzenia"/>
      </w:pPr>
      <w:r w:rsidRPr="0091667E">
        <w:rPr>
          <w:rStyle w:val="Ppogrubienie"/>
        </w:rPr>
        <w:t>§</w:t>
      </w:r>
      <w:r w:rsidR="00A27A7A">
        <w:rPr>
          <w:rStyle w:val="Ppogrubienie"/>
        </w:rPr>
        <w:t> </w:t>
      </w:r>
      <w:r w:rsidRPr="0091667E">
        <w:rPr>
          <w:rStyle w:val="Ppogrubienie"/>
        </w:rPr>
        <w:t>1.</w:t>
      </w:r>
      <w:r w:rsidR="00A27A7A">
        <w:rPr>
          <w:rStyle w:val="Ppogrubienie"/>
        </w:rPr>
        <w:t> </w:t>
      </w:r>
      <w:r w:rsidRPr="00AC6A2E">
        <w:t xml:space="preserve">W </w:t>
      </w:r>
      <w:r w:rsidR="0079564A">
        <w:t>uchwale nr 44/2019 Rady Ministrów</w:t>
      </w:r>
      <w:r w:rsidR="0017617E" w:rsidRPr="0017617E">
        <w:t xml:space="preserve"> z dnia </w:t>
      </w:r>
      <w:r w:rsidR="0079564A">
        <w:t>28 maja</w:t>
      </w:r>
      <w:r w:rsidR="0017617E" w:rsidRPr="0017617E">
        <w:t xml:space="preserve"> 2019 r. </w:t>
      </w:r>
      <w:r w:rsidR="0079564A" w:rsidRPr="0079564A">
        <w:t>w sprawie ustanowienia programu wieloletniego „Modernizacja Krajowej Administracji Skarbowej w</w:t>
      </w:r>
      <w:r w:rsidR="003F4B2E">
        <w:t> </w:t>
      </w:r>
      <w:r w:rsidR="0079564A" w:rsidRPr="0079564A">
        <w:t>latach 2020</w:t>
      </w:r>
      <w:r w:rsidR="00394365">
        <w:t>–</w:t>
      </w:r>
      <w:r w:rsidR="0079564A" w:rsidRPr="0079564A">
        <w:t xml:space="preserve">2022” </w:t>
      </w:r>
      <w:r w:rsidR="00C13B2D">
        <w:t xml:space="preserve">wprowadza się następujące zmiany: </w:t>
      </w:r>
    </w:p>
    <w:p w:rsidR="003E5C3B" w:rsidRDefault="00C13B2D" w:rsidP="009B7210">
      <w:pPr>
        <w:pStyle w:val="PKTpunkt"/>
      </w:pPr>
      <w:r>
        <w:t>1)</w:t>
      </w:r>
      <w:r w:rsidR="009B7210">
        <w:tab/>
      </w:r>
      <w:r w:rsidR="003E5C3B" w:rsidRPr="003E5C3B">
        <w:t>§ 5</w:t>
      </w:r>
      <w:r w:rsidR="009F7CDF">
        <w:t xml:space="preserve"> </w:t>
      </w:r>
      <w:r w:rsidR="003E5C3B">
        <w:t>otrzymuj</w:t>
      </w:r>
      <w:r w:rsidR="00130697">
        <w:t>e</w:t>
      </w:r>
      <w:r w:rsidR="003E5C3B">
        <w:t xml:space="preserve"> brzmienie:</w:t>
      </w:r>
    </w:p>
    <w:p w:rsidR="00130697" w:rsidRPr="00130697" w:rsidRDefault="001A3D9E" w:rsidP="00130697">
      <w:pPr>
        <w:pStyle w:val="ZARTzmartartykuempunktem"/>
      </w:pPr>
      <w:r w:rsidRPr="0079564A">
        <w:t>„</w:t>
      </w:r>
      <w:r w:rsidR="00130697">
        <w:t xml:space="preserve">§ 5. </w:t>
      </w:r>
      <w:r w:rsidR="00130697" w:rsidRPr="00130697">
        <w:t xml:space="preserve">Ogólna kwota wydatków na realizację Programu w latach 2020–2022 wyniesie </w:t>
      </w:r>
      <w:r w:rsidR="00A30927" w:rsidRPr="00A30927">
        <w:t>1</w:t>
      </w:r>
      <w:r w:rsidR="005B015F">
        <w:t>.</w:t>
      </w:r>
      <w:r w:rsidR="00A30927" w:rsidRPr="00A30927">
        <w:t>586</w:t>
      </w:r>
      <w:r w:rsidR="005B015F">
        <w:t>.</w:t>
      </w:r>
      <w:r w:rsidR="00A30927" w:rsidRPr="00A30927">
        <w:t>578</w:t>
      </w:r>
      <w:r w:rsidR="009E29F5">
        <w:t xml:space="preserve"> </w:t>
      </w:r>
      <w:r w:rsidR="00130697" w:rsidRPr="00130697">
        <w:t>tys. zł, w tym w poszczególnych latach:</w:t>
      </w:r>
    </w:p>
    <w:p w:rsidR="00130697" w:rsidRPr="00130697" w:rsidRDefault="00130697" w:rsidP="00130697">
      <w:pPr>
        <w:pStyle w:val="ZPKTzmpktartykuempunktem"/>
      </w:pPr>
      <w:r w:rsidRPr="00130697">
        <w:t>1)</w:t>
      </w:r>
      <w:r w:rsidRPr="00130697">
        <w:tab/>
      </w:r>
      <w:r w:rsidR="00832BA4">
        <w:t>582</w:t>
      </w:r>
      <w:r w:rsidR="005B015F">
        <w:t>.</w:t>
      </w:r>
      <w:r w:rsidR="00832BA4">
        <w:t>665</w:t>
      </w:r>
      <w:r w:rsidR="00A675EA">
        <w:t xml:space="preserve"> </w:t>
      </w:r>
      <w:r w:rsidRPr="00130697">
        <w:t>tys. zł w 2020 r.;</w:t>
      </w:r>
    </w:p>
    <w:p w:rsidR="00130697" w:rsidRPr="00130697" w:rsidRDefault="00130697" w:rsidP="00130697">
      <w:pPr>
        <w:pStyle w:val="ZPKTzmpktartykuempunktem"/>
      </w:pPr>
      <w:r w:rsidRPr="00130697">
        <w:t>2)</w:t>
      </w:r>
      <w:r w:rsidRPr="00130697">
        <w:tab/>
      </w:r>
      <w:r w:rsidR="000137D1">
        <w:t>374</w:t>
      </w:r>
      <w:r w:rsidR="005B015F">
        <w:t>.</w:t>
      </w:r>
      <w:r w:rsidR="000137D1">
        <w:t>271</w:t>
      </w:r>
      <w:r w:rsidR="00A30927" w:rsidRPr="00A30927">
        <w:t xml:space="preserve"> </w:t>
      </w:r>
      <w:r w:rsidRPr="00130697">
        <w:t>tys. zł w 2021 r.;</w:t>
      </w:r>
    </w:p>
    <w:p w:rsidR="00130697" w:rsidRDefault="00130697" w:rsidP="00130697">
      <w:pPr>
        <w:pStyle w:val="ZPKTzmpktartykuempunktem"/>
      </w:pPr>
      <w:r w:rsidRPr="00130697">
        <w:t>3)</w:t>
      </w:r>
      <w:r w:rsidRPr="00130697">
        <w:tab/>
      </w:r>
      <w:r w:rsidR="000137D1">
        <w:t>629</w:t>
      </w:r>
      <w:r w:rsidR="005B015F">
        <w:t>.</w:t>
      </w:r>
      <w:r w:rsidR="000137D1">
        <w:t>642</w:t>
      </w:r>
      <w:r w:rsidR="00832BA4">
        <w:t xml:space="preserve"> </w:t>
      </w:r>
      <w:r w:rsidRPr="00130697">
        <w:t>tys. zł w 2022 r.”;</w:t>
      </w:r>
    </w:p>
    <w:p w:rsidR="001A3D9E" w:rsidRDefault="009B7210" w:rsidP="00D8314D">
      <w:pPr>
        <w:pStyle w:val="PKTpunkt"/>
      </w:pPr>
      <w:r>
        <w:t>2)</w:t>
      </w:r>
      <w:r>
        <w:tab/>
      </w:r>
      <w:r w:rsidR="00ED7737">
        <w:t xml:space="preserve">w </w:t>
      </w:r>
      <w:r w:rsidR="00D8314D">
        <w:t>załącznik</w:t>
      </w:r>
      <w:r w:rsidR="00ED7737">
        <w:t>u</w:t>
      </w:r>
      <w:r w:rsidR="0079564A">
        <w:t xml:space="preserve"> do uchwały</w:t>
      </w:r>
      <w:r w:rsidR="00ED7737">
        <w:t>:</w:t>
      </w:r>
    </w:p>
    <w:p w:rsidR="00ED7737" w:rsidRPr="00A27A7A" w:rsidRDefault="00ED7737" w:rsidP="00A27A7A">
      <w:pPr>
        <w:pStyle w:val="LITlitera"/>
      </w:pPr>
      <w:r w:rsidRPr="00A27A7A">
        <w:rPr>
          <w:rStyle w:val="Ppogrubienie"/>
          <w:b w:val="0"/>
        </w:rPr>
        <w:t>a)</w:t>
      </w:r>
      <w:r w:rsidRPr="00A27A7A">
        <w:rPr>
          <w:rStyle w:val="Ppogrubienie"/>
          <w:b w:val="0"/>
        </w:rPr>
        <w:tab/>
      </w:r>
      <w:r w:rsidRPr="00A27A7A">
        <w:t xml:space="preserve">w </w:t>
      </w:r>
      <w:r w:rsidR="00BF3E15" w:rsidRPr="00A27A7A">
        <w:t xml:space="preserve">pkt </w:t>
      </w:r>
      <w:r w:rsidRPr="00A27A7A">
        <w:t>II</w:t>
      </w:r>
      <w:r w:rsidRPr="00A27A7A">
        <w:rPr>
          <w:rStyle w:val="Ppogrubienie"/>
          <w:b w:val="0"/>
        </w:rPr>
        <w:t xml:space="preserve"> „Cele Programu i wskaźniki monitorowania realizacji celów” </w:t>
      </w:r>
      <w:r w:rsidR="00BF47D3" w:rsidRPr="00A27A7A">
        <w:t>p</w:t>
      </w:r>
      <w:r w:rsidRPr="00A27A7A">
        <w:t>pkt 4</w:t>
      </w:r>
      <w:r w:rsidR="00476200" w:rsidRPr="00A27A7A">
        <w:t xml:space="preserve"> </w:t>
      </w:r>
      <w:r w:rsidRPr="00A27A7A">
        <w:t>otrzymuj</w:t>
      </w:r>
      <w:r w:rsidR="00212299" w:rsidRPr="00A27A7A">
        <w:t>e</w:t>
      </w:r>
      <w:r w:rsidRPr="00A27A7A">
        <w:t xml:space="preserve"> brzmienie:</w:t>
      </w:r>
    </w:p>
    <w:p w:rsidR="00216B7D" w:rsidRPr="00F01B3D" w:rsidRDefault="001B6789" w:rsidP="006D01AB">
      <w:pPr>
        <w:pStyle w:val="ZLITPKTzmpktliter"/>
        <w:rPr>
          <w:rStyle w:val="Ppogrubienie"/>
        </w:rPr>
      </w:pPr>
      <w:r w:rsidRPr="00ED7737">
        <w:t>„</w:t>
      </w:r>
      <w:r w:rsidR="00216B7D" w:rsidRPr="00476200">
        <w:rPr>
          <w:rStyle w:val="PKpogrubieniekursywa"/>
        </w:rPr>
        <w:t>4. Wskaźniki monitorowania realizacji celów Programu</w:t>
      </w:r>
    </w:p>
    <w:p w:rsidR="00212299" w:rsidRDefault="001B6789" w:rsidP="00B32FD9">
      <w:pPr>
        <w:pStyle w:val="ZLITFRAGzmlitfragmentunpzdanialiter"/>
      </w:pPr>
      <w:r w:rsidRPr="001B6789">
        <w:t>Głównymi wskaźnikami realizacji celów Programu będą:</w:t>
      </w:r>
    </w:p>
    <w:p w:rsidR="00ED7737" w:rsidRDefault="00ED7737" w:rsidP="005078F2">
      <w:pPr>
        <w:pStyle w:val="ZLITLITwPKTzmlitwpktliter"/>
        <w:ind w:left="1418" w:hanging="425"/>
      </w:pPr>
      <w:r w:rsidRPr="00ED7737">
        <w:t>1)</w:t>
      </w:r>
      <w:r w:rsidRPr="00ED7737">
        <w:tab/>
        <w:t xml:space="preserve">wzrost przeciętnego wynagrodzenia/uposażenia brutto pracowników KAS </w:t>
      </w:r>
      <w:r w:rsidR="00653FC6" w:rsidRPr="00ED7737">
        <w:t>i</w:t>
      </w:r>
      <w:r w:rsidR="00653FC6">
        <w:t> </w:t>
      </w:r>
      <w:r w:rsidRPr="00ED7737">
        <w:t xml:space="preserve">funkcjonariuszy (liczonego we wszystkich składnikach, tj. </w:t>
      </w:r>
      <w:r w:rsidR="000D2890" w:rsidRPr="00ED7737">
        <w:t>w</w:t>
      </w:r>
      <w:r w:rsidR="000D2890">
        <w:t> </w:t>
      </w:r>
      <w:r w:rsidRPr="00ED7737">
        <w:t xml:space="preserve">szczególności wynagrodzeniu/uposażeniu zasadniczym, dodatkach </w:t>
      </w:r>
      <w:r w:rsidR="000D2890" w:rsidRPr="00ED7737">
        <w:t>do</w:t>
      </w:r>
      <w:r w:rsidR="00A55D22">
        <w:t xml:space="preserve"> </w:t>
      </w:r>
      <w:r w:rsidRPr="00ED7737">
        <w:t xml:space="preserve">wynagrodzenia/uposażenia, premii, odpisach na fundusze: nagród uznaniowych, dodatkowego wynagrodzenia rocznego/nagrody rocznej, jednorazowych wypłat obligatoryjnych, np. nagród jubileuszowych </w:t>
      </w:r>
      <w:r w:rsidR="000D2890" w:rsidRPr="00ED7737">
        <w:t>i</w:t>
      </w:r>
      <w:r w:rsidR="000D2890">
        <w:t> </w:t>
      </w:r>
      <w:r w:rsidRPr="00ED7737">
        <w:t>odpraw emerytalnych należnych pracownikom)</w:t>
      </w:r>
      <w:r w:rsidR="000E5E8A">
        <w:t>,</w:t>
      </w:r>
    </w:p>
    <w:p w:rsidR="00ED7737" w:rsidRPr="00ED7737" w:rsidRDefault="00ED7737" w:rsidP="005078F2">
      <w:pPr>
        <w:pStyle w:val="ZLITLITwPKTzmlitwpktliter"/>
        <w:ind w:left="1418" w:hanging="425"/>
      </w:pPr>
      <w:r w:rsidRPr="00ED7737">
        <w:t>2)</w:t>
      </w:r>
      <w:r w:rsidRPr="00ED7737">
        <w:tab/>
        <w:t xml:space="preserve">wprowadzenie od 2020 r. nowego modelu dodatków kontrolerskich zmierzającego do wyeliminowania zróżnicowania tych dodatków pomiędzy grupami zawodowymi, </w:t>
      </w:r>
    </w:p>
    <w:p w:rsidR="00ED7737" w:rsidRPr="00ED7737" w:rsidRDefault="00ED7737" w:rsidP="005078F2">
      <w:pPr>
        <w:pStyle w:val="ZLITLITwPKTzmlitwpktliter"/>
        <w:ind w:left="1418" w:hanging="425"/>
      </w:pPr>
      <w:r w:rsidRPr="00ED7737">
        <w:t>3)</w:t>
      </w:r>
      <w:r w:rsidRPr="00ED7737">
        <w:tab/>
        <w:t xml:space="preserve">wprowadzenie w 2020 r. </w:t>
      </w:r>
      <w:r w:rsidR="00744221">
        <w:t xml:space="preserve">i 2022 r. </w:t>
      </w:r>
      <w:r w:rsidRPr="00ED7737">
        <w:t xml:space="preserve">funduszu przeznaczonego na dodatki zadaniowe w korpusie służby </w:t>
      </w:r>
      <w:r w:rsidR="00A92B80">
        <w:t xml:space="preserve">cywilnej </w:t>
      </w:r>
      <w:r w:rsidRPr="00ED7737">
        <w:t>oraz dodatki specjalne w grupie funkcjonariuszy,</w:t>
      </w:r>
    </w:p>
    <w:p w:rsidR="00212299" w:rsidRDefault="00ED7737" w:rsidP="005078F2">
      <w:pPr>
        <w:pStyle w:val="ZLITLITwPKTzmlitwpktliter"/>
        <w:ind w:left="1418" w:hanging="425"/>
      </w:pPr>
      <w:r w:rsidRPr="00ED7737">
        <w:t>4)</w:t>
      </w:r>
      <w:r w:rsidRPr="00ED7737">
        <w:tab/>
        <w:t xml:space="preserve">ujęcie w 2020 r. </w:t>
      </w:r>
      <w:r w:rsidR="00744221">
        <w:t xml:space="preserve">i 2022 r. </w:t>
      </w:r>
      <w:r w:rsidRPr="00ED7737">
        <w:t xml:space="preserve">w planach finansowych jednostek organizacyjnych KAS dodatków za służbę w porze nocnej i uposażeń za przedłużony czas służby oraz </w:t>
      </w:r>
      <w:r w:rsidR="00A7473E">
        <w:t>w latach 2020</w:t>
      </w:r>
      <w:r w:rsidR="00653FC6">
        <w:t>–</w:t>
      </w:r>
      <w:r w:rsidR="00A7473E">
        <w:t xml:space="preserve">2022 </w:t>
      </w:r>
      <w:r w:rsidRPr="00ED7737">
        <w:t>środków na nagrody jubileuszowe i odprawy emerytalne i rentowe dla funkcjonariuszy</w:t>
      </w:r>
      <w:r w:rsidR="000E5E8A">
        <w:t>,</w:t>
      </w:r>
    </w:p>
    <w:p w:rsidR="00212299" w:rsidRPr="00212299" w:rsidRDefault="00212299" w:rsidP="005078F2">
      <w:pPr>
        <w:pStyle w:val="ZLITLITwPKTzmlitwpktliter"/>
        <w:ind w:left="1418" w:hanging="425"/>
      </w:pPr>
      <w:r w:rsidRPr="00212299">
        <w:t>5)</w:t>
      </w:r>
      <w:r w:rsidRPr="00212299">
        <w:tab/>
        <w:t>wymiana (budowa lub zakup) minimum sześciu stacjonarnych skanerów rtg na przejściach granicznych,</w:t>
      </w:r>
    </w:p>
    <w:p w:rsidR="00212299" w:rsidRPr="00212299" w:rsidRDefault="00212299" w:rsidP="005078F2">
      <w:pPr>
        <w:pStyle w:val="ZLITLITwPKTzmlitwpktliter"/>
        <w:ind w:left="1418" w:hanging="425"/>
      </w:pPr>
      <w:r w:rsidRPr="00212299">
        <w:t>6)</w:t>
      </w:r>
      <w:r w:rsidRPr="00212299">
        <w:tab/>
        <w:t>doposażenie funkcjonariuszy i pracowników realizujących zadani</w:t>
      </w:r>
      <w:r>
        <w:t>a kontroli celno-</w:t>
      </w:r>
      <w:r w:rsidRPr="00212299">
        <w:t>skarbowej w pojazdy, sprzęt do kontroli (z wyjątkiem skanerów rtg) i inne składniki – docelowo na poziomie przewidzianym w</w:t>
      </w:r>
      <w:r w:rsidR="000D2890">
        <w:t> </w:t>
      </w:r>
      <w:r w:rsidRPr="00212299">
        <w:t>wewnętrznych standardach KAS dotyczących wyposażenia w sprzęt i</w:t>
      </w:r>
      <w:r w:rsidR="000D2890">
        <w:t> </w:t>
      </w:r>
      <w:r w:rsidRPr="00212299">
        <w:t>pojazdy służące kontroli celno-skarbowej,</w:t>
      </w:r>
    </w:p>
    <w:p w:rsidR="00212299" w:rsidRPr="00212299" w:rsidRDefault="00212299" w:rsidP="005078F2">
      <w:pPr>
        <w:pStyle w:val="ZLITLITwPKTzmlitwpktliter"/>
        <w:ind w:left="1418" w:hanging="425"/>
      </w:pPr>
      <w:r w:rsidRPr="00212299">
        <w:t>7)</w:t>
      </w:r>
      <w:r w:rsidRPr="00212299">
        <w:tab/>
        <w:t>zrealizowanie zadań inwestycyjnych w zakresie budowy lub przebudowy budynków biurowych dla trzech budynków – siedzib urzędów skarbowych, dwóch – urzędów celno</w:t>
      </w:r>
      <w:r w:rsidR="00B32FD9">
        <w:t>-</w:t>
      </w:r>
      <w:r w:rsidRPr="00212299">
        <w:t>skarbowych i jednego – budynku magazynowo</w:t>
      </w:r>
      <w:r w:rsidR="005B015F">
        <w:noBreakHyphen/>
      </w:r>
      <w:r w:rsidRPr="00212299">
        <w:t>garażowego oraz zakupu nieruchomości (budynek i grunt) w celu rezygnacji z najmu powierzchni biurowych w śródmiejskich dzielnicach Warszawy,</w:t>
      </w:r>
    </w:p>
    <w:p w:rsidR="00212299" w:rsidRPr="00212299" w:rsidRDefault="00212299" w:rsidP="005078F2">
      <w:pPr>
        <w:pStyle w:val="ZLITLITwPKTzmlitwpktliter"/>
        <w:ind w:left="1418" w:hanging="425"/>
      </w:pPr>
      <w:r w:rsidRPr="00212299">
        <w:t>8)</w:t>
      </w:r>
      <w:r w:rsidRPr="00212299">
        <w:tab/>
        <w:t>zrealizowanie zadania inwestycyjnego dla zapasowego ośrodka obliczeniowego – zakup nieruchomości gruntowej ze znaczną dostępnością do zróżnicowanej infrastruktury towarzyszącej oraz budowa budynku o charakterze technicznym,</w:t>
      </w:r>
    </w:p>
    <w:p w:rsidR="00ED7737" w:rsidRDefault="00212299" w:rsidP="005078F2">
      <w:pPr>
        <w:pStyle w:val="ZLITLITwPKTzmlitwpktliter"/>
        <w:ind w:left="1418" w:hanging="425"/>
      </w:pPr>
      <w:r w:rsidRPr="00212299">
        <w:t>9)</w:t>
      </w:r>
      <w:r w:rsidRPr="00212299">
        <w:tab/>
        <w:t>modernizacja i rozbudowa sieci lokalnych (LAN) w obiektach jednostek organizacyjnych KAS – w zakresie dotyczącym co najmniej 100 obiektów lub większej ich liczby w zależności od kształtowania się cen na rynku usług budowlanych.</w:t>
      </w:r>
      <w:r w:rsidR="00BB2CB4" w:rsidRPr="00ED7737">
        <w:t>”</w:t>
      </w:r>
      <w:r w:rsidR="00BB2CB4">
        <w:t>,</w:t>
      </w:r>
    </w:p>
    <w:p w:rsidR="006B3AD3" w:rsidRPr="00A27A7A" w:rsidRDefault="00A27A7A" w:rsidP="00D5013B">
      <w:pPr>
        <w:pStyle w:val="LITlitera"/>
        <w:keepNext/>
        <w:keepLines/>
      </w:pPr>
      <w:r>
        <w:t>b)</w:t>
      </w:r>
      <w:r w:rsidR="00ED7737" w:rsidRPr="00A27A7A">
        <w:tab/>
        <w:t xml:space="preserve">w </w:t>
      </w:r>
      <w:r w:rsidR="003576DC" w:rsidRPr="00A27A7A">
        <w:t xml:space="preserve">pkt </w:t>
      </w:r>
      <w:r w:rsidR="00ED7737" w:rsidRPr="00A27A7A">
        <w:t>III „</w:t>
      </w:r>
      <w:r w:rsidR="00ED7737" w:rsidRPr="00A27A7A">
        <w:rPr>
          <w:rStyle w:val="Ppogrubienie"/>
          <w:b w:val="0"/>
        </w:rPr>
        <w:t>Priorytety i kierunki Programu</w:t>
      </w:r>
      <w:r w:rsidR="00ED7737" w:rsidRPr="00A27A7A">
        <w:t>”</w:t>
      </w:r>
      <w:r w:rsidR="006B3AD3" w:rsidRPr="00A27A7A">
        <w:t>:</w:t>
      </w:r>
    </w:p>
    <w:p w:rsidR="00D36519" w:rsidRPr="00A27A7A" w:rsidRDefault="006B3AD3" w:rsidP="00A27A7A">
      <w:pPr>
        <w:pStyle w:val="TIRtiret"/>
      </w:pPr>
      <w:r w:rsidRPr="00A27A7A">
        <w:t>–</w:t>
      </w:r>
      <w:r w:rsidR="00D707D8" w:rsidRPr="00A27A7A">
        <w:tab/>
      </w:r>
      <w:r w:rsidR="00ED7737" w:rsidRPr="00A27A7A">
        <w:t xml:space="preserve">w </w:t>
      </w:r>
      <w:r w:rsidR="003576DC" w:rsidRPr="00A27A7A">
        <w:t>p</w:t>
      </w:r>
      <w:r w:rsidR="00ED7737" w:rsidRPr="00A27A7A">
        <w:t>pkt 1 „</w:t>
      </w:r>
      <w:r w:rsidR="00ED7737" w:rsidRPr="00A27A7A">
        <w:rPr>
          <w:rStyle w:val="PKpogrubieniekursywa"/>
          <w:b w:val="0"/>
          <w:i w:val="0"/>
        </w:rPr>
        <w:t>Priorytet I wraz z kierunkami wydatkowania środków na realizację Programu</w:t>
      </w:r>
      <w:r w:rsidR="00ED7737" w:rsidRPr="00A27A7A">
        <w:t>”</w:t>
      </w:r>
      <w:r w:rsidR="00D36519" w:rsidRPr="00A27A7A">
        <w:t>:</w:t>
      </w:r>
    </w:p>
    <w:p w:rsidR="00216B7D" w:rsidRDefault="00A27A7A" w:rsidP="006E2719">
      <w:pPr>
        <w:pStyle w:val="2TIRpodwjnytiret"/>
        <w:keepNext/>
        <w:keepLines/>
      </w:pPr>
      <w:r w:rsidRPr="00A27A7A">
        <w:t>–</w:t>
      </w:r>
      <w:r>
        <w:t xml:space="preserve"> </w:t>
      </w:r>
      <w:r w:rsidRPr="00A27A7A">
        <w:t>–</w:t>
      </w:r>
      <w:r w:rsidR="00D36519">
        <w:tab/>
        <w:t xml:space="preserve">akapit drugi </w:t>
      </w:r>
      <w:r w:rsidR="00216B7D">
        <w:t>otrzymuje brzmienie:</w:t>
      </w:r>
    </w:p>
    <w:p w:rsidR="00ED7737" w:rsidRPr="00ED7737" w:rsidRDefault="00ED7737" w:rsidP="00312DBF">
      <w:pPr>
        <w:pStyle w:val="Z2TIRFRAGMzmnpwprdowyliczeniapodwjnymtiret"/>
      </w:pPr>
      <w:r w:rsidRPr="00ED7737">
        <w:t xml:space="preserve">„Modernizacja systemu wynagrodzeń i uposażeń w KAS w </w:t>
      </w:r>
      <w:r w:rsidR="00A7473E">
        <w:t xml:space="preserve">latach </w:t>
      </w:r>
      <w:r w:rsidR="005078F2">
        <w:br/>
      </w:r>
      <w:r w:rsidRPr="00ED7737">
        <w:t>2020</w:t>
      </w:r>
      <w:r w:rsidR="005078F2">
        <w:t>–</w:t>
      </w:r>
      <w:r w:rsidR="008B3E29">
        <w:t>202</w:t>
      </w:r>
      <w:r w:rsidR="00A7473E">
        <w:t>2</w:t>
      </w:r>
      <w:r w:rsidR="00416F6E">
        <w:t xml:space="preserve"> </w:t>
      </w:r>
      <w:r w:rsidRPr="00ED7737">
        <w:t xml:space="preserve">wyniesie według przyjętych założeń </w:t>
      </w:r>
      <w:r w:rsidR="0082127A" w:rsidRPr="00A55D22">
        <w:rPr>
          <w:rStyle w:val="Ppogrubienie"/>
        </w:rPr>
        <w:t>694</w:t>
      </w:r>
      <w:r w:rsidR="00A55D22">
        <w:rPr>
          <w:rStyle w:val="Ppogrubienie"/>
        </w:rPr>
        <w:t>.</w:t>
      </w:r>
      <w:r w:rsidR="0082127A" w:rsidRPr="00A55D22">
        <w:rPr>
          <w:rStyle w:val="Ppogrubienie"/>
        </w:rPr>
        <w:t>293</w:t>
      </w:r>
      <w:r w:rsidRPr="00A55D22">
        <w:rPr>
          <w:rStyle w:val="Ppogrubienie"/>
        </w:rPr>
        <w:t xml:space="preserve"> tys. zł</w:t>
      </w:r>
      <w:r w:rsidRPr="00ED7737">
        <w:t>, z czego sfinansowane zostaną:</w:t>
      </w:r>
    </w:p>
    <w:p w:rsidR="00ED7737" w:rsidRPr="00ED7737" w:rsidRDefault="00ED7737" w:rsidP="00C16A15">
      <w:pPr>
        <w:pStyle w:val="Z2TIRLITzmlitpodwjnymtiret"/>
      </w:pPr>
      <w:r w:rsidRPr="00ED7737">
        <w:t>a)</w:t>
      </w:r>
      <w:r w:rsidRPr="00ED7737">
        <w:tab/>
      </w:r>
      <w:r w:rsidR="000E5E8A">
        <w:t xml:space="preserve">w 2020 r. </w:t>
      </w:r>
      <w:r w:rsidRPr="00ED7737">
        <w:t>podwyżki wynagrodzeń dla pracowników korpusu służby cywilnej i pracowników spoza korpusu oraz uposażeń dla funkcjonariuszy</w:t>
      </w:r>
      <w:r w:rsidR="005E34C9">
        <w:t xml:space="preserve"> (w tym </w:t>
      </w:r>
      <w:r w:rsidR="008B79F9">
        <w:t xml:space="preserve">z przeznaczeniem na </w:t>
      </w:r>
      <w:r w:rsidR="00467BAB" w:rsidRPr="00467BAB">
        <w:t xml:space="preserve">dopełnienie 3% wzrostu wynagrodzeń </w:t>
      </w:r>
      <w:r w:rsidR="003324E3" w:rsidRPr="00467BAB">
        <w:t>i</w:t>
      </w:r>
      <w:r w:rsidR="003324E3">
        <w:t> </w:t>
      </w:r>
      <w:r w:rsidR="005B015F">
        <w:t xml:space="preserve">uposażeń </w:t>
      </w:r>
      <w:r w:rsidR="008B79F9">
        <w:t xml:space="preserve">w ramach wzrostu </w:t>
      </w:r>
      <w:r w:rsidR="00467BAB" w:rsidRPr="00467BAB">
        <w:t>o 6% kwoty bazowej dla osób objętych mnożnikowymi systemami wynagrodzeń oraz o 6% wzrostu wynagrodzeń osób objętych i nieobjętych mnożnikowymi systemami wynagrodzeń</w:t>
      </w:r>
      <w:r w:rsidR="00467BAB">
        <w:t xml:space="preserve"> zgodnie z ustawą budżetową na </w:t>
      </w:r>
      <w:r w:rsidR="00862849">
        <w:t xml:space="preserve">rok </w:t>
      </w:r>
      <w:r w:rsidR="00467BAB">
        <w:t xml:space="preserve">2020 </w:t>
      </w:r>
      <w:r w:rsidR="00453053">
        <w:t>z dnia 14 lutego 202</w:t>
      </w:r>
      <w:r w:rsidR="00CE76BF">
        <w:t>0</w:t>
      </w:r>
      <w:r w:rsidR="00453053">
        <w:t xml:space="preserve"> r. (Dz. U. </w:t>
      </w:r>
      <w:r w:rsidR="00034E36">
        <w:t>poz</w:t>
      </w:r>
      <w:r w:rsidR="003324E3">
        <w:t>. </w:t>
      </w:r>
      <w:r w:rsidR="00034E36">
        <w:t>571 i 1919</w:t>
      </w:r>
      <w:r w:rsidR="005E34C9">
        <w:t>)</w:t>
      </w:r>
      <w:r w:rsidR="005B015F">
        <w:t>)</w:t>
      </w:r>
      <w:r w:rsidRPr="00ED7737">
        <w:t xml:space="preserve">, uwzględniające oprócz zwiększenia składników wynagrodzeń </w:t>
      </w:r>
      <w:r w:rsidR="00653FC6" w:rsidRPr="00ED7737">
        <w:t>i</w:t>
      </w:r>
      <w:r w:rsidR="00653FC6">
        <w:t> </w:t>
      </w:r>
      <w:r w:rsidRPr="00ED7737">
        <w:t xml:space="preserve">uposażeń (w tym również odpisów na fundusze nagród za szczególne osiągnięcia) oraz pochodnych (składek na ubezpieczenie społeczne </w:t>
      </w:r>
      <w:r w:rsidR="00653FC6" w:rsidRPr="00ED7737">
        <w:t>i</w:t>
      </w:r>
      <w:r w:rsidR="00653FC6">
        <w:t> </w:t>
      </w:r>
      <w:r w:rsidRPr="00ED7737">
        <w:t xml:space="preserve">Fundusz Pracy </w:t>
      </w:r>
      <w:r w:rsidR="000D2890" w:rsidRPr="00ED7737">
        <w:t>w</w:t>
      </w:r>
      <w:r w:rsidR="000D2890">
        <w:t> </w:t>
      </w:r>
      <w:r w:rsidRPr="00ED7737">
        <w:t>odniesieniu do pracowników) – również zmianę modelu dodatków kontrolerskich,</w:t>
      </w:r>
    </w:p>
    <w:p w:rsidR="00ED7737" w:rsidRPr="00ED7737" w:rsidRDefault="00ED7737" w:rsidP="00C16A15">
      <w:pPr>
        <w:pStyle w:val="Z2TIRLITzmlitpodwjnymtiret"/>
      </w:pPr>
      <w:r w:rsidRPr="00ED7737">
        <w:t>b)</w:t>
      </w:r>
      <w:r w:rsidRPr="00ED7737">
        <w:tab/>
      </w:r>
      <w:r w:rsidR="008B3E29" w:rsidRPr="008B3E29">
        <w:t xml:space="preserve">w 2021 r. nagrody roczne i dodatkowe wynagrodzenie roczne wraz </w:t>
      </w:r>
      <w:r w:rsidR="00653FC6" w:rsidRPr="008B3E29">
        <w:t>z</w:t>
      </w:r>
      <w:r w:rsidR="00653FC6">
        <w:t> </w:t>
      </w:r>
      <w:r w:rsidR="008B3E29" w:rsidRPr="008B3E29">
        <w:t>pochodnymi</w:t>
      </w:r>
      <w:r w:rsidR="00416F6E">
        <w:t>,</w:t>
      </w:r>
      <w:r w:rsidR="008B3E29" w:rsidRPr="008B3E29">
        <w:t xml:space="preserve"> a w 2022 r. –</w:t>
      </w:r>
      <w:r w:rsidR="00CD6C5D">
        <w:t xml:space="preserve"> d</w:t>
      </w:r>
      <w:r w:rsidR="008B3E29" w:rsidRPr="008B3E29">
        <w:t>alsze podwyżki wynagrodzeń i uposażeń oraz związane z tymi podwyżkami skutki wzro</w:t>
      </w:r>
      <w:r w:rsidR="008B3E29">
        <w:t xml:space="preserve">stu odpisów na fundusze nagród </w:t>
      </w:r>
      <w:r w:rsidR="008B3E29" w:rsidRPr="008B3E29">
        <w:t xml:space="preserve">oraz pochodnych – składek na ubezpieczenie społeczne </w:t>
      </w:r>
      <w:r w:rsidR="00653FC6" w:rsidRPr="008B3E29">
        <w:t>i</w:t>
      </w:r>
      <w:r w:rsidR="00653FC6">
        <w:t> </w:t>
      </w:r>
      <w:r w:rsidR="008B3E29" w:rsidRPr="008B3E29">
        <w:t>Fundusz Pracy,</w:t>
      </w:r>
      <w:r w:rsidR="008B3E29">
        <w:t xml:space="preserve"> </w:t>
      </w:r>
    </w:p>
    <w:p w:rsidR="00ED7737" w:rsidRPr="00ED7737" w:rsidRDefault="00ED7737" w:rsidP="00C16A15">
      <w:pPr>
        <w:pStyle w:val="Z2TIRLITzmlitpodwjnymtiret"/>
      </w:pPr>
      <w:r w:rsidRPr="00ED7737">
        <w:t>c)</w:t>
      </w:r>
      <w:r w:rsidRPr="00ED7737">
        <w:tab/>
      </w:r>
      <w:r w:rsidR="008B3E29">
        <w:t>w 2020</w:t>
      </w:r>
      <w:r w:rsidR="00116AE6">
        <w:t xml:space="preserve"> r.</w:t>
      </w:r>
      <w:r w:rsidR="00A7473E">
        <w:t xml:space="preserve"> i </w:t>
      </w:r>
      <w:r w:rsidR="008B3E29" w:rsidRPr="008B3E29">
        <w:t>2022</w:t>
      </w:r>
      <w:r w:rsidR="00CD6C5D">
        <w:t xml:space="preserve"> </w:t>
      </w:r>
      <w:r w:rsidR="00116AE6">
        <w:t xml:space="preserve">r. </w:t>
      </w:r>
      <w:r w:rsidR="008B3E29" w:rsidRPr="008B3E29">
        <w:t>fundusze dodatków zadaniowych i specjalnych</w:t>
      </w:r>
      <w:r w:rsidRPr="00ED7737">
        <w:t xml:space="preserve">, </w:t>
      </w:r>
    </w:p>
    <w:p w:rsidR="008B3E29" w:rsidRDefault="00ED7737" w:rsidP="00C16A15">
      <w:pPr>
        <w:pStyle w:val="Z2TIRLITzmlitpodwjnymtiret"/>
      </w:pPr>
      <w:r w:rsidRPr="00ED7737">
        <w:t>d)</w:t>
      </w:r>
      <w:r w:rsidRPr="00ED7737">
        <w:tab/>
      </w:r>
      <w:r w:rsidR="008B3E29" w:rsidRPr="008B3E29">
        <w:t xml:space="preserve">w 2020 r. i 2022 r. dodatki za służbę w porze nocnej i uposażenia </w:t>
      </w:r>
      <w:r w:rsidR="00653FC6" w:rsidRPr="008B3E29">
        <w:t>za</w:t>
      </w:r>
      <w:r w:rsidR="00653FC6">
        <w:t> </w:t>
      </w:r>
      <w:r w:rsidR="008B3E29" w:rsidRPr="008B3E29">
        <w:t>przedłużony czas służby funkcjonariuszy</w:t>
      </w:r>
      <w:r w:rsidR="008B3E29">
        <w:t>,</w:t>
      </w:r>
    </w:p>
    <w:p w:rsidR="00666C90" w:rsidRDefault="008B3E29" w:rsidP="00312DBF">
      <w:pPr>
        <w:pStyle w:val="Z2TIRLITzmlitpodwjnymtiret"/>
      </w:pPr>
      <w:r>
        <w:t>e)</w:t>
      </w:r>
      <w:r>
        <w:tab/>
      </w:r>
      <w:r w:rsidRPr="008B3E29">
        <w:t xml:space="preserve">w </w:t>
      </w:r>
      <w:r w:rsidR="00A7473E">
        <w:t xml:space="preserve">latach </w:t>
      </w:r>
      <w:r w:rsidRPr="008B3E29">
        <w:t>2020</w:t>
      </w:r>
      <w:r w:rsidR="004335B1">
        <w:t>–</w:t>
      </w:r>
      <w:r w:rsidRPr="008B3E29">
        <w:t xml:space="preserve">2022 </w:t>
      </w:r>
      <w:r w:rsidR="00ED7737" w:rsidRPr="00ED7737">
        <w:t xml:space="preserve">nagrody jubileuszowe oraz odprawy emerytalne </w:t>
      </w:r>
      <w:r w:rsidR="003324E3" w:rsidRPr="00ED7737">
        <w:t>i</w:t>
      </w:r>
      <w:r w:rsidR="003324E3">
        <w:t> </w:t>
      </w:r>
      <w:r w:rsidR="00ED7737" w:rsidRPr="00ED7737">
        <w:t>rentowe funkcjonariuszy</w:t>
      </w:r>
      <w:r w:rsidR="00ED7737">
        <w:t>.</w:t>
      </w:r>
      <w:r w:rsidR="00D36519" w:rsidRPr="00666C90">
        <w:t>”</w:t>
      </w:r>
      <w:r w:rsidR="00D36519">
        <w:t>,</w:t>
      </w:r>
    </w:p>
    <w:p w:rsidR="00BB2CB4" w:rsidRDefault="00A27A7A" w:rsidP="00312DBF">
      <w:pPr>
        <w:pStyle w:val="2TIRpodwjnytiret"/>
      </w:pPr>
      <w:r w:rsidRPr="00A27A7A">
        <w:t>–</w:t>
      </w:r>
      <w:r>
        <w:t xml:space="preserve"> </w:t>
      </w:r>
      <w:r w:rsidRPr="00A27A7A">
        <w:t>–</w:t>
      </w:r>
      <w:r w:rsidR="00312DBF">
        <w:tab/>
      </w:r>
      <w:r w:rsidR="00D36519">
        <w:t>p</w:t>
      </w:r>
      <w:r w:rsidR="00D36519" w:rsidRPr="00D36519">
        <w:t xml:space="preserve">o akapicie trzecim </w:t>
      </w:r>
      <w:r w:rsidR="00BB2CB4">
        <w:t xml:space="preserve">dodaje się akapit </w:t>
      </w:r>
      <w:r w:rsidR="00556D83">
        <w:t xml:space="preserve">w </w:t>
      </w:r>
      <w:r w:rsidR="00BB2CB4">
        <w:t>brzmieniu:</w:t>
      </w:r>
    </w:p>
    <w:p w:rsidR="00ED7737" w:rsidRDefault="00312DBF" w:rsidP="00C16A15">
      <w:pPr>
        <w:pStyle w:val="Z2TIRFRAGMzmnpwprdowyliczeniapodwjnymtiret"/>
      </w:pPr>
      <w:r w:rsidRPr="00ED7737">
        <w:t>„</w:t>
      </w:r>
      <w:r w:rsidR="00666C90" w:rsidRPr="00666C90">
        <w:t>W związku z przyjętą koncepcją wdrożenia nowego modelu IT – „Integracja usług informatycznych” w zakresie dotyczącym migracji pracowników izb administracji skarbowych, Krajowej Informacji Skarbowej</w:t>
      </w:r>
      <w:r w:rsidR="00BB2CB4">
        <w:t xml:space="preserve"> i</w:t>
      </w:r>
      <w:r w:rsidR="00666C90" w:rsidRPr="00666C90">
        <w:t xml:space="preserve"> Krajowej Szkoły Skarbowości do Centrum Informatyki Resortu Finansów z dniem 1 stycznia 2021 r., skutki finansowe Programu od roku 2021 (związane </w:t>
      </w:r>
      <w:r w:rsidR="003324E3" w:rsidRPr="00666C90">
        <w:t>z</w:t>
      </w:r>
      <w:r w:rsidR="003324E3">
        <w:t> </w:t>
      </w:r>
      <w:r w:rsidR="00666C90" w:rsidRPr="00666C90">
        <w:t>podwyżkami wynagrodzeń</w:t>
      </w:r>
      <w:r w:rsidR="00C90C7C">
        <w:t>/uposażeń</w:t>
      </w:r>
      <w:r w:rsidR="00666C90" w:rsidRPr="00666C90">
        <w:t xml:space="preserve"> zrealizowanymi w roku 2020) będą dotyczyć również pracowników</w:t>
      </w:r>
      <w:r w:rsidR="00C90C7C">
        <w:t>/funkcjonariuszy</w:t>
      </w:r>
      <w:r w:rsidR="00666C90" w:rsidRPr="00666C90">
        <w:t xml:space="preserve"> KAS, których obejmie migracja do </w:t>
      </w:r>
      <w:r w:rsidR="00BB2CB4" w:rsidRPr="00BB2CB4">
        <w:t>Centrum Informatyki Resortu Finansów</w:t>
      </w:r>
      <w:r w:rsidR="00BB2CB4">
        <w:t>.</w:t>
      </w:r>
      <w:r w:rsidR="00666C90" w:rsidRPr="00666C90">
        <w:t>”</w:t>
      </w:r>
      <w:r w:rsidR="00ED7737">
        <w:t>,</w:t>
      </w:r>
    </w:p>
    <w:p w:rsidR="00ED7737" w:rsidRDefault="00A27A7A" w:rsidP="005078F2">
      <w:pPr>
        <w:pStyle w:val="2TIRpodwjnytiret"/>
        <w:keepNext/>
        <w:keepLines/>
      </w:pPr>
      <w:r w:rsidRPr="00A27A7A">
        <w:t>–</w:t>
      </w:r>
      <w:r>
        <w:t xml:space="preserve"> </w:t>
      </w:r>
      <w:r w:rsidRPr="00A27A7A">
        <w:t>–</w:t>
      </w:r>
      <w:r w:rsidR="00312DBF">
        <w:tab/>
      </w:r>
      <w:r w:rsidR="00ED7737">
        <w:t xml:space="preserve">akapit </w:t>
      </w:r>
      <w:r w:rsidR="00D36519">
        <w:t>siódmy i ósmy</w:t>
      </w:r>
      <w:r w:rsidR="00BB2CB4">
        <w:t xml:space="preserve"> </w:t>
      </w:r>
      <w:r w:rsidR="00ED7737">
        <w:t>otrzymuj</w:t>
      </w:r>
      <w:r w:rsidR="00BB2CB4">
        <w:t>ą</w:t>
      </w:r>
      <w:r w:rsidR="00ED7737">
        <w:t xml:space="preserve"> brzmienie:</w:t>
      </w:r>
    </w:p>
    <w:p w:rsidR="00ED7737" w:rsidRDefault="00312DBF" w:rsidP="00C16A15">
      <w:pPr>
        <w:pStyle w:val="Z2TIRFRAGMzmnpwprdowyliczeniapodwjnymtiret"/>
      </w:pPr>
      <w:r w:rsidRPr="00ED7737">
        <w:t>„</w:t>
      </w:r>
      <w:r w:rsidR="00ED7737" w:rsidRPr="00ED7737">
        <w:t xml:space="preserve">Oczekiwania płacowe pracowników i funkcjonariuszy KAS kształtują jednak </w:t>
      </w:r>
      <w:r w:rsidR="003324E3" w:rsidRPr="00ED7737">
        <w:t>w</w:t>
      </w:r>
      <w:r w:rsidR="003324E3">
        <w:t> </w:t>
      </w:r>
      <w:r w:rsidR="00ED7737" w:rsidRPr="00ED7737">
        <w:t xml:space="preserve">największym stopniu podwyżki w innych służbach mundurowych państwa; te zaś uzyskały oprócz podwyżki 655 zł brutto miesięcznie </w:t>
      </w:r>
      <w:r w:rsidR="00AD5F74" w:rsidRPr="00ED7737">
        <w:t>w</w:t>
      </w:r>
      <w:r w:rsidR="00D234C0">
        <w:t> </w:t>
      </w:r>
      <w:r w:rsidR="00AD5F74" w:rsidRPr="00ED7737">
        <w:t>2019</w:t>
      </w:r>
      <w:r w:rsidR="00AD5F74">
        <w:t> </w:t>
      </w:r>
      <w:r w:rsidR="00ED7737" w:rsidRPr="00ED7737">
        <w:t xml:space="preserve">r. – dodatkowo 500 zł brutto miesięcznie w 2020 r. Z tego względu Szef Krajowej Administracji Skarbowej, zwany dalej „Szefem KAS”, podpisał w dniu 21 listopada 2018 r. </w:t>
      </w:r>
      <w:r w:rsidR="003324E3" w:rsidRPr="00ED7737">
        <w:t>z</w:t>
      </w:r>
      <w:r w:rsidR="003324E3">
        <w:t> </w:t>
      </w:r>
      <w:r w:rsidR="00ED7737" w:rsidRPr="00ED7737">
        <w:t xml:space="preserve">przedstawicielami organizacji związków zawodowych działających w KAS Porozumienie, w którym określono, że podwyżki wynagrodzeń i uposażeń </w:t>
      </w:r>
      <w:r w:rsidR="003324E3" w:rsidRPr="00ED7737">
        <w:t>w</w:t>
      </w:r>
      <w:r w:rsidR="003324E3">
        <w:t> </w:t>
      </w:r>
      <w:r w:rsidR="00ED7737" w:rsidRPr="00ED7737">
        <w:t>KAS w 2020 r. nie będą niższe niż uzgodnione przez inne służby mundurowe.</w:t>
      </w:r>
    </w:p>
    <w:p w:rsidR="006D01AB" w:rsidRDefault="00ED7737" w:rsidP="00C16A15">
      <w:pPr>
        <w:pStyle w:val="Z2TIRFRAGMzmnpwprdowyliczeniapodwjnymtiret"/>
      </w:pPr>
      <w:r w:rsidRPr="00ED7737">
        <w:t>Podwyżki</w:t>
      </w:r>
      <w:r>
        <w:t>,</w:t>
      </w:r>
      <w:r w:rsidRPr="00ED7737">
        <w:t xml:space="preserve"> z uwagi na fakt, że z uposażeń funkcjonariuszy nie są od 2018</w:t>
      </w:r>
      <w:r>
        <w:t> </w:t>
      </w:r>
      <w:r w:rsidRPr="00ED7737">
        <w:t>r. pobierane składki na ubezpieczenie emerytalno-rentowe</w:t>
      </w:r>
      <w:r>
        <w:t>,</w:t>
      </w:r>
      <w:r w:rsidRPr="00ED7737">
        <w:t xml:space="preserve"> będą zróżnicowane pomiędzy grupą pracowników a grupą funkcjonariuszy.</w:t>
      </w:r>
      <w:r w:rsidR="00C16A15" w:rsidRPr="00C16A15">
        <w:t>”,</w:t>
      </w:r>
    </w:p>
    <w:p w:rsidR="00C16A15" w:rsidRPr="00C16A15" w:rsidRDefault="00A27A7A" w:rsidP="00C16A15">
      <w:pPr>
        <w:pStyle w:val="2TIRpodwjnytiret"/>
      </w:pPr>
      <w:r w:rsidRPr="00A27A7A">
        <w:t>–</w:t>
      </w:r>
      <w:r>
        <w:t xml:space="preserve"> </w:t>
      </w:r>
      <w:r w:rsidRPr="00A27A7A">
        <w:t>–</w:t>
      </w:r>
      <w:r w:rsidR="00312DBF">
        <w:tab/>
      </w:r>
      <w:r w:rsidR="00C16A15">
        <w:t>w akapicie szesnastym lit. c otrzymuje brzmienie:</w:t>
      </w:r>
    </w:p>
    <w:p w:rsidR="008B3E29" w:rsidRDefault="008B3E29" w:rsidP="00312DBF">
      <w:pPr>
        <w:pStyle w:val="Z2TIRLITzmlitpodwjnymtiret"/>
      </w:pPr>
      <w:r w:rsidRPr="00ED7737">
        <w:t>„</w:t>
      </w:r>
      <w:r w:rsidRPr="008B3E29">
        <w:t>c)</w:t>
      </w:r>
      <w:r w:rsidRPr="008B3E29">
        <w:tab/>
        <w:t>zapewnienie jednostkom organizacyjnym KAS środków na finansowanie nagród jubile</w:t>
      </w:r>
      <w:r w:rsidR="005078F2">
        <w:t>uszowych oraz odpraw emerytalno</w:t>
      </w:r>
      <w:r w:rsidR="005078F2">
        <w:noBreakHyphen/>
      </w:r>
      <w:r w:rsidRPr="008B3E29">
        <w:t>rentowych dla funkcjonariuszy</w:t>
      </w:r>
      <w:r w:rsidR="008565D5">
        <w:t>,</w:t>
      </w:r>
      <w:r w:rsidRPr="00ED7737">
        <w:t>”</w:t>
      </w:r>
      <w:r>
        <w:t>,</w:t>
      </w:r>
    </w:p>
    <w:p w:rsidR="00653FC6" w:rsidRDefault="00A27A7A" w:rsidP="00C16A15">
      <w:pPr>
        <w:pStyle w:val="2TIRpodwjnytiret"/>
      </w:pPr>
      <w:r w:rsidRPr="00A27A7A">
        <w:t>–</w:t>
      </w:r>
      <w:r>
        <w:t xml:space="preserve"> </w:t>
      </w:r>
      <w:r w:rsidRPr="00A27A7A">
        <w:t>–</w:t>
      </w:r>
      <w:r w:rsidR="00312DBF">
        <w:tab/>
      </w:r>
      <w:r w:rsidR="00C16A15">
        <w:t>akapi</w:t>
      </w:r>
      <w:r w:rsidR="00240BA6">
        <w:t>t</w:t>
      </w:r>
      <w:r w:rsidR="00C16A15">
        <w:t xml:space="preserve"> </w:t>
      </w:r>
      <w:r w:rsidR="00312DBF">
        <w:t>dwudziesty</w:t>
      </w:r>
      <w:r w:rsidR="00C16A15">
        <w:t xml:space="preserve"> </w:t>
      </w:r>
      <w:r w:rsidR="00653FC6">
        <w:t>otrzymuje brzmienie:</w:t>
      </w:r>
    </w:p>
    <w:p w:rsidR="001070B8" w:rsidRPr="005078F2" w:rsidRDefault="00C16A15" w:rsidP="00240BA6">
      <w:pPr>
        <w:pStyle w:val="Z2TIRFRAGMzmnpwprdowyliczeniapodwjnymtiret"/>
        <w:rPr>
          <w:rStyle w:val="Kkursywa"/>
          <w:u w:val="single"/>
        </w:rPr>
      </w:pPr>
      <w:r w:rsidRPr="005078F2">
        <w:rPr>
          <w:u w:val="single"/>
        </w:rPr>
        <w:t>„</w:t>
      </w:r>
      <w:r w:rsidR="001070B8" w:rsidRPr="005078F2">
        <w:rPr>
          <w:rStyle w:val="Kkursywa"/>
          <w:u w:val="single"/>
        </w:rPr>
        <w:t>6) Zapewnienie środków na finansowanie nagród jubileuszowych oraz odpraw emerytalno-rentowych funkcjonariuszom – w ramach funduszu uposażeń</w:t>
      </w:r>
    </w:p>
    <w:p w:rsidR="00C16A15" w:rsidRDefault="00F5437F" w:rsidP="00240BA6">
      <w:pPr>
        <w:pStyle w:val="Z2TIRFRAGMzmnpwprdowyliczeniapodwjnymtiret"/>
      </w:pPr>
      <w:r w:rsidRPr="0093349A">
        <w:t xml:space="preserve">Są one finansowane poza funduszem uposażeń, odmiennie niż </w:t>
      </w:r>
      <w:r w:rsidR="000D2890" w:rsidRPr="0093349A">
        <w:t>w</w:t>
      </w:r>
      <w:r w:rsidR="000D2890">
        <w:t> </w:t>
      </w:r>
      <w:r w:rsidRPr="0093349A">
        <w:t xml:space="preserve">przypadku pracowników korpusu służby cywilnej. </w:t>
      </w:r>
      <w:r w:rsidR="008B3E29" w:rsidRPr="0093349A">
        <w:t>W planach finansowych jednostek organizacyjnych KAS środki na wypłaty na powyższe cele są niewystarczające.</w:t>
      </w:r>
      <w:r w:rsidR="00C16A15" w:rsidRPr="00ED7737">
        <w:t>”</w:t>
      </w:r>
      <w:r w:rsidR="00C16A15">
        <w:t>,</w:t>
      </w:r>
    </w:p>
    <w:p w:rsidR="00A30927" w:rsidRPr="00A27A7A" w:rsidRDefault="00F5437F" w:rsidP="00A27A7A">
      <w:pPr>
        <w:pStyle w:val="TIRtiret"/>
      </w:pPr>
      <w:r w:rsidRPr="00A27A7A">
        <w:t>–</w:t>
      </w:r>
      <w:r w:rsidR="00F71312" w:rsidRPr="00A27A7A">
        <w:tab/>
      </w:r>
      <w:r w:rsidRPr="00A27A7A">
        <w:t xml:space="preserve">w </w:t>
      </w:r>
      <w:r w:rsidR="00223FE3" w:rsidRPr="00A27A7A">
        <w:t>p</w:t>
      </w:r>
      <w:r w:rsidRPr="00A27A7A">
        <w:t xml:space="preserve">pkt 2 </w:t>
      </w:r>
      <w:r w:rsidRPr="00A27A7A">
        <w:rPr>
          <w:rStyle w:val="PKpogrubieniekursywa"/>
          <w:b w:val="0"/>
          <w:i w:val="0"/>
        </w:rPr>
        <w:t>„Priorytet II wraz z kierunkami wydatkowania środków na realizację Programu”</w:t>
      </w:r>
      <w:r w:rsidR="00A30927" w:rsidRPr="00A27A7A">
        <w:t>:</w:t>
      </w:r>
    </w:p>
    <w:p w:rsidR="001C672C" w:rsidRDefault="00A27A7A" w:rsidP="00944AD8">
      <w:pPr>
        <w:pStyle w:val="2TIRpodwjnytiret"/>
      </w:pPr>
      <w:r w:rsidRPr="00A27A7A">
        <w:t>–</w:t>
      </w:r>
      <w:r>
        <w:t xml:space="preserve"> </w:t>
      </w:r>
      <w:r w:rsidRPr="00A27A7A">
        <w:t>–</w:t>
      </w:r>
      <w:r w:rsidR="00944AD8" w:rsidRPr="00944AD8">
        <w:tab/>
      </w:r>
      <w:r w:rsidR="001C672C">
        <w:t xml:space="preserve">w </w:t>
      </w:r>
      <w:r w:rsidR="00944AD8">
        <w:t>akapi</w:t>
      </w:r>
      <w:r w:rsidR="001C672C">
        <w:t>cie</w:t>
      </w:r>
      <w:r w:rsidR="00944AD8">
        <w:t xml:space="preserve"> </w:t>
      </w:r>
      <w:r w:rsidR="001C672C">
        <w:t>pierwszym:</w:t>
      </w:r>
    </w:p>
    <w:p w:rsidR="00944AD8" w:rsidRPr="00944AD8" w:rsidRDefault="00A27A7A" w:rsidP="001C672C">
      <w:pPr>
        <w:pStyle w:val="Z2TIR2TIRzmpodwtirpodwjnymtiret"/>
      </w:pPr>
      <w:r w:rsidRPr="00A27A7A">
        <w:t>–</w:t>
      </w:r>
      <w:r>
        <w:t xml:space="preserve"> </w:t>
      </w:r>
      <w:r w:rsidRPr="00A27A7A">
        <w:t>–</w:t>
      </w:r>
      <w:r>
        <w:t xml:space="preserve"> </w:t>
      </w:r>
      <w:r w:rsidRPr="00A27A7A">
        <w:t>–</w:t>
      </w:r>
      <w:r w:rsidR="00020890">
        <w:tab/>
      </w:r>
      <w:r w:rsidR="001C672C">
        <w:t xml:space="preserve">w </w:t>
      </w:r>
      <w:r w:rsidR="001C672C" w:rsidRPr="00944AD8">
        <w:t xml:space="preserve">lit. </w:t>
      </w:r>
      <w:r w:rsidR="001C672C">
        <w:t>a</w:t>
      </w:r>
      <w:r w:rsidR="001C672C" w:rsidRPr="00944AD8">
        <w:t xml:space="preserve"> </w:t>
      </w:r>
      <w:r w:rsidR="001C672C">
        <w:t>wp</w:t>
      </w:r>
      <w:r w:rsidR="00B01FA2">
        <w:t>rowadzenie</w:t>
      </w:r>
      <w:r w:rsidR="001C672C">
        <w:t xml:space="preserve"> do wyliczenia </w:t>
      </w:r>
      <w:r w:rsidR="00944AD8" w:rsidRPr="00944AD8">
        <w:t>otrzymuje brzmienie:</w:t>
      </w:r>
    </w:p>
    <w:p w:rsidR="00653FC6" w:rsidRDefault="001C672C" w:rsidP="00A27A7A">
      <w:pPr>
        <w:pStyle w:val="Z2TIRFRAGMzmnpwprdowyliczeniapodwjnymtiret"/>
        <w:ind w:left="2410"/>
      </w:pPr>
      <w:r w:rsidRPr="00ED7737">
        <w:t>„</w:t>
      </w:r>
      <w:r w:rsidR="003C04D1">
        <w:t>w</w:t>
      </w:r>
      <w:r w:rsidR="00944AD8">
        <w:t xml:space="preserve">ymianę (budowę, zakup lub modernizację) stacjonarnych skanerów </w:t>
      </w:r>
      <w:r w:rsidR="001104C8">
        <w:t xml:space="preserve">rtg </w:t>
      </w:r>
      <w:r w:rsidR="00944AD8">
        <w:t>na przejściach granicznych</w:t>
      </w:r>
      <w:r w:rsidR="000D2890">
        <w:t>:</w:t>
      </w:r>
      <w:r w:rsidR="00653FC6" w:rsidRPr="00ED7737">
        <w:t>”</w:t>
      </w:r>
      <w:r w:rsidR="00653FC6">
        <w:t>,</w:t>
      </w:r>
    </w:p>
    <w:p w:rsidR="00A30927" w:rsidRDefault="00A27A7A" w:rsidP="006E2719">
      <w:pPr>
        <w:pStyle w:val="Z2TIRFRAGMzmnpwprdowyliczeniapodwjnymtiret"/>
        <w:keepNext/>
        <w:keepLines/>
      </w:pPr>
      <w:r w:rsidRPr="00A27A7A">
        <w:t>–</w:t>
      </w:r>
      <w:r>
        <w:t xml:space="preserve"> </w:t>
      </w:r>
      <w:r w:rsidRPr="00A27A7A">
        <w:t>–</w:t>
      </w:r>
      <w:r>
        <w:t xml:space="preserve"> </w:t>
      </w:r>
      <w:r w:rsidRPr="00A27A7A">
        <w:t>–</w:t>
      </w:r>
      <w:r w:rsidR="00020890">
        <w:tab/>
      </w:r>
      <w:r w:rsidR="00A30927">
        <w:t>lit. b otrzymuje brzmienie:</w:t>
      </w:r>
    </w:p>
    <w:p w:rsidR="002D28C7" w:rsidRDefault="000C67FE" w:rsidP="00A27A7A">
      <w:pPr>
        <w:pStyle w:val="Z2TIRLITzmlitpodwjnymtiret"/>
        <w:ind w:left="2835" w:hanging="425"/>
      </w:pPr>
      <w:r w:rsidRPr="00ED7737">
        <w:t>„</w:t>
      </w:r>
      <w:r w:rsidR="002D28C7" w:rsidRPr="002D28C7">
        <w:t>b)</w:t>
      </w:r>
      <w:r w:rsidR="00A27A7A">
        <w:tab/>
      </w:r>
      <w:r w:rsidR="002D28C7" w:rsidRPr="002D28C7">
        <w:t xml:space="preserve">zakup i wymianę sprzętu transportowego: </w:t>
      </w:r>
    </w:p>
    <w:p w:rsidR="00027F36" w:rsidRPr="00027F36" w:rsidRDefault="00027F36" w:rsidP="00A27A7A">
      <w:pPr>
        <w:pStyle w:val="ZTIRLITwPKTzmlitwpkttiret"/>
        <w:ind w:left="2410" w:firstLine="0"/>
      </w:pPr>
      <w:r w:rsidRPr="007E792E">
        <w:t xml:space="preserve">KAS dokonała szczegółowej analizy </w:t>
      </w:r>
      <w:r w:rsidR="00702E0C">
        <w:t xml:space="preserve">posiadanego parku samochodowego </w:t>
      </w:r>
      <w:r w:rsidRPr="007E792E">
        <w:t>pod kątem optymalnego wykorzystania środków transport</w:t>
      </w:r>
      <w:r w:rsidR="008565D5">
        <w:t xml:space="preserve">u w latach 2020–2022, w wyniku </w:t>
      </w:r>
      <w:r w:rsidRPr="007E792E">
        <w:t xml:space="preserve">której stwierdzono, że </w:t>
      </w:r>
      <w:r w:rsidR="003324E3" w:rsidRPr="007E792E">
        <w:t>w</w:t>
      </w:r>
      <w:r w:rsidR="003324E3">
        <w:t> </w:t>
      </w:r>
      <w:r w:rsidRPr="007E792E">
        <w:t xml:space="preserve">pierwszej kolejności należy dokonać wymiany samochodów zakupionych w latach 1993–2012, oraz tych, których stopień wyeksploatowania nie pozwala na dalsze ich użytkowanie i zagraża bezpieczeństwu pracowników </w:t>
      </w:r>
      <w:r w:rsidR="00653FC6" w:rsidRPr="007E792E">
        <w:t>i</w:t>
      </w:r>
      <w:r w:rsidR="00653FC6">
        <w:t> </w:t>
      </w:r>
      <w:r w:rsidRPr="007E792E">
        <w:t>funkcjonariuszy w wykonywaniu obowiązków służbowych. Wymiana floty samochodowej będzie następować sukcesywnie w latach 2020</w:t>
      </w:r>
      <w:r w:rsidR="005078F2" w:rsidRPr="007E792E">
        <w:t>–</w:t>
      </w:r>
      <w:r w:rsidR="005078F2">
        <w:t>20</w:t>
      </w:r>
      <w:r w:rsidRPr="007E792E">
        <w:t>22, zgodnie z terminem realizacji Programu, w uzgodnieniu z jednostkami terenowymi i przy uwzględnieniu priorytetów zadań</w:t>
      </w:r>
      <w:r w:rsidR="008565D5">
        <w:t>,</w:t>
      </w:r>
      <w:r w:rsidRPr="007E792E">
        <w:t xml:space="preserve"> jakie będą wspierane tym doposażeniem.</w:t>
      </w:r>
    </w:p>
    <w:p w:rsidR="00027F36" w:rsidRPr="00027F36" w:rsidRDefault="00027F36" w:rsidP="00A27A7A">
      <w:pPr>
        <w:pStyle w:val="ZTIRLITwPKTzmlitwpkttiret"/>
        <w:ind w:left="2410" w:firstLine="0"/>
      </w:pPr>
      <w:r w:rsidRPr="007E792E">
        <w:t>W ramach Programu przewidziano zakup w latach 20</w:t>
      </w:r>
      <w:r w:rsidR="00325C7E">
        <w:t>20</w:t>
      </w:r>
      <w:r w:rsidR="008565D5" w:rsidRPr="007E792E">
        <w:t>–</w:t>
      </w:r>
      <w:r w:rsidR="008565D5">
        <w:t>20</w:t>
      </w:r>
      <w:r w:rsidRPr="007E792E">
        <w:t xml:space="preserve">22 około 300 pojazdów w różnych klasyfikacjach rodzajowych, zgodnie </w:t>
      </w:r>
      <w:r w:rsidR="00653FC6" w:rsidRPr="007E792E">
        <w:t>z</w:t>
      </w:r>
      <w:r w:rsidR="00653FC6">
        <w:t> </w:t>
      </w:r>
      <w:r w:rsidRPr="007E792E">
        <w:t>zapotrzebowaniem</w:t>
      </w:r>
      <w:r w:rsidR="004673F5">
        <w:t xml:space="preserve"> złożonym</w:t>
      </w:r>
      <w:r w:rsidRPr="007E792E">
        <w:t xml:space="preserve"> przez </w:t>
      </w:r>
      <w:r w:rsidR="00432CFA">
        <w:t>i</w:t>
      </w:r>
      <w:r w:rsidRPr="007E792E">
        <w:t xml:space="preserve">zby </w:t>
      </w:r>
      <w:r w:rsidR="00432CFA">
        <w:t>a</w:t>
      </w:r>
      <w:r w:rsidRPr="007E792E">
        <w:t xml:space="preserve">dministracji </w:t>
      </w:r>
      <w:r w:rsidR="00432CFA">
        <w:t>s</w:t>
      </w:r>
      <w:r w:rsidRPr="007E792E">
        <w:t>karbowej. Pojazdy przeznaczone będą między innymi dla komórek realizujących zadania kontrolne, logistyki oraz</w:t>
      </w:r>
      <w:r w:rsidR="004673F5">
        <w:t xml:space="preserve"> dla</w:t>
      </w:r>
      <w:r w:rsidRPr="007E792E">
        <w:t xml:space="preserve"> przewodników psów tropiących. Przewiduje się także zakup oznakowanych i nieoznakowanych radiowozów z systemem łączności radiowej. Liczba pojazdów </w:t>
      </w:r>
      <w:r w:rsidR="00653FC6" w:rsidRPr="007E792E">
        <w:t>w</w:t>
      </w:r>
      <w:r w:rsidR="00653FC6">
        <w:t> </w:t>
      </w:r>
      <w:r w:rsidRPr="007E792E">
        <w:t xml:space="preserve">związku z wykorzystaniem mechanizmu prawa opcji </w:t>
      </w:r>
      <w:r w:rsidR="00653FC6" w:rsidRPr="007E792E">
        <w:t>w</w:t>
      </w:r>
      <w:r w:rsidR="00653FC6">
        <w:t> </w:t>
      </w:r>
      <w:r w:rsidRPr="007E792E">
        <w:t>postępowaniu przetargowym może ulec zwiększeniu w zależności od zgłoszonego zapotrzebowania, wyniku postępowania przetargowego i wielkości środków przeznaczonych na to działanie, pozostających w dyspozycji KAS.</w:t>
      </w:r>
    </w:p>
    <w:p w:rsidR="000C67FE" w:rsidRDefault="00027F36" w:rsidP="00A27A7A">
      <w:pPr>
        <w:pStyle w:val="ZTIRLITwPKTzmlitwpkttiret"/>
        <w:ind w:left="2410" w:firstLine="0"/>
      </w:pPr>
      <w:r w:rsidRPr="007E792E">
        <w:t xml:space="preserve">Program przewiduje również doposażenie jednostek zwalczania przestępczości w </w:t>
      </w:r>
      <w:r w:rsidR="00432CFA">
        <w:t>u</w:t>
      </w:r>
      <w:r w:rsidRPr="007E792E">
        <w:t xml:space="preserve">rzędach </w:t>
      </w:r>
      <w:r w:rsidR="00432CFA">
        <w:t>c</w:t>
      </w:r>
      <w:r w:rsidRPr="007E792E">
        <w:t>elno-</w:t>
      </w:r>
      <w:r w:rsidR="00432CFA">
        <w:t>s</w:t>
      </w:r>
      <w:r w:rsidRPr="007E792E">
        <w:t xml:space="preserve">karbowych i Ministerstwie Finansów w pojazdy wyposażone w systemy informatyczne </w:t>
      </w:r>
      <w:r w:rsidR="003324E3" w:rsidRPr="007E792E">
        <w:t>i</w:t>
      </w:r>
      <w:r w:rsidR="003324E3">
        <w:t> </w:t>
      </w:r>
      <w:r w:rsidRPr="007E792E">
        <w:t>łączności, przeznaczone do działań operacyjnych, których liczba, rodzaj i miejsce dostawy, z powodu konieczności zachowania tajemnicy służbowej</w:t>
      </w:r>
      <w:r w:rsidR="008565D5">
        <w:t>,</w:t>
      </w:r>
      <w:r w:rsidRPr="007E792E">
        <w:t xml:space="preserve"> </w:t>
      </w:r>
      <w:r w:rsidR="00653FC6" w:rsidRPr="007E792E">
        <w:t>nie</w:t>
      </w:r>
      <w:r w:rsidR="00653FC6">
        <w:t> </w:t>
      </w:r>
      <w:r w:rsidRPr="007E792E">
        <w:t>podlegają bardziej szczegółowemu opisowi</w:t>
      </w:r>
      <w:r w:rsidR="00555AF2">
        <w:t>,</w:t>
      </w:r>
      <w:r w:rsidR="000C67FE" w:rsidRPr="00ED7737">
        <w:t>”</w:t>
      </w:r>
      <w:r w:rsidR="000C67FE">
        <w:t>,</w:t>
      </w:r>
    </w:p>
    <w:p w:rsidR="00F5437F" w:rsidRDefault="00A27A7A" w:rsidP="00A27A7A">
      <w:pPr>
        <w:pStyle w:val="Z2TIR2TIRzmpodwtirpodwjnymtiret"/>
        <w:ind w:left="2410" w:hanging="630"/>
      </w:pPr>
      <w:r w:rsidRPr="00A27A7A">
        <w:t>–</w:t>
      </w:r>
      <w:r>
        <w:t xml:space="preserve"> </w:t>
      </w:r>
      <w:r w:rsidRPr="00A27A7A">
        <w:t>–</w:t>
      </w:r>
      <w:r>
        <w:t xml:space="preserve"> </w:t>
      </w:r>
      <w:r w:rsidRPr="00A27A7A">
        <w:t>–</w:t>
      </w:r>
      <w:r w:rsidR="00A30927">
        <w:tab/>
      </w:r>
      <w:r w:rsidR="00E21736">
        <w:t xml:space="preserve">w lit. g w zdaniu trzecim kropkę zastępuje się przecinkiem i </w:t>
      </w:r>
      <w:r w:rsidR="004673F5">
        <w:t xml:space="preserve">dodaje się </w:t>
      </w:r>
      <w:r w:rsidR="00F5437F">
        <w:t>lit. h</w:t>
      </w:r>
      <w:r w:rsidR="00E21736">
        <w:t>–</w:t>
      </w:r>
      <w:r w:rsidR="000137D1">
        <w:t xml:space="preserve">k </w:t>
      </w:r>
      <w:r w:rsidR="004673F5">
        <w:t xml:space="preserve">w </w:t>
      </w:r>
      <w:r w:rsidR="00F5437F">
        <w:t>brzmien</w:t>
      </w:r>
      <w:r w:rsidR="004673F5">
        <w:t>iu</w:t>
      </w:r>
      <w:r w:rsidR="00F5437F">
        <w:t>:</w:t>
      </w:r>
    </w:p>
    <w:p w:rsidR="00F5437F" w:rsidRDefault="00F5437F" w:rsidP="005078F2">
      <w:pPr>
        <w:pStyle w:val="Z2TIRLITzmlitpodwjnymtiret"/>
        <w:ind w:left="2835" w:hanging="425"/>
      </w:pPr>
      <w:r w:rsidRPr="00ED7737">
        <w:t>„</w:t>
      </w:r>
      <w:r w:rsidRPr="00F5437F">
        <w:t>h)</w:t>
      </w:r>
      <w:r w:rsidRPr="00F5437F">
        <w:tab/>
      </w:r>
      <w:r w:rsidR="00D234C0">
        <w:t>z</w:t>
      </w:r>
      <w:r w:rsidRPr="00F5437F">
        <w:t>akup sprzętu i oprogramowania informatycznego oraz instalacja sieci WiF</w:t>
      </w:r>
      <w:r>
        <w:t>i na 22 przejściach granicznych</w:t>
      </w:r>
      <w:r w:rsidR="00E21736">
        <w:t>:</w:t>
      </w:r>
    </w:p>
    <w:p w:rsidR="00F5437F" w:rsidRDefault="00F5437F" w:rsidP="005078F2">
      <w:pPr>
        <w:pStyle w:val="Z2TIRLITzmlitpodwjnymtiret"/>
        <w:ind w:left="2694" w:firstLine="0"/>
      </w:pPr>
      <w:r w:rsidRPr="00F5437F">
        <w:t>Celem zadania jest utrzymanie w jednostkach odpowiednio nowoczesnej infrastruktury sprzętowej pozwalającej na wykorzystanie istniejących systemów informatycznych. Budowa sieci WiFi jest konsekwencją wdrożenia systemu Cyfrowa Granica</w:t>
      </w:r>
      <w:r w:rsidR="00653FC6">
        <w:t>,</w:t>
      </w:r>
      <w:r w:rsidRPr="00F5437F">
        <w:t xml:space="preserve"> </w:t>
      </w:r>
    </w:p>
    <w:p w:rsidR="004243D9" w:rsidRDefault="004243D9" w:rsidP="00A27A7A">
      <w:pPr>
        <w:pStyle w:val="Z2TIRLITzmlitpodwjnymtiret"/>
        <w:ind w:left="2694" w:hanging="284"/>
      </w:pPr>
      <w:r>
        <w:t>i)</w:t>
      </w:r>
      <w:r w:rsidR="00D234C0">
        <w:tab/>
        <w:t>z</w:t>
      </w:r>
      <w:r w:rsidRPr="004243D9">
        <w:t>akup wyposażenia informatycznego dla jednostek KAS (komputery przenośne i stacjonarne, serwery, oprogramowanie i peryferia</w:t>
      </w:r>
      <w:r w:rsidR="007F7263">
        <w:t>)</w:t>
      </w:r>
      <w:r w:rsidR="00E21736">
        <w:t>:</w:t>
      </w:r>
    </w:p>
    <w:p w:rsidR="004243D9" w:rsidRDefault="004243D9" w:rsidP="005078F2">
      <w:pPr>
        <w:pStyle w:val="Z2TIRLITzmlitpodwjnymtiret"/>
        <w:ind w:left="2694" w:firstLine="0"/>
      </w:pPr>
      <w:r>
        <w:t>Celem zadania jest modernizacja infrastruktury sprzętowej i zakup oprogramowania, które umożliwią</w:t>
      </w:r>
      <w:r w:rsidRPr="004243D9">
        <w:t xml:space="preserve"> </w:t>
      </w:r>
      <w:r>
        <w:t>wykonywanie pracy zdalnej</w:t>
      </w:r>
      <w:r w:rsidRPr="004243D9">
        <w:t xml:space="preserve"> </w:t>
      </w:r>
      <w:r w:rsidR="00653FC6" w:rsidRPr="004243D9">
        <w:t>na</w:t>
      </w:r>
      <w:r w:rsidR="00653FC6">
        <w:t> </w:t>
      </w:r>
      <w:r w:rsidRPr="004243D9">
        <w:t>poziomie u</w:t>
      </w:r>
      <w:r>
        <w:t xml:space="preserve">zyskiwanym w warunkach biurowych oraz zapewnią dostęp do nowoczesnych narzędzi informatycznych wymaganych </w:t>
      </w:r>
      <w:r w:rsidR="00653FC6">
        <w:t>w </w:t>
      </w:r>
      <w:r>
        <w:t>codziennej pracy jednostek KAS</w:t>
      </w:r>
      <w:r w:rsidR="00653FC6">
        <w:t>,</w:t>
      </w:r>
    </w:p>
    <w:p w:rsidR="008B2837" w:rsidRDefault="008B2837" w:rsidP="00A27A7A">
      <w:pPr>
        <w:pStyle w:val="Z2TIRLITzmlitpodwjnymtiret"/>
        <w:ind w:left="2694" w:hanging="284"/>
      </w:pPr>
      <w:r>
        <w:t>j)</w:t>
      </w:r>
      <w:r w:rsidR="00D234C0">
        <w:tab/>
        <w:t>z</w:t>
      </w:r>
      <w:r w:rsidRPr="008B2837">
        <w:t xml:space="preserve">akup sprzętu, oprogramowania i szkoleń w ramach wdrożenia koncepcji </w:t>
      </w:r>
      <w:r w:rsidR="00E21736" w:rsidRPr="00ED7737">
        <w:t>„</w:t>
      </w:r>
      <w:r w:rsidRPr="008B2837">
        <w:t>Cybercentrum</w:t>
      </w:r>
      <w:r w:rsidR="00653FC6" w:rsidRPr="00ED7737">
        <w:t>”</w:t>
      </w:r>
      <w:r w:rsidRPr="008B2837">
        <w:t xml:space="preserve"> oraz Informatyki Śledczej KAS</w:t>
      </w:r>
      <w:r w:rsidR="00E21736">
        <w:t>:</w:t>
      </w:r>
    </w:p>
    <w:p w:rsidR="009C2F00" w:rsidRDefault="008B2837" w:rsidP="005078F2">
      <w:pPr>
        <w:pStyle w:val="Z2TIRLITzmlitpodwjnymtiret"/>
        <w:ind w:left="2694" w:firstLine="0"/>
      </w:pPr>
      <w:r>
        <w:t xml:space="preserve">Założeniem zadania jest dostarczenie KAS wiedzy, oprogramowania </w:t>
      </w:r>
      <w:r w:rsidR="00653FC6">
        <w:t>i </w:t>
      </w:r>
      <w:r>
        <w:t>urządzeń technicznych umożliwiających</w:t>
      </w:r>
      <w:r w:rsidR="00D234C0">
        <w:t xml:space="preserve"> z</w:t>
      </w:r>
      <w:r w:rsidRPr="008B2837">
        <w:t xml:space="preserve">atrzymywanie </w:t>
      </w:r>
      <w:r w:rsidR="00653FC6" w:rsidRPr="008B2837">
        <w:t>i</w:t>
      </w:r>
      <w:r w:rsidR="00653FC6">
        <w:t> </w:t>
      </w:r>
      <w:r w:rsidRPr="008B2837">
        <w:t xml:space="preserve">przeszukiwanie urządzeń zawierających dane informatyczne lub systemów informatycznych, w zakresie danych przechowywanych </w:t>
      </w:r>
      <w:r w:rsidR="00653FC6" w:rsidRPr="008B2837">
        <w:t>w</w:t>
      </w:r>
      <w:r w:rsidR="00653FC6">
        <w:t> </w:t>
      </w:r>
      <w:r w:rsidRPr="008B2837">
        <w:t xml:space="preserve">tych urządzeniach lub systemach albo na nośnikach, w tym korespondencji przesyłanej pocztą elektroniczną w trybie </w:t>
      </w:r>
      <w:r w:rsidR="00653FC6" w:rsidRPr="008B2837">
        <w:t>i</w:t>
      </w:r>
      <w:r w:rsidR="00653FC6">
        <w:t> </w:t>
      </w:r>
      <w:r w:rsidRPr="008B2837">
        <w:t>przypadkach określonych w przepisach Kodeksu postępowania karnego</w:t>
      </w:r>
      <w:r w:rsidR="00A666E0">
        <w:t>,</w:t>
      </w:r>
    </w:p>
    <w:p w:rsidR="009C2F00" w:rsidRDefault="009C2F00" w:rsidP="00A27A7A">
      <w:pPr>
        <w:pStyle w:val="Z2TIRLITzmlitpodwjnymtiret"/>
        <w:ind w:left="2694" w:hanging="284"/>
      </w:pPr>
      <w:r>
        <w:t>k)</w:t>
      </w:r>
      <w:r w:rsidR="00D234C0">
        <w:tab/>
        <w:t>d</w:t>
      </w:r>
      <w:r w:rsidRPr="009C2F00">
        <w:t>ostawa i wdrożenie systemu wideokonferencyjnego wraz z modułem do przesłuchań zdalnych</w:t>
      </w:r>
      <w:r>
        <w:t>:</w:t>
      </w:r>
    </w:p>
    <w:p w:rsidR="00E21736" w:rsidRDefault="009C2F00" w:rsidP="005078F2">
      <w:pPr>
        <w:pStyle w:val="Z2TIRLITzmlitpodwjnymtiret"/>
        <w:ind w:left="2694" w:firstLine="0"/>
      </w:pPr>
      <w:r>
        <w:t>Celem zadania jest wyposażenie</w:t>
      </w:r>
      <w:r w:rsidRPr="009C2F00">
        <w:t xml:space="preserve"> KAS w środki teleinformatyczne</w:t>
      </w:r>
      <w:r>
        <w:t xml:space="preserve"> i</w:t>
      </w:r>
      <w:r w:rsidR="0085022D">
        <w:t> </w:t>
      </w:r>
      <w:r>
        <w:t>oprogramowanie</w:t>
      </w:r>
      <w:r w:rsidRPr="009C2F00">
        <w:t xml:space="preserve"> umożliwiające komunikację i dokonywanie czynności w sprawach i przesłuchaniach z udziałem </w:t>
      </w:r>
      <w:r>
        <w:t xml:space="preserve">powołanych świadków, </w:t>
      </w:r>
      <w:r w:rsidR="001E6D08">
        <w:t>ograniczenie</w:t>
      </w:r>
      <w:r>
        <w:t xml:space="preserve"> kosztów </w:t>
      </w:r>
      <w:r w:rsidR="001E6D08">
        <w:t>ponoszonych w związku z</w:t>
      </w:r>
      <w:r w:rsidR="0085022D">
        <w:t> </w:t>
      </w:r>
      <w:r w:rsidR="001E6D08">
        <w:t>delegacjami oraz zapewnienie niezależności technologicznej K</w:t>
      </w:r>
      <w:r w:rsidR="0085022D">
        <w:t>AS</w:t>
      </w:r>
      <w:r w:rsidR="001E6D08">
        <w:t xml:space="preserve"> </w:t>
      </w:r>
      <w:r w:rsidR="00C559D9">
        <w:t>o</w:t>
      </w:r>
      <w:r w:rsidR="001E6D08">
        <w:t>d</w:t>
      </w:r>
      <w:r w:rsidR="0085022D">
        <w:t> </w:t>
      </w:r>
      <w:r w:rsidR="001E6D08">
        <w:t>działania sieci Internet i zewnętrznych dostawców usług telekomunikacyjnych.</w:t>
      </w:r>
      <w:r w:rsidR="00E21736" w:rsidRPr="00ED7737">
        <w:t>”</w:t>
      </w:r>
      <w:r w:rsidR="00E21736">
        <w:t>,</w:t>
      </w:r>
    </w:p>
    <w:p w:rsidR="008B2837" w:rsidRDefault="00A27A7A" w:rsidP="00E21736">
      <w:pPr>
        <w:pStyle w:val="2TIRpodwjnytiret"/>
      </w:pPr>
      <w:r w:rsidRPr="00A27A7A">
        <w:t>–</w:t>
      </w:r>
      <w:r>
        <w:t xml:space="preserve"> </w:t>
      </w:r>
      <w:r w:rsidRPr="00A27A7A">
        <w:t>–</w:t>
      </w:r>
      <w:r w:rsidR="00E21736">
        <w:tab/>
        <w:t>akapit drugi otrzymuje brzmienie:</w:t>
      </w:r>
    </w:p>
    <w:p w:rsidR="00F5437F" w:rsidRDefault="00E21736" w:rsidP="00E21736">
      <w:pPr>
        <w:pStyle w:val="Z2TIRFRAGMzmnpwprdowyliczeniapodwjnymtiret"/>
      </w:pPr>
      <w:r w:rsidRPr="00ED7737">
        <w:t>„</w:t>
      </w:r>
      <w:r w:rsidR="00F5437F" w:rsidRPr="00F5437F">
        <w:t>Łącznie zakupy pojazdów, urządzeń, sprzętu, uzbrojenia, środków przymusu bezpośredniego, oprogramowania komputerowego oraz innych elementów wyposażenia mających na celu wsparcie kontroli celno-skarbowej, a także szkoleń specjalistycznych w tym zakresie</w:t>
      </w:r>
      <w:r w:rsidR="005841B3">
        <w:t xml:space="preserve"> i modernizacji infrastruktury sprzętowej</w:t>
      </w:r>
      <w:r w:rsidR="00F5437F" w:rsidRPr="00F5437F">
        <w:t xml:space="preserve">, w latach 2020–2022 wyniosą według przyjętych założeń </w:t>
      </w:r>
      <w:r w:rsidR="001E6D08" w:rsidRPr="00A55D22">
        <w:rPr>
          <w:rStyle w:val="Ppogrubienie"/>
        </w:rPr>
        <w:t>5</w:t>
      </w:r>
      <w:r w:rsidR="005841B3" w:rsidRPr="00A55D22">
        <w:rPr>
          <w:rStyle w:val="Ppogrubienie"/>
        </w:rPr>
        <w:t>49</w:t>
      </w:r>
      <w:r w:rsidR="00A55D22">
        <w:rPr>
          <w:rStyle w:val="Ppogrubienie"/>
        </w:rPr>
        <w:t>.</w:t>
      </w:r>
      <w:r w:rsidR="005841B3" w:rsidRPr="00A55D22">
        <w:rPr>
          <w:rStyle w:val="Ppogrubienie"/>
        </w:rPr>
        <w:t>481</w:t>
      </w:r>
      <w:r w:rsidR="00770B82" w:rsidRPr="00A55D22">
        <w:rPr>
          <w:rStyle w:val="Ppogrubienie"/>
        </w:rPr>
        <w:t xml:space="preserve"> tys.</w:t>
      </w:r>
      <w:r w:rsidR="00F5437F" w:rsidRPr="00A55D22">
        <w:rPr>
          <w:rStyle w:val="Ppogrubienie"/>
        </w:rPr>
        <w:t xml:space="preserve"> zł</w:t>
      </w:r>
      <w:r w:rsidR="00F5437F" w:rsidRPr="00F5437F">
        <w:t>.</w:t>
      </w:r>
      <w:r w:rsidR="00F5437F" w:rsidRPr="00ED7737">
        <w:t>”</w:t>
      </w:r>
      <w:r w:rsidR="00F5437F">
        <w:t>,</w:t>
      </w:r>
    </w:p>
    <w:p w:rsidR="00F5437F" w:rsidRDefault="00F5437F" w:rsidP="0084217D">
      <w:pPr>
        <w:pStyle w:val="TIRtiret"/>
        <w:keepNext/>
        <w:keepLines/>
      </w:pPr>
      <w:r>
        <w:t>–</w:t>
      </w:r>
      <w:r>
        <w:tab/>
      </w:r>
      <w:r w:rsidR="00312DBF">
        <w:t>p</w:t>
      </w:r>
      <w:r>
        <w:t>pkt 3 otrzymuje brzmienie:</w:t>
      </w:r>
    </w:p>
    <w:p w:rsidR="00020890" w:rsidRPr="00020890" w:rsidRDefault="00F5437F" w:rsidP="00F5437F">
      <w:pPr>
        <w:pStyle w:val="ZTIRFRAGMzmnpwprdowyliczeniatiret"/>
        <w:rPr>
          <w:rStyle w:val="PKpogrubieniekursywa"/>
        </w:rPr>
      </w:pPr>
      <w:r w:rsidRPr="00020890">
        <w:rPr>
          <w:rStyle w:val="PKpogrubieniekursywa"/>
        </w:rPr>
        <w:t>„</w:t>
      </w:r>
      <w:r w:rsidR="00020890" w:rsidRPr="00020890">
        <w:rPr>
          <w:rStyle w:val="PKpogrubieniekursywa"/>
        </w:rPr>
        <w:t>3. Priorytet III wraz z kierunkami wydatkowania środków na realizację Programu</w:t>
      </w:r>
    </w:p>
    <w:p w:rsidR="00F5437F" w:rsidRDefault="00F5437F" w:rsidP="00F5437F">
      <w:pPr>
        <w:pStyle w:val="ZTIRFRAGMzmnpwprdowyliczeniatiret"/>
      </w:pPr>
      <w:r w:rsidRPr="00F5437F">
        <w:t>Budowa i przebudowa budynków dla jednostek organizacyjnych KAS</w:t>
      </w:r>
      <w:r w:rsidR="00366B64">
        <w:t xml:space="preserve"> w tym również obiektów </w:t>
      </w:r>
      <w:r w:rsidR="00366B64" w:rsidRPr="00366B64">
        <w:t>z infrastrukturą kontrolno-magazynową</w:t>
      </w:r>
      <w:r w:rsidRPr="00F5437F">
        <w:t xml:space="preserve"> na łączną kw</w:t>
      </w:r>
      <w:r w:rsidR="00D276E4">
        <w:t xml:space="preserve">otę </w:t>
      </w:r>
      <w:r w:rsidR="00653FC6">
        <w:t>w </w:t>
      </w:r>
      <w:r w:rsidR="00D276E4">
        <w:t xml:space="preserve">ciągu trzech lat </w:t>
      </w:r>
      <w:r w:rsidR="003064B9" w:rsidRPr="00A55D22">
        <w:rPr>
          <w:rStyle w:val="Ppogrubienie"/>
        </w:rPr>
        <w:t>1</w:t>
      </w:r>
      <w:r w:rsidR="005841B3" w:rsidRPr="00A55D22">
        <w:rPr>
          <w:rStyle w:val="Ppogrubienie"/>
        </w:rPr>
        <w:t>70</w:t>
      </w:r>
      <w:r w:rsidR="00A55D22">
        <w:rPr>
          <w:rStyle w:val="Ppogrubienie"/>
        </w:rPr>
        <w:t>.</w:t>
      </w:r>
      <w:r w:rsidR="005841B3" w:rsidRPr="00A55D22">
        <w:rPr>
          <w:rStyle w:val="Ppogrubienie"/>
        </w:rPr>
        <w:t>484</w:t>
      </w:r>
      <w:r w:rsidR="002D28C7" w:rsidRPr="00A55D22">
        <w:rPr>
          <w:rStyle w:val="Ppogrubienie"/>
        </w:rPr>
        <w:t xml:space="preserve"> </w:t>
      </w:r>
      <w:r w:rsidRPr="00A55D22">
        <w:rPr>
          <w:rStyle w:val="Ppogrubienie"/>
        </w:rPr>
        <w:t>tys. zł</w:t>
      </w:r>
      <w:r w:rsidRPr="00F5437F">
        <w:t xml:space="preserve"> (ujęto zadania inwestycyjne, które </w:t>
      </w:r>
      <w:r w:rsidR="00653FC6" w:rsidRPr="00F5437F">
        <w:t>z</w:t>
      </w:r>
      <w:r w:rsidR="00653FC6">
        <w:t> </w:t>
      </w:r>
      <w:r w:rsidRPr="00F5437F">
        <w:t>uwagi na posiadane uzgodnienia projektowe lub dostępne nieruchomości gruntowe mogą zostać wykonane w latach 2020–2022)</w:t>
      </w:r>
      <w:r w:rsidR="00366B64">
        <w:t>.</w:t>
      </w:r>
      <w:r w:rsidR="00D234C0">
        <w:t xml:space="preserve"> </w:t>
      </w:r>
      <w:r w:rsidRPr="00F5437F">
        <w:t xml:space="preserve">Poniżej znajduje się zestawienie dotyczące realizacji zadań w zakresie inwestycji budowlanych wraz </w:t>
      </w:r>
      <w:r w:rsidR="0085022D" w:rsidRPr="00F5437F">
        <w:t>z</w:t>
      </w:r>
      <w:r w:rsidR="0085022D">
        <w:t> </w:t>
      </w:r>
      <w:r w:rsidRPr="00F5437F">
        <w:t>planowanym wydatkowaniem w latach 2020</w:t>
      </w:r>
      <w:r w:rsidR="00A55D22" w:rsidRPr="00F5437F">
        <w:t>–</w:t>
      </w:r>
      <w:r w:rsidR="00A666E0">
        <w:t>20</w:t>
      </w:r>
      <w:r w:rsidRPr="00F5437F">
        <w:t>22: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1390"/>
        <w:gridCol w:w="1417"/>
        <w:gridCol w:w="1418"/>
        <w:gridCol w:w="1559"/>
      </w:tblGrid>
      <w:tr w:rsidR="00AA692F" w:rsidRPr="00424960" w:rsidTr="00AA692F">
        <w:trPr>
          <w:trHeight w:val="85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92F" w:rsidRPr="00366B64" w:rsidRDefault="00AA692F" w:rsidP="00AA692F">
            <w:r>
              <w:t>Nazwa zadania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2F" w:rsidRDefault="00AA692F" w:rsidP="00AA692F">
            <w:r>
              <w:t>Rok 2020</w:t>
            </w:r>
          </w:p>
          <w:p w:rsidR="0004641E" w:rsidRPr="00366B64" w:rsidRDefault="0004641E" w:rsidP="00AA692F">
            <w: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2F" w:rsidRDefault="00AA692F" w:rsidP="00AA692F">
            <w:r>
              <w:t>Rok 2021</w:t>
            </w:r>
          </w:p>
          <w:p w:rsidR="0004641E" w:rsidRPr="00366B64" w:rsidRDefault="0004641E" w:rsidP="00AA692F">
            <w:r>
              <w:t>w</w:t>
            </w:r>
            <w:r w:rsidRPr="0004641E"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2F" w:rsidRDefault="00AA692F" w:rsidP="00AA692F">
            <w:r>
              <w:t>Rok 2022</w:t>
            </w:r>
          </w:p>
          <w:p w:rsidR="0004641E" w:rsidRPr="00366B64" w:rsidRDefault="0004641E" w:rsidP="00AA692F">
            <w:r>
              <w:t>w</w:t>
            </w:r>
            <w:r w:rsidRPr="0004641E"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92F" w:rsidRDefault="00AA692F" w:rsidP="00AA692F">
            <w:r>
              <w:t>Razem</w:t>
            </w:r>
          </w:p>
          <w:p w:rsidR="0004641E" w:rsidRPr="00366B64" w:rsidRDefault="0004641E" w:rsidP="00AA692F">
            <w:r>
              <w:t>w</w:t>
            </w:r>
            <w:r w:rsidRPr="0004641E">
              <w:t xml:space="preserve"> zł</w:t>
            </w:r>
          </w:p>
        </w:tc>
      </w:tr>
      <w:tr w:rsidR="00AA692F" w:rsidRPr="00424960" w:rsidTr="009E0054">
        <w:trPr>
          <w:trHeight w:val="105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2F" w:rsidRPr="00AA692F" w:rsidRDefault="00AA692F" w:rsidP="00564E8D">
            <w:r w:rsidRPr="00366B64">
              <w:t xml:space="preserve">Przebudowa budynku Urzędu Skarbowego w Pucku wraz </w:t>
            </w:r>
            <w:r w:rsidRPr="00366B64">
              <w:br/>
              <w:t xml:space="preserve">z infrastrukturą </w:t>
            </w:r>
            <w:r w:rsidR="008565D5">
              <w:t xml:space="preserve">towarzyszącą, </w:t>
            </w:r>
            <w:r w:rsidR="008565D5">
              <w:br/>
              <w:t xml:space="preserve">zlokalizowanego </w:t>
            </w:r>
            <w:r w:rsidRPr="00366B64">
              <w:t xml:space="preserve">w Pucku przy ul. Kmdr. E. Szystowskiego 18 </w:t>
            </w:r>
            <w:r w:rsidR="00564E8D">
              <w:br/>
            </w:r>
            <w:r w:rsidRPr="00366B64">
              <w:t>Puck, pomorskie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A692F">
            <w:r w:rsidRPr="00366B6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7</w:t>
            </w:r>
            <w:r w:rsidR="00A55D22">
              <w:t>.</w:t>
            </w:r>
            <w:r w:rsidRPr="00366B64">
              <w:t>000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7</w:t>
            </w:r>
            <w:r w:rsidR="00A55D22">
              <w:t>.</w:t>
            </w:r>
            <w:r w:rsidRPr="00366B64">
              <w:t>922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14</w:t>
            </w:r>
            <w:r w:rsidR="00A55D22">
              <w:t>.</w:t>
            </w:r>
            <w:r w:rsidRPr="00366B64">
              <w:t>922</w:t>
            </w:r>
            <w:r w:rsidR="00A55D22">
              <w:t>.</w:t>
            </w:r>
            <w:r w:rsidRPr="00366B64">
              <w:t>000</w:t>
            </w:r>
          </w:p>
        </w:tc>
      </w:tr>
      <w:tr w:rsidR="00AA692F" w:rsidRPr="00424960" w:rsidTr="0095570D">
        <w:trPr>
          <w:trHeight w:val="12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2F" w:rsidRPr="00AA692F" w:rsidRDefault="00AA692F" w:rsidP="00AA692F">
            <w:r w:rsidRPr="00366B64">
              <w:t xml:space="preserve">Rozbudowa istniejącej siedziby Urzędu </w:t>
            </w:r>
            <w:r w:rsidRPr="00AA692F">
              <w:t>Skarbowego w Zawierciu</w:t>
            </w:r>
          </w:p>
          <w:p w:rsidR="00AA692F" w:rsidRPr="00AA692F" w:rsidRDefault="00AA692F" w:rsidP="00AA692F">
            <w:r w:rsidRPr="00366B64">
              <w:t>Zawiercie, śląskie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A692F">
            <w:r w:rsidRPr="00366B64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2</w:t>
            </w:r>
            <w:r w:rsidR="00A55D22">
              <w:t>.</w:t>
            </w:r>
            <w:r w:rsidRPr="00366B64">
              <w:t>000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5</w:t>
            </w:r>
            <w:r w:rsidR="00A55D22">
              <w:t>.</w:t>
            </w:r>
            <w:r w:rsidRPr="00366B64">
              <w:t>286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7</w:t>
            </w:r>
            <w:r w:rsidR="00A55D22">
              <w:t>.</w:t>
            </w:r>
            <w:r w:rsidRPr="00366B64">
              <w:t>286</w:t>
            </w:r>
            <w:r w:rsidR="00A55D22">
              <w:t>.</w:t>
            </w:r>
            <w:r w:rsidRPr="00366B64">
              <w:t>000</w:t>
            </w:r>
          </w:p>
        </w:tc>
      </w:tr>
      <w:tr w:rsidR="00AA692F" w:rsidRPr="00424960" w:rsidTr="00325C7E">
        <w:trPr>
          <w:trHeight w:val="6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2F" w:rsidRPr="00AA692F" w:rsidRDefault="00AA692F" w:rsidP="00564E8D">
            <w:r w:rsidRPr="00366B64">
              <w:t>Nadbudowa i przebudowa budynku magazynowo</w:t>
            </w:r>
            <w:r w:rsidR="00564E8D">
              <w:noBreakHyphen/>
            </w:r>
            <w:r w:rsidRPr="00AA692F">
              <w:t xml:space="preserve">garażowego, usytuowanego w Katowicach przy ul. Słonecznej 34 dla pozyskania powierzchni konferencyjno-szkoleniowo-biurowej z zapleczem, dla potrzeb Izby Administracji Skarbowej w Katowicach </w:t>
            </w:r>
            <w:r w:rsidR="00564E8D">
              <w:br/>
            </w:r>
            <w:r w:rsidRPr="00AA692F">
              <w:t>Katowice, śląskie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1</w:t>
            </w:r>
            <w:r w:rsidR="00A55D22">
              <w:t>.</w:t>
            </w:r>
            <w:r w:rsidRPr="00366B64">
              <w:t>000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4</w:t>
            </w:r>
            <w:r w:rsidR="00A55D22">
              <w:t>.</w:t>
            </w:r>
            <w:r w:rsidRPr="00366B64">
              <w:t>922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2</w:t>
            </w:r>
            <w:r w:rsidR="00A55D22">
              <w:t>.</w:t>
            </w:r>
            <w:r w:rsidRPr="00366B64">
              <w:t>460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8</w:t>
            </w:r>
            <w:r w:rsidR="00A55D22">
              <w:t>.</w:t>
            </w:r>
            <w:r w:rsidRPr="00366B64">
              <w:t>382</w:t>
            </w:r>
            <w:r w:rsidR="00A55D22">
              <w:t>.</w:t>
            </w:r>
            <w:r w:rsidRPr="00366B64">
              <w:t>000</w:t>
            </w:r>
          </w:p>
        </w:tc>
      </w:tr>
      <w:tr w:rsidR="00AA692F" w:rsidRPr="00424960" w:rsidTr="0095570D">
        <w:trPr>
          <w:trHeight w:val="30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2F" w:rsidRPr="00AA692F" w:rsidRDefault="00AA692F" w:rsidP="00564E8D">
            <w:r w:rsidRPr="00366B64">
              <w:t>Odpłatne pozyskani</w:t>
            </w:r>
            <w:r w:rsidR="00877CBD">
              <w:t>e</w:t>
            </w:r>
            <w:r w:rsidRPr="00366B64">
              <w:t xml:space="preserve"> w trwały zarząd nieruchomości zlokalizowanej przy ul. Diamentowej 4 w Lublinie i jej adaptacja na potrzeby Lubelskiego Urzędu </w:t>
            </w:r>
            <w:r w:rsidR="008565D5">
              <w:br/>
            </w:r>
            <w:r w:rsidRPr="00366B64">
              <w:t>Celno</w:t>
            </w:r>
            <w:r w:rsidR="008B1971">
              <w:t>-</w:t>
            </w:r>
            <w:r w:rsidRPr="00366B64">
              <w:t xml:space="preserve">Skarbowego w Białej Podlaskiej </w:t>
            </w:r>
            <w:r w:rsidR="00564E8D">
              <w:br/>
            </w:r>
            <w:r w:rsidR="00F53F21">
              <w:t>Biała Podlaska, lubelskie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224</w:t>
            </w:r>
            <w:r w:rsidR="00A55D22">
              <w:t>.</w:t>
            </w:r>
            <w:r w:rsidRPr="00366B64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6</w:t>
            </w:r>
            <w:r w:rsidR="00A55D22">
              <w:t>.</w:t>
            </w:r>
            <w:r w:rsidRPr="00366B64">
              <w:t>000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4</w:t>
            </w:r>
            <w:r w:rsidR="00A55D22">
              <w:t>.</w:t>
            </w:r>
            <w:r w:rsidRPr="00366B64">
              <w:t>510</w:t>
            </w:r>
            <w:r w:rsidR="00A55D22">
              <w:t>.</w:t>
            </w:r>
            <w:r w:rsidRPr="00366B64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10</w:t>
            </w:r>
            <w:r w:rsidR="00A55D22">
              <w:t>.</w:t>
            </w:r>
            <w:r w:rsidRPr="00366B64">
              <w:t>735</w:t>
            </w:r>
            <w:r w:rsidR="00A55D22">
              <w:t>.</w:t>
            </w:r>
            <w:r w:rsidRPr="00366B64">
              <w:t>000</w:t>
            </w:r>
          </w:p>
        </w:tc>
      </w:tr>
      <w:tr w:rsidR="00AA692F" w:rsidRPr="00424960" w:rsidTr="0095570D">
        <w:trPr>
          <w:trHeight w:val="18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2F" w:rsidRPr="00AA692F" w:rsidRDefault="00AA692F" w:rsidP="00564E8D">
            <w:r w:rsidRPr="00366B64">
              <w:t xml:space="preserve">Rozbudowa i przebudowa budynku Urzędu Skarbowego w Lubartowie przy ul. Legionów 55 </w:t>
            </w:r>
            <w:r w:rsidR="00564E8D">
              <w:br/>
              <w:t xml:space="preserve">Lubartów, lubelskie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A692F">
            <w:r w:rsidRPr="00366B64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6</w:t>
            </w:r>
            <w:r w:rsidR="00A55D22">
              <w:t>.</w:t>
            </w:r>
            <w:r w:rsidRPr="00366B64">
              <w:t>000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5</w:t>
            </w:r>
            <w:r w:rsidR="00A55D22">
              <w:t>.</w:t>
            </w:r>
            <w:r w:rsidRPr="00366B64">
              <w:t>802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11</w:t>
            </w:r>
            <w:r w:rsidR="00A55D22">
              <w:t>.</w:t>
            </w:r>
            <w:r w:rsidRPr="00366B64">
              <w:t>802</w:t>
            </w:r>
            <w:r w:rsidR="00A55D22">
              <w:t>.</w:t>
            </w:r>
            <w:r w:rsidRPr="00366B64">
              <w:t>000</w:t>
            </w:r>
          </w:p>
        </w:tc>
      </w:tr>
      <w:tr w:rsidR="00AA692F" w:rsidRPr="00424960" w:rsidTr="0095570D">
        <w:trPr>
          <w:trHeight w:val="30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2F" w:rsidRPr="00AA692F" w:rsidRDefault="00AA692F" w:rsidP="00564E8D">
            <w:r w:rsidRPr="00366B64">
              <w:t xml:space="preserve">Budowa budynku biurowego wraz zagospodarowaniem terenu pełną infrastrukturą techniczną na nieruchomości przy ul. Kazimierza Dłuskiego 5 na siedzibę Urzędu </w:t>
            </w:r>
            <w:r w:rsidRPr="00AA692F">
              <w:t xml:space="preserve">Skarbowego w Otwocku </w:t>
            </w:r>
            <w:r w:rsidR="00564E8D">
              <w:br/>
            </w:r>
            <w:r w:rsidRPr="00AA692F">
              <w:t>Otwock, mazowieckie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A692F">
            <w:r w:rsidRPr="00366B64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7</w:t>
            </w:r>
            <w:r w:rsidR="00A55D22">
              <w:t>.</w:t>
            </w:r>
            <w:r w:rsidRPr="00366B64">
              <w:t>800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A692F">
            <w:r w:rsidRPr="00366B64">
              <w:t>8</w:t>
            </w:r>
            <w:r w:rsidR="00A55D22">
              <w:t>.</w:t>
            </w:r>
            <w:r w:rsidRPr="00366B64">
              <w:t>675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A692F">
            <w:r w:rsidRPr="00366B64">
              <w:t>16</w:t>
            </w:r>
            <w:r w:rsidR="00A55D22">
              <w:t>.</w:t>
            </w:r>
            <w:r w:rsidRPr="00366B64">
              <w:t>475</w:t>
            </w:r>
            <w:r w:rsidR="00A55D22">
              <w:t>.</w:t>
            </w:r>
            <w:r w:rsidRPr="00366B64">
              <w:t>000</w:t>
            </w:r>
          </w:p>
        </w:tc>
      </w:tr>
      <w:tr w:rsidR="00AA692F" w:rsidRPr="00424960" w:rsidTr="0095570D">
        <w:trPr>
          <w:trHeight w:val="26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2F" w:rsidRPr="00AA692F" w:rsidRDefault="00AA692F" w:rsidP="008565D5">
            <w:r w:rsidRPr="00366B64">
              <w:t>Zakup nieruchomości na potrzeby Drugiego Mazowieckiego Urzędu Skarbowego i Pierwszego Urzędu Skarbowego Warszawa-Śródmieście</w:t>
            </w:r>
            <w:r w:rsidRPr="00AA692F">
              <w:t xml:space="preserve">, </w:t>
            </w:r>
            <w:r w:rsidR="00564E8D">
              <w:br/>
            </w:r>
            <w:r w:rsidRPr="00AA692F">
              <w:t>Warszawa, mazowieckie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74</w:t>
            </w:r>
            <w:r w:rsidR="00A55D22">
              <w:t>.</w:t>
            </w:r>
            <w:r w:rsidRPr="00366B64"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A692F">
            <w:r w:rsidRPr="00366B64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A692F">
            <w:r w:rsidRPr="00366B6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74</w:t>
            </w:r>
            <w:r w:rsidR="00A55D22">
              <w:t>.</w:t>
            </w:r>
            <w:r w:rsidRPr="00366B64">
              <w:t>400</w:t>
            </w:r>
          </w:p>
        </w:tc>
      </w:tr>
      <w:tr w:rsidR="00AA692F" w:rsidRPr="00424960" w:rsidTr="0095570D">
        <w:trPr>
          <w:trHeight w:val="21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2F" w:rsidRPr="00AA692F" w:rsidRDefault="00AA692F" w:rsidP="00570F3F">
            <w:r w:rsidRPr="00366B64">
              <w:t>Budowa obiektu z przeznaczeniem na siedzibę Urzędu Skarbowego oraz Lubuskiego Urzędu Celno</w:t>
            </w:r>
            <w:r w:rsidR="00564E8D">
              <w:noBreakHyphen/>
            </w:r>
            <w:r w:rsidRPr="00366B64">
              <w:t>Skarbowego w Gorzowie Wlkp.</w:t>
            </w:r>
            <w:r w:rsidRPr="00AA692F">
              <w:t>, lubuskie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200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1</w:t>
            </w:r>
            <w:r w:rsidR="00A55D22">
              <w:t>.</w:t>
            </w:r>
            <w:r w:rsidRPr="00366B64">
              <w:t>800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44</w:t>
            </w:r>
            <w:r w:rsidR="00A55D22">
              <w:t>.</w:t>
            </w:r>
            <w:r w:rsidRPr="00366B64">
              <w:t>925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46</w:t>
            </w:r>
            <w:r w:rsidR="00A55D22">
              <w:t>.</w:t>
            </w:r>
            <w:r w:rsidRPr="00366B64">
              <w:t>925</w:t>
            </w:r>
            <w:r w:rsidR="00A55D22">
              <w:t>.</w:t>
            </w:r>
            <w:r w:rsidRPr="00366B64">
              <w:t>000</w:t>
            </w:r>
          </w:p>
        </w:tc>
      </w:tr>
      <w:tr w:rsidR="00AA692F" w:rsidRPr="00424960" w:rsidTr="009E0054">
        <w:trPr>
          <w:trHeight w:val="487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2F" w:rsidRPr="00AA692F" w:rsidRDefault="00AA692F" w:rsidP="008565D5">
            <w:r w:rsidRPr="00366B64">
              <w:t xml:space="preserve">Przebudowa pomieszczeń biurowych i pomocniczych na II i na VIII piętrze w budynku administracyjnym Podlaskiego Urzędu </w:t>
            </w:r>
            <w:r w:rsidR="008565D5">
              <w:br/>
            </w:r>
            <w:r w:rsidRPr="00366B64">
              <w:t xml:space="preserve">Celno-Skarbowego w Białymstoku przy </w:t>
            </w:r>
            <w:r w:rsidR="008565D5">
              <w:br/>
            </w:r>
            <w:r w:rsidRPr="00366B64">
              <w:t xml:space="preserve">ul. 1000-lecia PP 8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A692F">
            <w:r w:rsidRPr="00366B64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878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A692F">
            <w:r w:rsidRPr="00366B64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878</w:t>
            </w:r>
            <w:r w:rsidR="00A55D22">
              <w:t>.</w:t>
            </w:r>
            <w:r w:rsidRPr="00366B64">
              <w:t>000</w:t>
            </w:r>
          </w:p>
        </w:tc>
      </w:tr>
      <w:tr w:rsidR="00AA692F" w:rsidRPr="00424960" w:rsidTr="0095570D">
        <w:trPr>
          <w:trHeight w:val="27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92F" w:rsidRPr="00AA692F" w:rsidRDefault="00AA692F" w:rsidP="00564E8D">
            <w:r w:rsidRPr="00366B64">
              <w:t xml:space="preserve">Budowa Oddziału Celnego w Przemyślu wraz z </w:t>
            </w:r>
            <w:r w:rsidR="00564E8D">
              <w:t>infrastrukturą kontrolno</w:t>
            </w:r>
            <w:r w:rsidR="00564E8D">
              <w:noBreakHyphen/>
            </w:r>
            <w:r w:rsidR="008B1971">
              <w:t>m</w:t>
            </w:r>
            <w:r w:rsidRPr="00366B64">
              <w:t xml:space="preserve">agazynową dla potrzeb jednostek granicznych podległych Podkarpackiemu Urzędowi Celno-Skarbowemu w Przemyślu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A692F">
            <w:r w:rsidRPr="00366B64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5841B3" w:rsidP="00A55D22">
            <w:r>
              <w:t>2</w:t>
            </w:r>
            <w:r w:rsidRPr="00366B64">
              <w:t>3</w:t>
            </w:r>
            <w:r w:rsidR="00A55D22">
              <w:t>.</w:t>
            </w:r>
            <w:r w:rsidR="00AA692F" w:rsidRPr="00366B64">
              <w:t>149</w:t>
            </w:r>
            <w:r w:rsidR="00A55D22">
              <w:t>.</w:t>
            </w:r>
            <w:r w:rsidR="00AA692F" w:rsidRPr="00366B64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29</w:t>
            </w:r>
            <w:r w:rsidR="00A55D22">
              <w:t>.</w:t>
            </w:r>
            <w:r w:rsidRPr="00366B64">
              <w:t>856</w:t>
            </w:r>
            <w:r w:rsidR="00A55D22">
              <w:t>.</w:t>
            </w:r>
            <w:r w:rsidRPr="00366B64"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5841B3" w:rsidP="00A55D22">
            <w:r>
              <w:t>5</w:t>
            </w:r>
            <w:r w:rsidRPr="00366B64">
              <w:t>3</w:t>
            </w:r>
            <w:r w:rsidR="00A55D22">
              <w:t>.</w:t>
            </w:r>
            <w:r w:rsidR="00AA692F" w:rsidRPr="00366B64">
              <w:t>005</w:t>
            </w:r>
            <w:r w:rsidR="00A55D22">
              <w:t>.</w:t>
            </w:r>
            <w:r w:rsidR="00AA692F" w:rsidRPr="00366B64">
              <w:t>000</w:t>
            </w:r>
          </w:p>
        </w:tc>
      </w:tr>
      <w:tr w:rsidR="00AA692F" w:rsidRPr="00424960" w:rsidTr="0095570D">
        <w:trPr>
          <w:trHeight w:val="9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92F" w:rsidRPr="00AA692F" w:rsidRDefault="00AA692F" w:rsidP="00AA692F">
            <w:r w:rsidRPr="00366B64">
              <w:t>razem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AA692F" w:rsidP="00A55D22">
            <w:r w:rsidRPr="00366B64">
              <w:t>1</w:t>
            </w:r>
            <w:r w:rsidR="00A55D22">
              <w:t>.</w:t>
            </w:r>
            <w:r w:rsidRPr="00366B64">
              <w:t>499</w:t>
            </w:r>
            <w:r w:rsidR="00A55D22">
              <w:t>.</w:t>
            </w:r>
            <w:r w:rsidRPr="00366B64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5841B3" w:rsidP="00A55D22">
            <w:r>
              <w:t>59</w:t>
            </w:r>
            <w:r w:rsidR="00A55D22">
              <w:t>.</w:t>
            </w:r>
            <w:r>
              <w:t>549</w:t>
            </w:r>
            <w:r w:rsidR="00A55D22">
              <w:t>.</w:t>
            </w:r>
            <w: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A692F" w:rsidRDefault="008E4150" w:rsidP="00A55D22">
            <w:r>
              <w:t>109</w:t>
            </w:r>
            <w:r w:rsidR="00A55D22">
              <w:t>.</w:t>
            </w:r>
            <w:r>
              <w:t>436</w:t>
            </w:r>
            <w:r w:rsidR="00A55D22">
              <w:t>.</w:t>
            </w: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92F" w:rsidRPr="00A55D22" w:rsidRDefault="005841B3" w:rsidP="00A55D22">
            <w:pPr>
              <w:rPr>
                <w:rStyle w:val="Ppogrubienie"/>
              </w:rPr>
            </w:pPr>
            <w:r w:rsidRPr="00A55D22">
              <w:rPr>
                <w:rStyle w:val="Ppogrubienie"/>
              </w:rPr>
              <w:t>170</w:t>
            </w:r>
            <w:r w:rsidR="00A55D22" w:rsidRPr="00A55D22">
              <w:rPr>
                <w:rStyle w:val="Ppogrubienie"/>
              </w:rPr>
              <w:t>.</w:t>
            </w:r>
            <w:r w:rsidRPr="00A55D22">
              <w:rPr>
                <w:rStyle w:val="Ppogrubienie"/>
              </w:rPr>
              <w:t>484</w:t>
            </w:r>
            <w:r w:rsidR="00A55D22" w:rsidRPr="00A55D22">
              <w:rPr>
                <w:rStyle w:val="Ppogrubienie"/>
              </w:rPr>
              <w:t>.</w:t>
            </w:r>
            <w:r w:rsidRPr="00A55D22">
              <w:rPr>
                <w:rStyle w:val="Ppogrubienie"/>
              </w:rPr>
              <w:t>400</w:t>
            </w:r>
          </w:p>
        </w:tc>
      </w:tr>
    </w:tbl>
    <w:p w:rsidR="00F5437F" w:rsidRDefault="00F5437F" w:rsidP="00F5437F">
      <w:pPr>
        <w:pStyle w:val="TIRtiret"/>
      </w:pPr>
    </w:p>
    <w:p w:rsidR="000024F4" w:rsidRPr="00564E8D" w:rsidRDefault="00564E8D" w:rsidP="006E2719">
      <w:pPr>
        <w:pStyle w:val="TIRtiret"/>
        <w:keepNext/>
        <w:keepLines/>
      </w:pPr>
      <w:r w:rsidRPr="00564E8D">
        <w:rPr>
          <w:rStyle w:val="Ppogrubienie"/>
          <w:b w:val="0"/>
        </w:rPr>
        <w:t>–</w:t>
      </w:r>
      <w:r w:rsidR="00E74020" w:rsidRPr="00564E8D">
        <w:rPr>
          <w:rStyle w:val="Ppogrubienie"/>
          <w:b w:val="0"/>
        </w:rPr>
        <w:tab/>
      </w:r>
      <w:r w:rsidR="000024F4" w:rsidRPr="00564E8D">
        <w:t>p</w:t>
      </w:r>
      <w:r w:rsidR="00312DBF" w:rsidRPr="00564E8D">
        <w:t>p</w:t>
      </w:r>
      <w:r w:rsidR="000024F4" w:rsidRPr="00564E8D">
        <w:t>kt 4 otrzymuje brzmienie:</w:t>
      </w:r>
    </w:p>
    <w:p w:rsidR="00020890" w:rsidRPr="00020890" w:rsidRDefault="000024F4" w:rsidP="000024F4">
      <w:pPr>
        <w:pStyle w:val="ZTIRFRAGMzmnpwprdowyliczeniatiret"/>
        <w:rPr>
          <w:rStyle w:val="PKpogrubieniekursywa"/>
        </w:rPr>
      </w:pPr>
      <w:r w:rsidRPr="000024F4">
        <w:t>„</w:t>
      </w:r>
      <w:r w:rsidR="00020890" w:rsidRPr="00020890">
        <w:rPr>
          <w:rStyle w:val="PKpogrubieniekursywa"/>
        </w:rPr>
        <w:t>4. Priorytet IV wraz z kierunkami wydatkowania środków na realizację Programu</w:t>
      </w:r>
    </w:p>
    <w:p w:rsidR="000024F4" w:rsidRPr="000024F4" w:rsidRDefault="000024F4" w:rsidP="000024F4">
      <w:pPr>
        <w:pStyle w:val="ZTIRFRAGMzmnpwprdowyliczeniatiret"/>
      </w:pPr>
      <w:r w:rsidRPr="000024F4">
        <w:t xml:space="preserve">Zrealizowanie zadania inwestycyjnego rozbudowy ośrodka obliczeniowego </w:t>
      </w:r>
      <w:r w:rsidR="000D2890" w:rsidRPr="000024F4">
        <w:t>na</w:t>
      </w:r>
      <w:r w:rsidR="000D2890">
        <w:t> </w:t>
      </w:r>
      <w:r w:rsidRPr="000024F4">
        <w:t xml:space="preserve">nieruchomości gruntowej pozostającej w trwałym zarządzie Centrum Informatyki Resortu Finansów – </w:t>
      </w:r>
      <w:r w:rsidRPr="00A55D22">
        <w:rPr>
          <w:rStyle w:val="Ppogrubienie"/>
        </w:rPr>
        <w:t>łącznie na kwotę 77.000 tys. zł</w:t>
      </w:r>
      <w:r w:rsidRPr="000024F4">
        <w:t>.</w:t>
      </w:r>
    </w:p>
    <w:p w:rsidR="000024F4" w:rsidRPr="000024F4" w:rsidRDefault="000024F4" w:rsidP="000024F4">
      <w:pPr>
        <w:pStyle w:val="ZTIRFRAGMzmnpwprdowyliczeniatiret"/>
      </w:pPr>
      <w:r w:rsidRPr="000024F4">
        <w:t>Eksploatowana obecnie infrastruktura budynkowa IT w ośrodku Centrum Informatyki Resortu Finansów w Radomiu zajmuje około 80% dostępnej pojemności. Mając na uwadze planowane przedsięwzięcia w zakresie rozwoju systemów informatycznych dla KAS</w:t>
      </w:r>
      <w:r w:rsidR="008565D5">
        <w:t>,</w:t>
      </w:r>
      <w:r w:rsidRPr="000024F4">
        <w:t xml:space="preserve"> takich jak: ZISAR II, Poltax Plus, Connect czy Kasy Fiskalne Online</w:t>
      </w:r>
      <w:r w:rsidR="008565D5">
        <w:t>,</w:t>
      </w:r>
      <w:r w:rsidRPr="000024F4">
        <w:t xml:space="preserve"> oraz szereg projektów konsolidujących centralne systemy wsparcia</w:t>
      </w:r>
      <w:r w:rsidR="008565D5">
        <w:t>,</w:t>
      </w:r>
      <w:r w:rsidRPr="000024F4">
        <w:t xml:space="preserve"> m.in kadry, finanse, księgowość</w:t>
      </w:r>
      <w:r w:rsidR="008565D5">
        <w:t>,</w:t>
      </w:r>
      <w:r w:rsidRPr="000024F4">
        <w:t xml:space="preserve"> i związane z tym znaczne dostawy infrastruktury serwerowej, szacuje się, że pozostała pojemność zostanie zagospodarowana w roku 2019. W celu zabezpieczenia możliwości rozwoju </w:t>
      </w:r>
      <w:r w:rsidR="00653FC6" w:rsidRPr="000024F4">
        <w:t>i</w:t>
      </w:r>
      <w:r w:rsidR="00653FC6">
        <w:t> </w:t>
      </w:r>
      <w:r w:rsidRPr="000024F4">
        <w:t xml:space="preserve">budowy kolejnych usług IT (wspartych narzędziami informatycznymi) – </w:t>
      </w:r>
      <w:r w:rsidR="00653FC6" w:rsidRPr="000024F4">
        <w:t>w</w:t>
      </w:r>
      <w:r w:rsidR="00653FC6">
        <w:t> </w:t>
      </w:r>
      <w:r w:rsidRPr="000024F4">
        <w:t xml:space="preserve">znacznym stopniu dedykowanych do realizacji zadań ustawowych przez KAS, oraz dalszej centralizacji i konsolidacji systemów wspierających pobór podatków, egzekucję i kontrolę celno-skarbową, a także zarządzanie zasobami w KAS należy podjąć działania inwestycyjne w celu pozyskania zdolności </w:t>
      </w:r>
      <w:r w:rsidR="00653FC6" w:rsidRPr="000024F4">
        <w:t>do</w:t>
      </w:r>
      <w:r w:rsidR="00653FC6">
        <w:t> </w:t>
      </w:r>
      <w:r w:rsidRPr="000024F4">
        <w:t xml:space="preserve">dalszego lokowania infrastruktury IT. Zaniechanie tych działań poskutkuje </w:t>
      </w:r>
      <w:r w:rsidR="00653FC6" w:rsidRPr="000024F4">
        <w:t>w</w:t>
      </w:r>
      <w:r w:rsidR="00653FC6">
        <w:t> </w:t>
      </w:r>
      <w:r w:rsidRPr="000024F4">
        <w:t>przyszłości brakiem możliwości realizacji przedsięwzięć wymagających wysokodostępnej infrastruktury IT. W takiej sytuacji niezbędne staje się zaprojektowanie, a następnie wybudowanie nowego obiektu o powierzchni około 2.000 m</w:t>
      </w:r>
      <w:r w:rsidRPr="00DA2DD3">
        <w:rPr>
          <w:rStyle w:val="IGindeksgrny"/>
        </w:rPr>
        <w:t>2</w:t>
      </w:r>
      <w:r w:rsidRPr="000024F4">
        <w:t xml:space="preserve"> (dokładną powierzchnię określą założenia projektowe) </w:t>
      </w:r>
      <w:r w:rsidR="00653FC6" w:rsidRPr="000024F4">
        <w:t>na</w:t>
      </w:r>
      <w:r w:rsidR="00653FC6">
        <w:t> </w:t>
      </w:r>
      <w:r w:rsidRPr="000024F4">
        <w:t xml:space="preserve">nieruchomości gruntowej pozostającej w trwałym zarządzie Centrum Informatyki Resortu Finansów. Takie działanie umożliwi dalsze niezakłócone zwiększenie mocy obliczeniowej centralnej infrastruktury teleinformatycznej </w:t>
      </w:r>
      <w:r w:rsidR="00653FC6" w:rsidRPr="000024F4">
        <w:t>w</w:t>
      </w:r>
      <w:r w:rsidR="00653FC6">
        <w:t> </w:t>
      </w:r>
      <w:r w:rsidRPr="000024F4">
        <w:t xml:space="preserve">celu zaspokojenia rosnących potrzeb w obszarze postępującej informatyzacji usług i procesów. Planowana inwestycja pozwoli na co najmniej dwukrotne zwiększenie dostępnej przestrzeni na ulokowanie infrastruktury informatycznej Centrum Informatyki Resortu Finansów. Wartość </w:t>
      </w:r>
      <w:r w:rsidR="00881677">
        <w:t xml:space="preserve">zadania oszacowano </w:t>
      </w:r>
      <w:r w:rsidR="00653FC6" w:rsidRPr="000024F4">
        <w:t>na</w:t>
      </w:r>
      <w:r w:rsidR="00653FC6">
        <w:t> </w:t>
      </w:r>
      <w:r w:rsidRPr="000024F4">
        <w:t>podstawie danych porównawczych dotyczących nakładów na budowę obiektów technicznych o podobnych parametrach.</w:t>
      </w:r>
    </w:p>
    <w:p w:rsidR="008E4150" w:rsidRPr="00506E69" w:rsidRDefault="000024F4" w:rsidP="003A1B69">
      <w:pPr>
        <w:pStyle w:val="ZTIRFRAGMzmnpwprdowyliczeniatiret"/>
      </w:pPr>
      <w:r w:rsidRPr="000024F4">
        <w:t xml:space="preserve">Budowa centrum pozwoli również na zaprzestanie eksploatacji wielu prowizorycznych pomieszczeń serwerowni, których obecna liczba w resorcie finansów przekracza 700 (w dłuższej perspektywie czasowej zapewni </w:t>
      </w:r>
      <w:r w:rsidR="00653FC6" w:rsidRPr="000024F4">
        <w:t>to</w:t>
      </w:r>
      <w:r w:rsidR="00653FC6">
        <w:t> </w:t>
      </w:r>
      <w:r w:rsidRPr="000024F4">
        <w:t xml:space="preserve">obniżenie kosztów </w:t>
      </w:r>
      <w:r w:rsidR="00881677">
        <w:t>utrzymania</w:t>
      </w:r>
      <w:r w:rsidR="00881677" w:rsidRPr="000024F4">
        <w:t xml:space="preserve"> </w:t>
      </w:r>
      <w:r w:rsidRPr="000024F4">
        <w:t>infrastruktury informatycznej w resorcie).”</w:t>
      </w:r>
      <w:r>
        <w:t>,</w:t>
      </w:r>
    </w:p>
    <w:p w:rsidR="000024F4" w:rsidRPr="00564E8D" w:rsidRDefault="00564E8D" w:rsidP="00564E8D">
      <w:pPr>
        <w:pStyle w:val="LITlitera"/>
      </w:pPr>
      <w:r w:rsidRPr="00564E8D">
        <w:t>c)</w:t>
      </w:r>
      <w:r w:rsidR="000024F4" w:rsidRPr="00564E8D">
        <w:tab/>
        <w:t xml:space="preserve">w </w:t>
      </w:r>
      <w:r w:rsidR="00020890" w:rsidRPr="00564E8D">
        <w:t xml:space="preserve">pkt </w:t>
      </w:r>
      <w:r w:rsidR="000024F4" w:rsidRPr="00564E8D">
        <w:t xml:space="preserve">V </w:t>
      </w:r>
      <w:r w:rsidR="000024F4" w:rsidRPr="00564E8D">
        <w:rPr>
          <w:rStyle w:val="Ppogrubienie"/>
          <w:b w:val="0"/>
        </w:rPr>
        <w:t>„Plan finansowy Programu”</w:t>
      </w:r>
      <w:r w:rsidR="000024F4" w:rsidRPr="00564E8D">
        <w:t xml:space="preserve"> w </w:t>
      </w:r>
      <w:r w:rsidR="00020890" w:rsidRPr="00564E8D">
        <w:t>p</w:t>
      </w:r>
      <w:r w:rsidR="000024F4" w:rsidRPr="00564E8D">
        <w:t xml:space="preserve">pkt 2 </w:t>
      </w:r>
      <w:r w:rsidR="000024F4" w:rsidRPr="00564E8D">
        <w:rPr>
          <w:rStyle w:val="PKpogrubieniekursywa"/>
          <w:b w:val="0"/>
          <w:i w:val="0"/>
        </w:rPr>
        <w:t>„Kwoty środków przeznaczonych na finansowanie Programu i ich podział między priorytety”</w:t>
      </w:r>
      <w:r w:rsidR="00BF47D3" w:rsidRPr="00564E8D">
        <w:t xml:space="preserve"> </w:t>
      </w:r>
      <w:r w:rsidR="000024F4" w:rsidRPr="00564E8D">
        <w:t>tabela otrzymuje brzmienie:</w:t>
      </w:r>
    </w:p>
    <w:tbl>
      <w:tblPr>
        <w:tblW w:w="533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2"/>
        <w:gridCol w:w="2695"/>
        <w:gridCol w:w="2126"/>
        <w:gridCol w:w="1985"/>
        <w:gridCol w:w="1989"/>
      </w:tblGrid>
      <w:tr w:rsidR="000024F4" w:rsidRPr="000024F4" w:rsidTr="000024F4">
        <w:trPr>
          <w:trHeight w:val="650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F4" w:rsidRPr="000024F4" w:rsidRDefault="000024F4" w:rsidP="000024F4">
            <w:pPr>
              <w:pStyle w:val="TEKSTwTABELIWYRODKOWANYtekstwyrodkowanywpoziomie"/>
            </w:pPr>
            <w:r w:rsidRPr="000024F4">
              <w:t>Lp.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4F4" w:rsidRPr="000024F4" w:rsidRDefault="000024F4" w:rsidP="000024F4">
            <w:pPr>
              <w:pStyle w:val="TEKSTwTABELIWYRODKOWANYtekstwyrodkowanywpoziomie"/>
            </w:pPr>
            <w:r w:rsidRPr="000024F4">
              <w:t>Obszar wspomagania zasobów KAS objęty Programem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4F4" w:rsidRPr="000024F4" w:rsidRDefault="000024F4" w:rsidP="000024F4">
            <w:pPr>
              <w:pStyle w:val="TEKSTwTABELIWYRODKOWANYtekstwyrodkowanywpoziomie"/>
            </w:pPr>
            <w:r w:rsidRPr="000024F4">
              <w:t>2020 r.</w:t>
            </w:r>
          </w:p>
          <w:p w:rsidR="000024F4" w:rsidRPr="000024F4" w:rsidRDefault="000024F4" w:rsidP="000024F4">
            <w:pPr>
              <w:pStyle w:val="TEKSTwTABELIWYRODKOWANYtekstwyrodkowanywpoziomie"/>
            </w:pPr>
            <w:r w:rsidRPr="000024F4">
              <w:t>(tys. zł)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4F4" w:rsidRPr="000024F4" w:rsidRDefault="000024F4" w:rsidP="000024F4">
            <w:pPr>
              <w:pStyle w:val="TEKSTwTABELIWYRODKOWANYtekstwyrodkowanywpoziomie"/>
            </w:pPr>
            <w:r>
              <w:t>2021</w:t>
            </w:r>
            <w:r w:rsidRPr="000024F4">
              <w:t xml:space="preserve"> r.</w:t>
            </w:r>
          </w:p>
          <w:p w:rsidR="000024F4" w:rsidRPr="000024F4" w:rsidRDefault="000024F4" w:rsidP="000024F4">
            <w:pPr>
              <w:pStyle w:val="TEKSTwTABELIWYRODKOWANYtekstwyrodkowanywpoziomie"/>
            </w:pPr>
            <w:r w:rsidRPr="000024F4">
              <w:t>(tys. zł)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4F4" w:rsidRPr="000024F4" w:rsidRDefault="000024F4" w:rsidP="000024F4">
            <w:pPr>
              <w:pStyle w:val="TEKSTwTABELIWYRODKOWANYtekstwyrodkowanywpoziomie"/>
            </w:pPr>
            <w:r>
              <w:t>2022</w:t>
            </w:r>
            <w:r w:rsidRPr="000024F4">
              <w:t xml:space="preserve"> r.</w:t>
            </w:r>
          </w:p>
          <w:p w:rsidR="000024F4" w:rsidRPr="000024F4" w:rsidRDefault="000024F4" w:rsidP="000024F4">
            <w:pPr>
              <w:pStyle w:val="TEKSTwTABELIWYRODKOWANYtekstwyrodkowanywpoziomie"/>
            </w:pPr>
            <w:r w:rsidRPr="000024F4">
              <w:t>(tys. zł)</w:t>
            </w:r>
          </w:p>
        </w:tc>
      </w:tr>
      <w:tr w:rsidR="009E59F6" w:rsidRPr="000024F4" w:rsidTr="000024F4">
        <w:trPr>
          <w:trHeight w:val="650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9F6" w:rsidRPr="009E59F6" w:rsidRDefault="009E59F6" w:rsidP="009E59F6">
            <w:pPr>
              <w:pStyle w:val="P1wTABELIpoziom1numeracjiwtabeli"/>
            </w:pPr>
            <w:r>
              <w:t xml:space="preserve">1. 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9F6" w:rsidRPr="00A55D22" w:rsidRDefault="009E59F6" w:rsidP="009E59F6">
            <w:pPr>
              <w:rPr>
                <w:rStyle w:val="Ppogrubienie"/>
              </w:rPr>
            </w:pPr>
            <w:r w:rsidRPr="00A55D22">
              <w:rPr>
                <w:rStyle w:val="Ppogrubienie"/>
              </w:rPr>
              <w:t>PRIORYTET I</w:t>
            </w:r>
          </w:p>
          <w:p w:rsidR="009E59F6" w:rsidRPr="009E59F6" w:rsidRDefault="009E59F6" w:rsidP="007552A4">
            <w:r w:rsidRPr="000024F4">
              <w:t xml:space="preserve">wzrost konkurencyjności </w:t>
            </w:r>
            <w:r w:rsidR="007552A4">
              <w:br/>
            </w:r>
            <w:r w:rsidRPr="000024F4">
              <w:t xml:space="preserve">i motywacyjności zatrudnienia </w:t>
            </w:r>
            <w:r w:rsidR="007552A4">
              <w:br/>
            </w:r>
            <w:r w:rsidRPr="000024F4">
              <w:t>w jednostkach organizacyjnych KAS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9F6" w:rsidRPr="009E59F6" w:rsidRDefault="0082127A" w:rsidP="00A55D22">
            <w:r>
              <w:t>485</w:t>
            </w:r>
            <w:r w:rsidR="00A55D22">
              <w:t>.</w:t>
            </w:r>
            <w:r>
              <w:t>745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9F6" w:rsidRPr="009E59F6" w:rsidRDefault="009E59F6" w:rsidP="00A55D22">
            <w:r>
              <w:t>36</w:t>
            </w:r>
            <w:r w:rsidR="00A55D22">
              <w:t>.</w:t>
            </w:r>
            <w:r>
              <w:t xml:space="preserve">113 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9F6" w:rsidRPr="009E59F6" w:rsidRDefault="009E59F6" w:rsidP="00A55D22">
            <w:r>
              <w:t>172</w:t>
            </w:r>
            <w:r w:rsidR="00A55D22">
              <w:t>.</w:t>
            </w:r>
            <w:r>
              <w:t xml:space="preserve">435 </w:t>
            </w:r>
          </w:p>
        </w:tc>
      </w:tr>
      <w:tr w:rsidR="009E59F6" w:rsidRPr="000024F4" w:rsidTr="000024F4">
        <w:trPr>
          <w:trHeight w:val="650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9F6" w:rsidRPr="009E59F6" w:rsidRDefault="009E59F6" w:rsidP="009E59F6">
            <w:pPr>
              <w:pStyle w:val="P1wTABELIpoziom1numeracjiwtabeli"/>
            </w:pPr>
            <w:r>
              <w:t>2.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9F6" w:rsidRPr="00A55D22" w:rsidRDefault="009E59F6" w:rsidP="009E59F6">
            <w:pPr>
              <w:rPr>
                <w:rStyle w:val="Ppogrubienie"/>
              </w:rPr>
            </w:pPr>
            <w:r w:rsidRPr="00A55D22">
              <w:rPr>
                <w:rStyle w:val="Ppogrubienie"/>
              </w:rPr>
              <w:t>PRIORYTET II</w:t>
            </w:r>
          </w:p>
          <w:p w:rsidR="009E59F6" w:rsidRPr="009E59F6" w:rsidRDefault="009E59F6" w:rsidP="009E59F6">
            <w:r w:rsidRPr="000024F4">
              <w:t xml:space="preserve">zakupy pojazdów, urządzeń, sprzętu, uzbrojenia, środków przymusu bezpośredniego, oprogramowania komputerowego </w:t>
            </w:r>
            <w:r w:rsidRPr="009E59F6">
              <w:t>oraz innych elementów wyposażenia mających na celu wsparcie kontroli celno-skarbowej, a także szkoleń specjalistycznych w tym zakresie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9F6" w:rsidRPr="009E59F6" w:rsidRDefault="007C7D12" w:rsidP="00A55D22">
            <w:r>
              <w:t>86</w:t>
            </w:r>
            <w:r w:rsidR="00A55D22">
              <w:t>.</w:t>
            </w:r>
            <w:r>
              <w:t>656</w:t>
            </w:r>
            <w:r w:rsidR="009E59F6">
              <w:t xml:space="preserve"> 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9F6" w:rsidRPr="009E59F6" w:rsidRDefault="008F00C8" w:rsidP="00A55D22">
            <w:r>
              <w:t>215</w:t>
            </w:r>
            <w:r w:rsidR="00A55D22">
              <w:t>.</w:t>
            </w:r>
            <w:r>
              <w:t>485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9F6" w:rsidRPr="009E59F6" w:rsidRDefault="0064347D" w:rsidP="00A55D22">
            <w:r>
              <w:t>247</w:t>
            </w:r>
            <w:r w:rsidR="00A55D22">
              <w:t>.</w:t>
            </w:r>
            <w:r>
              <w:t>3</w:t>
            </w:r>
            <w:r w:rsidR="00087B7E">
              <w:t>40</w:t>
            </w:r>
            <w:r w:rsidR="009E59F6">
              <w:t xml:space="preserve"> </w:t>
            </w:r>
          </w:p>
        </w:tc>
      </w:tr>
      <w:tr w:rsidR="009E59F6" w:rsidRPr="000024F4" w:rsidTr="000024F4">
        <w:trPr>
          <w:trHeight w:val="650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9F6" w:rsidRPr="009E59F6" w:rsidRDefault="009E59F6" w:rsidP="009E59F6">
            <w:pPr>
              <w:pStyle w:val="P1wTABELIpoziom1numeracjiwtabeli"/>
            </w:pPr>
            <w:r>
              <w:t>3.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9F6" w:rsidRPr="00A55D22" w:rsidRDefault="009E59F6" w:rsidP="009E59F6">
            <w:pPr>
              <w:rPr>
                <w:rStyle w:val="Ppogrubienie"/>
              </w:rPr>
            </w:pPr>
            <w:r w:rsidRPr="00A55D22">
              <w:rPr>
                <w:rStyle w:val="Ppogrubienie"/>
              </w:rPr>
              <w:t>PRIORYTET III</w:t>
            </w:r>
          </w:p>
          <w:p w:rsidR="009E59F6" w:rsidRPr="009E59F6" w:rsidRDefault="009E59F6" w:rsidP="007552A4">
            <w:r w:rsidRPr="000024F4">
              <w:t xml:space="preserve">inwestycje budowlane </w:t>
            </w:r>
            <w:r w:rsidR="007552A4">
              <w:br/>
            </w:r>
            <w:r w:rsidRPr="000024F4">
              <w:t xml:space="preserve">– przebudowa, rozbudowa budynków dla </w:t>
            </w:r>
            <w:r w:rsidRPr="009E59F6">
              <w:t>urzędów skarbowych, urzędów celno-skarbowych oraz zakup nieruchomości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9F6" w:rsidRPr="009E59F6" w:rsidRDefault="007C7D12" w:rsidP="00A55D22">
            <w:r>
              <w:t>1</w:t>
            </w:r>
            <w:r w:rsidR="00A55D22">
              <w:t>.</w:t>
            </w:r>
            <w:r w:rsidR="00AA692F">
              <w:t>499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9F6" w:rsidRPr="009E59F6" w:rsidRDefault="008F00C8" w:rsidP="00A55D22">
            <w:r>
              <w:t>59</w:t>
            </w:r>
            <w:r w:rsidR="00A55D22">
              <w:t>.</w:t>
            </w:r>
            <w:r>
              <w:t>549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9F6" w:rsidRPr="009E59F6" w:rsidRDefault="0064347D" w:rsidP="00A55D22">
            <w:r>
              <w:t>109</w:t>
            </w:r>
            <w:r w:rsidR="00A55D22">
              <w:t>.</w:t>
            </w:r>
            <w:r>
              <w:t>436</w:t>
            </w:r>
          </w:p>
        </w:tc>
      </w:tr>
      <w:tr w:rsidR="000024F4" w:rsidRPr="000024F4" w:rsidTr="000024F4">
        <w:trPr>
          <w:trHeight w:val="650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F4" w:rsidRDefault="000024F4" w:rsidP="000024F4">
            <w:pPr>
              <w:pStyle w:val="P1wTABELIpoziom1numeracjiwtabeli"/>
            </w:pPr>
            <w:r>
              <w:t>4.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4F4" w:rsidRPr="005B015F" w:rsidRDefault="000024F4" w:rsidP="000024F4">
            <w:pPr>
              <w:rPr>
                <w:rStyle w:val="Ppogrubienie"/>
              </w:rPr>
            </w:pPr>
            <w:r w:rsidRPr="005B015F">
              <w:rPr>
                <w:rStyle w:val="Ppogrubienie"/>
              </w:rPr>
              <w:t>PRIORYTET IV</w:t>
            </w:r>
          </w:p>
          <w:p w:rsidR="000024F4" w:rsidRPr="000024F4" w:rsidRDefault="000024F4" w:rsidP="000024F4">
            <w:r w:rsidRPr="000024F4">
              <w:t>budowa centrum przetwarzania danych IT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4F4" w:rsidRPr="000024F4" w:rsidRDefault="000024F4" w:rsidP="000024F4">
            <w:r w:rsidRPr="000024F4">
              <w:t>900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4F4" w:rsidRPr="000024F4" w:rsidRDefault="000024F4" w:rsidP="000024F4">
            <w:r w:rsidRPr="000024F4">
              <w:t>14</w:t>
            </w:r>
            <w:r w:rsidR="005B015F">
              <w:t>.</w:t>
            </w:r>
            <w:r w:rsidRPr="000024F4">
              <w:t>400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4F4" w:rsidRPr="000024F4" w:rsidRDefault="000024F4" w:rsidP="000024F4">
            <w:r w:rsidRPr="000024F4">
              <w:t>61</w:t>
            </w:r>
            <w:r w:rsidR="005B015F">
              <w:t>.</w:t>
            </w:r>
            <w:r w:rsidRPr="000024F4">
              <w:t>700</w:t>
            </w:r>
          </w:p>
        </w:tc>
      </w:tr>
      <w:tr w:rsidR="000024F4" w:rsidRPr="000024F4" w:rsidTr="000024F4">
        <w:trPr>
          <w:trHeight w:val="650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F4" w:rsidRDefault="000024F4" w:rsidP="000024F4">
            <w:pPr>
              <w:pStyle w:val="P1wTABELIpoziom1numeracjiwtabeli"/>
            </w:pPr>
            <w:r>
              <w:t>5.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4F4" w:rsidRPr="005B015F" w:rsidRDefault="000024F4" w:rsidP="000024F4">
            <w:pPr>
              <w:rPr>
                <w:rStyle w:val="Ppogrubienie"/>
              </w:rPr>
            </w:pPr>
            <w:r w:rsidRPr="005B015F">
              <w:rPr>
                <w:rStyle w:val="Ppogrubienie"/>
              </w:rPr>
              <w:t>PRIORYTET V</w:t>
            </w:r>
          </w:p>
          <w:p w:rsidR="000024F4" w:rsidRPr="000024F4" w:rsidRDefault="000024F4" w:rsidP="000024F4">
            <w:r w:rsidRPr="000024F4">
              <w:t xml:space="preserve">budowa sieci LAN </w:t>
            </w:r>
          </w:p>
          <w:p w:rsidR="000024F4" w:rsidRPr="000024F4" w:rsidRDefault="000024F4" w:rsidP="000024F4">
            <w:r w:rsidRPr="000024F4">
              <w:t>w obiektach jednostek organizacyjnych KAS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4F4" w:rsidRPr="000024F4" w:rsidRDefault="000024F4" w:rsidP="005B015F">
            <w:r w:rsidRPr="000024F4">
              <w:t>7</w:t>
            </w:r>
            <w:r w:rsidR="005B015F">
              <w:t>.</w:t>
            </w:r>
            <w:r w:rsidRPr="000024F4">
              <w:t>865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4F4" w:rsidRPr="000024F4" w:rsidRDefault="000024F4" w:rsidP="000024F4">
            <w:r w:rsidRPr="000024F4">
              <w:t>48</w:t>
            </w:r>
            <w:r w:rsidR="005B015F">
              <w:t>.</w:t>
            </w:r>
            <w:r w:rsidRPr="000024F4">
              <w:t>724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4F4" w:rsidRPr="000024F4" w:rsidRDefault="000024F4" w:rsidP="005B015F">
            <w:r w:rsidRPr="000024F4">
              <w:t>38</w:t>
            </w:r>
            <w:r w:rsidR="005B015F">
              <w:t>.</w:t>
            </w:r>
            <w:r w:rsidRPr="000024F4">
              <w:t>731</w:t>
            </w:r>
          </w:p>
        </w:tc>
      </w:tr>
      <w:tr w:rsidR="009E59F6" w:rsidRPr="000024F4" w:rsidTr="000024F4">
        <w:trPr>
          <w:trHeight w:val="650"/>
          <w:tblCellSpacing w:w="0" w:type="dxa"/>
        </w:trPr>
        <w:tc>
          <w:tcPr>
            <w:tcW w:w="18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9F6" w:rsidRPr="005B015F" w:rsidRDefault="009E59F6" w:rsidP="009E59F6">
            <w:pPr>
              <w:rPr>
                <w:rStyle w:val="Ppogrubienie"/>
              </w:rPr>
            </w:pPr>
            <w:r w:rsidRPr="005B015F">
              <w:rPr>
                <w:rStyle w:val="Ppogrubienie"/>
              </w:rPr>
              <w:t>Razem w poszczególnych latach: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9F6" w:rsidRPr="005B015F" w:rsidRDefault="007C7D12" w:rsidP="005B015F">
            <w:pPr>
              <w:rPr>
                <w:rStyle w:val="Ppogrubienie"/>
              </w:rPr>
            </w:pPr>
            <w:r w:rsidRPr="005B015F">
              <w:rPr>
                <w:rStyle w:val="Ppogrubienie"/>
              </w:rPr>
              <w:t xml:space="preserve"> 582</w:t>
            </w:r>
            <w:r w:rsidR="005B015F" w:rsidRPr="005B015F">
              <w:rPr>
                <w:rStyle w:val="Ppogrubienie"/>
              </w:rPr>
              <w:t>.</w:t>
            </w:r>
            <w:r w:rsidR="00AA692F" w:rsidRPr="005B015F">
              <w:rPr>
                <w:rStyle w:val="Ppogrubienie"/>
              </w:rPr>
              <w:t>665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9F6" w:rsidRPr="005B015F" w:rsidRDefault="007C7D12" w:rsidP="005B015F">
            <w:pPr>
              <w:rPr>
                <w:rStyle w:val="Ppogrubienie"/>
              </w:rPr>
            </w:pPr>
            <w:r w:rsidRPr="005B015F">
              <w:rPr>
                <w:rStyle w:val="Ppogrubienie"/>
              </w:rPr>
              <w:t xml:space="preserve"> </w:t>
            </w:r>
            <w:r w:rsidR="0064347D" w:rsidRPr="005B015F">
              <w:rPr>
                <w:rStyle w:val="Ppogrubienie"/>
              </w:rPr>
              <w:t>374</w:t>
            </w:r>
            <w:r w:rsidR="005B015F" w:rsidRPr="005B015F">
              <w:rPr>
                <w:rStyle w:val="Ppogrubienie"/>
              </w:rPr>
              <w:t>.</w:t>
            </w:r>
            <w:r w:rsidR="0064347D" w:rsidRPr="005B015F">
              <w:rPr>
                <w:rStyle w:val="Ppogrubienie"/>
              </w:rPr>
              <w:t>271</w:t>
            </w:r>
            <w:r w:rsidR="009E59F6" w:rsidRPr="005B015F">
              <w:rPr>
                <w:rStyle w:val="Ppogrubienie"/>
              </w:rPr>
              <w:t xml:space="preserve"> 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59F6" w:rsidRPr="005B015F" w:rsidRDefault="007C7D12" w:rsidP="005B015F">
            <w:pPr>
              <w:rPr>
                <w:rStyle w:val="Ppogrubienie"/>
              </w:rPr>
            </w:pPr>
            <w:r w:rsidRPr="005B015F">
              <w:rPr>
                <w:rStyle w:val="Ppogrubienie"/>
              </w:rPr>
              <w:t xml:space="preserve"> </w:t>
            </w:r>
            <w:r w:rsidR="0064347D" w:rsidRPr="005B015F">
              <w:rPr>
                <w:rStyle w:val="Ppogrubienie"/>
              </w:rPr>
              <w:t>629</w:t>
            </w:r>
            <w:r w:rsidR="005B015F" w:rsidRPr="005B015F">
              <w:rPr>
                <w:rStyle w:val="Ppogrubienie"/>
              </w:rPr>
              <w:t>.</w:t>
            </w:r>
            <w:r w:rsidR="0064347D" w:rsidRPr="005B015F">
              <w:rPr>
                <w:rStyle w:val="Ppogrubienie"/>
              </w:rPr>
              <w:t>642</w:t>
            </w:r>
            <w:r w:rsidR="009E59F6" w:rsidRPr="005B015F">
              <w:rPr>
                <w:rStyle w:val="Ppogrubienie"/>
              </w:rPr>
              <w:t xml:space="preserve"> </w:t>
            </w:r>
          </w:p>
        </w:tc>
      </w:tr>
      <w:tr w:rsidR="000024F4" w:rsidRPr="000024F4" w:rsidTr="000024F4">
        <w:trPr>
          <w:trHeight w:val="650"/>
          <w:tblCellSpacing w:w="0" w:type="dxa"/>
        </w:trPr>
        <w:tc>
          <w:tcPr>
            <w:tcW w:w="39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4F4" w:rsidRPr="000024F4" w:rsidRDefault="000024F4" w:rsidP="000024F4">
            <w:r w:rsidRPr="000024F4">
              <w:t>Suma wydatków w latach 2020–2022</w:t>
            </w:r>
            <w:r>
              <w:t>: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4F4" w:rsidRPr="000024F4" w:rsidRDefault="009E59F6" w:rsidP="005B015F">
            <w:r w:rsidRPr="009E59F6">
              <w:t>1</w:t>
            </w:r>
            <w:r w:rsidR="005B015F">
              <w:t>.</w:t>
            </w:r>
            <w:r w:rsidRPr="009E59F6">
              <w:t>586</w:t>
            </w:r>
            <w:r w:rsidR="005B015F">
              <w:t>.</w:t>
            </w:r>
            <w:r w:rsidR="00AA692F" w:rsidRPr="009E59F6">
              <w:t>57</w:t>
            </w:r>
            <w:r w:rsidR="00AA692F">
              <w:t>8</w:t>
            </w:r>
          </w:p>
        </w:tc>
      </w:tr>
    </w:tbl>
    <w:p w:rsidR="000024F4" w:rsidRPr="000024F4" w:rsidRDefault="000024F4" w:rsidP="000024F4">
      <w:pPr>
        <w:pStyle w:val="LITlitera"/>
      </w:pPr>
    </w:p>
    <w:p w:rsidR="0079564A" w:rsidRDefault="007552A4" w:rsidP="000024F4">
      <w:pPr>
        <w:pStyle w:val="ARTartustawynprozporzdzenia"/>
      </w:pPr>
      <w:r>
        <w:rPr>
          <w:rStyle w:val="Ppogrubienie"/>
        </w:rPr>
        <w:t>§ </w:t>
      </w:r>
      <w:r w:rsidR="000024F4" w:rsidRPr="000024F4">
        <w:rPr>
          <w:rStyle w:val="Ppogrubienie"/>
        </w:rPr>
        <w:t>2.</w:t>
      </w:r>
      <w:r>
        <w:rPr>
          <w:rStyle w:val="Ppogrubienie"/>
        </w:rPr>
        <w:t> </w:t>
      </w:r>
      <w:r w:rsidR="0079564A" w:rsidRPr="00081A83">
        <w:t>Uchwała wchodzi w życie z dniem</w:t>
      </w:r>
      <w:r w:rsidR="0079564A">
        <w:t xml:space="preserve"> podjęcia.</w:t>
      </w:r>
    </w:p>
    <w:p w:rsidR="0079564A" w:rsidRDefault="0079564A" w:rsidP="0079564A"/>
    <w:p w:rsidR="00564E8D" w:rsidRPr="008A7273" w:rsidRDefault="00564E8D" w:rsidP="00564E8D">
      <w:pPr>
        <w:pStyle w:val="NAZORGWYDnazwaorganuwydajcegoprojektowanyakt"/>
      </w:pPr>
      <w:r>
        <w:t>PREZES RADY MINISTRÓW</w:t>
      </w:r>
    </w:p>
    <w:p w:rsidR="00564E8D" w:rsidRDefault="00564E8D" w:rsidP="00564E8D">
      <w:pPr>
        <w:pStyle w:val="NAZORGWYDnazwaorganuwydajcegoprojektowanyakt"/>
      </w:pPr>
      <w:r w:rsidRPr="00315300">
        <w:t>mateusz morawiecki</w:t>
      </w:r>
    </w:p>
    <w:p w:rsidR="00564E8D" w:rsidRPr="00FD1CEC" w:rsidRDefault="00564E8D" w:rsidP="00564E8D">
      <w:pPr>
        <w:pStyle w:val="ODNONIKtreodnonika"/>
        <w:ind w:left="4536" w:firstLine="0"/>
      </w:pPr>
      <w:r w:rsidRPr="007F0DBB">
        <w:t>/podpisano kwalifikowanym podpisem elektronicznym/</w:t>
      </w:r>
    </w:p>
    <w:sectPr w:rsidR="00564E8D" w:rsidRPr="00FD1CEC" w:rsidSect="006E2719">
      <w:headerReference w:type="default" r:id="rId11"/>
      <w:footnotePr>
        <w:numRestart w:val="eachSect"/>
      </w:footnotePr>
      <w:pgSz w:w="11906" w:h="16838"/>
      <w:pgMar w:top="1418" w:right="1435" w:bottom="1276" w:left="1418" w:header="709" w:footer="709" w:gutter="0"/>
      <w:cols w:space="708"/>
      <w:titlePg/>
      <w:docGrid w:linePitch="25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545A50" w16cid:durableId="23EB5FB3"/>
  <w16cid:commentId w16cid:paraId="42756464" w16cid:durableId="23EB5F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CD2" w:rsidRDefault="00803CD2">
      <w:r>
        <w:separator/>
      </w:r>
    </w:p>
  </w:endnote>
  <w:endnote w:type="continuationSeparator" w:id="0">
    <w:p w:rsidR="00803CD2" w:rsidRDefault="0080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CD2" w:rsidRDefault="00803CD2">
      <w:r>
        <w:separator/>
      </w:r>
    </w:p>
  </w:footnote>
  <w:footnote w:type="continuationSeparator" w:id="0">
    <w:p w:rsidR="00803CD2" w:rsidRDefault="00803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6E" w:rsidRPr="00B371CC" w:rsidRDefault="00416F6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B6E16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2827EFD"/>
    <w:multiLevelType w:val="hybridMultilevel"/>
    <w:tmpl w:val="21B0C462"/>
    <w:lvl w:ilvl="0" w:tplc="EAD6DAB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30"/>
  </w:num>
  <w:num w:numId="41">
    <w:abstractNumId w:val="28"/>
  </w:num>
  <w:num w:numId="42">
    <w:abstractNumId w:val="21"/>
  </w:num>
  <w:num w:numId="43">
    <w:abstractNumId w:val="35"/>
  </w:num>
  <w:num w:numId="44">
    <w:abstractNumId w:val="1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Formatting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2E"/>
    <w:rsid w:val="000001B4"/>
    <w:rsid w:val="00000A50"/>
    <w:rsid w:val="000012DA"/>
    <w:rsid w:val="00001BB1"/>
    <w:rsid w:val="0000246E"/>
    <w:rsid w:val="000024F4"/>
    <w:rsid w:val="00003862"/>
    <w:rsid w:val="0000722D"/>
    <w:rsid w:val="00012A35"/>
    <w:rsid w:val="000137D1"/>
    <w:rsid w:val="000158A4"/>
    <w:rsid w:val="00016023"/>
    <w:rsid w:val="00016099"/>
    <w:rsid w:val="00016448"/>
    <w:rsid w:val="00017DC2"/>
    <w:rsid w:val="000202E3"/>
    <w:rsid w:val="00020890"/>
    <w:rsid w:val="00021522"/>
    <w:rsid w:val="000229AC"/>
    <w:rsid w:val="00023471"/>
    <w:rsid w:val="00023F13"/>
    <w:rsid w:val="000252E2"/>
    <w:rsid w:val="00025684"/>
    <w:rsid w:val="00025C0A"/>
    <w:rsid w:val="00026996"/>
    <w:rsid w:val="00027294"/>
    <w:rsid w:val="00027F36"/>
    <w:rsid w:val="00030634"/>
    <w:rsid w:val="000319C1"/>
    <w:rsid w:val="00031A8B"/>
    <w:rsid w:val="00031BCA"/>
    <w:rsid w:val="00031BE1"/>
    <w:rsid w:val="000330FA"/>
    <w:rsid w:val="000332E8"/>
    <w:rsid w:val="0003362F"/>
    <w:rsid w:val="00034363"/>
    <w:rsid w:val="00034E36"/>
    <w:rsid w:val="000368CB"/>
    <w:rsid w:val="00036B63"/>
    <w:rsid w:val="00037E1A"/>
    <w:rsid w:val="000420A7"/>
    <w:rsid w:val="00042D18"/>
    <w:rsid w:val="00043495"/>
    <w:rsid w:val="0004641E"/>
    <w:rsid w:val="00046A75"/>
    <w:rsid w:val="000471AF"/>
    <w:rsid w:val="00047312"/>
    <w:rsid w:val="000508BD"/>
    <w:rsid w:val="000517AB"/>
    <w:rsid w:val="00051F65"/>
    <w:rsid w:val="0005339C"/>
    <w:rsid w:val="0005571B"/>
    <w:rsid w:val="0005768E"/>
    <w:rsid w:val="00057AB3"/>
    <w:rsid w:val="00057B56"/>
    <w:rsid w:val="00060076"/>
    <w:rsid w:val="00060432"/>
    <w:rsid w:val="00060D87"/>
    <w:rsid w:val="000615A5"/>
    <w:rsid w:val="00064E4C"/>
    <w:rsid w:val="00066901"/>
    <w:rsid w:val="00071BEE"/>
    <w:rsid w:val="00072E41"/>
    <w:rsid w:val="000736CD"/>
    <w:rsid w:val="000737BA"/>
    <w:rsid w:val="0007533B"/>
    <w:rsid w:val="0007545D"/>
    <w:rsid w:val="000760BF"/>
    <w:rsid w:val="0007613E"/>
    <w:rsid w:val="000762E7"/>
    <w:rsid w:val="00076BFC"/>
    <w:rsid w:val="000814A7"/>
    <w:rsid w:val="00082210"/>
    <w:rsid w:val="000828A4"/>
    <w:rsid w:val="0008306D"/>
    <w:rsid w:val="00083A66"/>
    <w:rsid w:val="0008557B"/>
    <w:rsid w:val="00085CE7"/>
    <w:rsid w:val="00085EE4"/>
    <w:rsid w:val="00087733"/>
    <w:rsid w:val="00087B7E"/>
    <w:rsid w:val="000906EE"/>
    <w:rsid w:val="00091250"/>
    <w:rsid w:val="00091256"/>
    <w:rsid w:val="00091BA2"/>
    <w:rsid w:val="000934C2"/>
    <w:rsid w:val="0009384B"/>
    <w:rsid w:val="000944EF"/>
    <w:rsid w:val="0009732D"/>
    <w:rsid w:val="000973F0"/>
    <w:rsid w:val="000A1296"/>
    <w:rsid w:val="000A162E"/>
    <w:rsid w:val="000A1C27"/>
    <w:rsid w:val="000A1DAD"/>
    <w:rsid w:val="000A2649"/>
    <w:rsid w:val="000A323B"/>
    <w:rsid w:val="000A4EEE"/>
    <w:rsid w:val="000A50CE"/>
    <w:rsid w:val="000A5E81"/>
    <w:rsid w:val="000B0102"/>
    <w:rsid w:val="000B298D"/>
    <w:rsid w:val="000B5027"/>
    <w:rsid w:val="000B5B2D"/>
    <w:rsid w:val="000B5DCE"/>
    <w:rsid w:val="000B70D0"/>
    <w:rsid w:val="000C05BA"/>
    <w:rsid w:val="000C0E8F"/>
    <w:rsid w:val="000C4BC4"/>
    <w:rsid w:val="000C67FE"/>
    <w:rsid w:val="000D0110"/>
    <w:rsid w:val="000D2468"/>
    <w:rsid w:val="000D2890"/>
    <w:rsid w:val="000D318A"/>
    <w:rsid w:val="000D53DD"/>
    <w:rsid w:val="000D6173"/>
    <w:rsid w:val="000D6F83"/>
    <w:rsid w:val="000D704B"/>
    <w:rsid w:val="000D76A4"/>
    <w:rsid w:val="000D7A17"/>
    <w:rsid w:val="000D7FA0"/>
    <w:rsid w:val="000E25CC"/>
    <w:rsid w:val="000E361C"/>
    <w:rsid w:val="000E3694"/>
    <w:rsid w:val="000E490F"/>
    <w:rsid w:val="000E5E8A"/>
    <w:rsid w:val="000E6072"/>
    <w:rsid w:val="000E6241"/>
    <w:rsid w:val="000F2BE3"/>
    <w:rsid w:val="000F3D0D"/>
    <w:rsid w:val="000F40DA"/>
    <w:rsid w:val="000F4383"/>
    <w:rsid w:val="000F6ED4"/>
    <w:rsid w:val="000F7A6E"/>
    <w:rsid w:val="001042BA"/>
    <w:rsid w:val="00105C31"/>
    <w:rsid w:val="001062A4"/>
    <w:rsid w:val="00106D03"/>
    <w:rsid w:val="001070B8"/>
    <w:rsid w:val="00110465"/>
    <w:rsid w:val="001104C8"/>
    <w:rsid w:val="00110628"/>
    <w:rsid w:val="0011189B"/>
    <w:rsid w:val="00111AB1"/>
    <w:rsid w:val="0011245A"/>
    <w:rsid w:val="0011477E"/>
    <w:rsid w:val="0011493E"/>
    <w:rsid w:val="00115B72"/>
    <w:rsid w:val="00116AE6"/>
    <w:rsid w:val="001209EC"/>
    <w:rsid w:val="00120A9E"/>
    <w:rsid w:val="001223E5"/>
    <w:rsid w:val="00125A9C"/>
    <w:rsid w:val="00125D56"/>
    <w:rsid w:val="001270A2"/>
    <w:rsid w:val="00130697"/>
    <w:rsid w:val="00131237"/>
    <w:rsid w:val="001329AC"/>
    <w:rsid w:val="00134C5E"/>
    <w:rsid w:val="00134CA0"/>
    <w:rsid w:val="0014026F"/>
    <w:rsid w:val="00145A3C"/>
    <w:rsid w:val="001463CC"/>
    <w:rsid w:val="00147A47"/>
    <w:rsid w:val="00147AA1"/>
    <w:rsid w:val="00150A21"/>
    <w:rsid w:val="00151079"/>
    <w:rsid w:val="001520CF"/>
    <w:rsid w:val="0015667C"/>
    <w:rsid w:val="00157110"/>
    <w:rsid w:val="0015742A"/>
    <w:rsid w:val="00157DA1"/>
    <w:rsid w:val="00160D05"/>
    <w:rsid w:val="00163147"/>
    <w:rsid w:val="00164C57"/>
    <w:rsid w:val="00164C9D"/>
    <w:rsid w:val="00170D65"/>
    <w:rsid w:val="00172F7A"/>
    <w:rsid w:val="00173150"/>
    <w:rsid w:val="00173390"/>
    <w:rsid w:val="001736F0"/>
    <w:rsid w:val="00173BB3"/>
    <w:rsid w:val="001740D0"/>
    <w:rsid w:val="00174F2C"/>
    <w:rsid w:val="0017617E"/>
    <w:rsid w:val="00180F2A"/>
    <w:rsid w:val="001816E4"/>
    <w:rsid w:val="00184121"/>
    <w:rsid w:val="00184B91"/>
    <w:rsid w:val="00184D4A"/>
    <w:rsid w:val="00186588"/>
    <w:rsid w:val="00186EC1"/>
    <w:rsid w:val="001873DA"/>
    <w:rsid w:val="00191E1F"/>
    <w:rsid w:val="0019473B"/>
    <w:rsid w:val="001952B1"/>
    <w:rsid w:val="00196E39"/>
    <w:rsid w:val="00197649"/>
    <w:rsid w:val="001978D4"/>
    <w:rsid w:val="001A0172"/>
    <w:rsid w:val="001A01FB"/>
    <w:rsid w:val="001A10E9"/>
    <w:rsid w:val="001A183D"/>
    <w:rsid w:val="001A2B65"/>
    <w:rsid w:val="001A34CD"/>
    <w:rsid w:val="001A3CD3"/>
    <w:rsid w:val="001A3D9E"/>
    <w:rsid w:val="001A5BEF"/>
    <w:rsid w:val="001A620A"/>
    <w:rsid w:val="001A6FBD"/>
    <w:rsid w:val="001A7F15"/>
    <w:rsid w:val="001B342E"/>
    <w:rsid w:val="001B4984"/>
    <w:rsid w:val="001B6789"/>
    <w:rsid w:val="001C1517"/>
    <w:rsid w:val="001C1832"/>
    <w:rsid w:val="001C188C"/>
    <w:rsid w:val="001C6575"/>
    <w:rsid w:val="001C66E2"/>
    <w:rsid w:val="001C672C"/>
    <w:rsid w:val="001D172B"/>
    <w:rsid w:val="001D1783"/>
    <w:rsid w:val="001D1C22"/>
    <w:rsid w:val="001D1E7D"/>
    <w:rsid w:val="001D3C57"/>
    <w:rsid w:val="001D5200"/>
    <w:rsid w:val="001D53CD"/>
    <w:rsid w:val="001D55A3"/>
    <w:rsid w:val="001D5AF5"/>
    <w:rsid w:val="001D5D59"/>
    <w:rsid w:val="001E0D45"/>
    <w:rsid w:val="001E1E73"/>
    <w:rsid w:val="001E4E0C"/>
    <w:rsid w:val="001E526D"/>
    <w:rsid w:val="001E5655"/>
    <w:rsid w:val="001E605E"/>
    <w:rsid w:val="001E624A"/>
    <w:rsid w:val="001E6D08"/>
    <w:rsid w:val="001E7AA7"/>
    <w:rsid w:val="001F1832"/>
    <w:rsid w:val="001F220F"/>
    <w:rsid w:val="001F25B3"/>
    <w:rsid w:val="001F5CE8"/>
    <w:rsid w:val="001F6616"/>
    <w:rsid w:val="001F6B91"/>
    <w:rsid w:val="001F7D46"/>
    <w:rsid w:val="001F7EE3"/>
    <w:rsid w:val="00201E59"/>
    <w:rsid w:val="00202BD4"/>
    <w:rsid w:val="00204A97"/>
    <w:rsid w:val="0021079E"/>
    <w:rsid w:val="002114EF"/>
    <w:rsid w:val="00211E60"/>
    <w:rsid w:val="00212299"/>
    <w:rsid w:val="00213BD7"/>
    <w:rsid w:val="002166AD"/>
    <w:rsid w:val="00216B7D"/>
    <w:rsid w:val="00217871"/>
    <w:rsid w:val="00220816"/>
    <w:rsid w:val="0022099E"/>
    <w:rsid w:val="00220A54"/>
    <w:rsid w:val="00220F21"/>
    <w:rsid w:val="00221ED8"/>
    <w:rsid w:val="0022284E"/>
    <w:rsid w:val="002231EA"/>
    <w:rsid w:val="00223FDF"/>
    <w:rsid w:val="00223FE3"/>
    <w:rsid w:val="002279C0"/>
    <w:rsid w:val="002312AF"/>
    <w:rsid w:val="0023348E"/>
    <w:rsid w:val="0023727E"/>
    <w:rsid w:val="002403BD"/>
    <w:rsid w:val="00240BA6"/>
    <w:rsid w:val="00242081"/>
    <w:rsid w:val="00242171"/>
    <w:rsid w:val="00243777"/>
    <w:rsid w:val="002439AE"/>
    <w:rsid w:val="002441CD"/>
    <w:rsid w:val="0024534F"/>
    <w:rsid w:val="002501A3"/>
    <w:rsid w:val="0025166C"/>
    <w:rsid w:val="00252F70"/>
    <w:rsid w:val="0025501F"/>
    <w:rsid w:val="002555D4"/>
    <w:rsid w:val="00261A16"/>
    <w:rsid w:val="00263522"/>
    <w:rsid w:val="00264EC6"/>
    <w:rsid w:val="00264F36"/>
    <w:rsid w:val="00270AE9"/>
    <w:rsid w:val="00271013"/>
    <w:rsid w:val="00273FE4"/>
    <w:rsid w:val="00274424"/>
    <w:rsid w:val="002765B4"/>
    <w:rsid w:val="00276A94"/>
    <w:rsid w:val="00277E8C"/>
    <w:rsid w:val="002833EE"/>
    <w:rsid w:val="00283E8B"/>
    <w:rsid w:val="0028493C"/>
    <w:rsid w:val="00287600"/>
    <w:rsid w:val="0029405D"/>
    <w:rsid w:val="00294FA6"/>
    <w:rsid w:val="00295A6F"/>
    <w:rsid w:val="00295BAC"/>
    <w:rsid w:val="002A14EC"/>
    <w:rsid w:val="002A20C4"/>
    <w:rsid w:val="002A2214"/>
    <w:rsid w:val="002A570F"/>
    <w:rsid w:val="002A5B76"/>
    <w:rsid w:val="002A6A57"/>
    <w:rsid w:val="002A7292"/>
    <w:rsid w:val="002A7358"/>
    <w:rsid w:val="002A7902"/>
    <w:rsid w:val="002B0F6B"/>
    <w:rsid w:val="002B23B8"/>
    <w:rsid w:val="002B4429"/>
    <w:rsid w:val="002B531B"/>
    <w:rsid w:val="002B68A6"/>
    <w:rsid w:val="002B6B30"/>
    <w:rsid w:val="002B754D"/>
    <w:rsid w:val="002B7FAF"/>
    <w:rsid w:val="002C22C2"/>
    <w:rsid w:val="002D0C4F"/>
    <w:rsid w:val="002D0ED7"/>
    <w:rsid w:val="002D0EDC"/>
    <w:rsid w:val="002D1364"/>
    <w:rsid w:val="002D28C7"/>
    <w:rsid w:val="002D4D30"/>
    <w:rsid w:val="002D5000"/>
    <w:rsid w:val="002D54FA"/>
    <w:rsid w:val="002D598D"/>
    <w:rsid w:val="002D5B1B"/>
    <w:rsid w:val="002D7188"/>
    <w:rsid w:val="002E1DE3"/>
    <w:rsid w:val="002E2AB6"/>
    <w:rsid w:val="002E3F34"/>
    <w:rsid w:val="002E403B"/>
    <w:rsid w:val="002E5F79"/>
    <w:rsid w:val="002E64FA"/>
    <w:rsid w:val="002E669E"/>
    <w:rsid w:val="002F0A00"/>
    <w:rsid w:val="002F0CFA"/>
    <w:rsid w:val="002F669F"/>
    <w:rsid w:val="002F66D6"/>
    <w:rsid w:val="00301C97"/>
    <w:rsid w:val="00302829"/>
    <w:rsid w:val="003064B9"/>
    <w:rsid w:val="003078D5"/>
    <w:rsid w:val="0031004C"/>
    <w:rsid w:val="003105F6"/>
    <w:rsid w:val="00311297"/>
    <w:rsid w:val="003113BE"/>
    <w:rsid w:val="003122CA"/>
    <w:rsid w:val="00312DBF"/>
    <w:rsid w:val="00312DC1"/>
    <w:rsid w:val="00313CD0"/>
    <w:rsid w:val="003148FD"/>
    <w:rsid w:val="003161E1"/>
    <w:rsid w:val="00317B9D"/>
    <w:rsid w:val="00321080"/>
    <w:rsid w:val="00322D45"/>
    <w:rsid w:val="00323E3F"/>
    <w:rsid w:val="0032569A"/>
    <w:rsid w:val="00325A1F"/>
    <w:rsid w:val="00325C7E"/>
    <w:rsid w:val="003268C7"/>
    <w:rsid w:val="003268F9"/>
    <w:rsid w:val="003276E5"/>
    <w:rsid w:val="00330BAF"/>
    <w:rsid w:val="00331A5D"/>
    <w:rsid w:val="003324E3"/>
    <w:rsid w:val="003333E5"/>
    <w:rsid w:val="0033479A"/>
    <w:rsid w:val="00334E3A"/>
    <w:rsid w:val="00335039"/>
    <w:rsid w:val="003361DD"/>
    <w:rsid w:val="00336625"/>
    <w:rsid w:val="00341A6A"/>
    <w:rsid w:val="00345B9C"/>
    <w:rsid w:val="00352A8F"/>
    <w:rsid w:val="00352A95"/>
    <w:rsid w:val="00352DAE"/>
    <w:rsid w:val="003535E4"/>
    <w:rsid w:val="00354EB9"/>
    <w:rsid w:val="003576DC"/>
    <w:rsid w:val="003602AE"/>
    <w:rsid w:val="00360929"/>
    <w:rsid w:val="00362934"/>
    <w:rsid w:val="00363036"/>
    <w:rsid w:val="00364342"/>
    <w:rsid w:val="003647D5"/>
    <w:rsid w:val="00366B64"/>
    <w:rsid w:val="003674B0"/>
    <w:rsid w:val="003724D5"/>
    <w:rsid w:val="0037727C"/>
    <w:rsid w:val="00377E70"/>
    <w:rsid w:val="0038062D"/>
    <w:rsid w:val="00380904"/>
    <w:rsid w:val="003823EE"/>
    <w:rsid w:val="00382960"/>
    <w:rsid w:val="003846F7"/>
    <w:rsid w:val="003851ED"/>
    <w:rsid w:val="00385910"/>
    <w:rsid w:val="00385B39"/>
    <w:rsid w:val="00386785"/>
    <w:rsid w:val="00390E89"/>
    <w:rsid w:val="00391B1A"/>
    <w:rsid w:val="00394365"/>
    <w:rsid w:val="00394423"/>
    <w:rsid w:val="00396942"/>
    <w:rsid w:val="00396B49"/>
    <w:rsid w:val="00396E3E"/>
    <w:rsid w:val="003A1B55"/>
    <w:rsid w:val="003A1B69"/>
    <w:rsid w:val="003A253F"/>
    <w:rsid w:val="003A2FA0"/>
    <w:rsid w:val="003A306E"/>
    <w:rsid w:val="003A60DC"/>
    <w:rsid w:val="003A6A46"/>
    <w:rsid w:val="003A7A63"/>
    <w:rsid w:val="003B000C"/>
    <w:rsid w:val="003B0F1D"/>
    <w:rsid w:val="003B1B4A"/>
    <w:rsid w:val="003B4A57"/>
    <w:rsid w:val="003B5A19"/>
    <w:rsid w:val="003C04D1"/>
    <w:rsid w:val="003C0AD9"/>
    <w:rsid w:val="003C0ED0"/>
    <w:rsid w:val="003C1D49"/>
    <w:rsid w:val="003C35C4"/>
    <w:rsid w:val="003C490F"/>
    <w:rsid w:val="003C5D2A"/>
    <w:rsid w:val="003D12C2"/>
    <w:rsid w:val="003D31B9"/>
    <w:rsid w:val="003D3867"/>
    <w:rsid w:val="003D7598"/>
    <w:rsid w:val="003E0D1A"/>
    <w:rsid w:val="003E2DA3"/>
    <w:rsid w:val="003E5C3B"/>
    <w:rsid w:val="003E6203"/>
    <w:rsid w:val="003E6A17"/>
    <w:rsid w:val="003F020D"/>
    <w:rsid w:val="003F03D9"/>
    <w:rsid w:val="003F2803"/>
    <w:rsid w:val="003F2FBE"/>
    <w:rsid w:val="003F318D"/>
    <w:rsid w:val="003F4B2E"/>
    <w:rsid w:val="003F4CCD"/>
    <w:rsid w:val="003F5BAE"/>
    <w:rsid w:val="003F69EE"/>
    <w:rsid w:val="003F6ED7"/>
    <w:rsid w:val="003F70CE"/>
    <w:rsid w:val="003F79A3"/>
    <w:rsid w:val="003F7D0A"/>
    <w:rsid w:val="00401C84"/>
    <w:rsid w:val="00402FBE"/>
    <w:rsid w:val="00403210"/>
    <w:rsid w:val="004035BB"/>
    <w:rsid w:val="004035EB"/>
    <w:rsid w:val="0040553F"/>
    <w:rsid w:val="00407332"/>
    <w:rsid w:val="00407828"/>
    <w:rsid w:val="0041019F"/>
    <w:rsid w:val="00413D8E"/>
    <w:rsid w:val="004140F2"/>
    <w:rsid w:val="0041529E"/>
    <w:rsid w:val="00415319"/>
    <w:rsid w:val="00416D39"/>
    <w:rsid w:val="00416D7E"/>
    <w:rsid w:val="00416F45"/>
    <w:rsid w:val="00416F6E"/>
    <w:rsid w:val="00417B22"/>
    <w:rsid w:val="0042023E"/>
    <w:rsid w:val="00421085"/>
    <w:rsid w:val="004243D9"/>
    <w:rsid w:val="00424547"/>
    <w:rsid w:val="0042465E"/>
    <w:rsid w:val="00424DF7"/>
    <w:rsid w:val="00432B76"/>
    <w:rsid w:val="00432CFA"/>
    <w:rsid w:val="004335B1"/>
    <w:rsid w:val="00434D01"/>
    <w:rsid w:val="00435116"/>
    <w:rsid w:val="00435D26"/>
    <w:rsid w:val="00440C99"/>
    <w:rsid w:val="0044175C"/>
    <w:rsid w:val="0044303E"/>
    <w:rsid w:val="00445F4D"/>
    <w:rsid w:val="004469E0"/>
    <w:rsid w:val="00447CFA"/>
    <w:rsid w:val="004504C0"/>
    <w:rsid w:val="00450AE5"/>
    <w:rsid w:val="004527D2"/>
    <w:rsid w:val="00453053"/>
    <w:rsid w:val="004532F7"/>
    <w:rsid w:val="004541FA"/>
    <w:rsid w:val="004550FB"/>
    <w:rsid w:val="00455899"/>
    <w:rsid w:val="004568BF"/>
    <w:rsid w:val="0046111A"/>
    <w:rsid w:val="00462946"/>
    <w:rsid w:val="00463F43"/>
    <w:rsid w:val="00464B94"/>
    <w:rsid w:val="004653A8"/>
    <w:rsid w:val="00465685"/>
    <w:rsid w:val="00465A0B"/>
    <w:rsid w:val="00465D6B"/>
    <w:rsid w:val="00465E4F"/>
    <w:rsid w:val="00467207"/>
    <w:rsid w:val="004673F5"/>
    <w:rsid w:val="00467BAB"/>
    <w:rsid w:val="004700DA"/>
    <w:rsid w:val="0047077C"/>
    <w:rsid w:val="00470B05"/>
    <w:rsid w:val="00471966"/>
    <w:rsid w:val="0047207C"/>
    <w:rsid w:val="00472CD6"/>
    <w:rsid w:val="00474E3C"/>
    <w:rsid w:val="00475646"/>
    <w:rsid w:val="00476200"/>
    <w:rsid w:val="00477C71"/>
    <w:rsid w:val="00480A58"/>
    <w:rsid w:val="00482151"/>
    <w:rsid w:val="004827C0"/>
    <w:rsid w:val="004845BE"/>
    <w:rsid w:val="00485D5E"/>
    <w:rsid w:val="00485FAD"/>
    <w:rsid w:val="00487715"/>
    <w:rsid w:val="00487AED"/>
    <w:rsid w:val="0049096D"/>
    <w:rsid w:val="00491EDF"/>
    <w:rsid w:val="00492A3F"/>
    <w:rsid w:val="00492AAC"/>
    <w:rsid w:val="00492AE5"/>
    <w:rsid w:val="00494F62"/>
    <w:rsid w:val="00496A0D"/>
    <w:rsid w:val="004A07BE"/>
    <w:rsid w:val="004A2001"/>
    <w:rsid w:val="004A3590"/>
    <w:rsid w:val="004B00A7"/>
    <w:rsid w:val="004B02B7"/>
    <w:rsid w:val="004B25E2"/>
    <w:rsid w:val="004B34D7"/>
    <w:rsid w:val="004B43D0"/>
    <w:rsid w:val="004B4FBA"/>
    <w:rsid w:val="004B5037"/>
    <w:rsid w:val="004B5B2F"/>
    <w:rsid w:val="004B626A"/>
    <w:rsid w:val="004B660E"/>
    <w:rsid w:val="004C05BD"/>
    <w:rsid w:val="004C32A3"/>
    <w:rsid w:val="004C3B06"/>
    <w:rsid w:val="004C3F97"/>
    <w:rsid w:val="004C7EE7"/>
    <w:rsid w:val="004D0A9B"/>
    <w:rsid w:val="004D1A01"/>
    <w:rsid w:val="004D2DEE"/>
    <w:rsid w:val="004D2E1F"/>
    <w:rsid w:val="004D7E4D"/>
    <w:rsid w:val="004D7FD9"/>
    <w:rsid w:val="004E0E49"/>
    <w:rsid w:val="004E1324"/>
    <w:rsid w:val="004E19A5"/>
    <w:rsid w:val="004E37E5"/>
    <w:rsid w:val="004E3D2D"/>
    <w:rsid w:val="004E3FDB"/>
    <w:rsid w:val="004E69FB"/>
    <w:rsid w:val="004E7904"/>
    <w:rsid w:val="004F0424"/>
    <w:rsid w:val="004F1E46"/>
    <w:rsid w:val="004F1F4A"/>
    <w:rsid w:val="004F296D"/>
    <w:rsid w:val="004F508B"/>
    <w:rsid w:val="004F695F"/>
    <w:rsid w:val="004F6CA4"/>
    <w:rsid w:val="00500752"/>
    <w:rsid w:val="0050127F"/>
    <w:rsid w:val="00501A50"/>
    <w:rsid w:val="0050222D"/>
    <w:rsid w:val="00503375"/>
    <w:rsid w:val="00503AF3"/>
    <w:rsid w:val="0050696D"/>
    <w:rsid w:val="00506E69"/>
    <w:rsid w:val="005078F2"/>
    <w:rsid w:val="0051094B"/>
    <w:rsid w:val="005110D7"/>
    <w:rsid w:val="00511D99"/>
    <w:rsid w:val="005128D3"/>
    <w:rsid w:val="005147E8"/>
    <w:rsid w:val="005148D4"/>
    <w:rsid w:val="005158F2"/>
    <w:rsid w:val="0052232A"/>
    <w:rsid w:val="00522999"/>
    <w:rsid w:val="00523DE4"/>
    <w:rsid w:val="00525073"/>
    <w:rsid w:val="00525A9B"/>
    <w:rsid w:val="00525CF9"/>
    <w:rsid w:val="00526272"/>
    <w:rsid w:val="00526DFC"/>
    <w:rsid w:val="00526F43"/>
    <w:rsid w:val="00527651"/>
    <w:rsid w:val="00527E8C"/>
    <w:rsid w:val="00534286"/>
    <w:rsid w:val="005342F7"/>
    <w:rsid w:val="005363AB"/>
    <w:rsid w:val="00543443"/>
    <w:rsid w:val="005446E9"/>
    <w:rsid w:val="00544EF4"/>
    <w:rsid w:val="00545D77"/>
    <w:rsid w:val="00545E53"/>
    <w:rsid w:val="005479D9"/>
    <w:rsid w:val="00554C39"/>
    <w:rsid w:val="00555AF2"/>
    <w:rsid w:val="00556D83"/>
    <w:rsid w:val="005572BD"/>
    <w:rsid w:val="00557A12"/>
    <w:rsid w:val="00560AC7"/>
    <w:rsid w:val="00561AFB"/>
    <w:rsid w:val="00561FA8"/>
    <w:rsid w:val="005635ED"/>
    <w:rsid w:val="00564116"/>
    <w:rsid w:val="00564E8D"/>
    <w:rsid w:val="00565253"/>
    <w:rsid w:val="00570191"/>
    <w:rsid w:val="00570570"/>
    <w:rsid w:val="00570F3F"/>
    <w:rsid w:val="00572512"/>
    <w:rsid w:val="00572F32"/>
    <w:rsid w:val="00573EE6"/>
    <w:rsid w:val="0057547F"/>
    <w:rsid w:val="005754EE"/>
    <w:rsid w:val="0057617E"/>
    <w:rsid w:val="00576497"/>
    <w:rsid w:val="005773A1"/>
    <w:rsid w:val="005835E7"/>
    <w:rsid w:val="00583805"/>
    <w:rsid w:val="0058397F"/>
    <w:rsid w:val="00583BF8"/>
    <w:rsid w:val="005841B3"/>
    <w:rsid w:val="00585F33"/>
    <w:rsid w:val="00586E12"/>
    <w:rsid w:val="005871B7"/>
    <w:rsid w:val="00591124"/>
    <w:rsid w:val="00593C6B"/>
    <w:rsid w:val="0059446A"/>
    <w:rsid w:val="00597024"/>
    <w:rsid w:val="005A0274"/>
    <w:rsid w:val="005A095C"/>
    <w:rsid w:val="005A0B6F"/>
    <w:rsid w:val="005A24AB"/>
    <w:rsid w:val="005A31B9"/>
    <w:rsid w:val="005A3483"/>
    <w:rsid w:val="005A3A2E"/>
    <w:rsid w:val="005A5A28"/>
    <w:rsid w:val="005A669D"/>
    <w:rsid w:val="005A75D8"/>
    <w:rsid w:val="005B015F"/>
    <w:rsid w:val="005B3EB1"/>
    <w:rsid w:val="005B416D"/>
    <w:rsid w:val="005B713E"/>
    <w:rsid w:val="005C03B6"/>
    <w:rsid w:val="005C348E"/>
    <w:rsid w:val="005C63AC"/>
    <w:rsid w:val="005C68E1"/>
    <w:rsid w:val="005C7795"/>
    <w:rsid w:val="005C7F9F"/>
    <w:rsid w:val="005D0C04"/>
    <w:rsid w:val="005D1220"/>
    <w:rsid w:val="005D1AE4"/>
    <w:rsid w:val="005D3763"/>
    <w:rsid w:val="005D55E1"/>
    <w:rsid w:val="005E19F7"/>
    <w:rsid w:val="005E34C9"/>
    <w:rsid w:val="005E4F04"/>
    <w:rsid w:val="005E62C2"/>
    <w:rsid w:val="005E6C71"/>
    <w:rsid w:val="005E702A"/>
    <w:rsid w:val="005F0963"/>
    <w:rsid w:val="005F2824"/>
    <w:rsid w:val="005F2EBA"/>
    <w:rsid w:val="005F35ED"/>
    <w:rsid w:val="005F3653"/>
    <w:rsid w:val="005F5B66"/>
    <w:rsid w:val="005F7812"/>
    <w:rsid w:val="005F7A88"/>
    <w:rsid w:val="00601709"/>
    <w:rsid w:val="00603619"/>
    <w:rsid w:val="00603A1A"/>
    <w:rsid w:val="006046D5"/>
    <w:rsid w:val="0060618A"/>
    <w:rsid w:val="00607A93"/>
    <w:rsid w:val="00610C08"/>
    <w:rsid w:val="00611F74"/>
    <w:rsid w:val="00612CE3"/>
    <w:rsid w:val="00615772"/>
    <w:rsid w:val="00615C1B"/>
    <w:rsid w:val="00616A5B"/>
    <w:rsid w:val="00616FEA"/>
    <w:rsid w:val="006202E5"/>
    <w:rsid w:val="00621256"/>
    <w:rsid w:val="00621FCC"/>
    <w:rsid w:val="00622E4B"/>
    <w:rsid w:val="006232DC"/>
    <w:rsid w:val="00623936"/>
    <w:rsid w:val="00623DE0"/>
    <w:rsid w:val="00624911"/>
    <w:rsid w:val="00626823"/>
    <w:rsid w:val="0062683D"/>
    <w:rsid w:val="00626F80"/>
    <w:rsid w:val="006333DA"/>
    <w:rsid w:val="00635134"/>
    <w:rsid w:val="006356E2"/>
    <w:rsid w:val="00642A65"/>
    <w:rsid w:val="0064347D"/>
    <w:rsid w:val="00645DCE"/>
    <w:rsid w:val="006465AC"/>
    <w:rsid w:val="006465BF"/>
    <w:rsid w:val="00646A49"/>
    <w:rsid w:val="0064713B"/>
    <w:rsid w:val="006510A4"/>
    <w:rsid w:val="006516DD"/>
    <w:rsid w:val="006521B0"/>
    <w:rsid w:val="00653B22"/>
    <w:rsid w:val="00653FC6"/>
    <w:rsid w:val="006565B8"/>
    <w:rsid w:val="0065707C"/>
    <w:rsid w:val="00657BF4"/>
    <w:rsid w:val="006603FB"/>
    <w:rsid w:val="006608DF"/>
    <w:rsid w:val="006623AC"/>
    <w:rsid w:val="00662A8B"/>
    <w:rsid w:val="006646D9"/>
    <w:rsid w:val="00666086"/>
    <w:rsid w:val="00666C90"/>
    <w:rsid w:val="006678AF"/>
    <w:rsid w:val="006701EF"/>
    <w:rsid w:val="006721A3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1BF7"/>
    <w:rsid w:val="006946BB"/>
    <w:rsid w:val="00695AF7"/>
    <w:rsid w:val="006969FA"/>
    <w:rsid w:val="0069754E"/>
    <w:rsid w:val="006A35D5"/>
    <w:rsid w:val="006A429A"/>
    <w:rsid w:val="006A748A"/>
    <w:rsid w:val="006A765C"/>
    <w:rsid w:val="006A7F47"/>
    <w:rsid w:val="006B007E"/>
    <w:rsid w:val="006B10C7"/>
    <w:rsid w:val="006B3468"/>
    <w:rsid w:val="006B3AD3"/>
    <w:rsid w:val="006B4E5B"/>
    <w:rsid w:val="006B6E16"/>
    <w:rsid w:val="006B7290"/>
    <w:rsid w:val="006C2B77"/>
    <w:rsid w:val="006C32B0"/>
    <w:rsid w:val="006C419E"/>
    <w:rsid w:val="006C4A31"/>
    <w:rsid w:val="006C5AC2"/>
    <w:rsid w:val="006C5BC3"/>
    <w:rsid w:val="006C6AFB"/>
    <w:rsid w:val="006D01AB"/>
    <w:rsid w:val="006D2735"/>
    <w:rsid w:val="006D45B2"/>
    <w:rsid w:val="006D4DB8"/>
    <w:rsid w:val="006D7DC3"/>
    <w:rsid w:val="006E0FCC"/>
    <w:rsid w:val="006E1821"/>
    <w:rsid w:val="006E1E96"/>
    <w:rsid w:val="006E1FC3"/>
    <w:rsid w:val="006E209C"/>
    <w:rsid w:val="006E2719"/>
    <w:rsid w:val="006E5E21"/>
    <w:rsid w:val="006E7573"/>
    <w:rsid w:val="006E76DB"/>
    <w:rsid w:val="006F2648"/>
    <w:rsid w:val="006F2F10"/>
    <w:rsid w:val="006F482B"/>
    <w:rsid w:val="006F6311"/>
    <w:rsid w:val="006F652A"/>
    <w:rsid w:val="006F686B"/>
    <w:rsid w:val="00701952"/>
    <w:rsid w:val="00702556"/>
    <w:rsid w:val="0070277E"/>
    <w:rsid w:val="00702E0C"/>
    <w:rsid w:val="00703710"/>
    <w:rsid w:val="00704156"/>
    <w:rsid w:val="00705057"/>
    <w:rsid w:val="007069FC"/>
    <w:rsid w:val="00711221"/>
    <w:rsid w:val="007116ED"/>
    <w:rsid w:val="00711E0D"/>
    <w:rsid w:val="00712675"/>
    <w:rsid w:val="00713808"/>
    <w:rsid w:val="00714A83"/>
    <w:rsid w:val="007151B6"/>
    <w:rsid w:val="0071520D"/>
    <w:rsid w:val="00715EDB"/>
    <w:rsid w:val="007160D5"/>
    <w:rsid w:val="007163FB"/>
    <w:rsid w:val="00717C2E"/>
    <w:rsid w:val="007204FA"/>
    <w:rsid w:val="007213B3"/>
    <w:rsid w:val="00721CB8"/>
    <w:rsid w:val="00722B6E"/>
    <w:rsid w:val="007236BC"/>
    <w:rsid w:val="0072457F"/>
    <w:rsid w:val="00725406"/>
    <w:rsid w:val="0072621B"/>
    <w:rsid w:val="00730555"/>
    <w:rsid w:val="00730E86"/>
    <w:rsid w:val="007312CC"/>
    <w:rsid w:val="00735DAC"/>
    <w:rsid w:val="00736A64"/>
    <w:rsid w:val="00737C0D"/>
    <w:rsid w:val="00737F6A"/>
    <w:rsid w:val="007410B6"/>
    <w:rsid w:val="00741680"/>
    <w:rsid w:val="00741897"/>
    <w:rsid w:val="00744221"/>
    <w:rsid w:val="0074487E"/>
    <w:rsid w:val="00744C6F"/>
    <w:rsid w:val="00745066"/>
    <w:rsid w:val="007457F6"/>
    <w:rsid w:val="00745ABB"/>
    <w:rsid w:val="007469E7"/>
    <w:rsid w:val="00746C8B"/>
    <w:rsid w:val="00746E38"/>
    <w:rsid w:val="00747CD5"/>
    <w:rsid w:val="00752D32"/>
    <w:rsid w:val="00753B51"/>
    <w:rsid w:val="007552A4"/>
    <w:rsid w:val="007563D3"/>
    <w:rsid w:val="00756629"/>
    <w:rsid w:val="00756B25"/>
    <w:rsid w:val="007575D2"/>
    <w:rsid w:val="00757B4F"/>
    <w:rsid w:val="00757B6A"/>
    <w:rsid w:val="007610E0"/>
    <w:rsid w:val="007621AA"/>
    <w:rsid w:val="0076260A"/>
    <w:rsid w:val="00764A67"/>
    <w:rsid w:val="00765B38"/>
    <w:rsid w:val="00770B82"/>
    <w:rsid w:val="00770F6B"/>
    <w:rsid w:val="00771883"/>
    <w:rsid w:val="00772B40"/>
    <w:rsid w:val="0077536A"/>
    <w:rsid w:val="00776DC2"/>
    <w:rsid w:val="00780122"/>
    <w:rsid w:val="00781CE6"/>
    <w:rsid w:val="0078214B"/>
    <w:rsid w:val="00782252"/>
    <w:rsid w:val="00782951"/>
    <w:rsid w:val="0078498A"/>
    <w:rsid w:val="007878FE"/>
    <w:rsid w:val="00792207"/>
    <w:rsid w:val="00792B64"/>
    <w:rsid w:val="00792E29"/>
    <w:rsid w:val="0079379A"/>
    <w:rsid w:val="00794953"/>
    <w:rsid w:val="0079564A"/>
    <w:rsid w:val="007A1F2F"/>
    <w:rsid w:val="007A2A5C"/>
    <w:rsid w:val="007A4043"/>
    <w:rsid w:val="007A499E"/>
    <w:rsid w:val="007A5150"/>
    <w:rsid w:val="007A5373"/>
    <w:rsid w:val="007A789F"/>
    <w:rsid w:val="007B2C77"/>
    <w:rsid w:val="007B61EB"/>
    <w:rsid w:val="007B623C"/>
    <w:rsid w:val="007B75BC"/>
    <w:rsid w:val="007B7A97"/>
    <w:rsid w:val="007C0B7B"/>
    <w:rsid w:val="007C0BD6"/>
    <w:rsid w:val="007C229F"/>
    <w:rsid w:val="007C2A09"/>
    <w:rsid w:val="007C2F49"/>
    <w:rsid w:val="007C3806"/>
    <w:rsid w:val="007C5999"/>
    <w:rsid w:val="007C5BB7"/>
    <w:rsid w:val="007C62C6"/>
    <w:rsid w:val="007C7D12"/>
    <w:rsid w:val="007D07D5"/>
    <w:rsid w:val="007D1C64"/>
    <w:rsid w:val="007D32DD"/>
    <w:rsid w:val="007D40CD"/>
    <w:rsid w:val="007D452C"/>
    <w:rsid w:val="007D5DF8"/>
    <w:rsid w:val="007D6DCE"/>
    <w:rsid w:val="007D72C4"/>
    <w:rsid w:val="007E160E"/>
    <w:rsid w:val="007E2CFE"/>
    <w:rsid w:val="007E33B7"/>
    <w:rsid w:val="007E59C9"/>
    <w:rsid w:val="007E7160"/>
    <w:rsid w:val="007F0072"/>
    <w:rsid w:val="007F01BB"/>
    <w:rsid w:val="007F0F40"/>
    <w:rsid w:val="007F2EB6"/>
    <w:rsid w:val="007F4AFF"/>
    <w:rsid w:val="007F54C3"/>
    <w:rsid w:val="007F7263"/>
    <w:rsid w:val="00802949"/>
    <w:rsid w:val="0080301E"/>
    <w:rsid w:val="0080365B"/>
    <w:rsid w:val="0080365F"/>
    <w:rsid w:val="00803CD2"/>
    <w:rsid w:val="008041C6"/>
    <w:rsid w:val="00807746"/>
    <w:rsid w:val="00807BBA"/>
    <w:rsid w:val="00812BE5"/>
    <w:rsid w:val="0081404B"/>
    <w:rsid w:val="00817429"/>
    <w:rsid w:val="0082127A"/>
    <w:rsid w:val="00821514"/>
    <w:rsid w:val="008215D2"/>
    <w:rsid w:val="00821E35"/>
    <w:rsid w:val="00824591"/>
    <w:rsid w:val="00824AED"/>
    <w:rsid w:val="00825156"/>
    <w:rsid w:val="00825508"/>
    <w:rsid w:val="00827820"/>
    <w:rsid w:val="00827AC9"/>
    <w:rsid w:val="00831B8B"/>
    <w:rsid w:val="00832BA4"/>
    <w:rsid w:val="0083405D"/>
    <w:rsid w:val="008352D4"/>
    <w:rsid w:val="00836DB9"/>
    <w:rsid w:val="00837C67"/>
    <w:rsid w:val="00840918"/>
    <w:rsid w:val="008410A9"/>
    <w:rsid w:val="008415B0"/>
    <w:rsid w:val="00842028"/>
    <w:rsid w:val="0084217D"/>
    <w:rsid w:val="008436B8"/>
    <w:rsid w:val="008444A5"/>
    <w:rsid w:val="008460B6"/>
    <w:rsid w:val="0085022D"/>
    <w:rsid w:val="008502AF"/>
    <w:rsid w:val="00850C9D"/>
    <w:rsid w:val="00852B59"/>
    <w:rsid w:val="00855170"/>
    <w:rsid w:val="00855EBC"/>
    <w:rsid w:val="00856272"/>
    <w:rsid w:val="008563FF"/>
    <w:rsid w:val="008565D5"/>
    <w:rsid w:val="0086018B"/>
    <w:rsid w:val="0086076A"/>
    <w:rsid w:val="008611DD"/>
    <w:rsid w:val="008620DE"/>
    <w:rsid w:val="00862849"/>
    <w:rsid w:val="00866867"/>
    <w:rsid w:val="00867EC7"/>
    <w:rsid w:val="00872257"/>
    <w:rsid w:val="00873549"/>
    <w:rsid w:val="008753E6"/>
    <w:rsid w:val="0087738C"/>
    <w:rsid w:val="00877CBD"/>
    <w:rsid w:val="008802AF"/>
    <w:rsid w:val="008804DE"/>
    <w:rsid w:val="00881677"/>
    <w:rsid w:val="00881926"/>
    <w:rsid w:val="00882CFB"/>
    <w:rsid w:val="0088318F"/>
    <w:rsid w:val="0088331D"/>
    <w:rsid w:val="00884985"/>
    <w:rsid w:val="008852B0"/>
    <w:rsid w:val="00885AE7"/>
    <w:rsid w:val="00886B26"/>
    <w:rsid w:val="00886B60"/>
    <w:rsid w:val="00887889"/>
    <w:rsid w:val="008920FF"/>
    <w:rsid w:val="008922E4"/>
    <w:rsid w:val="008926E8"/>
    <w:rsid w:val="00893176"/>
    <w:rsid w:val="00894134"/>
    <w:rsid w:val="00894F19"/>
    <w:rsid w:val="00896A10"/>
    <w:rsid w:val="008971B5"/>
    <w:rsid w:val="008A0520"/>
    <w:rsid w:val="008A5D26"/>
    <w:rsid w:val="008A6B13"/>
    <w:rsid w:val="008A6ECB"/>
    <w:rsid w:val="008A786E"/>
    <w:rsid w:val="008B0BF9"/>
    <w:rsid w:val="008B1971"/>
    <w:rsid w:val="008B1C1E"/>
    <w:rsid w:val="008B2837"/>
    <w:rsid w:val="008B2866"/>
    <w:rsid w:val="008B3859"/>
    <w:rsid w:val="008B3E29"/>
    <w:rsid w:val="008B3F9E"/>
    <w:rsid w:val="008B436D"/>
    <w:rsid w:val="008B4E49"/>
    <w:rsid w:val="008B4EA0"/>
    <w:rsid w:val="008B66CF"/>
    <w:rsid w:val="008B7712"/>
    <w:rsid w:val="008B79F9"/>
    <w:rsid w:val="008B7B26"/>
    <w:rsid w:val="008C3524"/>
    <w:rsid w:val="008C4061"/>
    <w:rsid w:val="008C4229"/>
    <w:rsid w:val="008C453E"/>
    <w:rsid w:val="008C5BE0"/>
    <w:rsid w:val="008C6881"/>
    <w:rsid w:val="008C7233"/>
    <w:rsid w:val="008D2434"/>
    <w:rsid w:val="008D309B"/>
    <w:rsid w:val="008D452E"/>
    <w:rsid w:val="008E171D"/>
    <w:rsid w:val="008E209B"/>
    <w:rsid w:val="008E2785"/>
    <w:rsid w:val="008E4150"/>
    <w:rsid w:val="008E4D8B"/>
    <w:rsid w:val="008E5018"/>
    <w:rsid w:val="008E613A"/>
    <w:rsid w:val="008E78A3"/>
    <w:rsid w:val="008F00C8"/>
    <w:rsid w:val="008F0654"/>
    <w:rsid w:val="008F06CB"/>
    <w:rsid w:val="008F1506"/>
    <w:rsid w:val="008F1B9E"/>
    <w:rsid w:val="008F2E83"/>
    <w:rsid w:val="008F3882"/>
    <w:rsid w:val="008F612A"/>
    <w:rsid w:val="009016FD"/>
    <w:rsid w:val="0090293D"/>
    <w:rsid w:val="009034DE"/>
    <w:rsid w:val="00905396"/>
    <w:rsid w:val="0090605D"/>
    <w:rsid w:val="00906419"/>
    <w:rsid w:val="00906F59"/>
    <w:rsid w:val="00910179"/>
    <w:rsid w:val="00912889"/>
    <w:rsid w:val="00913A42"/>
    <w:rsid w:val="00914167"/>
    <w:rsid w:val="009143DB"/>
    <w:rsid w:val="00915065"/>
    <w:rsid w:val="009154E9"/>
    <w:rsid w:val="0091667E"/>
    <w:rsid w:val="00917146"/>
    <w:rsid w:val="00917CE5"/>
    <w:rsid w:val="009201E8"/>
    <w:rsid w:val="009217C0"/>
    <w:rsid w:val="00921CC1"/>
    <w:rsid w:val="009228F2"/>
    <w:rsid w:val="00923CD2"/>
    <w:rsid w:val="00925241"/>
    <w:rsid w:val="00925CEC"/>
    <w:rsid w:val="00926A3F"/>
    <w:rsid w:val="0092794E"/>
    <w:rsid w:val="00930696"/>
    <w:rsid w:val="00930D30"/>
    <w:rsid w:val="009332A2"/>
    <w:rsid w:val="009332A6"/>
    <w:rsid w:val="0093349A"/>
    <w:rsid w:val="009339E7"/>
    <w:rsid w:val="0093582A"/>
    <w:rsid w:val="00937598"/>
    <w:rsid w:val="0093790B"/>
    <w:rsid w:val="00943751"/>
    <w:rsid w:val="00944AD8"/>
    <w:rsid w:val="0094667C"/>
    <w:rsid w:val="00946DD0"/>
    <w:rsid w:val="009509E6"/>
    <w:rsid w:val="00952018"/>
    <w:rsid w:val="00952800"/>
    <w:rsid w:val="0095300D"/>
    <w:rsid w:val="00956812"/>
    <w:rsid w:val="00956CD3"/>
    <w:rsid w:val="00957137"/>
    <w:rsid w:val="0095719A"/>
    <w:rsid w:val="009610AD"/>
    <w:rsid w:val="009623E9"/>
    <w:rsid w:val="00963EEB"/>
    <w:rsid w:val="009648BC"/>
    <w:rsid w:val="00964C2F"/>
    <w:rsid w:val="00965F88"/>
    <w:rsid w:val="00967A84"/>
    <w:rsid w:val="00980FBB"/>
    <w:rsid w:val="009833E5"/>
    <w:rsid w:val="00984E03"/>
    <w:rsid w:val="00985BDF"/>
    <w:rsid w:val="00987E85"/>
    <w:rsid w:val="0099276F"/>
    <w:rsid w:val="009A0D12"/>
    <w:rsid w:val="009A1987"/>
    <w:rsid w:val="009A1BF4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210"/>
    <w:rsid w:val="009B739C"/>
    <w:rsid w:val="009C04EC"/>
    <w:rsid w:val="009C0C5A"/>
    <w:rsid w:val="009C2F00"/>
    <w:rsid w:val="009C328C"/>
    <w:rsid w:val="009C3589"/>
    <w:rsid w:val="009C4444"/>
    <w:rsid w:val="009C5F88"/>
    <w:rsid w:val="009C79AD"/>
    <w:rsid w:val="009C7CA6"/>
    <w:rsid w:val="009D0264"/>
    <w:rsid w:val="009D2FF6"/>
    <w:rsid w:val="009D3316"/>
    <w:rsid w:val="009D55AA"/>
    <w:rsid w:val="009E0054"/>
    <w:rsid w:val="009E0D8B"/>
    <w:rsid w:val="009E29F5"/>
    <w:rsid w:val="009E3E77"/>
    <w:rsid w:val="009E3FAB"/>
    <w:rsid w:val="009E4B1A"/>
    <w:rsid w:val="009E59F6"/>
    <w:rsid w:val="009E5B3F"/>
    <w:rsid w:val="009E6B9C"/>
    <w:rsid w:val="009E6C19"/>
    <w:rsid w:val="009E7D90"/>
    <w:rsid w:val="009F1507"/>
    <w:rsid w:val="009F1AB0"/>
    <w:rsid w:val="009F501D"/>
    <w:rsid w:val="009F6466"/>
    <w:rsid w:val="009F70D0"/>
    <w:rsid w:val="009F7768"/>
    <w:rsid w:val="009F7CDF"/>
    <w:rsid w:val="00A039D5"/>
    <w:rsid w:val="00A046AD"/>
    <w:rsid w:val="00A05D8E"/>
    <w:rsid w:val="00A079C1"/>
    <w:rsid w:val="00A12520"/>
    <w:rsid w:val="00A130FD"/>
    <w:rsid w:val="00A13D6D"/>
    <w:rsid w:val="00A14769"/>
    <w:rsid w:val="00A14C5A"/>
    <w:rsid w:val="00A14E95"/>
    <w:rsid w:val="00A16151"/>
    <w:rsid w:val="00A16EC6"/>
    <w:rsid w:val="00A17A1A"/>
    <w:rsid w:val="00A17C06"/>
    <w:rsid w:val="00A2126E"/>
    <w:rsid w:val="00A21706"/>
    <w:rsid w:val="00A22C2B"/>
    <w:rsid w:val="00A24FCC"/>
    <w:rsid w:val="00A2538C"/>
    <w:rsid w:val="00A26A90"/>
    <w:rsid w:val="00A26B27"/>
    <w:rsid w:val="00A27A7A"/>
    <w:rsid w:val="00A30927"/>
    <w:rsid w:val="00A30AEB"/>
    <w:rsid w:val="00A30B66"/>
    <w:rsid w:val="00A30E4F"/>
    <w:rsid w:val="00A32253"/>
    <w:rsid w:val="00A3310E"/>
    <w:rsid w:val="00A333A0"/>
    <w:rsid w:val="00A34018"/>
    <w:rsid w:val="00A37E70"/>
    <w:rsid w:val="00A41532"/>
    <w:rsid w:val="00A42BC1"/>
    <w:rsid w:val="00A437E1"/>
    <w:rsid w:val="00A4685E"/>
    <w:rsid w:val="00A47859"/>
    <w:rsid w:val="00A50CD4"/>
    <w:rsid w:val="00A51191"/>
    <w:rsid w:val="00A53B20"/>
    <w:rsid w:val="00A55D22"/>
    <w:rsid w:val="00A55F50"/>
    <w:rsid w:val="00A56D62"/>
    <w:rsid w:val="00A56F07"/>
    <w:rsid w:val="00A5762C"/>
    <w:rsid w:val="00A600DF"/>
    <w:rsid w:val="00A600FC"/>
    <w:rsid w:val="00A60BCA"/>
    <w:rsid w:val="00A638DA"/>
    <w:rsid w:val="00A65B41"/>
    <w:rsid w:val="00A65E00"/>
    <w:rsid w:val="00A666E0"/>
    <w:rsid w:val="00A66A78"/>
    <w:rsid w:val="00A675EA"/>
    <w:rsid w:val="00A71675"/>
    <w:rsid w:val="00A7436E"/>
    <w:rsid w:val="00A7473E"/>
    <w:rsid w:val="00A74E96"/>
    <w:rsid w:val="00A75A8E"/>
    <w:rsid w:val="00A824DD"/>
    <w:rsid w:val="00A83676"/>
    <w:rsid w:val="00A83B7B"/>
    <w:rsid w:val="00A84274"/>
    <w:rsid w:val="00A850F3"/>
    <w:rsid w:val="00A864E3"/>
    <w:rsid w:val="00A872C7"/>
    <w:rsid w:val="00A9083C"/>
    <w:rsid w:val="00A92B80"/>
    <w:rsid w:val="00A93A08"/>
    <w:rsid w:val="00A94574"/>
    <w:rsid w:val="00A95936"/>
    <w:rsid w:val="00A96265"/>
    <w:rsid w:val="00A97084"/>
    <w:rsid w:val="00A97C03"/>
    <w:rsid w:val="00AA0155"/>
    <w:rsid w:val="00AA06F9"/>
    <w:rsid w:val="00AA1C2C"/>
    <w:rsid w:val="00AA24A3"/>
    <w:rsid w:val="00AA2F74"/>
    <w:rsid w:val="00AA35F6"/>
    <w:rsid w:val="00AA419E"/>
    <w:rsid w:val="00AA49F7"/>
    <w:rsid w:val="00AA5CD0"/>
    <w:rsid w:val="00AA667C"/>
    <w:rsid w:val="00AA692F"/>
    <w:rsid w:val="00AA6E91"/>
    <w:rsid w:val="00AA7439"/>
    <w:rsid w:val="00AB047E"/>
    <w:rsid w:val="00AB0B0A"/>
    <w:rsid w:val="00AB0BB7"/>
    <w:rsid w:val="00AB22C6"/>
    <w:rsid w:val="00AB2AD0"/>
    <w:rsid w:val="00AB4A4D"/>
    <w:rsid w:val="00AB53D0"/>
    <w:rsid w:val="00AB67FC"/>
    <w:rsid w:val="00AC00F2"/>
    <w:rsid w:val="00AC307E"/>
    <w:rsid w:val="00AC31B5"/>
    <w:rsid w:val="00AC32EB"/>
    <w:rsid w:val="00AC4EA1"/>
    <w:rsid w:val="00AC5381"/>
    <w:rsid w:val="00AC5920"/>
    <w:rsid w:val="00AC6A2E"/>
    <w:rsid w:val="00AD0704"/>
    <w:rsid w:val="00AD0ACE"/>
    <w:rsid w:val="00AD0E65"/>
    <w:rsid w:val="00AD1E4D"/>
    <w:rsid w:val="00AD2BF2"/>
    <w:rsid w:val="00AD4E90"/>
    <w:rsid w:val="00AD5422"/>
    <w:rsid w:val="00AD5F74"/>
    <w:rsid w:val="00AE0FFB"/>
    <w:rsid w:val="00AE4179"/>
    <w:rsid w:val="00AE4425"/>
    <w:rsid w:val="00AE4FBE"/>
    <w:rsid w:val="00AE650F"/>
    <w:rsid w:val="00AE6555"/>
    <w:rsid w:val="00AE7D16"/>
    <w:rsid w:val="00AF1B93"/>
    <w:rsid w:val="00AF3520"/>
    <w:rsid w:val="00AF4CAA"/>
    <w:rsid w:val="00AF571A"/>
    <w:rsid w:val="00AF60A0"/>
    <w:rsid w:val="00AF67FC"/>
    <w:rsid w:val="00AF69FC"/>
    <w:rsid w:val="00AF7DF5"/>
    <w:rsid w:val="00B006E5"/>
    <w:rsid w:val="00B01FA2"/>
    <w:rsid w:val="00B024C2"/>
    <w:rsid w:val="00B03410"/>
    <w:rsid w:val="00B07700"/>
    <w:rsid w:val="00B10690"/>
    <w:rsid w:val="00B1149D"/>
    <w:rsid w:val="00B13921"/>
    <w:rsid w:val="00B1528C"/>
    <w:rsid w:val="00B16497"/>
    <w:rsid w:val="00B16ACD"/>
    <w:rsid w:val="00B21487"/>
    <w:rsid w:val="00B232D1"/>
    <w:rsid w:val="00B24DB5"/>
    <w:rsid w:val="00B27C22"/>
    <w:rsid w:val="00B31F9E"/>
    <w:rsid w:val="00B3268F"/>
    <w:rsid w:val="00B32845"/>
    <w:rsid w:val="00B32C2C"/>
    <w:rsid w:val="00B32FD9"/>
    <w:rsid w:val="00B33A1A"/>
    <w:rsid w:val="00B33E6C"/>
    <w:rsid w:val="00B36E71"/>
    <w:rsid w:val="00B371CC"/>
    <w:rsid w:val="00B417F4"/>
    <w:rsid w:val="00B41CD9"/>
    <w:rsid w:val="00B427E6"/>
    <w:rsid w:val="00B428A6"/>
    <w:rsid w:val="00B43E1F"/>
    <w:rsid w:val="00B45FBC"/>
    <w:rsid w:val="00B51A7D"/>
    <w:rsid w:val="00B535C2"/>
    <w:rsid w:val="00B55544"/>
    <w:rsid w:val="00B5721A"/>
    <w:rsid w:val="00B5729A"/>
    <w:rsid w:val="00B63F29"/>
    <w:rsid w:val="00B642FC"/>
    <w:rsid w:val="00B646E5"/>
    <w:rsid w:val="00B64D26"/>
    <w:rsid w:val="00B64FBB"/>
    <w:rsid w:val="00B70028"/>
    <w:rsid w:val="00B70B1C"/>
    <w:rsid w:val="00B70E22"/>
    <w:rsid w:val="00B72AE8"/>
    <w:rsid w:val="00B774CB"/>
    <w:rsid w:val="00B80402"/>
    <w:rsid w:val="00B80B9A"/>
    <w:rsid w:val="00B81325"/>
    <w:rsid w:val="00B818D5"/>
    <w:rsid w:val="00B81BE3"/>
    <w:rsid w:val="00B82DA5"/>
    <w:rsid w:val="00B830B7"/>
    <w:rsid w:val="00B8466B"/>
    <w:rsid w:val="00B848EA"/>
    <w:rsid w:val="00B84B2B"/>
    <w:rsid w:val="00B876C7"/>
    <w:rsid w:val="00B90500"/>
    <w:rsid w:val="00B90631"/>
    <w:rsid w:val="00B9094A"/>
    <w:rsid w:val="00B9176C"/>
    <w:rsid w:val="00B935A4"/>
    <w:rsid w:val="00B97130"/>
    <w:rsid w:val="00B97956"/>
    <w:rsid w:val="00B97F73"/>
    <w:rsid w:val="00BA02E4"/>
    <w:rsid w:val="00BA561A"/>
    <w:rsid w:val="00BB0DC6"/>
    <w:rsid w:val="00BB15E4"/>
    <w:rsid w:val="00BB1E19"/>
    <w:rsid w:val="00BB21D1"/>
    <w:rsid w:val="00BB2CB4"/>
    <w:rsid w:val="00BB32F2"/>
    <w:rsid w:val="00BB3AEF"/>
    <w:rsid w:val="00BB4338"/>
    <w:rsid w:val="00BB56BA"/>
    <w:rsid w:val="00BB6C0E"/>
    <w:rsid w:val="00BB7B38"/>
    <w:rsid w:val="00BC0659"/>
    <w:rsid w:val="00BC0E6C"/>
    <w:rsid w:val="00BC11E5"/>
    <w:rsid w:val="00BC4BC6"/>
    <w:rsid w:val="00BC52FD"/>
    <w:rsid w:val="00BC6E62"/>
    <w:rsid w:val="00BC7443"/>
    <w:rsid w:val="00BD0648"/>
    <w:rsid w:val="00BD1040"/>
    <w:rsid w:val="00BD34AA"/>
    <w:rsid w:val="00BD364C"/>
    <w:rsid w:val="00BE0C44"/>
    <w:rsid w:val="00BE1410"/>
    <w:rsid w:val="00BE1B8B"/>
    <w:rsid w:val="00BE2A18"/>
    <w:rsid w:val="00BE2C01"/>
    <w:rsid w:val="00BE41EC"/>
    <w:rsid w:val="00BE56FB"/>
    <w:rsid w:val="00BE5FAD"/>
    <w:rsid w:val="00BF1D60"/>
    <w:rsid w:val="00BF2479"/>
    <w:rsid w:val="00BF3DDE"/>
    <w:rsid w:val="00BF3E15"/>
    <w:rsid w:val="00BF47D3"/>
    <w:rsid w:val="00BF5750"/>
    <w:rsid w:val="00BF6589"/>
    <w:rsid w:val="00BF6DD8"/>
    <w:rsid w:val="00BF6F7F"/>
    <w:rsid w:val="00C00647"/>
    <w:rsid w:val="00C008A4"/>
    <w:rsid w:val="00C00CCC"/>
    <w:rsid w:val="00C02764"/>
    <w:rsid w:val="00C04691"/>
    <w:rsid w:val="00C04CEF"/>
    <w:rsid w:val="00C0662F"/>
    <w:rsid w:val="00C10D75"/>
    <w:rsid w:val="00C111E1"/>
    <w:rsid w:val="00C11943"/>
    <w:rsid w:val="00C12E96"/>
    <w:rsid w:val="00C13B2D"/>
    <w:rsid w:val="00C14763"/>
    <w:rsid w:val="00C15115"/>
    <w:rsid w:val="00C16141"/>
    <w:rsid w:val="00C16A15"/>
    <w:rsid w:val="00C20405"/>
    <w:rsid w:val="00C21A2B"/>
    <w:rsid w:val="00C224BD"/>
    <w:rsid w:val="00C2363F"/>
    <w:rsid w:val="00C2366C"/>
    <w:rsid w:val="00C236C8"/>
    <w:rsid w:val="00C2518A"/>
    <w:rsid w:val="00C260B1"/>
    <w:rsid w:val="00C26E56"/>
    <w:rsid w:val="00C270A2"/>
    <w:rsid w:val="00C31406"/>
    <w:rsid w:val="00C37194"/>
    <w:rsid w:val="00C40637"/>
    <w:rsid w:val="00C40F6C"/>
    <w:rsid w:val="00C44426"/>
    <w:rsid w:val="00C4458F"/>
    <w:rsid w:val="00C445F3"/>
    <w:rsid w:val="00C451F4"/>
    <w:rsid w:val="00C45254"/>
    <w:rsid w:val="00C45EB1"/>
    <w:rsid w:val="00C45F9E"/>
    <w:rsid w:val="00C46C66"/>
    <w:rsid w:val="00C47E06"/>
    <w:rsid w:val="00C50214"/>
    <w:rsid w:val="00C53B42"/>
    <w:rsid w:val="00C53B8A"/>
    <w:rsid w:val="00C54A3A"/>
    <w:rsid w:val="00C55566"/>
    <w:rsid w:val="00C559D9"/>
    <w:rsid w:val="00C56448"/>
    <w:rsid w:val="00C66075"/>
    <w:rsid w:val="00C667BE"/>
    <w:rsid w:val="00C670E0"/>
    <w:rsid w:val="00C6766B"/>
    <w:rsid w:val="00C71B44"/>
    <w:rsid w:val="00C72223"/>
    <w:rsid w:val="00C76417"/>
    <w:rsid w:val="00C769BF"/>
    <w:rsid w:val="00C7726F"/>
    <w:rsid w:val="00C8031B"/>
    <w:rsid w:val="00C80920"/>
    <w:rsid w:val="00C823DA"/>
    <w:rsid w:val="00C8259F"/>
    <w:rsid w:val="00C82746"/>
    <w:rsid w:val="00C8312F"/>
    <w:rsid w:val="00C83930"/>
    <w:rsid w:val="00C84C47"/>
    <w:rsid w:val="00C852A1"/>
    <w:rsid w:val="00C858A4"/>
    <w:rsid w:val="00C86AFA"/>
    <w:rsid w:val="00C90B71"/>
    <w:rsid w:val="00C90C7C"/>
    <w:rsid w:val="00C935EF"/>
    <w:rsid w:val="00CB0942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947"/>
    <w:rsid w:val="00CC519B"/>
    <w:rsid w:val="00CC55E7"/>
    <w:rsid w:val="00CC57F7"/>
    <w:rsid w:val="00CD12C1"/>
    <w:rsid w:val="00CD214E"/>
    <w:rsid w:val="00CD2E53"/>
    <w:rsid w:val="00CD3598"/>
    <w:rsid w:val="00CD43D1"/>
    <w:rsid w:val="00CD46FA"/>
    <w:rsid w:val="00CD5973"/>
    <w:rsid w:val="00CD6C5D"/>
    <w:rsid w:val="00CD7A7C"/>
    <w:rsid w:val="00CE313C"/>
    <w:rsid w:val="00CE31A6"/>
    <w:rsid w:val="00CE5DE9"/>
    <w:rsid w:val="00CE76BF"/>
    <w:rsid w:val="00CF010D"/>
    <w:rsid w:val="00CF08E1"/>
    <w:rsid w:val="00CF09AA"/>
    <w:rsid w:val="00CF2D6F"/>
    <w:rsid w:val="00CF4813"/>
    <w:rsid w:val="00CF5233"/>
    <w:rsid w:val="00CF5BD2"/>
    <w:rsid w:val="00CF71F6"/>
    <w:rsid w:val="00CF7331"/>
    <w:rsid w:val="00CF75B7"/>
    <w:rsid w:val="00D029B8"/>
    <w:rsid w:val="00D02CDD"/>
    <w:rsid w:val="00D02F60"/>
    <w:rsid w:val="00D03D7C"/>
    <w:rsid w:val="00D0464E"/>
    <w:rsid w:val="00D048FC"/>
    <w:rsid w:val="00D049A7"/>
    <w:rsid w:val="00D04A96"/>
    <w:rsid w:val="00D053F0"/>
    <w:rsid w:val="00D07A7B"/>
    <w:rsid w:val="00D10DDA"/>
    <w:rsid w:val="00D10E06"/>
    <w:rsid w:val="00D13D01"/>
    <w:rsid w:val="00D14F05"/>
    <w:rsid w:val="00D15197"/>
    <w:rsid w:val="00D16820"/>
    <w:rsid w:val="00D169C8"/>
    <w:rsid w:val="00D171AA"/>
    <w:rsid w:val="00D1793F"/>
    <w:rsid w:val="00D200C4"/>
    <w:rsid w:val="00D21E1A"/>
    <w:rsid w:val="00D222AE"/>
    <w:rsid w:val="00D22AF5"/>
    <w:rsid w:val="00D234C0"/>
    <w:rsid w:val="00D235EA"/>
    <w:rsid w:val="00D2385E"/>
    <w:rsid w:val="00D247A9"/>
    <w:rsid w:val="00D258AE"/>
    <w:rsid w:val="00D276E4"/>
    <w:rsid w:val="00D31C64"/>
    <w:rsid w:val="00D3270A"/>
    <w:rsid w:val="00D32721"/>
    <w:rsid w:val="00D328DC"/>
    <w:rsid w:val="00D33387"/>
    <w:rsid w:val="00D36519"/>
    <w:rsid w:val="00D402FB"/>
    <w:rsid w:val="00D40C70"/>
    <w:rsid w:val="00D4112A"/>
    <w:rsid w:val="00D434D3"/>
    <w:rsid w:val="00D438AF"/>
    <w:rsid w:val="00D47D7A"/>
    <w:rsid w:val="00D5013B"/>
    <w:rsid w:val="00D50688"/>
    <w:rsid w:val="00D50ABD"/>
    <w:rsid w:val="00D52C2E"/>
    <w:rsid w:val="00D52EDF"/>
    <w:rsid w:val="00D55290"/>
    <w:rsid w:val="00D55FE9"/>
    <w:rsid w:val="00D563AE"/>
    <w:rsid w:val="00D57791"/>
    <w:rsid w:val="00D6046A"/>
    <w:rsid w:val="00D62870"/>
    <w:rsid w:val="00D63832"/>
    <w:rsid w:val="00D63B35"/>
    <w:rsid w:val="00D655D9"/>
    <w:rsid w:val="00D65872"/>
    <w:rsid w:val="00D67395"/>
    <w:rsid w:val="00D676F3"/>
    <w:rsid w:val="00D707D8"/>
    <w:rsid w:val="00D70EF5"/>
    <w:rsid w:val="00D71024"/>
    <w:rsid w:val="00D71A25"/>
    <w:rsid w:val="00D71FCF"/>
    <w:rsid w:val="00D72A54"/>
    <w:rsid w:val="00D72C24"/>
    <w:rsid w:val="00D72CC1"/>
    <w:rsid w:val="00D73119"/>
    <w:rsid w:val="00D76173"/>
    <w:rsid w:val="00D762E6"/>
    <w:rsid w:val="00D768AC"/>
    <w:rsid w:val="00D76EC9"/>
    <w:rsid w:val="00D80E7D"/>
    <w:rsid w:val="00D81397"/>
    <w:rsid w:val="00D8314D"/>
    <w:rsid w:val="00D848B9"/>
    <w:rsid w:val="00D8682D"/>
    <w:rsid w:val="00D90E69"/>
    <w:rsid w:val="00D91368"/>
    <w:rsid w:val="00D91786"/>
    <w:rsid w:val="00D92ABC"/>
    <w:rsid w:val="00D93106"/>
    <w:rsid w:val="00D93177"/>
    <w:rsid w:val="00D933E9"/>
    <w:rsid w:val="00D9505D"/>
    <w:rsid w:val="00D953D0"/>
    <w:rsid w:val="00D959F5"/>
    <w:rsid w:val="00D96884"/>
    <w:rsid w:val="00D96B9A"/>
    <w:rsid w:val="00DA2DD3"/>
    <w:rsid w:val="00DA31B8"/>
    <w:rsid w:val="00DA3FDD"/>
    <w:rsid w:val="00DA470F"/>
    <w:rsid w:val="00DA7017"/>
    <w:rsid w:val="00DA7028"/>
    <w:rsid w:val="00DB1AD2"/>
    <w:rsid w:val="00DB1DD8"/>
    <w:rsid w:val="00DB24EE"/>
    <w:rsid w:val="00DB2B58"/>
    <w:rsid w:val="00DB49B3"/>
    <w:rsid w:val="00DB5206"/>
    <w:rsid w:val="00DB6276"/>
    <w:rsid w:val="00DB63F5"/>
    <w:rsid w:val="00DB64D8"/>
    <w:rsid w:val="00DB70DE"/>
    <w:rsid w:val="00DB7DD6"/>
    <w:rsid w:val="00DC071E"/>
    <w:rsid w:val="00DC1C6B"/>
    <w:rsid w:val="00DC2C2E"/>
    <w:rsid w:val="00DC3AE6"/>
    <w:rsid w:val="00DC4AF0"/>
    <w:rsid w:val="00DC6DC8"/>
    <w:rsid w:val="00DC7886"/>
    <w:rsid w:val="00DD0CF2"/>
    <w:rsid w:val="00DE133A"/>
    <w:rsid w:val="00DE1554"/>
    <w:rsid w:val="00DE2901"/>
    <w:rsid w:val="00DE4714"/>
    <w:rsid w:val="00DE51C8"/>
    <w:rsid w:val="00DE590F"/>
    <w:rsid w:val="00DE7DC1"/>
    <w:rsid w:val="00DF3F7E"/>
    <w:rsid w:val="00DF6128"/>
    <w:rsid w:val="00DF7648"/>
    <w:rsid w:val="00E0075E"/>
    <w:rsid w:val="00E00E29"/>
    <w:rsid w:val="00E02BAB"/>
    <w:rsid w:val="00E04CEB"/>
    <w:rsid w:val="00E05423"/>
    <w:rsid w:val="00E060BC"/>
    <w:rsid w:val="00E07A3A"/>
    <w:rsid w:val="00E11420"/>
    <w:rsid w:val="00E132FB"/>
    <w:rsid w:val="00E170B7"/>
    <w:rsid w:val="00E177DD"/>
    <w:rsid w:val="00E20900"/>
    <w:rsid w:val="00E20C7F"/>
    <w:rsid w:val="00E21736"/>
    <w:rsid w:val="00E223C1"/>
    <w:rsid w:val="00E233A6"/>
    <w:rsid w:val="00E2396E"/>
    <w:rsid w:val="00E24728"/>
    <w:rsid w:val="00E276AC"/>
    <w:rsid w:val="00E349E4"/>
    <w:rsid w:val="00E34A35"/>
    <w:rsid w:val="00E3559E"/>
    <w:rsid w:val="00E37C2F"/>
    <w:rsid w:val="00E41C28"/>
    <w:rsid w:val="00E43B83"/>
    <w:rsid w:val="00E43C57"/>
    <w:rsid w:val="00E446CE"/>
    <w:rsid w:val="00E446DB"/>
    <w:rsid w:val="00E46308"/>
    <w:rsid w:val="00E46B0E"/>
    <w:rsid w:val="00E47B5E"/>
    <w:rsid w:val="00E51E17"/>
    <w:rsid w:val="00E52DAB"/>
    <w:rsid w:val="00E539B0"/>
    <w:rsid w:val="00E5587B"/>
    <w:rsid w:val="00E55994"/>
    <w:rsid w:val="00E60529"/>
    <w:rsid w:val="00E60606"/>
    <w:rsid w:val="00E60C66"/>
    <w:rsid w:val="00E613C4"/>
    <w:rsid w:val="00E6164D"/>
    <w:rsid w:val="00E618C9"/>
    <w:rsid w:val="00E61CB8"/>
    <w:rsid w:val="00E62774"/>
    <w:rsid w:val="00E6307C"/>
    <w:rsid w:val="00E636FA"/>
    <w:rsid w:val="00E66C50"/>
    <w:rsid w:val="00E679D3"/>
    <w:rsid w:val="00E71208"/>
    <w:rsid w:val="00E71444"/>
    <w:rsid w:val="00E71C7C"/>
    <w:rsid w:val="00E71C91"/>
    <w:rsid w:val="00E720A1"/>
    <w:rsid w:val="00E74020"/>
    <w:rsid w:val="00E75DDA"/>
    <w:rsid w:val="00E773E8"/>
    <w:rsid w:val="00E8032D"/>
    <w:rsid w:val="00E8395A"/>
    <w:rsid w:val="00E83ADD"/>
    <w:rsid w:val="00E83BCE"/>
    <w:rsid w:val="00E84E76"/>
    <w:rsid w:val="00E84F38"/>
    <w:rsid w:val="00E85623"/>
    <w:rsid w:val="00E87441"/>
    <w:rsid w:val="00E91ED6"/>
    <w:rsid w:val="00E91FAE"/>
    <w:rsid w:val="00E925DF"/>
    <w:rsid w:val="00E96E3F"/>
    <w:rsid w:val="00E9751D"/>
    <w:rsid w:val="00E97D75"/>
    <w:rsid w:val="00EA270C"/>
    <w:rsid w:val="00EA4974"/>
    <w:rsid w:val="00EA532E"/>
    <w:rsid w:val="00EB06D9"/>
    <w:rsid w:val="00EB192B"/>
    <w:rsid w:val="00EB19ED"/>
    <w:rsid w:val="00EB1CAB"/>
    <w:rsid w:val="00EB41E8"/>
    <w:rsid w:val="00EB64BA"/>
    <w:rsid w:val="00EB7536"/>
    <w:rsid w:val="00EC0F00"/>
    <w:rsid w:val="00EC0F5A"/>
    <w:rsid w:val="00EC1484"/>
    <w:rsid w:val="00EC4265"/>
    <w:rsid w:val="00EC4CEB"/>
    <w:rsid w:val="00EC5E68"/>
    <w:rsid w:val="00EC6475"/>
    <w:rsid w:val="00EC659E"/>
    <w:rsid w:val="00EC7C6D"/>
    <w:rsid w:val="00ED2072"/>
    <w:rsid w:val="00ED2AE0"/>
    <w:rsid w:val="00ED473B"/>
    <w:rsid w:val="00ED527A"/>
    <w:rsid w:val="00ED5553"/>
    <w:rsid w:val="00ED5E36"/>
    <w:rsid w:val="00ED6961"/>
    <w:rsid w:val="00ED715A"/>
    <w:rsid w:val="00ED7737"/>
    <w:rsid w:val="00ED7B49"/>
    <w:rsid w:val="00EE1CF3"/>
    <w:rsid w:val="00EE3856"/>
    <w:rsid w:val="00EE79A3"/>
    <w:rsid w:val="00EF0B96"/>
    <w:rsid w:val="00EF0F09"/>
    <w:rsid w:val="00EF3486"/>
    <w:rsid w:val="00EF3FC5"/>
    <w:rsid w:val="00EF47AF"/>
    <w:rsid w:val="00EF49AA"/>
    <w:rsid w:val="00EF53B6"/>
    <w:rsid w:val="00F00B73"/>
    <w:rsid w:val="00F01B3D"/>
    <w:rsid w:val="00F115CA"/>
    <w:rsid w:val="00F145D7"/>
    <w:rsid w:val="00F14817"/>
    <w:rsid w:val="00F14EBA"/>
    <w:rsid w:val="00F1510F"/>
    <w:rsid w:val="00F1533A"/>
    <w:rsid w:val="00F15E5A"/>
    <w:rsid w:val="00F16D04"/>
    <w:rsid w:val="00F17F0A"/>
    <w:rsid w:val="00F206A1"/>
    <w:rsid w:val="00F21E1D"/>
    <w:rsid w:val="00F261CE"/>
    <w:rsid w:val="00F2668F"/>
    <w:rsid w:val="00F26706"/>
    <w:rsid w:val="00F2742F"/>
    <w:rsid w:val="00F2753B"/>
    <w:rsid w:val="00F33F8B"/>
    <w:rsid w:val="00F340B2"/>
    <w:rsid w:val="00F43390"/>
    <w:rsid w:val="00F43EC8"/>
    <w:rsid w:val="00F443B2"/>
    <w:rsid w:val="00F458D8"/>
    <w:rsid w:val="00F46C9E"/>
    <w:rsid w:val="00F5001B"/>
    <w:rsid w:val="00F50237"/>
    <w:rsid w:val="00F53596"/>
    <w:rsid w:val="00F53F21"/>
    <w:rsid w:val="00F5437F"/>
    <w:rsid w:val="00F55BA8"/>
    <w:rsid w:val="00F55DB1"/>
    <w:rsid w:val="00F56ACA"/>
    <w:rsid w:val="00F600FE"/>
    <w:rsid w:val="00F60EAA"/>
    <w:rsid w:val="00F60FDC"/>
    <w:rsid w:val="00F615A2"/>
    <w:rsid w:val="00F62E4D"/>
    <w:rsid w:val="00F647B4"/>
    <w:rsid w:val="00F66B34"/>
    <w:rsid w:val="00F675B9"/>
    <w:rsid w:val="00F707D6"/>
    <w:rsid w:val="00F70932"/>
    <w:rsid w:val="00F711C9"/>
    <w:rsid w:val="00F71312"/>
    <w:rsid w:val="00F74C59"/>
    <w:rsid w:val="00F756EE"/>
    <w:rsid w:val="00F75C3A"/>
    <w:rsid w:val="00F75DE3"/>
    <w:rsid w:val="00F819EE"/>
    <w:rsid w:val="00F81D8D"/>
    <w:rsid w:val="00F82C3D"/>
    <w:rsid w:val="00F82E30"/>
    <w:rsid w:val="00F831CB"/>
    <w:rsid w:val="00F848A3"/>
    <w:rsid w:val="00F84ACF"/>
    <w:rsid w:val="00F85742"/>
    <w:rsid w:val="00F85BF8"/>
    <w:rsid w:val="00F85E17"/>
    <w:rsid w:val="00F8675A"/>
    <w:rsid w:val="00F871CE"/>
    <w:rsid w:val="00F87802"/>
    <w:rsid w:val="00F9235A"/>
    <w:rsid w:val="00F92C0A"/>
    <w:rsid w:val="00F932CC"/>
    <w:rsid w:val="00F93560"/>
    <w:rsid w:val="00F93EBF"/>
    <w:rsid w:val="00F9415B"/>
    <w:rsid w:val="00F96243"/>
    <w:rsid w:val="00F972B1"/>
    <w:rsid w:val="00FA13C2"/>
    <w:rsid w:val="00FA7F91"/>
    <w:rsid w:val="00FB121C"/>
    <w:rsid w:val="00FB1CDD"/>
    <w:rsid w:val="00FB27D1"/>
    <w:rsid w:val="00FB2A50"/>
    <w:rsid w:val="00FB2C2F"/>
    <w:rsid w:val="00FB305C"/>
    <w:rsid w:val="00FB7268"/>
    <w:rsid w:val="00FC2E3D"/>
    <w:rsid w:val="00FC345C"/>
    <w:rsid w:val="00FC3BDE"/>
    <w:rsid w:val="00FC541D"/>
    <w:rsid w:val="00FD0AB5"/>
    <w:rsid w:val="00FD1DBE"/>
    <w:rsid w:val="00FD20A2"/>
    <w:rsid w:val="00FD25A7"/>
    <w:rsid w:val="00FD27B6"/>
    <w:rsid w:val="00FD3689"/>
    <w:rsid w:val="00FD42A3"/>
    <w:rsid w:val="00FD4BDC"/>
    <w:rsid w:val="00FD7468"/>
    <w:rsid w:val="00FD7CE0"/>
    <w:rsid w:val="00FE0B3B"/>
    <w:rsid w:val="00FE0D45"/>
    <w:rsid w:val="00FE1BE2"/>
    <w:rsid w:val="00FE3D2F"/>
    <w:rsid w:val="00FE4254"/>
    <w:rsid w:val="00FE6FCB"/>
    <w:rsid w:val="00FE730A"/>
    <w:rsid w:val="00FF0A9F"/>
    <w:rsid w:val="00FF1DD7"/>
    <w:rsid w:val="00FF4453"/>
    <w:rsid w:val="00FF651C"/>
    <w:rsid w:val="00FF6C6F"/>
    <w:rsid w:val="00FF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781290-2445-4AEF-BDFE-2EB07902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0A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table" w:customStyle="1" w:styleId="Siatkatabelijasna1">
    <w:name w:val="Siatka tabeli — jasna1"/>
    <w:basedOn w:val="Standardowy"/>
    <w:uiPriority w:val="40"/>
    <w:rsid w:val="001D5D5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0C1F763893F84A8429B1D53BB7C2A7" ma:contentTypeVersion="" ma:contentTypeDescription="Utwórz nowy dokument." ma:contentTypeScope="" ma:versionID="6da5d20415a24c5d865cb1b81e9a3a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498C95-3835-4001-AE38-D0341B43C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21EE9-545F-4A8F-A61A-AA4C7F2EE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0A7DDA-97CF-40D4-8379-5D8BE2A0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2542</Words>
  <Characters>15252</Characters>
  <Application>Microsoft Office Word</Application>
  <DocSecurity>0</DocSecurity>
  <Lines>127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Zygmunciak Jerzy</dc:creator>
  <cp:lastModifiedBy>Dziedzic Monika</cp:lastModifiedBy>
  <cp:revision>2</cp:revision>
  <cp:lastPrinted>2020-11-30T12:47:00Z</cp:lastPrinted>
  <dcterms:created xsi:type="dcterms:W3CDTF">2021-03-19T09:27:00Z</dcterms:created>
  <dcterms:modified xsi:type="dcterms:W3CDTF">2021-03-19T09:27:00Z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0x010100A30C1F763893F84A8429B1D53BB7C2A7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