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25264" w14:textId="5555EF59" w:rsidR="000D74F9" w:rsidRPr="000D74F9" w:rsidRDefault="000D74F9" w:rsidP="000D74F9">
      <w:pPr>
        <w:pStyle w:val="OZNPROJEKTUwskazaniedatylubwersjiprojektu"/>
      </w:pPr>
      <w:r w:rsidRPr="000D74F9">
        <w:t xml:space="preserve">Projekt z dnia </w:t>
      </w:r>
      <w:r w:rsidR="00A832CF">
        <w:t>10.12.</w:t>
      </w:r>
      <w:r w:rsidRPr="000D74F9">
        <w:t>2024 r.</w:t>
      </w:r>
    </w:p>
    <w:p w14:paraId="0D4F8D4A" w14:textId="77777777" w:rsidR="000D74F9" w:rsidRPr="000D74F9" w:rsidRDefault="000D74F9" w:rsidP="000D74F9">
      <w:pPr>
        <w:pStyle w:val="OZNRODZAKTUtznustawalubrozporzdzenieiorganwydajcy"/>
      </w:pPr>
      <w:r w:rsidRPr="000D74F9">
        <w:t xml:space="preserve">UCHWAŁA Nr………. </w:t>
      </w:r>
    </w:p>
    <w:p w14:paraId="3FEC03E2" w14:textId="77777777" w:rsidR="000D74F9" w:rsidRPr="000D74F9" w:rsidRDefault="000D74F9" w:rsidP="000D74F9">
      <w:pPr>
        <w:pStyle w:val="OZNRODZAKTUtznustawalubrozporzdzenieiorganwydajcy"/>
      </w:pPr>
      <w:r w:rsidRPr="000D74F9">
        <w:t>Rady Ministrów</w:t>
      </w:r>
    </w:p>
    <w:p w14:paraId="5C5DD130" w14:textId="77777777" w:rsidR="000D74F9" w:rsidRPr="000D74F9" w:rsidRDefault="000D74F9" w:rsidP="000D74F9">
      <w:pPr>
        <w:pStyle w:val="DATAAKTUdatauchwalenialubwydaniaaktu"/>
      </w:pPr>
      <w:r w:rsidRPr="000D74F9">
        <w:t xml:space="preserve">z dnia ……………….r. </w:t>
      </w:r>
    </w:p>
    <w:p w14:paraId="162F0159" w14:textId="77777777" w:rsidR="000D74F9" w:rsidRPr="006B149F" w:rsidRDefault="000D74F9" w:rsidP="006B149F">
      <w:pPr>
        <w:pStyle w:val="TYTUAKTUprzedmiotregulacjiustawylubrozporzdzenia"/>
        <w:rPr>
          <w:rFonts w:eastAsia="Times New Roman"/>
        </w:rPr>
      </w:pPr>
      <w:r w:rsidRPr="006B149F">
        <w:rPr>
          <w:rFonts w:eastAsia="Times New Roman"/>
        </w:rPr>
        <w:t>zmieniająca uchwałę w sprawie ustanowienia programu wieloletniego pod nazwą „Wieloletni Plan Inwestycyjny – budowa, przebudowa, modernizacja infrastruktury Narodowego Instytutu Kardiologii Stefana Kardynała Wyszyńskiego – Państwowego Instytutu Badawczego w celu zwiększenia dostępności i jakości wysokospecjalistycznych świadczeń zdrowotnych dla pacjentów z chorobami układu sercowo-naczyniowego”</w:t>
      </w:r>
    </w:p>
    <w:p w14:paraId="24535DD2" w14:textId="783250F1" w:rsidR="000D74F9" w:rsidRPr="000D74F9" w:rsidRDefault="000D74F9" w:rsidP="00A0360A">
      <w:pPr>
        <w:pStyle w:val="NIEARTTEKSTtekstnieartykuowanynppodstprawnarozplubpreambua"/>
      </w:pPr>
      <w:r w:rsidRPr="000D74F9">
        <w:t>Na podstawie art. 136 ust. 2 ustawy z dnia 27 sierpnia 2009 r. o finansach publicznych (Dz. U. z 2024 r. poz. 1530</w:t>
      </w:r>
      <w:r w:rsidR="00A832CF">
        <w:t xml:space="preserve">, </w:t>
      </w:r>
      <w:r w:rsidR="004137CE">
        <w:t>1572</w:t>
      </w:r>
      <w:r w:rsidR="00A832CF">
        <w:t xml:space="preserve">, </w:t>
      </w:r>
      <w:r w:rsidR="00A832CF" w:rsidRPr="00A832CF">
        <w:t>1717</w:t>
      </w:r>
      <w:r w:rsidR="00A832CF">
        <w:t xml:space="preserve"> i </w:t>
      </w:r>
      <w:r w:rsidR="00A832CF" w:rsidRPr="00A832CF">
        <w:t>1756</w:t>
      </w:r>
      <w:r w:rsidRPr="000D74F9">
        <w:t xml:space="preserve">) Rada Ministrów uchwala, co </w:t>
      </w:r>
      <w:r w:rsidRPr="00A0360A">
        <w:rPr>
          <w:rFonts w:eastAsia="Times New Roman"/>
        </w:rPr>
        <w:t>następuje</w:t>
      </w:r>
      <w:r w:rsidRPr="000D74F9">
        <w:t>:</w:t>
      </w:r>
    </w:p>
    <w:p w14:paraId="2D42F464" w14:textId="0CA6F50F" w:rsidR="000D74F9" w:rsidRPr="00A86E7B" w:rsidRDefault="000D74F9" w:rsidP="00A86E7B">
      <w:pPr>
        <w:pStyle w:val="ARTartustawynprozporzdzenia"/>
      </w:pPr>
      <w:r w:rsidRPr="00414271">
        <w:rPr>
          <w:rStyle w:val="Ppogrubienie"/>
        </w:rPr>
        <w:t>§</w:t>
      </w:r>
      <w:r w:rsidR="004137CE" w:rsidRPr="00414271">
        <w:rPr>
          <w:rStyle w:val="Ppogrubienie"/>
        </w:rPr>
        <w:t xml:space="preserve"> </w:t>
      </w:r>
      <w:r w:rsidRPr="00414271">
        <w:rPr>
          <w:rStyle w:val="Ppogrubienie"/>
        </w:rPr>
        <w:t>1.</w:t>
      </w:r>
      <w:r w:rsidR="004137CE">
        <w:t xml:space="preserve"> </w:t>
      </w:r>
      <w:r w:rsidRPr="00A86E7B">
        <w:t>W uchwale nr 49/2020 Rady Ministrów z dnia 24 kwietnia 2020 r. w sprawie ustanowienia programu wieloletniego pod nazwą „Wieloletni Plan Inwestycyjny – budowa, przebudowa, modernizacja infrastruktury Narodowego Instytutu Kardiologii Stefana Kardynała Wyszyńskiego – Państwowego Instytutu Badawczego w celu zwiększenia dostępności i jakości wysokospecjalistycznych świadczeń zdrowotnych dla pacjentów z chorobami układu sercowo-naczyniowego”, zmienionej uchwałą nr 267/2022 Rady Ministrów z dnia 28 grudnia 2022 r. wprowadza się następujące zmiany:</w:t>
      </w:r>
    </w:p>
    <w:p w14:paraId="7CA67585" w14:textId="5245DEE8" w:rsidR="000D74F9" w:rsidRPr="000D74F9" w:rsidRDefault="000D74F9" w:rsidP="00414271">
      <w:pPr>
        <w:pStyle w:val="PKTpunkt"/>
      </w:pPr>
      <w:r w:rsidRPr="000D74F9">
        <w:t>1)</w:t>
      </w:r>
      <w:r w:rsidRPr="000D74F9">
        <w:tab/>
        <w:t>§ 2 otrzymuje brzmienie:</w:t>
      </w:r>
    </w:p>
    <w:p w14:paraId="18F75D50" w14:textId="34BC1078" w:rsidR="000D74F9" w:rsidRPr="000D74F9" w:rsidRDefault="000D74F9" w:rsidP="00414271">
      <w:pPr>
        <w:pStyle w:val="ZARTzmartartykuempunktem"/>
      </w:pPr>
      <w:r w:rsidRPr="000D74F9">
        <w:tab/>
        <w:t>„§ 2. Okres realizacji Programu ustala się na lata 2021–2026</w:t>
      </w:r>
      <w:r w:rsidR="00766A62">
        <w:t>.</w:t>
      </w:r>
      <w:r w:rsidRPr="000D74F9">
        <w:t>”;</w:t>
      </w:r>
    </w:p>
    <w:p w14:paraId="64C3926A" w14:textId="5D85470A" w:rsidR="000D74F9" w:rsidRPr="000D74F9" w:rsidRDefault="000D74F9" w:rsidP="00414271">
      <w:pPr>
        <w:pStyle w:val="PKTpunkt"/>
      </w:pPr>
      <w:r w:rsidRPr="000D74F9">
        <w:t>2)</w:t>
      </w:r>
      <w:r w:rsidRPr="000D74F9">
        <w:tab/>
        <w:t>§ 5 otrzymuje brzmienie:</w:t>
      </w:r>
    </w:p>
    <w:p w14:paraId="3DD4C9DE" w14:textId="77777777" w:rsidR="000D74F9" w:rsidRPr="000D74F9" w:rsidRDefault="000D74F9" w:rsidP="00414271">
      <w:pPr>
        <w:pStyle w:val="ZARTzmartartykuempunktem"/>
      </w:pPr>
      <w:r>
        <w:t>„</w:t>
      </w:r>
      <w:r w:rsidRPr="000D74F9">
        <w:t xml:space="preserve">§ 5. 1. Wartość kosztorysowa Programu wynosi 305 233 tys. zł, w tym nakłady do poniesienia: </w:t>
      </w:r>
    </w:p>
    <w:p w14:paraId="27512FED" w14:textId="77777777" w:rsidR="000D74F9" w:rsidRPr="002B29DC" w:rsidRDefault="000D74F9" w:rsidP="00414271">
      <w:pPr>
        <w:pStyle w:val="ZPKTzmpktartykuempunktem"/>
      </w:pPr>
      <w:r w:rsidRPr="002B29DC">
        <w:t xml:space="preserve">1) </w:t>
      </w:r>
      <w:r w:rsidRPr="002B29DC">
        <w:tab/>
        <w:t>z budżetu państwa – 289 500 tys. zł;</w:t>
      </w:r>
    </w:p>
    <w:p w14:paraId="70A86E9C" w14:textId="77777777" w:rsidR="000D74F9" w:rsidRPr="006406C5" w:rsidRDefault="000D74F9" w:rsidP="00414271">
      <w:pPr>
        <w:pStyle w:val="ZPKTzmpktartykuempunktem"/>
      </w:pPr>
      <w:r w:rsidRPr="006406C5">
        <w:t>2)</w:t>
      </w:r>
      <w:r w:rsidRPr="006406C5">
        <w:tab/>
        <w:t>ze środków własnych Instytutu – 9 000 tys. zł;</w:t>
      </w:r>
    </w:p>
    <w:p w14:paraId="08A85CDF" w14:textId="5ACDD236" w:rsidR="000D74F9" w:rsidRPr="006406C5" w:rsidRDefault="000D74F9" w:rsidP="00414271">
      <w:pPr>
        <w:pStyle w:val="ZPKTzmpktartykuempunktem"/>
      </w:pPr>
      <w:r w:rsidRPr="006406C5">
        <w:t xml:space="preserve">3) </w:t>
      </w:r>
      <w:r w:rsidRPr="006406C5">
        <w:tab/>
        <w:t>ze środków Programu Operacyjnego Infrastruktura i Środowisko 2014–2020 Oś priorytetowa I Poddziałanie1.3.1 – 6</w:t>
      </w:r>
      <w:r w:rsidR="00FD5DF4">
        <w:t xml:space="preserve"> </w:t>
      </w:r>
      <w:r w:rsidRPr="006406C5">
        <w:t>733 tys. zł.</w:t>
      </w:r>
    </w:p>
    <w:p w14:paraId="3DFF96C7" w14:textId="0C59257E" w:rsidR="000D74F9" w:rsidRPr="006406C5" w:rsidRDefault="000D74F9" w:rsidP="00414271">
      <w:pPr>
        <w:pStyle w:val="ZUSTzmustartykuempunktem"/>
      </w:pPr>
      <w:r w:rsidRPr="006406C5">
        <w:t>2.</w:t>
      </w:r>
      <w:r w:rsidR="00597A90">
        <w:t xml:space="preserve"> </w:t>
      </w:r>
      <w:r w:rsidRPr="006406C5">
        <w:t>Nakłady, o których mowa w ust. 1 pkt 1, w</w:t>
      </w:r>
      <w:r w:rsidR="00FD5DF4">
        <w:t xml:space="preserve"> </w:t>
      </w:r>
      <w:r w:rsidRPr="006406C5">
        <w:t>poszczególnych latach wyniosą:</w:t>
      </w:r>
    </w:p>
    <w:p w14:paraId="114819E0" w14:textId="77777777" w:rsidR="000D74F9" w:rsidRPr="006406C5" w:rsidRDefault="000D74F9" w:rsidP="00414271">
      <w:pPr>
        <w:pStyle w:val="ZPKTzmpktartykuempunktem"/>
      </w:pPr>
      <w:r w:rsidRPr="006406C5">
        <w:t xml:space="preserve">1) </w:t>
      </w:r>
      <w:r w:rsidRPr="006406C5">
        <w:tab/>
        <w:t>25 234 tys. zł – w 2021 r.;</w:t>
      </w:r>
    </w:p>
    <w:p w14:paraId="16156817" w14:textId="2ACB6D08" w:rsidR="000D74F9" w:rsidRPr="006406C5" w:rsidRDefault="000D74F9" w:rsidP="00414271">
      <w:pPr>
        <w:pStyle w:val="ZPKTzmpktartykuempunktem"/>
      </w:pPr>
      <w:r w:rsidRPr="006406C5">
        <w:t>2)</w:t>
      </w:r>
      <w:r w:rsidRPr="006406C5">
        <w:tab/>
        <w:t>23 264 tys. zł – w 2022 r.;</w:t>
      </w:r>
    </w:p>
    <w:p w14:paraId="4E46F94B" w14:textId="77777777" w:rsidR="000D74F9" w:rsidRPr="006406C5" w:rsidRDefault="000D74F9" w:rsidP="00414271">
      <w:pPr>
        <w:pStyle w:val="ZPKTzmpktartykuempunktem"/>
      </w:pPr>
      <w:r w:rsidRPr="006406C5">
        <w:t xml:space="preserve">3) </w:t>
      </w:r>
      <w:r w:rsidRPr="006406C5">
        <w:tab/>
        <w:t>64 921 tys. zł – w 2023 r.;</w:t>
      </w:r>
    </w:p>
    <w:p w14:paraId="13D6A244" w14:textId="77777777" w:rsidR="000D74F9" w:rsidRPr="006406C5" w:rsidRDefault="000D74F9" w:rsidP="00414271">
      <w:pPr>
        <w:pStyle w:val="ZPKTzmpktartykuempunktem"/>
      </w:pPr>
      <w:r w:rsidRPr="006406C5">
        <w:lastRenderedPageBreak/>
        <w:t xml:space="preserve">4) </w:t>
      </w:r>
      <w:r w:rsidRPr="006406C5">
        <w:tab/>
        <w:t>47 000 tys. zł – w 2024 r.;</w:t>
      </w:r>
    </w:p>
    <w:p w14:paraId="2C1BD363" w14:textId="77777777" w:rsidR="000D74F9" w:rsidRPr="006406C5" w:rsidRDefault="000D74F9" w:rsidP="00414271">
      <w:pPr>
        <w:pStyle w:val="ZPKTzmpktartykuempunktem"/>
      </w:pPr>
      <w:r w:rsidRPr="006406C5">
        <w:t xml:space="preserve">5) </w:t>
      </w:r>
      <w:r w:rsidRPr="006406C5">
        <w:tab/>
        <w:t>57 000 tys. zł – w 2025 r.;</w:t>
      </w:r>
    </w:p>
    <w:p w14:paraId="428937C9" w14:textId="77777777" w:rsidR="000D74F9" w:rsidRPr="006406C5" w:rsidRDefault="000D74F9" w:rsidP="00414271">
      <w:pPr>
        <w:pStyle w:val="ZPKTzmpktartykuempunktem"/>
      </w:pPr>
      <w:r w:rsidRPr="006406C5">
        <w:t>6)</w:t>
      </w:r>
      <w:r w:rsidRPr="006406C5">
        <w:tab/>
        <w:t>72 081 tys. zł – w 2026 r.</w:t>
      </w:r>
    </w:p>
    <w:p w14:paraId="252DE40D" w14:textId="77777777" w:rsidR="000D74F9" w:rsidRPr="000D74F9" w:rsidRDefault="000D74F9" w:rsidP="00414271">
      <w:pPr>
        <w:pStyle w:val="ZUSTzmustartykuempunktem"/>
      </w:pPr>
      <w:r w:rsidRPr="006702B1">
        <w:t>3.</w:t>
      </w:r>
      <w:r w:rsidRPr="000D74F9">
        <w:t xml:space="preserve"> Nakłady, o których mowa w ust. 1 pkt 2, w poszczególnych latach wyniosą:</w:t>
      </w:r>
    </w:p>
    <w:p w14:paraId="6C928BE1" w14:textId="77777777" w:rsidR="000D74F9" w:rsidRPr="000D74F9" w:rsidRDefault="000D74F9" w:rsidP="00414271">
      <w:pPr>
        <w:pStyle w:val="ZPKTzmpktartykuempunktem"/>
      </w:pPr>
      <w:r w:rsidRPr="006702B1">
        <w:t>1)</w:t>
      </w:r>
      <w:r w:rsidRPr="000D74F9">
        <w:t xml:space="preserve"> </w:t>
      </w:r>
      <w:r w:rsidRPr="000D74F9">
        <w:tab/>
        <w:t>1 000 tys. zł – w 2022 r.;</w:t>
      </w:r>
    </w:p>
    <w:p w14:paraId="4D0D29AE" w14:textId="77777777" w:rsidR="000D74F9" w:rsidRPr="000D74F9" w:rsidRDefault="000D74F9" w:rsidP="00414271">
      <w:pPr>
        <w:pStyle w:val="ZPKTzmpktartykuempunktem"/>
      </w:pPr>
      <w:r w:rsidRPr="006702B1">
        <w:t>2)</w:t>
      </w:r>
      <w:r w:rsidRPr="000D74F9">
        <w:t xml:space="preserve"> </w:t>
      </w:r>
      <w:r w:rsidRPr="000D74F9">
        <w:tab/>
        <w:t>4 000 tys. zł – w 2025 r.;</w:t>
      </w:r>
    </w:p>
    <w:p w14:paraId="0D04C444" w14:textId="5D0345E3" w:rsidR="000D74F9" w:rsidRPr="000D74F9" w:rsidRDefault="000D74F9" w:rsidP="00414271">
      <w:pPr>
        <w:pStyle w:val="ZPKTzmpktartykuempunktem"/>
      </w:pPr>
      <w:r>
        <w:t>3</w:t>
      </w:r>
      <w:r w:rsidRPr="000D74F9">
        <w:t xml:space="preserve">) </w:t>
      </w:r>
      <w:r w:rsidRPr="000D74F9">
        <w:tab/>
        <w:t>4 000 tys. zł – w 2026 r.</w:t>
      </w:r>
    </w:p>
    <w:p w14:paraId="0AEA2632" w14:textId="7054C24D" w:rsidR="000D74F9" w:rsidRPr="000D74F9" w:rsidRDefault="000D74F9" w:rsidP="00414271">
      <w:pPr>
        <w:pStyle w:val="ZUSTzmustartykuempunktem"/>
      </w:pPr>
      <w:r>
        <w:t>4.</w:t>
      </w:r>
      <w:r w:rsidRPr="000D74F9">
        <w:t xml:space="preserve"> Nakłady, o których mowa w ust. 1 pkt 3, wyniosą w 2023 r. 6 733 tys. zł</w:t>
      </w:r>
      <w:r w:rsidR="00766A62">
        <w:t>.</w:t>
      </w:r>
      <w:r w:rsidRPr="000D74F9">
        <w:t>”;</w:t>
      </w:r>
    </w:p>
    <w:p w14:paraId="53C7F633" w14:textId="77777777" w:rsidR="000D74F9" w:rsidRPr="000D74F9" w:rsidRDefault="000D74F9" w:rsidP="00414271">
      <w:pPr>
        <w:pStyle w:val="PKTpunkt"/>
      </w:pPr>
      <w:r w:rsidRPr="000D74F9">
        <w:t>3)</w:t>
      </w:r>
      <w:r w:rsidRPr="000D74F9">
        <w:tab/>
        <w:t>załącznik do uchwały otrzymuje brzmienie określone w załączniku do niniejszej uchwały.</w:t>
      </w:r>
    </w:p>
    <w:p w14:paraId="393CD88C" w14:textId="653FE9CE" w:rsidR="000D74F9" w:rsidRPr="00A86E7B" w:rsidRDefault="000D74F9" w:rsidP="00A86E7B">
      <w:pPr>
        <w:pStyle w:val="ARTartustawynprozporzdzenia"/>
      </w:pPr>
      <w:r w:rsidRPr="00414271">
        <w:rPr>
          <w:rStyle w:val="Ppogrubienie"/>
        </w:rPr>
        <w:t>§</w:t>
      </w:r>
      <w:r w:rsidR="00873600" w:rsidRPr="00414271">
        <w:rPr>
          <w:rStyle w:val="Ppogrubienie"/>
        </w:rPr>
        <w:t xml:space="preserve"> </w:t>
      </w:r>
      <w:r w:rsidRPr="00414271">
        <w:rPr>
          <w:rStyle w:val="Ppogrubienie"/>
        </w:rPr>
        <w:t>2.</w:t>
      </w:r>
      <w:r w:rsidRPr="00A86E7B">
        <w:t xml:space="preserve"> Uchwała wchodzi w życie z dniem podjęcia. </w:t>
      </w:r>
    </w:p>
    <w:p w14:paraId="6E4C3A6A" w14:textId="77777777" w:rsidR="000D74F9" w:rsidRPr="000D74F9" w:rsidRDefault="000D74F9" w:rsidP="000D74F9"/>
    <w:p w14:paraId="24FF725B" w14:textId="77777777" w:rsidR="00A35EDA" w:rsidRPr="00A35EDA" w:rsidRDefault="00A35EDA" w:rsidP="00EC36B8">
      <w:pPr>
        <w:widowControl w:val="0"/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eastAsia="Times New Roman" w:hAnsi="Times New Roman" w:cs="Arial"/>
          <w:b/>
          <w:kern w:val="0"/>
          <w:sz w:val="24"/>
          <w:szCs w:val="20"/>
          <w:lang w:eastAsia="pl-PL"/>
          <w14:ligatures w14:val="none"/>
        </w:rPr>
      </w:pPr>
      <w:r w:rsidRPr="00A35EDA">
        <w:rPr>
          <w:rFonts w:ascii="Times New Roman" w:eastAsia="Times New Roman" w:hAnsi="Times New Roman" w:cs="Arial"/>
          <w:b/>
          <w:kern w:val="0"/>
          <w:sz w:val="24"/>
          <w:szCs w:val="20"/>
          <w:lang w:eastAsia="pl-PL"/>
          <w14:ligatures w14:val="none"/>
        </w:rPr>
        <w:t>PREZES RADY MINISTRÓW</w:t>
      </w:r>
    </w:p>
    <w:p w14:paraId="61CCFF3E" w14:textId="77777777" w:rsidR="000D74F9" w:rsidRPr="000D74F9" w:rsidRDefault="000D74F9" w:rsidP="000D74F9"/>
    <w:p w14:paraId="139A6DF0" w14:textId="77777777" w:rsidR="00B9647B" w:rsidRPr="00B9647B" w:rsidRDefault="000D74F9" w:rsidP="00044C31">
      <w:pPr>
        <w:widowControl w:val="0"/>
        <w:tabs>
          <w:tab w:val="left" w:pos="1560"/>
        </w:tabs>
        <w:spacing w:after="120" w:line="240" w:lineRule="auto"/>
        <w:jc w:val="center"/>
      </w:pPr>
      <w:r w:rsidRPr="000D74F9">
        <w:br w:type="page"/>
      </w:r>
      <w:r w:rsidR="00B9647B" w:rsidRPr="00044C31">
        <w:rPr>
          <w:rFonts w:ascii="Times New Roman" w:eastAsia="Arial" w:hAnsi="Times New Roman" w:cs="Times New Roman"/>
          <w:b/>
          <w:kern w:val="0"/>
          <w:sz w:val="24"/>
          <w:szCs w:val="24"/>
          <w14:ligatures w14:val="none"/>
        </w:rPr>
        <w:lastRenderedPageBreak/>
        <w:t>UZASADNIENIE</w:t>
      </w:r>
    </w:p>
    <w:p w14:paraId="26783953" w14:textId="77777777" w:rsidR="00B9647B" w:rsidRPr="00B9647B" w:rsidRDefault="00B9647B" w:rsidP="00B9647B"/>
    <w:p w14:paraId="6D3BF446" w14:textId="77777777" w:rsidR="00B9647B" w:rsidRPr="00B9647B" w:rsidRDefault="00B9647B" w:rsidP="00493E42">
      <w:pPr>
        <w:pStyle w:val="ARTartustawynprozporzdzenia"/>
        <w:rPr>
          <w:rFonts w:eastAsia="Arial"/>
        </w:rPr>
      </w:pPr>
      <w:r w:rsidRPr="00B9647B">
        <w:rPr>
          <w:rFonts w:eastAsia="Arial"/>
        </w:rPr>
        <w:t xml:space="preserve">Celem projektowanej uchwały Rady Ministrów jest zmiana programu wieloletniego pod nazwą </w:t>
      </w:r>
      <w:r w:rsidRPr="005A6BD4">
        <w:rPr>
          <w:rFonts w:eastAsia="Arial"/>
        </w:rPr>
        <w:t xml:space="preserve">„Wieloletni Plan Inwestycyjny – budowa, przebudowa, modernizacja infrastruktury </w:t>
      </w:r>
      <w:bookmarkStart w:id="0" w:name="_Hlk178596157"/>
      <w:r w:rsidRPr="005A6BD4">
        <w:rPr>
          <w:rFonts w:eastAsia="Arial"/>
        </w:rPr>
        <w:t xml:space="preserve">Narodowego Instytutu Kardiologii Stefana Kardynała Wyszyńskiego ‒ Państwowego Instytutu Badawczego </w:t>
      </w:r>
      <w:bookmarkEnd w:id="0"/>
      <w:r w:rsidRPr="005A6BD4">
        <w:rPr>
          <w:rFonts w:eastAsia="Arial"/>
        </w:rPr>
        <w:t>w celu zwiększenia dostępności i jakości wysokospecjalistycznych świadczeń zdrowotnych dla pacjentów z chorobami układu sercowo-naczyniowego</w:t>
      </w:r>
      <w:r w:rsidRPr="00B9647B">
        <w:rPr>
          <w:rFonts w:eastAsia="Arial"/>
        </w:rPr>
        <w:t xml:space="preserve">”, zwanego dalej „Programem”, związana z koniecznością: </w:t>
      </w:r>
    </w:p>
    <w:p w14:paraId="30171A71" w14:textId="619D0DF3" w:rsidR="00B9647B" w:rsidRPr="00B9647B" w:rsidRDefault="003A20A4" w:rsidP="00D529C1">
      <w:pPr>
        <w:pStyle w:val="PKTpunkt"/>
        <w:rPr>
          <w:rFonts w:eastAsia="Arial"/>
          <w:noProof/>
        </w:rPr>
      </w:pPr>
      <w:r>
        <w:t>1</w:t>
      </w:r>
      <w:r w:rsidR="004137CE">
        <w:t>)</w:t>
      </w:r>
      <w:r w:rsidR="004137CE">
        <w:tab/>
      </w:r>
      <w:r w:rsidR="00B9647B" w:rsidRPr="00B9647B">
        <w:rPr>
          <w:rFonts w:eastAsia="Arial"/>
          <w:noProof/>
        </w:rPr>
        <w:t>aktualizacji finansowania ze środków budżetu państwa (bez zmiany łącznej wysokości dofinansowania zadania 289 500 tys. zł) w:</w:t>
      </w:r>
    </w:p>
    <w:p w14:paraId="015E2205" w14:textId="715D4B47" w:rsidR="00B9647B" w:rsidRPr="00D529C1" w:rsidRDefault="003A20A4" w:rsidP="00D529C1">
      <w:pPr>
        <w:pStyle w:val="LITlitera"/>
      </w:pPr>
      <w:r w:rsidRPr="00D529C1">
        <w:t>a)</w:t>
      </w:r>
      <w:r w:rsidR="00493E42">
        <w:tab/>
      </w:r>
      <w:r w:rsidR="00B9647B" w:rsidRPr="00D529C1">
        <w:t>2021 r. – 25 234 tys. zł (bez zmian),</w:t>
      </w:r>
    </w:p>
    <w:p w14:paraId="134BB970" w14:textId="4C55257D" w:rsidR="00B9647B" w:rsidRPr="00D529C1" w:rsidRDefault="00D529C1" w:rsidP="00D529C1">
      <w:pPr>
        <w:pStyle w:val="LITlitera"/>
      </w:pPr>
      <w:r w:rsidRPr="00D529C1">
        <w:t>b)</w:t>
      </w:r>
      <w:r w:rsidR="00493E42">
        <w:tab/>
      </w:r>
      <w:r w:rsidR="00B9647B" w:rsidRPr="00D529C1">
        <w:t>2022 r. – 23 264 tys. zł (bez zmian),</w:t>
      </w:r>
    </w:p>
    <w:p w14:paraId="5B15CA30" w14:textId="0A65C79C" w:rsidR="00B9647B" w:rsidRPr="00D529C1" w:rsidRDefault="00D529C1" w:rsidP="00D529C1">
      <w:pPr>
        <w:pStyle w:val="LITlitera"/>
      </w:pPr>
      <w:r w:rsidRPr="00D529C1">
        <w:t>c)</w:t>
      </w:r>
      <w:r w:rsidR="00493E42">
        <w:tab/>
      </w:r>
      <w:r w:rsidR="00B9647B" w:rsidRPr="00D529C1">
        <w:t>2023 r. – 64 921 tys. zł (aktualnie 73 303 tys. zł – zmniejszenie o 8 382 tys. zł),</w:t>
      </w:r>
    </w:p>
    <w:p w14:paraId="6DFA8A3C" w14:textId="1819D091" w:rsidR="00B9647B" w:rsidRPr="00D529C1" w:rsidRDefault="00D529C1" w:rsidP="00D529C1">
      <w:pPr>
        <w:pStyle w:val="LITlitera"/>
      </w:pPr>
      <w:r w:rsidRPr="00D529C1">
        <w:t>d)</w:t>
      </w:r>
      <w:r w:rsidR="00493E42">
        <w:tab/>
      </w:r>
      <w:r w:rsidR="00B9647B" w:rsidRPr="00D529C1">
        <w:t>2024 r. – 47 000 tys. zł (aktualnie 104 493 tys. zł – zmniejszenie o 57 493 tys. zł),</w:t>
      </w:r>
    </w:p>
    <w:p w14:paraId="3F960C71" w14:textId="3FD95787" w:rsidR="00B9647B" w:rsidRPr="00D529C1" w:rsidRDefault="00D529C1" w:rsidP="00D529C1">
      <w:pPr>
        <w:pStyle w:val="LITlitera"/>
      </w:pPr>
      <w:r w:rsidRPr="00D529C1">
        <w:t>e)</w:t>
      </w:r>
      <w:r w:rsidR="00493E42">
        <w:tab/>
      </w:r>
      <w:r w:rsidR="00B9647B" w:rsidRPr="00D529C1">
        <w:t>2025 r. – 57 000 tys. zł (aktualnie 63 206 tys. zł – zmniejszenie o 6 206 tys. zł),</w:t>
      </w:r>
    </w:p>
    <w:p w14:paraId="7A683393" w14:textId="5DDA907B" w:rsidR="00B9647B" w:rsidRPr="00D529C1" w:rsidRDefault="00D529C1" w:rsidP="00D529C1">
      <w:pPr>
        <w:pStyle w:val="LITlitera"/>
      </w:pPr>
      <w:r w:rsidRPr="00D529C1">
        <w:t>f)</w:t>
      </w:r>
      <w:r w:rsidR="00493E42">
        <w:tab/>
      </w:r>
      <w:r w:rsidR="00B9647B" w:rsidRPr="00D529C1">
        <w:t>2026 r. – 72 081 tys. zł (aktualnie bez finansowania – zwiększenie o 72 081 tys. zł);</w:t>
      </w:r>
    </w:p>
    <w:p w14:paraId="0A8F7728" w14:textId="24E5A6E9" w:rsidR="00B9647B" w:rsidRPr="00B9647B" w:rsidRDefault="00D529C1" w:rsidP="00D529C1">
      <w:pPr>
        <w:pStyle w:val="PKTpunkt"/>
        <w:rPr>
          <w:rFonts w:eastAsia="Arial"/>
          <w:noProof/>
        </w:rPr>
      </w:pPr>
      <w:r>
        <w:t>2</w:t>
      </w:r>
      <w:r w:rsidR="004137CE">
        <w:t>)</w:t>
      </w:r>
      <w:r w:rsidR="004137CE">
        <w:tab/>
      </w:r>
      <w:r w:rsidR="00B9647B" w:rsidRPr="00B9647B">
        <w:rPr>
          <w:rFonts w:eastAsia="Arial"/>
          <w:noProof/>
        </w:rPr>
        <w:t>aktualizacji finansowania ze środków własnych Instytutu (bez zmiany łącznej wysokości, tj.</w:t>
      </w:r>
      <w:r w:rsidR="00493E42">
        <w:t xml:space="preserve"> </w:t>
      </w:r>
      <w:r w:rsidR="00B9647B" w:rsidRPr="00B9647B">
        <w:rPr>
          <w:rFonts w:eastAsia="Arial"/>
          <w:noProof/>
        </w:rPr>
        <w:t>9 000 tys. zł) w:</w:t>
      </w:r>
    </w:p>
    <w:p w14:paraId="3CDAEA9C" w14:textId="6E7DA717" w:rsidR="00B9647B" w:rsidRPr="00B9647B" w:rsidRDefault="00D529C1" w:rsidP="00D529C1">
      <w:pPr>
        <w:pStyle w:val="LITlitera"/>
        <w:rPr>
          <w:rFonts w:eastAsia="Arial"/>
          <w:noProof/>
        </w:rPr>
      </w:pPr>
      <w:r>
        <w:t>a)</w:t>
      </w:r>
      <w:r w:rsidR="00493E42">
        <w:tab/>
      </w:r>
      <w:r w:rsidR="00B9647B" w:rsidRPr="00B9647B">
        <w:rPr>
          <w:rFonts w:eastAsia="Arial"/>
          <w:noProof/>
        </w:rPr>
        <w:t xml:space="preserve">2021 r. – 0 zł (bez zmian), </w:t>
      </w:r>
    </w:p>
    <w:p w14:paraId="35673B8A" w14:textId="7C8544F1" w:rsidR="00B9647B" w:rsidRPr="00B9647B" w:rsidRDefault="00D529C1" w:rsidP="00D529C1">
      <w:pPr>
        <w:pStyle w:val="LITlitera"/>
        <w:rPr>
          <w:rFonts w:eastAsia="Arial"/>
          <w:noProof/>
        </w:rPr>
      </w:pPr>
      <w:r>
        <w:t>b)</w:t>
      </w:r>
      <w:r w:rsidR="00493E42">
        <w:tab/>
      </w:r>
      <w:r w:rsidR="00B9647B" w:rsidRPr="00B9647B">
        <w:rPr>
          <w:rFonts w:eastAsia="Arial"/>
          <w:noProof/>
        </w:rPr>
        <w:t>2022 r. – 1 000 tys. zł (bez zmian),</w:t>
      </w:r>
    </w:p>
    <w:p w14:paraId="5463E0F1" w14:textId="2759EB24" w:rsidR="00B9647B" w:rsidRPr="00B9647B" w:rsidRDefault="00D529C1" w:rsidP="00D529C1">
      <w:pPr>
        <w:pStyle w:val="LITlitera"/>
        <w:rPr>
          <w:rFonts w:eastAsia="Arial"/>
          <w:noProof/>
        </w:rPr>
      </w:pPr>
      <w:r>
        <w:t>c)</w:t>
      </w:r>
      <w:r w:rsidR="00493E42">
        <w:tab/>
      </w:r>
      <w:r w:rsidR="00B9647B" w:rsidRPr="00B9647B">
        <w:rPr>
          <w:rFonts w:eastAsia="Arial"/>
          <w:noProof/>
        </w:rPr>
        <w:t xml:space="preserve">2023 r. – 0 zł (bez zmian), </w:t>
      </w:r>
    </w:p>
    <w:p w14:paraId="16B96627" w14:textId="3DEFEDAA" w:rsidR="00B9647B" w:rsidRPr="00B9647B" w:rsidRDefault="00D529C1" w:rsidP="00D529C1">
      <w:pPr>
        <w:pStyle w:val="LITlitera"/>
        <w:rPr>
          <w:rFonts w:eastAsia="Arial"/>
          <w:noProof/>
        </w:rPr>
      </w:pPr>
      <w:r>
        <w:t>d)</w:t>
      </w:r>
      <w:r w:rsidR="00493E42">
        <w:tab/>
      </w:r>
      <w:r w:rsidR="00B9647B" w:rsidRPr="00B9647B">
        <w:rPr>
          <w:rFonts w:eastAsia="Arial"/>
          <w:noProof/>
        </w:rPr>
        <w:t>2024 r. – 0 zł (aktualnie 8 000 tys. zł),</w:t>
      </w:r>
    </w:p>
    <w:p w14:paraId="6190AF85" w14:textId="3BEA7BB7" w:rsidR="00B9647B" w:rsidRPr="00B9647B" w:rsidRDefault="00D529C1" w:rsidP="00D529C1">
      <w:pPr>
        <w:pStyle w:val="LITlitera"/>
        <w:rPr>
          <w:rFonts w:eastAsia="Arial"/>
          <w:noProof/>
        </w:rPr>
      </w:pPr>
      <w:r>
        <w:t>e)</w:t>
      </w:r>
      <w:r w:rsidR="00493E42">
        <w:tab/>
      </w:r>
      <w:r w:rsidR="00B9647B" w:rsidRPr="00B9647B">
        <w:rPr>
          <w:rFonts w:eastAsia="Arial"/>
          <w:noProof/>
        </w:rPr>
        <w:t>2025 r. – 4 000 tys. zł (aktualnie bez finansowania – zwiększenie o 4 000 tys. zł),</w:t>
      </w:r>
    </w:p>
    <w:p w14:paraId="06AA7ADB" w14:textId="5FC03FB1" w:rsidR="00B9647B" w:rsidRPr="00B9647B" w:rsidRDefault="00D529C1" w:rsidP="00D529C1">
      <w:pPr>
        <w:pStyle w:val="LITlitera"/>
        <w:rPr>
          <w:rFonts w:eastAsia="Arial"/>
          <w:noProof/>
        </w:rPr>
      </w:pPr>
      <w:r>
        <w:t>f)</w:t>
      </w:r>
      <w:r w:rsidR="00493E42">
        <w:tab/>
      </w:r>
      <w:r w:rsidR="00B9647B" w:rsidRPr="00B9647B">
        <w:rPr>
          <w:rFonts w:eastAsia="Arial"/>
          <w:noProof/>
        </w:rPr>
        <w:t>2026 r. – 4 000 tys. zł (aktualnie bez finansowania – zwiększenie o 4 000 tys. zł);</w:t>
      </w:r>
    </w:p>
    <w:p w14:paraId="5537C87F" w14:textId="166A3466" w:rsidR="00B9647B" w:rsidRPr="00B9647B" w:rsidRDefault="00D529C1" w:rsidP="00D529C1">
      <w:pPr>
        <w:pStyle w:val="PKTpunkt"/>
        <w:rPr>
          <w:rFonts w:eastAsia="Arial"/>
          <w:noProof/>
        </w:rPr>
      </w:pPr>
      <w:r>
        <w:t>3</w:t>
      </w:r>
      <w:r w:rsidR="004137CE">
        <w:t>)</w:t>
      </w:r>
      <w:r w:rsidR="004137CE">
        <w:tab/>
      </w:r>
      <w:r w:rsidR="00B9647B" w:rsidRPr="00B9647B">
        <w:rPr>
          <w:rFonts w:eastAsia="Arial"/>
          <w:noProof/>
        </w:rPr>
        <w:t xml:space="preserve">aktualizacji źródeł finansowania przez dodanie nowego źródła w postaci środków Unii Europejskiej – Program Operacyjny Infrastruktura i Środowisko 2014–2020 Oś priorytetowa I Poddziałanie 1.3.1, zwanych dalej: „środkami POIŚ”, w kwocie 6 733 tys. zł na rok 2023. Przedstawione zmiany (dodanie źródła finansowania) wpływają na zwiększenie łącznej wartości kosztorysowej Programu z 298 500 tys. zł do 305 233 tys. zł., tj. o 6 733 tys. zł – ze środków POIŚ; </w:t>
      </w:r>
    </w:p>
    <w:p w14:paraId="58139F08" w14:textId="0368FB0F" w:rsidR="00B9647B" w:rsidRPr="00B9647B" w:rsidRDefault="005A366A" w:rsidP="005A366A">
      <w:pPr>
        <w:pStyle w:val="PKTpunkt"/>
        <w:rPr>
          <w:rFonts w:eastAsia="Arial"/>
          <w:noProof/>
          <w:lang w:eastAsia="en-US"/>
        </w:rPr>
      </w:pPr>
      <w:r>
        <w:t>4</w:t>
      </w:r>
      <w:r w:rsidR="004137CE">
        <w:t>)</w:t>
      </w:r>
      <w:r w:rsidR="004137CE">
        <w:tab/>
      </w:r>
      <w:r w:rsidR="00B9647B" w:rsidRPr="00B9647B">
        <w:rPr>
          <w:rFonts w:eastAsia="Arial"/>
          <w:noProof/>
        </w:rPr>
        <w:t>wydłużenia okresu realizacji inwestycji z lat 2021–2025 na lata 2021–2026.</w:t>
      </w:r>
    </w:p>
    <w:p w14:paraId="03C8C928" w14:textId="02BCC094" w:rsidR="00B9647B" w:rsidRPr="00B9647B" w:rsidRDefault="00B9647B" w:rsidP="00493E42">
      <w:pPr>
        <w:pStyle w:val="ARTartustawynprozporzdzenia"/>
        <w:rPr>
          <w:rFonts w:eastAsia="Calibri"/>
        </w:rPr>
      </w:pPr>
      <w:r w:rsidRPr="00B9647B">
        <w:rPr>
          <w:rFonts w:eastAsia="Calibri"/>
        </w:rPr>
        <w:t xml:space="preserve">Projektowane zmiany finansowania z budżetu państwa wynikają z niewydatkowania w pełni środków w latach 2023–2024 oraz konieczności obniżenia zaplanowanej </w:t>
      </w:r>
      <w:r w:rsidR="00AF3313" w:rsidRPr="00AF3313">
        <w:t xml:space="preserve">uchwałą nr </w:t>
      </w:r>
      <w:r w:rsidR="00AF3313" w:rsidRPr="00AF3313">
        <w:lastRenderedPageBreak/>
        <w:t xml:space="preserve">49/2020 Rady Ministrów z dnia 24 kwietnia 2020 r. w sprawie ustanowienia programu wieloletniego pod nazwą „Wieloletni Plan Inwestycyjny – budowa, przebudowa, modernizacja infrastruktury Narodowego Instytutu Kardiologii Stefana Kardynała Wyszyńskiego – Państwowego Instytutu Badawczego w celu zwiększenia dostępności i jakości wysokospecjalistycznych świadczeń zdrowotnych dla pacjentów z chorobami układu sercowo-naczyniowego” (zmienionej uchwałą nr 267/2022 Rady Ministrów z dnia 28 grudnia 2022 r.) </w:t>
      </w:r>
      <w:r w:rsidRPr="00B9647B">
        <w:rPr>
          <w:rFonts w:eastAsia="Calibri"/>
        </w:rPr>
        <w:t>kwoty na 2025 r., co wiąże się również z koniecznością wydłużenia zadania o 1 rok, tj.</w:t>
      </w:r>
      <w:r w:rsidR="00FF4DB9">
        <w:t xml:space="preserve"> </w:t>
      </w:r>
      <w:r w:rsidRPr="00B9647B">
        <w:rPr>
          <w:rFonts w:eastAsia="Calibri"/>
        </w:rPr>
        <w:t>do 2026 r. i uwzględnienia niewydatkowanych środków w ostatnim roku realizacji Programu – bez zmiany wysokości zaplanowanego łącznego dofinansowania zadania z budżetu państwa.</w:t>
      </w:r>
    </w:p>
    <w:p w14:paraId="48D9AF70" w14:textId="77777777" w:rsidR="00B9647B" w:rsidRPr="00B9647B" w:rsidRDefault="00B9647B" w:rsidP="00493E42">
      <w:pPr>
        <w:pStyle w:val="ARTartustawynprozporzdzenia"/>
        <w:rPr>
          <w:rFonts w:eastAsia="Calibri"/>
        </w:rPr>
      </w:pPr>
      <w:r w:rsidRPr="00B9647B">
        <w:rPr>
          <w:rFonts w:eastAsia="Calibri"/>
        </w:rPr>
        <w:t>Przyczyną niewydatkowania środków było czasowe wstrzymanie prac przy realizacji dwóch zadań Programu, spowodowane długim procesem uzgodnień i pozyskania wymaganych dokumentów związanych z przebudową sieci średniego napięcia oraz wydłużającą się procedurą uzyskania decyzji i pozwoleń na budowę.</w:t>
      </w:r>
    </w:p>
    <w:p w14:paraId="622C4675" w14:textId="77777777" w:rsidR="00B9647B" w:rsidRPr="00B9647B" w:rsidRDefault="00B9647B" w:rsidP="00493E42">
      <w:pPr>
        <w:pStyle w:val="ARTartustawynprozporzdzenia"/>
        <w:rPr>
          <w:rFonts w:eastAsia="Calibri"/>
        </w:rPr>
      </w:pPr>
      <w:r w:rsidRPr="00B9647B">
        <w:rPr>
          <w:rFonts w:eastAsia="Calibri"/>
        </w:rPr>
        <w:t>Kluczowym powodem, który znacząco wpłynął na brak możliwości realizacji Programu zgodnie z planowanym harmonogramem i przyczynił się do niewydatkowania środków, była konieczność przebudowy sieci średniego napięcia, będącej własnością STOEN Operator Sp. z o.o., zwanego dalej: „STOEN”, która kolidowała z zakresem rzeczowym inwestycji. Przed rozpoczęciem prac dotyczących zadania: Budowa Centrum Kardiologii Ambulatoryjnej, zwanego dalej „CKA”, niezbędna była wymiana podziemnego przewodu energetycznego będącego kluczowym elementem infrastruktury energetycznej Narodowego Instytutu Kardiologii Stefana Kardynała Wyszyńskiego – Państwowego Instytutu Badawczego, zwanego dalej „Instytutem”, znajdującego się w obszarze, który zostanie zagospodarowany w ramach inwestycji.</w:t>
      </w:r>
    </w:p>
    <w:p w14:paraId="5797F07C" w14:textId="77777777" w:rsidR="00B9647B" w:rsidRPr="00B9647B" w:rsidRDefault="00B9647B" w:rsidP="00493E42">
      <w:pPr>
        <w:pStyle w:val="ARTartustawynprozporzdzenia"/>
        <w:rPr>
          <w:rFonts w:eastAsia="Calibri"/>
        </w:rPr>
      </w:pPr>
      <w:r w:rsidRPr="00B9647B">
        <w:rPr>
          <w:rFonts w:eastAsia="Calibri"/>
        </w:rPr>
        <w:t xml:space="preserve">Obecny przewód został zainstalowany kilkadziesiąt lat temu i jego wiek znacznie przekracza standardowy okres eksploatacji co powoduje wzrost ryzyka awarii oraz może prowadzić do poważnych zakłóceń w dostawie energii elektrycznej. Przewód znajduje się w obszarze, który wkrótce zostanie zagospodarowany w ramach nowej inwestycji – obiektu (CKA), dlatego niezbędna była jego wymiana przed rozpoczęciem dalszych prac budowlanych. </w:t>
      </w:r>
    </w:p>
    <w:p w14:paraId="7AF1BA28" w14:textId="77777777" w:rsidR="00B9647B" w:rsidRPr="00B9647B" w:rsidRDefault="00B9647B" w:rsidP="00493E42">
      <w:pPr>
        <w:pStyle w:val="ARTartustawynprozporzdzenia"/>
        <w:rPr>
          <w:rFonts w:eastAsia="Calibri"/>
        </w:rPr>
      </w:pPr>
      <w:r w:rsidRPr="00B9647B">
        <w:rPr>
          <w:rFonts w:eastAsia="Calibri"/>
        </w:rPr>
        <w:t xml:space="preserve">Na etapie planowania zadania przewidywano prace związane z przebudową infrastruktury energetycznej, jednakże proces uzyskiwania niezbędnych zgód, decyzji i uzgodnień ze STOEN nieprzewidywalnie się wydłużył. Instytut był zobowiązany podpisać umowę na usunięcie kolizji oraz ustanowić notarialnie służebność przesyłu na rzecz STOEN na terenie, na którym </w:t>
      </w:r>
      <w:r w:rsidRPr="00B9647B">
        <w:rPr>
          <w:rFonts w:eastAsia="Calibri"/>
        </w:rPr>
        <w:lastRenderedPageBreak/>
        <w:t>będą ułożone nowe przewody, co wymagało zaopiniowania przez Prokuratorię Generalną Rzeczypospolitej Polskiej. Wszystkie te procedury były czasochłonne, tym samym wstrzymując realizację Programu.</w:t>
      </w:r>
    </w:p>
    <w:p w14:paraId="267F8D10" w14:textId="77777777" w:rsidR="00B9647B" w:rsidRPr="00B9647B" w:rsidRDefault="00B9647B" w:rsidP="00493E42">
      <w:pPr>
        <w:pStyle w:val="ARTartustawynprozporzdzenia"/>
        <w:rPr>
          <w:rFonts w:eastAsia="Calibri"/>
        </w:rPr>
      </w:pPr>
      <w:r w:rsidRPr="00B9647B">
        <w:rPr>
          <w:rFonts w:eastAsia="Calibri"/>
        </w:rPr>
        <w:t>Kolejnym powodem mającym wpływ na opóźnienie realizacji i niewydatkowanie środków w założonym terminie była konieczność czasowego wstrzymania budowy parkingu wielopoziomowego będącego jednym z zadań Programu – do czasu wydania decyzji przez Wojewodę Mazowieckiego w sprawie protestu złożonego przez mieszkańców dzielnicy. Zadanie zostało wznowione po uzyskaniu prawomocnej decyzji – pozwolenia na budowę w drugiej połowie 2023 r.</w:t>
      </w:r>
    </w:p>
    <w:p w14:paraId="06537476" w14:textId="77777777" w:rsidR="00B9647B" w:rsidRPr="00B9647B" w:rsidRDefault="00B9647B" w:rsidP="00493E42">
      <w:pPr>
        <w:pStyle w:val="ARTartustawynprozporzdzenia"/>
        <w:rPr>
          <w:rFonts w:eastAsia="Calibri"/>
        </w:rPr>
      </w:pPr>
      <w:r w:rsidRPr="00B9647B">
        <w:rPr>
          <w:rFonts w:eastAsia="Calibri"/>
        </w:rPr>
        <w:t>Z uwagi na powyższe okoliczności, realizacja Programu została znacznie spowolniona. Pierwotnie planowane do wydatkowania kwoty z budżetu państwa oraz środków własnych nie mogły zostać zrealizowane, co było spowodowane brakiem możliwości technicznych kontynuowania prac budowlanych.</w:t>
      </w:r>
    </w:p>
    <w:p w14:paraId="4AA77795" w14:textId="77777777" w:rsidR="00B9647B" w:rsidRPr="00B9647B" w:rsidRDefault="00B9647B" w:rsidP="00493E42">
      <w:pPr>
        <w:pStyle w:val="ARTartustawynprozporzdzenia"/>
        <w:rPr>
          <w:rFonts w:eastAsia="Calibri"/>
        </w:rPr>
      </w:pPr>
      <w:r w:rsidRPr="00B9647B">
        <w:rPr>
          <w:rFonts w:eastAsia="Calibri"/>
        </w:rPr>
        <w:t>W związku z powyższym, dla zrealizowania zaplanowanego w Programie zakresu konieczne stało się również wydłużenie realizacji zadania o rok, tj. do 2026 r., i uwzględnienia w nim niewydatkowanych w latach 2023–2025 środków.</w:t>
      </w:r>
    </w:p>
    <w:p w14:paraId="15A3691F" w14:textId="77777777" w:rsidR="00B9647B" w:rsidRPr="00B9647B" w:rsidRDefault="00B9647B" w:rsidP="00493E42">
      <w:pPr>
        <w:pStyle w:val="ARTartustawynprozporzdzenia"/>
        <w:rPr>
          <w:rFonts w:eastAsia="Calibri"/>
        </w:rPr>
      </w:pPr>
      <w:r w:rsidRPr="00B9647B">
        <w:rPr>
          <w:rFonts w:eastAsia="Calibri"/>
        </w:rPr>
        <w:t xml:space="preserve">Co więcej, w związku z pozyskaniem przez Inwestora dodatkowego źródła finansowania z Programu Operacyjnego Infrastruktura i Środowisko 2014–2020, Priorytet I Zmniejszenie emisyjności gospodarki, Działanie 1.3 Wspieranie efektywności energetycznej w budynkach, Poddziałanie 1.3.1 Wspieranie efektywności energetycznej w budynkach użyteczności publicznej (POIŚ) w wysokości 6 733 tys. zł, środki te zostaną uwzględnione w montażu finansowym zadania, zwiększając tym samym wartość kosztorysową Programu z 298 500 tys. zł do 305 233 tys. zł, bez obniżania środków dotacji budżetu państwa. </w:t>
      </w:r>
    </w:p>
    <w:p w14:paraId="39048382" w14:textId="77777777" w:rsidR="00B9647B" w:rsidRPr="00B9647B" w:rsidRDefault="00B9647B" w:rsidP="00493E42">
      <w:pPr>
        <w:pStyle w:val="ARTartustawynprozporzdzenia"/>
        <w:rPr>
          <w:rFonts w:eastAsia="Calibri"/>
        </w:rPr>
      </w:pPr>
      <w:r w:rsidRPr="00B9647B">
        <w:rPr>
          <w:rFonts w:eastAsia="Calibri"/>
        </w:rPr>
        <w:t>W ramach przyznanych środków POIŚ zaplanowano przeprowadzenie prac związanych z termomodernizacją budynku Instytutu. Zakres obejmował wymianę dachu oraz elewacji i okien budynków, modernizację systemów elektroenergetycznych, instalacji wentylacyjnych, wodno-kanalizacyjnych oraz systemów sterowania i monitoringu, wymianę grzejników oraz instalacji c.o., wymianę oświetlenia na energooszczędne LED, modernizację instalacji klimatyzacji i central wentylacyjnych oraz modernizację instalacji elektrycznej w zakresie gniazd wtykowych, zapewniając większe bezpieczeństwo użytkowania i niezawodność zasilania dla kluczowych urządzeń medycznych.</w:t>
      </w:r>
    </w:p>
    <w:p w14:paraId="7D35E35F" w14:textId="77777777" w:rsidR="00B9647B" w:rsidRPr="00B9647B" w:rsidRDefault="00B9647B" w:rsidP="00493E42">
      <w:pPr>
        <w:pStyle w:val="ARTartustawynprozporzdzenia"/>
        <w:rPr>
          <w:rFonts w:eastAsia="Calibri"/>
        </w:rPr>
      </w:pPr>
      <w:bookmarkStart w:id="1" w:name="_Hlk181180461"/>
      <w:r w:rsidRPr="00B9647B">
        <w:rPr>
          <w:rFonts w:eastAsia="Calibri"/>
        </w:rPr>
        <w:lastRenderedPageBreak/>
        <w:t>Pomimo pozyskania dodatkowego źródła finansowania Programu z POIŚ, środki dotacji z budżetu państwa pozostają na niezmienionym poziomie, co jest niezbędne do dalszej realizacji zakładanych celów Programu.</w:t>
      </w:r>
    </w:p>
    <w:p w14:paraId="1760A8DA" w14:textId="6D74254B" w:rsidR="00B9647B" w:rsidRPr="00B9647B" w:rsidRDefault="00B9647B" w:rsidP="00493E42">
      <w:pPr>
        <w:pStyle w:val="ARTartustawynprozporzdzenia"/>
        <w:rPr>
          <w:rFonts w:eastAsia="Calibri"/>
        </w:rPr>
      </w:pPr>
      <w:r w:rsidRPr="00B9647B">
        <w:rPr>
          <w:rFonts w:eastAsia="Calibri"/>
        </w:rPr>
        <w:t>Pierwotne założenia budżetowe Programu zostały opracowane w latach 2019</w:t>
      </w:r>
      <w:r w:rsidR="004137CE">
        <w:t>–</w:t>
      </w:r>
      <w:r w:rsidRPr="00B9647B">
        <w:rPr>
          <w:rFonts w:eastAsia="Calibri"/>
        </w:rPr>
        <w:t xml:space="preserve">2020, kiedy warunki rynkowe były zupełnie inne niż obecnie. W tamtym okresie poziom cen materiałów budowlanych oraz usług nie uwzględniał znaczących zmian gospodarczych, które zaszły w wyniku pandemii COVID-19 oraz innych globalnych kryzysów. W ostatnich latach koszty surowców i materiałów budowlanych, drastycznie wzrosły, co wpłynęło na potrzebę ponownej kalkulacji budżetu uwzględniając również konieczność zawarcia klauzul waloryzacyjnych w umowach z wykonawcami, które uwzględniają zmienność warunków rynkowych. Bez  waloryzacji mogłoby dojść do opóźnień w realizacji inwestycji, co nie tylko zagroziłoby harmonogramowi, ale także mogłoby zwiększyć koszty końcowe projektu. </w:t>
      </w:r>
    </w:p>
    <w:p w14:paraId="723A780D" w14:textId="77777777" w:rsidR="00B9647B" w:rsidRPr="00B9647B" w:rsidRDefault="00B9647B" w:rsidP="00493E42">
      <w:pPr>
        <w:pStyle w:val="ARTartustawynprozporzdzenia"/>
        <w:rPr>
          <w:rFonts w:eastAsia="Calibri"/>
        </w:rPr>
      </w:pPr>
      <w:r w:rsidRPr="00B9647B">
        <w:rPr>
          <w:rFonts w:eastAsia="Calibri"/>
        </w:rPr>
        <w:t>Ponadto, zmiana finansowania w latach oraz opóźnienia w realizacji prac względem założonego harmonogramu powodują zmianę miernika stopnia realizacji Programu w poszczególnych latach realizacji.</w:t>
      </w:r>
    </w:p>
    <w:bookmarkEnd w:id="1"/>
    <w:p w14:paraId="481C8827" w14:textId="77777777" w:rsidR="00B9647B" w:rsidRPr="00B9647B" w:rsidRDefault="00B9647B" w:rsidP="00493E42">
      <w:pPr>
        <w:pStyle w:val="ARTartustawynprozporzdzenia"/>
        <w:rPr>
          <w:rFonts w:eastAsia="Calibri"/>
        </w:rPr>
      </w:pPr>
      <w:r w:rsidRPr="00B9647B">
        <w:rPr>
          <w:rFonts w:eastAsia="Calibri"/>
        </w:rPr>
        <w:t>Powyższe zmiany ujęte zostały w projektowanej uchwale oraz w treści programu wieloletniego stanowiącego załącznik do uchwały.</w:t>
      </w:r>
    </w:p>
    <w:p w14:paraId="09A01CB5" w14:textId="77777777" w:rsidR="00B9647B" w:rsidRPr="00B9647B" w:rsidRDefault="00B9647B" w:rsidP="00493E42">
      <w:pPr>
        <w:pStyle w:val="ARTartustawynprozporzdzenia"/>
        <w:rPr>
          <w:rFonts w:eastAsia="Calibri"/>
        </w:rPr>
      </w:pPr>
      <w:r w:rsidRPr="00B9647B">
        <w:rPr>
          <w:rFonts w:eastAsia="Calibri"/>
        </w:rPr>
        <w:t xml:space="preserve">Projektowane zmiany są niezbędne dla prawidłowej realizacji inwestycji oraz osiągnięcia zamierzonych celów, które dla realizacji Programu zostały określone jako rozwój i doskonalenie systemu opieki zdrowotnej przez: </w:t>
      </w:r>
    </w:p>
    <w:p w14:paraId="5E7A0BBE" w14:textId="392204E5" w:rsidR="00B9647B" w:rsidRPr="00340206" w:rsidRDefault="0004543E" w:rsidP="00340206">
      <w:pPr>
        <w:pStyle w:val="PKTpunkt"/>
      </w:pPr>
      <w:r w:rsidRPr="00340206">
        <w:t xml:space="preserve">1) </w:t>
      </w:r>
      <w:r w:rsidR="006B1259">
        <w:tab/>
      </w:r>
      <w:r w:rsidR="00B9647B" w:rsidRPr="00340206">
        <w:t>zwiększenie dostępności do nowoczesnych form diagnostyki i terapii chorób układu krążenia;</w:t>
      </w:r>
    </w:p>
    <w:p w14:paraId="0B215683" w14:textId="69229ACB" w:rsidR="00B9647B" w:rsidRPr="00340206" w:rsidRDefault="0004543E" w:rsidP="00340206">
      <w:pPr>
        <w:pStyle w:val="PKTpunkt"/>
      </w:pPr>
      <w:r w:rsidRPr="00340206">
        <w:t xml:space="preserve">2) </w:t>
      </w:r>
      <w:r w:rsidR="006B1259">
        <w:tab/>
      </w:r>
      <w:r w:rsidR="00B9647B" w:rsidRPr="00340206">
        <w:t>rozwój i dostosowanie do wymagań przepisów prawa zaplecza diagnostycznego, operacyjnego i pooperacyjnego;</w:t>
      </w:r>
    </w:p>
    <w:p w14:paraId="190094F1" w14:textId="6F995EEB" w:rsidR="00B9647B" w:rsidRPr="00340206" w:rsidRDefault="0004543E" w:rsidP="00340206">
      <w:pPr>
        <w:pStyle w:val="PKTpunkt"/>
      </w:pPr>
      <w:r w:rsidRPr="00340206">
        <w:t xml:space="preserve">3) </w:t>
      </w:r>
      <w:r w:rsidR="006B1259">
        <w:tab/>
      </w:r>
      <w:r w:rsidR="00B9647B" w:rsidRPr="00340206">
        <w:t xml:space="preserve">pełne wykorzystanie nowoczesnej aparatury medycznej i zwiększenie liczby wykonywanych wysokospecjalistycznych procedur; </w:t>
      </w:r>
    </w:p>
    <w:p w14:paraId="465EA19D" w14:textId="5D2286B5" w:rsidR="00B9647B" w:rsidRPr="00340206" w:rsidRDefault="0004543E" w:rsidP="00BB4C4C">
      <w:pPr>
        <w:pStyle w:val="PKTpunkt"/>
      </w:pPr>
      <w:r w:rsidRPr="00340206">
        <w:t>4)</w:t>
      </w:r>
      <w:r w:rsidR="006B1259">
        <w:tab/>
      </w:r>
      <w:r w:rsidR="00B9647B" w:rsidRPr="00BB4C4C">
        <w:t xml:space="preserve">rozwój opieki ambulatoryjnej i rozwój diagnostyki w </w:t>
      </w:r>
      <w:r w:rsidR="004137CE">
        <w:t>CKA</w:t>
      </w:r>
      <w:r w:rsidR="00B9647B" w:rsidRPr="00340206">
        <w:t>;</w:t>
      </w:r>
    </w:p>
    <w:p w14:paraId="376AE97D" w14:textId="27D53369" w:rsidR="00B9647B" w:rsidRPr="00340206" w:rsidRDefault="0004543E" w:rsidP="00340206">
      <w:pPr>
        <w:pStyle w:val="PKTpunkt"/>
      </w:pPr>
      <w:r w:rsidRPr="00340206">
        <w:t xml:space="preserve">5) </w:t>
      </w:r>
      <w:r w:rsidR="006B1259">
        <w:tab/>
      </w:r>
      <w:r w:rsidR="00B9647B" w:rsidRPr="00340206">
        <w:t xml:space="preserve">minimalizację ryzyk zakażeń szpitalnych podnosząc jakość sprzętu i pomieszczeń w jakich przebywają pacjenci; </w:t>
      </w:r>
    </w:p>
    <w:p w14:paraId="1B8C3801" w14:textId="69DB6344" w:rsidR="00B9647B" w:rsidRPr="00340206" w:rsidRDefault="0004543E" w:rsidP="00340206">
      <w:pPr>
        <w:pStyle w:val="PKTpunkt"/>
      </w:pPr>
      <w:r w:rsidRPr="00340206">
        <w:t xml:space="preserve">6) </w:t>
      </w:r>
      <w:r w:rsidR="006B1259">
        <w:tab/>
      </w:r>
      <w:r w:rsidR="00B9647B" w:rsidRPr="00340206">
        <w:t>poprawę warunków działalności naukowo-badawczej.</w:t>
      </w:r>
    </w:p>
    <w:p w14:paraId="6D4D3ECD" w14:textId="77777777" w:rsidR="00B9647B" w:rsidRPr="00DE7518" w:rsidRDefault="00B9647B" w:rsidP="00DE7518">
      <w:pPr>
        <w:pStyle w:val="ARTartustawynprozporzdzenia"/>
        <w:rPr>
          <w:rFonts w:ascii="Times New Roman" w:eastAsiaTheme="minorHAnsi" w:hAnsi="Times New Roman" w:cstheme="minorBidi"/>
          <w:color w:val="000000"/>
          <w:kern w:val="2"/>
          <w:szCs w:val="24"/>
          <w:lang w:eastAsia="en-US"/>
          <w14:ligatures w14:val="standardContextual"/>
        </w:rPr>
      </w:pPr>
      <w:r w:rsidRPr="00DE7518">
        <w:rPr>
          <w:rFonts w:ascii="Times New Roman" w:eastAsiaTheme="minorHAnsi" w:hAnsi="Times New Roman" w:cstheme="minorBidi"/>
          <w:color w:val="000000"/>
          <w:kern w:val="2"/>
          <w:szCs w:val="24"/>
          <w:lang w:eastAsia="en-US"/>
          <w14:ligatures w14:val="standardContextual"/>
        </w:rPr>
        <w:t>Przewiduje się, że uchwała wejdzie w życie z dniem podjęcia.</w:t>
      </w:r>
    </w:p>
    <w:p w14:paraId="476F2067" w14:textId="77777777" w:rsidR="00B9647B" w:rsidRPr="00DE7518" w:rsidRDefault="00B9647B" w:rsidP="00DE7518">
      <w:pPr>
        <w:pStyle w:val="ARTartustawynprozporzdzenia"/>
        <w:rPr>
          <w:rFonts w:ascii="Times New Roman" w:eastAsiaTheme="minorHAnsi" w:hAnsi="Times New Roman" w:cstheme="minorBidi"/>
          <w:color w:val="000000"/>
          <w:kern w:val="2"/>
          <w:szCs w:val="24"/>
          <w:lang w:eastAsia="en-US"/>
          <w14:ligatures w14:val="standardContextual"/>
        </w:rPr>
      </w:pPr>
      <w:r w:rsidRPr="00DE7518">
        <w:rPr>
          <w:rFonts w:ascii="Times New Roman" w:eastAsiaTheme="minorHAnsi" w:hAnsi="Times New Roman" w:cstheme="minorBidi"/>
          <w:color w:val="000000"/>
          <w:kern w:val="2"/>
          <w:szCs w:val="24"/>
          <w:lang w:eastAsia="en-US"/>
          <w14:ligatures w14:val="standardContextual"/>
        </w:rPr>
        <w:lastRenderedPageBreak/>
        <w:t>Projekt uchwały nie będzie miał wpływu na działalność mikro-, małych i średnich przedsiębiorców.</w:t>
      </w:r>
    </w:p>
    <w:p w14:paraId="0D3AF8D8" w14:textId="77777777" w:rsidR="00B9647B" w:rsidRPr="00DE7518" w:rsidRDefault="00B9647B" w:rsidP="00DE7518">
      <w:pPr>
        <w:pStyle w:val="ARTartustawynprozporzdzenia"/>
        <w:rPr>
          <w:rFonts w:ascii="Times New Roman" w:eastAsiaTheme="minorHAnsi" w:hAnsi="Times New Roman" w:cstheme="minorBidi"/>
          <w:color w:val="000000"/>
          <w:kern w:val="2"/>
          <w:szCs w:val="24"/>
          <w:lang w:eastAsia="en-US"/>
          <w14:ligatures w14:val="standardContextual"/>
        </w:rPr>
      </w:pPr>
      <w:r w:rsidRPr="00DE7518">
        <w:rPr>
          <w:rFonts w:ascii="Times New Roman" w:eastAsiaTheme="minorHAnsi" w:hAnsi="Times New Roman" w:cstheme="minorBidi"/>
          <w:color w:val="000000"/>
          <w:kern w:val="2"/>
          <w:szCs w:val="24"/>
          <w:lang w:eastAsia="en-US"/>
          <w14:ligatures w14:val="standardContextual"/>
        </w:rPr>
        <w:t>Projektowana uchwała nie zawiera przepisów technicznych w rozumieniu przepisów rozporządzenia Rady Ministrów z dnia 23 grudnia 2002 r. w sprawie sposobu funkcjonowania krajowego systemu notyfikacji norm i aktów prawnych (Dz. U. poz. 2039 oraz z 2004 r. poz. 597), w związku z czym nie podlega procedurze notyfikacji.</w:t>
      </w:r>
    </w:p>
    <w:p w14:paraId="2A693FC0" w14:textId="77777777" w:rsidR="00B9647B" w:rsidRPr="00DE7518" w:rsidRDefault="00B9647B" w:rsidP="00DE7518">
      <w:pPr>
        <w:pStyle w:val="ARTartustawynprozporzdzenia"/>
        <w:rPr>
          <w:rFonts w:ascii="Times New Roman" w:eastAsiaTheme="minorHAnsi" w:hAnsi="Times New Roman" w:cstheme="minorBidi"/>
          <w:color w:val="000000"/>
          <w:kern w:val="2"/>
          <w:szCs w:val="24"/>
          <w:lang w:eastAsia="en-US"/>
          <w14:ligatures w14:val="standardContextual"/>
        </w:rPr>
      </w:pPr>
      <w:r w:rsidRPr="00DE7518">
        <w:rPr>
          <w:rFonts w:ascii="Times New Roman" w:eastAsiaTheme="minorHAnsi" w:hAnsi="Times New Roman" w:cstheme="minorBidi"/>
          <w:color w:val="000000"/>
          <w:kern w:val="2"/>
          <w:szCs w:val="24"/>
          <w:lang w:eastAsia="en-US"/>
          <w14:ligatures w14:val="standardContextual"/>
        </w:rPr>
        <w:t xml:space="preserve">Projekt uchwały nie zawiera wymogów nakładanych na usługodawców podlegających notyfikacji, o której mowa w art. 15 ust. 7 i art. 39 ust. 5 dyrektywy 2006/123/WE Parlamentu Europejskiego i Rady z dnia 12 grudnia 2006 r. dotyczącej usług na rynku wewnętrznym (Dz. Urz. UE L 376 z 27.12.2006, str. 36). </w:t>
      </w:r>
    </w:p>
    <w:p w14:paraId="22BF74F4" w14:textId="77777777" w:rsidR="00B9647B" w:rsidRPr="00DE7518" w:rsidRDefault="00B9647B" w:rsidP="00DE7518">
      <w:pPr>
        <w:pStyle w:val="ARTartustawynprozporzdzenia"/>
        <w:rPr>
          <w:rFonts w:ascii="Times New Roman" w:eastAsiaTheme="minorHAnsi" w:hAnsi="Times New Roman" w:cstheme="minorBidi"/>
          <w:color w:val="000000"/>
          <w:kern w:val="2"/>
          <w:szCs w:val="24"/>
          <w:lang w:eastAsia="en-US"/>
          <w14:ligatures w14:val="standardContextual"/>
        </w:rPr>
      </w:pPr>
      <w:r w:rsidRPr="00DE7518">
        <w:rPr>
          <w:rFonts w:ascii="Times New Roman" w:eastAsiaTheme="minorHAnsi" w:hAnsi="Times New Roman" w:cstheme="minorBidi"/>
          <w:color w:val="000000"/>
          <w:kern w:val="2"/>
          <w:szCs w:val="24"/>
          <w:lang w:eastAsia="en-US"/>
          <w14:ligatures w14:val="standardContextual"/>
        </w:rPr>
        <w:t>Projekt uchwały nie wywiera wpływu na obszar danych osobowych. W związku z tym, nie przeprowadzono oceny ochrony danych osobowych, o której mowa w art. 35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</w:p>
    <w:p w14:paraId="25F68411" w14:textId="77777777" w:rsidR="00B9647B" w:rsidRPr="00DE7518" w:rsidRDefault="00B9647B" w:rsidP="00DE7518">
      <w:pPr>
        <w:pStyle w:val="ARTartustawynprozporzdzenia"/>
        <w:rPr>
          <w:rFonts w:ascii="Times New Roman" w:eastAsiaTheme="minorHAnsi" w:hAnsi="Times New Roman" w:cstheme="minorBidi"/>
          <w:color w:val="000000"/>
          <w:kern w:val="2"/>
          <w:szCs w:val="24"/>
          <w:lang w:eastAsia="en-US"/>
          <w14:ligatures w14:val="standardContextual"/>
        </w:rPr>
      </w:pPr>
      <w:r w:rsidRPr="00DE7518">
        <w:rPr>
          <w:rFonts w:ascii="Times New Roman" w:eastAsiaTheme="minorHAnsi" w:hAnsi="Times New Roman" w:cstheme="minorBidi"/>
          <w:color w:val="000000"/>
          <w:kern w:val="2"/>
          <w:szCs w:val="24"/>
          <w:lang w:eastAsia="en-US"/>
          <w14:ligatures w14:val="standardContextual"/>
        </w:rPr>
        <w:t xml:space="preserve">Projektowana uchwała nie wymaga przedstawienia właściwym organom i instytucjom Unii Europejskiej, w tym Europejskiemu Bankowi Centralnemu, w celu uzyskania opinii, dokonania powiadomienia, konsultacji albo uzgodnienia. </w:t>
      </w:r>
    </w:p>
    <w:p w14:paraId="7D354854" w14:textId="77777777" w:rsidR="00B9647B" w:rsidRPr="00DE7518" w:rsidRDefault="00B9647B" w:rsidP="00DE7518">
      <w:pPr>
        <w:pStyle w:val="ARTartustawynprozporzdzenia"/>
        <w:rPr>
          <w:rFonts w:ascii="Times New Roman" w:eastAsiaTheme="minorHAnsi" w:hAnsi="Times New Roman" w:cstheme="minorBidi"/>
          <w:color w:val="000000"/>
          <w:kern w:val="2"/>
          <w:szCs w:val="24"/>
          <w:lang w:eastAsia="en-US"/>
          <w14:ligatures w14:val="standardContextual"/>
        </w:rPr>
      </w:pPr>
      <w:r w:rsidRPr="00DE7518">
        <w:rPr>
          <w:rFonts w:ascii="Times New Roman" w:eastAsiaTheme="minorHAnsi" w:hAnsi="Times New Roman" w:cstheme="minorBidi"/>
          <w:color w:val="000000"/>
          <w:kern w:val="2"/>
          <w:szCs w:val="24"/>
          <w:lang w:eastAsia="en-US"/>
          <w14:ligatures w14:val="standardContextual"/>
        </w:rPr>
        <w:t xml:space="preserve">Projekt uchwały nie jest sprzeczny z prawem Unii Europejskiej. </w:t>
      </w:r>
    </w:p>
    <w:p w14:paraId="0024BBA6" w14:textId="0AAE01B7" w:rsidR="00B9647B" w:rsidRPr="00DE7518" w:rsidRDefault="00B9647B" w:rsidP="00DE7518">
      <w:pPr>
        <w:pStyle w:val="ARTartustawynprozporzdzenia"/>
        <w:rPr>
          <w:rFonts w:ascii="Times New Roman" w:eastAsiaTheme="minorHAnsi" w:hAnsi="Times New Roman" w:cstheme="minorBidi"/>
          <w:color w:val="000000"/>
          <w:kern w:val="2"/>
          <w:szCs w:val="24"/>
          <w:lang w:eastAsia="en-US"/>
          <w14:ligatures w14:val="standardContextual"/>
        </w:rPr>
      </w:pPr>
      <w:r w:rsidRPr="00DE7518">
        <w:rPr>
          <w:rFonts w:ascii="Times New Roman" w:eastAsiaTheme="minorHAnsi" w:hAnsi="Times New Roman" w:cstheme="minorBidi"/>
          <w:color w:val="000000"/>
          <w:kern w:val="2"/>
          <w:szCs w:val="24"/>
          <w:lang w:eastAsia="en-US"/>
          <w14:ligatures w14:val="standardContextual"/>
        </w:rPr>
        <w:t>Jednocześnie należy wskazać, że nie ma możliwości podjęcia alternatywnych, w</w:t>
      </w:r>
      <w:r w:rsidR="00367F53" w:rsidRPr="00DE7518">
        <w:rPr>
          <w:rFonts w:ascii="Times New Roman" w:eastAsiaTheme="minorHAnsi" w:hAnsi="Times New Roman" w:cstheme="minorBidi"/>
          <w:color w:val="000000"/>
          <w:kern w:val="2"/>
          <w:szCs w:val="24"/>
          <w:lang w:eastAsia="en-US"/>
          <w14:ligatures w14:val="standardContextual"/>
        </w:rPr>
        <w:t> </w:t>
      </w:r>
      <w:r w:rsidRPr="00DE7518">
        <w:rPr>
          <w:rFonts w:ascii="Times New Roman" w:eastAsiaTheme="minorHAnsi" w:hAnsi="Times New Roman" w:cstheme="minorBidi"/>
          <w:color w:val="000000"/>
          <w:kern w:val="2"/>
          <w:szCs w:val="24"/>
          <w:lang w:eastAsia="en-US"/>
          <w14:ligatures w14:val="standardContextual"/>
        </w:rPr>
        <w:t>stosunku do projektu uchwały, środków umożliwiających osiągnięcie zamierzonego celu.</w:t>
      </w:r>
    </w:p>
    <w:p w14:paraId="1068E171" w14:textId="1C3F8FF8" w:rsidR="000D74F9" w:rsidRPr="00340206" w:rsidRDefault="000D74F9" w:rsidP="00340206">
      <w:pPr>
        <w:spacing w:after="120"/>
        <w:ind w:firstLine="51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0D74F9" w:rsidRPr="00340206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45905" w14:textId="77777777" w:rsidR="00723590" w:rsidRDefault="00723590">
      <w:r>
        <w:separator/>
      </w:r>
    </w:p>
  </w:endnote>
  <w:endnote w:type="continuationSeparator" w:id="0">
    <w:p w14:paraId="4E16885C" w14:textId="77777777" w:rsidR="00723590" w:rsidRDefault="0072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CA26E" w14:textId="77777777" w:rsidR="00723590" w:rsidRDefault="00723590">
      <w:r>
        <w:separator/>
      </w:r>
    </w:p>
  </w:footnote>
  <w:footnote w:type="continuationSeparator" w:id="0">
    <w:p w14:paraId="1E9641E0" w14:textId="77777777" w:rsidR="00723590" w:rsidRDefault="00723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01F01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8054AC8"/>
    <w:multiLevelType w:val="hybridMultilevel"/>
    <w:tmpl w:val="02C24E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5D737EB"/>
    <w:multiLevelType w:val="hybridMultilevel"/>
    <w:tmpl w:val="9AC62674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39F4256"/>
    <w:multiLevelType w:val="hybridMultilevel"/>
    <w:tmpl w:val="37AE60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B6230CC"/>
    <w:multiLevelType w:val="hybridMultilevel"/>
    <w:tmpl w:val="4A1A24BA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267497341">
    <w:abstractNumId w:val="24"/>
  </w:num>
  <w:num w:numId="2" w16cid:durableId="2039894866">
    <w:abstractNumId w:val="24"/>
  </w:num>
  <w:num w:numId="3" w16cid:durableId="2022462333">
    <w:abstractNumId w:val="19"/>
  </w:num>
  <w:num w:numId="4" w16cid:durableId="286739073">
    <w:abstractNumId w:val="19"/>
  </w:num>
  <w:num w:numId="5" w16cid:durableId="736826737">
    <w:abstractNumId w:val="38"/>
  </w:num>
  <w:num w:numId="6" w16cid:durableId="214238431">
    <w:abstractNumId w:val="34"/>
  </w:num>
  <w:num w:numId="7" w16cid:durableId="32771909">
    <w:abstractNumId w:val="38"/>
  </w:num>
  <w:num w:numId="8" w16cid:durableId="1460103713">
    <w:abstractNumId w:val="34"/>
  </w:num>
  <w:num w:numId="9" w16cid:durableId="640236040">
    <w:abstractNumId w:val="38"/>
  </w:num>
  <w:num w:numId="10" w16cid:durableId="882516777">
    <w:abstractNumId w:val="34"/>
  </w:num>
  <w:num w:numId="11" w16cid:durableId="475689297">
    <w:abstractNumId w:val="15"/>
  </w:num>
  <w:num w:numId="12" w16cid:durableId="146242905">
    <w:abstractNumId w:val="10"/>
  </w:num>
  <w:num w:numId="13" w16cid:durableId="1517035857">
    <w:abstractNumId w:val="16"/>
  </w:num>
  <w:num w:numId="14" w16cid:durableId="1726178776">
    <w:abstractNumId w:val="28"/>
  </w:num>
  <w:num w:numId="15" w16cid:durableId="2075199982">
    <w:abstractNumId w:val="15"/>
  </w:num>
  <w:num w:numId="16" w16cid:durableId="82146527">
    <w:abstractNumId w:val="17"/>
  </w:num>
  <w:num w:numId="17" w16cid:durableId="1390105211">
    <w:abstractNumId w:val="8"/>
  </w:num>
  <w:num w:numId="18" w16cid:durableId="433132283">
    <w:abstractNumId w:val="3"/>
  </w:num>
  <w:num w:numId="19" w16cid:durableId="1603801871">
    <w:abstractNumId w:val="2"/>
  </w:num>
  <w:num w:numId="20" w16cid:durableId="1362393340">
    <w:abstractNumId w:val="1"/>
  </w:num>
  <w:num w:numId="21" w16cid:durableId="1912538217">
    <w:abstractNumId w:val="0"/>
  </w:num>
  <w:num w:numId="22" w16cid:durableId="317151288">
    <w:abstractNumId w:val="9"/>
  </w:num>
  <w:num w:numId="23" w16cid:durableId="1507865742">
    <w:abstractNumId w:val="7"/>
  </w:num>
  <w:num w:numId="24" w16cid:durableId="424156033">
    <w:abstractNumId w:val="6"/>
  </w:num>
  <w:num w:numId="25" w16cid:durableId="1617180714">
    <w:abstractNumId w:val="5"/>
  </w:num>
  <w:num w:numId="26" w16cid:durableId="375742745">
    <w:abstractNumId w:val="4"/>
  </w:num>
  <w:num w:numId="27" w16cid:durableId="110901538">
    <w:abstractNumId w:val="36"/>
  </w:num>
  <w:num w:numId="28" w16cid:durableId="28646589">
    <w:abstractNumId w:val="27"/>
  </w:num>
  <w:num w:numId="29" w16cid:durableId="290093240">
    <w:abstractNumId w:val="39"/>
  </w:num>
  <w:num w:numId="30" w16cid:durableId="1987080094">
    <w:abstractNumId w:val="35"/>
  </w:num>
  <w:num w:numId="31" w16cid:durableId="1194078627">
    <w:abstractNumId w:val="20"/>
  </w:num>
  <w:num w:numId="32" w16cid:durableId="1678456921">
    <w:abstractNumId w:val="12"/>
  </w:num>
  <w:num w:numId="33" w16cid:durableId="929856225">
    <w:abstractNumId w:val="33"/>
  </w:num>
  <w:num w:numId="34" w16cid:durableId="2070687526">
    <w:abstractNumId w:val="21"/>
  </w:num>
  <w:num w:numId="35" w16cid:durableId="2021348965">
    <w:abstractNumId w:val="18"/>
  </w:num>
  <w:num w:numId="36" w16cid:durableId="886259363">
    <w:abstractNumId w:val="23"/>
  </w:num>
  <w:num w:numId="37" w16cid:durableId="255746895">
    <w:abstractNumId w:val="29"/>
  </w:num>
  <w:num w:numId="38" w16cid:durableId="1529367115">
    <w:abstractNumId w:val="26"/>
  </w:num>
  <w:num w:numId="39" w16cid:durableId="31616516">
    <w:abstractNumId w:val="14"/>
  </w:num>
  <w:num w:numId="40" w16cid:durableId="531305818">
    <w:abstractNumId w:val="32"/>
  </w:num>
  <w:num w:numId="41" w16cid:durableId="508719287">
    <w:abstractNumId w:val="30"/>
  </w:num>
  <w:num w:numId="42" w16cid:durableId="833446870">
    <w:abstractNumId w:val="22"/>
  </w:num>
  <w:num w:numId="43" w16cid:durableId="1285959734">
    <w:abstractNumId w:val="37"/>
  </w:num>
  <w:num w:numId="44" w16cid:durableId="1006709958">
    <w:abstractNumId w:val="13"/>
  </w:num>
  <w:num w:numId="45" w16cid:durableId="2019690468">
    <w:abstractNumId w:val="11"/>
  </w:num>
  <w:num w:numId="46" w16cid:durableId="479735135">
    <w:abstractNumId w:val="31"/>
  </w:num>
  <w:num w:numId="47" w16cid:durableId="1002976987">
    <w:abstractNumId w:val="40"/>
  </w:num>
  <w:num w:numId="48" w16cid:durableId="16862488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7F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4C31"/>
    <w:rsid w:val="0004543E"/>
    <w:rsid w:val="00046A75"/>
    <w:rsid w:val="00047312"/>
    <w:rsid w:val="000508BD"/>
    <w:rsid w:val="00051237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D74F9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16BD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3748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29DC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36E47"/>
    <w:rsid w:val="00340206"/>
    <w:rsid w:val="00341A6A"/>
    <w:rsid w:val="00345B9C"/>
    <w:rsid w:val="00352DAE"/>
    <w:rsid w:val="00354EB9"/>
    <w:rsid w:val="003602AE"/>
    <w:rsid w:val="00360929"/>
    <w:rsid w:val="003647D5"/>
    <w:rsid w:val="003674B0"/>
    <w:rsid w:val="00367F53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20A4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7CE"/>
    <w:rsid w:val="00413D8E"/>
    <w:rsid w:val="004140F2"/>
    <w:rsid w:val="00414271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3E42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97A90"/>
    <w:rsid w:val="005A0274"/>
    <w:rsid w:val="005A095C"/>
    <w:rsid w:val="005A366A"/>
    <w:rsid w:val="005A669D"/>
    <w:rsid w:val="005A6BD4"/>
    <w:rsid w:val="005A75D8"/>
    <w:rsid w:val="005B713E"/>
    <w:rsid w:val="005C03B6"/>
    <w:rsid w:val="005C348E"/>
    <w:rsid w:val="005C68E1"/>
    <w:rsid w:val="005D3763"/>
    <w:rsid w:val="005D55E1"/>
    <w:rsid w:val="005D747F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06C5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DD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97C02"/>
    <w:rsid w:val="006A35D5"/>
    <w:rsid w:val="006A748A"/>
    <w:rsid w:val="006B1259"/>
    <w:rsid w:val="006B149F"/>
    <w:rsid w:val="006C419E"/>
    <w:rsid w:val="006C4A31"/>
    <w:rsid w:val="006C5AC2"/>
    <w:rsid w:val="006C6AFB"/>
    <w:rsid w:val="006D2124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B60"/>
    <w:rsid w:val="00717C2E"/>
    <w:rsid w:val="007204FA"/>
    <w:rsid w:val="007213B3"/>
    <w:rsid w:val="00723590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4B2"/>
    <w:rsid w:val="0076260A"/>
    <w:rsid w:val="00764A67"/>
    <w:rsid w:val="00766A62"/>
    <w:rsid w:val="00770F6B"/>
    <w:rsid w:val="00771883"/>
    <w:rsid w:val="00776DC2"/>
    <w:rsid w:val="007800F8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413C"/>
    <w:rsid w:val="00866867"/>
    <w:rsid w:val="00872257"/>
    <w:rsid w:val="00873600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1E6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60A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27C19"/>
    <w:rsid w:val="00A30E4F"/>
    <w:rsid w:val="00A32253"/>
    <w:rsid w:val="00A3310E"/>
    <w:rsid w:val="00A333A0"/>
    <w:rsid w:val="00A35EDA"/>
    <w:rsid w:val="00A37E70"/>
    <w:rsid w:val="00A437E1"/>
    <w:rsid w:val="00A4685E"/>
    <w:rsid w:val="00A50CD4"/>
    <w:rsid w:val="00A51191"/>
    <w:rsid w:val="00A51E8A"/>
    <w:rsid w:val="00A56D62"/>
    <w:rsid w:val="00A56F07"/>
    <w:rsid w:val="00A5762C"/>
    <w:rsid w:val="00A600FC"/>
    <w:rsid w:val="00A60BCA"/>
    <w:rsid w:val="00A638DA"/>
    <w:rsid w:val="00A64E3B"/>
    <w:rsid w:val="00A65B41"/>
    <w:rsid w:val="00A65E00"/>
    <w:rsid w:val="00A66A78"/>
    <w:rsid w:val="00A7436E"/>
    <w:rsid w:val="00A74E96"/>
    <w:rsid w:val="00A75A8E"/>
    <w:rsid w:val="00A824DD"/>
    <w:rsid w:val="00A832CF"/>
    <w:rsid w:val="00A83676"/>
    <w:rsid w:val="00A83B7B"/>
    <w:rsid w:val="00A84274"/>
    <w:rsid w:val="00A850F3"/>
    <w:rsid w:val="00A864E3"/>
    <w:rsid w:val="00A86E7B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2463"/>
    <w:rsid w:val="00AE4179"/>
    <w:rsid w:val="00AE4425"/>
    <w:rsid w:val="00AE4FBE"/>
    <w:rsid w:val="00AE650F"/>
    <w:rsid w:val="00AE6555"/>
    <w:rsid w:val="00AE7D16"/>
    <w:rsid w:val="00AF3313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9647B"/>
    <w:rsid w:val="00BA4BB6"/>
    <w:rsid w:val="00BA561A"/>
    <w:rsid w:val="00BB0DC6"/>
    <w:rsid w:val="00BB15E4"/>
    <w:rsid w:val="00BB1E19"/>
    <w:rsid w:val="00BB21D1"/>
    <w:rsid w:val="00BB32F2"/>
    <w:rsid w:val="00BB4338"/>
    <w:rsid w:val="00BB4C4C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597"/>
    <w:rsid w:val="00C86AFA"/>
    <w:rsid w:val="00C91C44"/>
    <w:rsid w:val="00CA3AC1"/>
    <w:rsid w:val="00CB18D0"/>
    <w:rsid w:val="00CB1C8A"/>
    <w:rsid w:val="00CB24F5"/>
    <w:rsid w:val="00CB2663"/>
    <w:rsid w:val="00CB3BBE"/>
    <w:rsid w:val="00CB59E9"/>
    <w:rsid w:val="00CC0D6A"/>
    <w:rsid w:val="00CC2284"/>
    <w:rsid w:val="00CC3831"/>
    <w:rsid w:val="00CC3E3D"/>
    <w:rsid w:val="00CC519B"/>
    <w:rsid w:val="00CC79C1"/>
    <w:rsid w:val="00CD12C1"/>
    <w:rsid w:val="00CD214E"/>
    <w:rsid w:val="00CD46FA"/>
    <w:rsid w:val="00CD5973"/>
    <w:rsid w:val="00CE31A6"/>
    <w:rsid w:val="00CF09AA"/>
    <w:rsid w:val="00CF4813"/>
    <w:rsid w:val="00CF5233"/>
    <w:rsid w:val="00D00315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36B24"/>
    <w:rsid w:val="00D402FB"/>
    <w:rsid w:val="00D47D7A"/>
    <w:rsid w:val="00D50ABD"/>
    <w:rsid w:val="00D529C1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518"/>
    <w:rsid w:val="00DE7DC1"/>
    <w:rsid w:val="00DF3F7E"/>
    <w:rsid w:val="00DF7648"/>
    <w:rsid w:val="00E00E29"/>
    <w:rsid w:val="00E02BAB"/>
    <w:rsid w:val="00E04CEB"/>
    <w:rsid w:val="00E05849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5D6C"/>
    <w:rsid w:val="00E37C2F"/>
    <w:rsid w:val="00E41C28"/>
    <w:rsid w:val="00E46308"/>
    <w:rsid w:val="00E46BD9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47A0"/>
    <w:rsid w:val="00E66C50"/>
    <w:rsid w:val="00E679D3"/>
    <w:rsid w:val="00E71208"/>
    <w:rsid w:val="00E71444"/>
    <w:rsid w:val="00E71C91"/>
    <w:rsid w:val="00E720A1"/>
    <w:rsid w:val="00E7335B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36B8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07CEA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5DF4"/>
    <w:rsid w:val="00FD7468"/>
    <w:rsid w:val="00FD7CE0"/>
    <w:rsid w:val="00FE0B3B"/>
    <w:rsid w:val="00FE1BE2"/>
    <w:rsid w:val="00FE730A"/>
    <w:rsid w:val="00FF1DD7"/>
    <w:rsid w:val="00FF4453"/>
    <w:rsid w:val="00FF4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513547"/>
  <w15:docId w15:val="{3EB8E44D-B1F9-497B-9577-3210000E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4F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aliases w:val="Akapit z listą BS,Akapit z listą1,Akapit z listą5,Kolorowa lista — akcent 11,L1,List Paragraph_0,Numerowanie,Wypunktowanie,normalny tekst,sw tekst"/>
    <w:basedOn w:val="Normalny"/>
    <w:uiPriority w:val="34"/>
    <w:qFormat/>
    <w:rsid w:val="000D74F9"/>
    <w:pPr>
      <w:ind w:left="720"/>
      <w:contextualSpacing/>
    </w:pPr>
  </w:style>
  <w:style w:type="paragraph" w:styleId="Poprawka">
    <w:name w:val="Revision"/>
    <w:hidden/>
    <w:uiPriority w:val="99"/>
    <w:semiHidden/>
    <w:rsid w:val="004137CE"/>
    <w:pPr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1890</Words>
  <Characters>11342</Characters>
  <Application>Microsoft Office Word</Application>
  <DocSecurity>0</DocSecurity>
  <Lines>94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Truszkowska Katarzyna</dc:creator>
  <cp:lastModifiedBy>Kalwara Joanna</cp:lastModifiedBy>
  <cp:revision>16</cp:revision>
  <cp:lastPrinted>2012-04-23T06:39:00Z</cp:lastPrinted>
  <dcterms:created xsi:type="dcterms:W3CDTF">2024-10-28T14:32:00Z</dcterms:created>
  <dcterms:modified xsi:type="dcterms:W3CDTF">2024-12-11T07:02:00Z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