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CE" w:rsidRDefault="00F00BCE" w:rsidP="00F00BCE">
      <w:pPr>
        <w:pStyle w:val="NormalnyWeb"/>
        <w:numPr>
          <w:ilvl w:val="0"/>
          <w:numId w:val="1"/>
        </w:numPr>
        <w:spacing w:before="240" w:beforeAutospacing="0" w:after="0" w:afterAutospacing="0"/>
        <w:ind w:left="284" w:hanging="284"/>
        <w:jc w:val="both"/>
        <w:rPr>
          <w:rFonts w:asciiTheme="minorHAnsi" w:hAnsiTheme="minorHAnsi"/>
          <w:b/>
          <w:bCs/>
          <w:sz w:val="28"/>
          <w:szCs w:val="28"/>
        </w:rPr>
      </w:pPr>
      <w:r>
        <w:rPr>
          <w:rFonts w:asciiTheme="minorHAnsi" w:hAnsiTheme="minorHAnsi"/>
          <w:b/>
          <w:bCs/>
          <w:sz w:val="28"/>
          <w:szCs w:val="28"/>
        </w:rPr>
        <w:t>Warunki Naboru Wniosków (WNW)</w:t>
      </w:r>
    </w:p>
    <w:p w:rsidR="00F00BCE" w:rsidRDefault="00F00BCE" w:rsidP="00F00BCE">
      <w:pPr>
        <w:spacing w:before="240"/>
        <w:jc w:val="both"/>
        <w:rPr>
          <w:rFonts w:asciiTheme="minorHAnsi" w:hAnsiTheme="minorHAnsi"/>
          <w:b/>
        </w:rPr>
      </w:pPr>
      <w:r>
        <w:rPr>
          <w:rFonts w:asciiTheme="minorHAnsi" w:hAnsiTheme="minorHAnsi"/>
          <w:b/>
        </w:rPr>
        <w:t xml:space="preserve">1.1  Instrukcja do przekazania dla Podmiotów utylizacyjnych dotycząca informacji </w:t>
      </w:r>
      <w:r>
        <w:rPr>
          <w:rFonts w:asciiTheme="minorHAnsi" w:hAnsiTheme="minorHAnsi"/>
          <w:b/>
        </w:rPr>
        <w:br/>
        <w:t>o warunkach prowadzenia naboru i sposobie rozpatrywania wniosków.</w:t>
      </w:r>
    </w:p>
    <w:p w:rsidR="00F00BCE" w:rsidRDefault="00F00BCE" w:rsidP="00F00BCE">
      <w:pPr>
        <w:pStyle w:val="Akapitzlist"/>
        <w:spacing w:before="120"/>
        <w:ind w:left="0"/>
        <w:jc w:val="both"/>
        <w:rPr>
          <w:rFonts w:asciiTheme="minorHAnsi" w:hAnsiTheme="minorHAnsi"/>
          <w:b/>
        </w:rPr>
      </w:pPr>
      <w:r>
        <w:rPr>
          <w:rFonts w:asciiTheme="minorHAnsi" w:hAnsiTheme="minorHAnsi"/>
          <w:b/>
        </w:rPr>
        <w:t>1.1.1  Warunki udziału w naborze wniosków.</w:t>
      </w:r>
    </w:p>
    <w:p w:rsidR="00F00BCE" w:rsidRDefault="00F00BCE" w:rsidP="00F00BCE">
      <w:pPr>
        <w:autoSpaceDE w:val="0"/>
        <w:autoSpaceDN w:val="0"/>
        <w:adjustRightInd w:val="0"/>
        <w:spacing w:before="120"/>
        <w:jc w:val="both"/>
        <w:rPr>
          <w:rFonts w:asciiTheme="minorHAnsi" w:hAnsiTheme="minorHAnsi"/>
          <w:sz w:val="22"/>
          <w:szCs w:val="22"/>
        </w:rPr>
      </w:pPr>
      <w:r>
        <w:rPr>
          <w:rFonts w:asciiTheme="minorHAnsi" w:hAnsiTheme="minorHAnsi" w:cs="Tahoma"/>
          <w:sz w:val="22"/>
          <w:szCs w:val="22"/>
        </w:rPr>
        <w:t xml:space="preserve">W naborze wniosków mogą brać udział </w:t>
      </w:r>
      <w:r>
        <w:rPr>
          <w:rFonts w:asciiTheme="minorHAnsi" w:hAnsiTheme="minorHAnsi"/>
          <w:sz w:val="22"/>
          <w:szCs w:val="22"/>
        </w:rPr>
        <w:t xml:space="preserve">podmioty prowadzące działalność gospodarczą w zakresie przetwarzania lub spalania padłych zwierząt gospodarskich zgodnie z przepisami rozporządzenia </w:t>
      </w:r>
      <w:r>
        <w:rPr>
          <w:rStyle w:val="akapitdomyslny"/>
          <w:rFonts w:asciiTheme="minorHAnsi" w:hAnsiTheme="minorHAnsi"/>
          <w:sz w:val="22"/>
          <w:szCs w:val="22"/>
        </w:rPr>
        <w:t xml:space="preserve">(WE) 1069/2009 z dnia 21 października 2009 r. określające przepisy sanitarne dotyczące produktów ubocznych pochodzenia zwierzęcego, nieprzeznaczonych do spożycia przez ludzi, i uchylające rozporządzenie (WE) nr 1774/2002 (Dz. Urz. UE L 300 z dnia 14.11.2009 r. str.1 z </w:t>
      </w:r>
      <w:proofErr w:type="spellStart"/>
      <w:r>
        <w:rPr>
          <w:rStyle w:val="akapitdomyslny"/>
          <w:rFonts w:asciiTheme="minorHAnsi" w:hAnsiTheme="minorHAnsi"/>
          <w:sz w:val="22"/>
          <w:szCs w:val="22"/>
        </w:rPr>
        <w:t>późn</w:t>
      </w:r>
      <w:proofErr w:type="spellEnd"/>
      <w:r>
        <w:rPr>
          <w:rStyle w:val="akapitdomyslny"/>
          <w:rFonts w:asciiTheme="minorHAnsi" w:hAnsiTheme="minorHAnsi"/>
          <w:sz w:val="22"/>
          <w:szCs w:val="22"/>
        </w:rPr>
        <w:t xml:space="preserve">. zm.), </w:t>
      </w:r>
      <w:r>
        <w:rPr>
          <w:rStyle w:val="akapitustep"/>
          <w:rFonts w:asciiTheme="minorHAnsi" w:hAnsiTheme="minorHAnsi"/>
          <w:sz w:val="22"/>
          <w:szCs w:val="22"/>
        </w:rPr>
        <w:t>które: </w:t>
      </w:r>
    </w:p>
    <w:p w:rsidR="00F00BCE" w:rsidRDefault="00F00BCE" w:rsidP="00F00BCE">
      <w:pPr>
        <w:pStyle w:val="Akapitzlist"/>
        <w:numPr>
          <w:ilvl w:val="0"/>
          <w:numId w:val="4"/>
        </w:numPr>
        <w:spacing w:before="120"/>
        <w:jc w:val="both"/>
        <w:rPr>
          <w:rFonts w:asciiTheme="minorHAnsi" w:hAnsiTheme="minorHAnsi"/>
          <w:sz w:val="22"/>
          <w:szCs w:val="22"/>
        </w:rPr>
      </w:pPr>
      <w:r>
        <w:rPr>
          <w:rFonts w:asciiTheme="minorHAnsi" w:hAnsiTheme="minorHAnsi"/>
          <w:sz w:val="22"/>
          <w:szCs w:val="22"/>
        </w:rPr>
        <w:t>nie wprowadzają do obrotu produktów przetworzonych z zebranych padłych zwierząt gospodarskich z gatunku bydło, owce, kozy, świnie lub konie, z wyłączeniem tłuszczów i mączek zwierzęcych wykorzystywanych wyłącznie do spalania oraz pozostałości powstałych w wyniku spalania; </w:t>
      </w:r>
    </w:p>
    <w:p w:rsidR="00F00BCE" w:rsidRDefault="00F00BCE" w:rsidP="00F00BCE">
      <w:pPr>
        <w:pStyle w:val="Akapitzlist"/>
        <w:numPr>
          <w:ilvl w:val="0"/>
          <w:numId w:val="4"/>
        </w:numPr>
        <w:spacing w:before="120"/>
        <w:jc w:val="both"/>
        <w:rPr>
          <w:rFonts w:asciiTheme="minorHAnsi" w:hAnsiTheme="minorHAnsi"/>
          <w:sz w:val="22"/>
          <w:szCs w:val="22"/>
        </w:rPr>
      </w:pPr>
      <w:r>
        <w:rPr>
          <w:rFonts w:asciiTheme="minorHAnsi" w:hAnsiTheme="minorHAnsi"/>
          <w:sz w:val="22"/>
          <w:szCs w:val="22"/>
        </w:rPr>
        <w:t>wykonują działalność na obszarze co najmniej jednego województwa; </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t xml:space="preserve">Wymagane jest posiadanie przez Podmiot aktualnej decyzji właściwego Powiatowego Lekarza Weterynarii, zatwierdzającej prowadzenie działalności nadzorowanej w zakresie obejmującym </w:t>
      </w:r>
      <w:r>
        <w:rPr>
          <w:rFonts w:asciiTheme="minorHAnsi" w:hAnsiTheme="minorHAnsi"/>
          <w:sz w:val="22"/>
          <w:szCs w:val="22"/>
        </w:rPr>
        <w:t xml:space="preserve">przetwarzanie lub spalanie padłych zwierząt. </w:t>
      </w:r>
    </w:p>
    <w:p w:rsidR="00F00BCE" w:rsidRDefault="00F00BCE" w:rsidP="00F00BCE">
      <w:pPr>
        <w:pStyle w:val="Akapitzlist"/>
        <w:spacing w:before="240"/>
        <w:ind w:left="0"/>
        <w:rPr>
          <w:rFonts w:asciiTheme="minorHAnsi" w:hAnsiTheme="minorHAnsi"/>
          <w:b/>
        </w:rPr>
      </w:pPr>
      <w:r>
        <w:rPr>
          <w:rFonts w:asciiTheme="minorHAnsi" w:hAnsiTheme="minorHAnsi"/>
          <w:b/>
        </w:rPr>
        <w:t>1.1.2  Oświadczenia i zaświadczenia wymagane od Podmiotów utylizacyjnych biorących udział w naborze wniosków.</w:t>
      </w:r>
    </w:p>
    <w:p w:rsidR="00F00BCE" w:rsidRDefault="00F00BCE" w:rsidP="00F00BCE">
      <w:pPr>
        <w:autoSpaceDE w:val="0"/>
        <w:autoSpaceDN w:val="0"/>
        <w:adjustRightInd w:val="0"/>
        <w:spacing w:before="120"/>
        <w:jc w:val="both"/>
        <w:rPr>
          <w:rFonts w:asciiTheme="minorHAnsi" w:hAnsiTheme="minorHAnsi"/>
          <w:sz w:val="22"/>
          <w:szCs w:val="22"/>
        </w:rPr>
      </w:pPr>
      <w:r>
        <w:rPr>
          <w:rFonts w:asciiTheme="minorHAnsi" w:hAnsiTheme="minorHAnsi" w:cs="Tahoma"/>
          <w:sz w:val="22"/>
          <w:szCs w:val="22"/>
        </w:rPr>
        <w:t xml:space="preserve">W celu wykazania braku podstaw do wykluczenia z naboru </w:t>
      </w:r>
      <w:r>
        <w:rPr>
          <w:rFonts w:asciiTheme="minorHAnsi" w:hAnsiTheme="minorHAnsi"/>
          <w:sz w:val="22"/>
          <w:szCs w:val="22"/>
        </w:rPr>
        <w:t xml:space="preserve">Wniosków o finansowanie lub dofinansowanie, podmiot zobowiązany jest załączyć oryginał wypisu z rejestru podmiotów nadzorowanych przez powiatowego lekarza weterynarii, o którym mowa w art. 11 ust. 2 ustawy </w:t>
      </w:r>
      <w:r>
        <w:rPr>
          <w:rFonts w:asciiTheme="minorHAnsi" w:hAnsiTheme="minorHAnsi"/>
          <w:sz w:val="22"/>
          <w:szCs w:val="22"/>
        </w:rPr>
        <w:br/>
        <w:t>z dnia 11 marca 2004 r. o ochronie zdrowia zwierząt oraz zwalczaniu chorób zakaźnych zwierząt (Dz.U. z 2014 r., poz. 1539) oraz odpis z Rejestru sądowego potwierdzający sposób reprezentacji firmy i zaświadczenie z banku potwierdzające numer rachunku bankowego wskazany we wniosku o finansowanie lub dofinansowanie.</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t>Agencja dokona oceny spełniania warunków udziału w naborze wniosków na podstawie oświadczeń i dokumentów, o których mowa powyżej na zasadzie spełnia – nie spełnia.</w:t>
      </w:r>
    </w:p>
    <w:p w:rsidR="00F00BCE" w:rsidRDefault="00F00BCE" w:rsidP="00F00BCE">
      <w:pPr>
        <w:spacing w:before="240"/>
        <w:jc w:val="both"/>
        <w:rPr>
          <w:rFonts w:asciiTheme="minorHAnsi" w:hAnsiTheme="minorHAnsi"/>
          <w:b/>
        </w:rPr>
      </w:pPr>
      <w:r>
        <w:rPr>
          <w:rFonts w:asciiTheme="minorHAnsi" w:hAnsiTheme="minorHAnsi"/>
          <w:b/>
        </w:rPr>
        <w:t>1.1.3  Termin składania przez podmioty utylizacyjne wniosków o finansowanie lub dofinansowanie.</w:t>
      </w:r>
    </w:p>
    <w:p w:rsidR="00F00BCE" w:rsidRDefault="00F00BCE" w:rsidP="00F00BCE">
      <w:pPr>
        <w:spacing w:before="120"/>
        <w:jc w:val="both"/>
        <w:rPr>
          <w:rFonts w:asciiTheme="minorHAnsi" w:hAnsiTheme="minorHAnsi"/>
          <w:sz w:val="22"/>
          <w:szCs w:val="22"/>
        </w:rPr>
      </w:pPr>
      <w:r>
        <w:rPr>
          <w:rFonts w:asciiTheme="minorHAnsi" w:hAnsiTheme="minorHAnsi"/>
          <w:sz w:val="22"/>
          <w:szCs w:val="22"/>
        </w:rPr>
        <w:t xml:space="preserve">Zgodnie z § 10 ust. 7, pkt. 3 rozporządzenia Rady Ministrów z dnia 27 stycznia 2015 r. w sprawie szczegółowego zakresu i sposobów realizacji niektórych zadań Agencji Restrukturyzacji i Modernizacji Rolnictwa (Dz. U. z 2015r., poz. 187 ze zm.) termin składania przez podmioty utylizacyjne wniosków </w:t>
      </w:r>
      <w:r>
        <w:rPr>
          <w:rFonts w:asciiTheme="minorHAnsi" w:hAnsiTheme="minorHAnsi"/>
          <w:sz w:val="22"/>
          <w:szCs w:val="22"/>
        </w:rPr>
        <w:br/>
        <w:t>o finansowanie lub dofinansowanie został ustalony do dnia 30 września roku poprzedzającego rok, na który ma być udzielona pomoc.</w:t>
      </w:r>
    </w:p>
    <w:p w:rsidR="00F00BCE" w:rsidRDefault="00F00BCE" w:rsidP="00F00BCE">
      <w:pPr>
        <w:spacing w:before="120"/>
        <w:jc w:val="both"/>
        <w:rPr>
          <w:rFonts w:asciiTheme="minorHAnsi" w:hAnsiTheme="minorHAnsi"/>
          <w:sz w:val="22"/>
          <w:szCs w:val="22"/>
        </w:rPr>
      </w:pPr>
      <w:r>
        <w:rPr>
          <w:rFonts w:asciiTheme="minorHAnsi" w:hAnsiTheme="minorHAnsi"/>
          <w:sz w:val="22"/>
          <w:szCs w:val="22"/>
        </w:rPr>
        <w:t xml:space="preserve"> </w:t>
      </w:r>
    </w:p>
    <w:p w:rsidR="00F00BCE" w:rsidRDefault="00F00BCE" w:rsidP="00F00BCE">
      <w:pPr>
        <w:spacing w:before="120"/>
        <w:jc w:val="both"/>
        <w:rPr>
          <w:rFonts w:asciiTheme="minorHAnsi" w:hAnsiTheme="minorHAnsi"/>
          <w:sz w:val="22"/>
          <w:szCs w:val="22"/>
        </w:rPr>
      </w:pPr>
      <w:r>
        <w:rPr>
          <w:rFonts w:asciiTheme="minorHAnsi" w:hAnsiTheme="minorHAnsi"/>
          <w:sz w:val="22"/>
          <w:szCs w:val="22"/>
        </w:rPr>
        <w:t xml:space="preserve">Wnioski można składać bezpośrednio w kancelarii Centrali Agencji Restrukturyzacji i Modernizacji Rolnictwa, </w:t>
      </w:r>
      <w:r>
        <w:rPr>
          <w:rFonts w:asciiTheme="minorHAnsi" w:hAnsiTheme="minorHAnsi"/>
          <w:b/>
          <w:sz w:val="22"/>
          <w:szCs w:val="22"/>
        </w:rPr>
        <w:t>która mieści się przy ulicy Poleczki 33 w Warszawie</w:t>
      </w:r>
      <w:r>
        <w:rPr>
          <w:rFonts w:asciiTheme="minorHAnsi" w:hAnsiTheme="minorHAnsi"/>
          <w:sz w:val="22"/>
          <w:szCs w:val="22"/>
        </w:rPr>
        <w:t xml:space="preserve"> lub nadać w placówce pocztowej operatora pocztowego. </w:t>
      </w:r>
    </w:p>
    <w:p w:rsidR="00F00BCE" w:rsidRDefault="00F00BCE" w:rsidP="00F00BCE">
      <w:pPr>
        <w:pStyle w:val="NormalnyWeb"/>
        <w:spacing w:before="120" w:beforeAutospacing="0" w:after="0" w:afterAutospacing="0"/>
        <w:jc w:val="both"/>
        <w:rPr>
          <w:rFonts w:asciiTheme="minorHAnsi" w:hAnsiTheme="minorHAnsi"/>
          <w:sz w:val="22"/>
          <w:szCs w:val="22"/>
        </w:rPr>
      </w:pPr>
      <w:r>
        <w:rPr>
          <w:rFonts w:asciiTheme="minorHAnsi" w:hAnsiTheme="minorHAnsi"/>
          <w:sz w:val="22"/>
          <w:szCs w:val="22"/>
        </w:rPr>
        <w:t>O dacie złożenia wniosku decyduje data jego wpływu do kancelarii Centrali Agencji lub w przypadku wniosków nadanych za pośrednictwem operatora pocztowego, data stempla pocztowego.</w:t>
      </w:r>
    </w:p>
    <w:p w:rsidR="00F00BCE" w:rsidRDefault="00F00BCE" w:rsidP="00F00BCE">
      <w:pPr>
        <w:spacing w:before="240"/>
        <w:rPr>
          <w:rFonts w:asciiTheme="minorHAnsi" w:hAnsiTheme="minorHAnsi"/>
          <w:b/>
        </w:rPr>
      </w:pPr>
      <w:r>
        <w:rPr>
          <w:rFonts w:asciiTheme="minorHAnsi" w:hAnsiTheme="minorHAnsi"/>
          <w:b/>
        </w:rPr>
        <w:t xml:space="preserve">1.1.4  Opis sposobu przygotowania wniosku o finansowanie lub dofinansowanie. </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lastRenderedPageBreak/>
        <w:t>Pracownik Agencji weryfikując wniosek powinien uwzględnić w szczególności, że:</w:t>
      </w:r>
    </w:p>
    <w:p w:rsidR="00F00BCE" w:rsidRDefault="00F00BCE" w:rsidP="00F00BCE">
      <w:pPr>
        <w:pStyle w:val="Akapitzlist"/>
        <w:numPr>
          <w:ilvl w:val="0"/>
          <w:numId w:val="5"/>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Podmiot utylizacyjny może złożyć jeden Wniosek o finansowanie lub dofinansowanie, którego wzór stanowi załącznik 2 do niniejszych Zasad.</w:t>
      </w:r>
    </w:p>
    <w:p w:rsidR="00F00BCE" w:rsidRDefault="00F00BCE" w:rsidP="00F00BCE">
      <w:pPr>
        <w:pStyle w:val="Akapitzlist"/>
        <w:numPr>
          <w:ilvl w:val="0"/>
          <w:numId w:val="5"/>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Wraz z wnioskiem o finansowanie lub dofinansowanie Podmiot utylizacyjny składa następujące dokumenty:</w:t>
      </w:r>
    </w:p>
    <w:p w:rsidR="00F00BCE" w:rsidRDefault="00F00BCE" w:rsidP="00F00BCE">
      <w:pPr>
        <w:pStyle w:val="Akapitzlist"/>
        <w:numPr>
          <w:ilvl w:val="0"/>
          <w:numId w:val="6"/>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sz w:val="22"/>
          <w:szCs w:val="22"/>
        </w:rPr>
        <w:t>wypis z rejestru podmiotów nadzorowanych przez powiatowego lekarza weterynarii, o którym mowa w art. 11 ust. 2 ustawy z dnia 11 marca 2004 r. o ochronie zdrowia zwierząt oraz zwalczaniu chorób zakaźnych zwierząt (Dz.U. z 2014 r., poz. 1539;)</w:t>
      </w:r>
    </w:p>
    <w:p w:rsidR="00F00BCE" w:rsidRDefault="00F00BCE" w:rsidP="00F00BCE">
      <w:pPr>
        <w:pStyle w:val="Akapitzlist"/>
        <w:numPr>
          <w:ilvl w:val="0"/>
          <w:numId w:val="6"/>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pełnomocnictwo do podpisania Wniosku o finansowanie lub dofinansowanie (oryginał lub kopia potwierdzona za zgodność z oryginałem przez notariusza) względnie do podpisania innych dokumentów składanych wraz z ofertą, w przypadku jego podpisania przez osoby nie wymienione w KRS o ile prawo do ich podpisania nie wynika z innych dokumentów złożonych wraz z wnioskiem;</w:t>
      </w:r>
    </w:p>
    <w:p w:rsidR="00F00BCE" w:rsidRDefault="00F00BCE" w:rsidP="00F00BCE">
      <w:pPr>
        <w:pStyle w:val="Akapitzlist"/>
        <w:numPr>
          <w:ilvl w:val="0"/>
          <w:numId w:val="6"/>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aktualny odpis z Krajowego Rejestru sądowego potwierdzający sposób reprezentowania podmiotu;</w:t>
      </w:r>
    </w:p>
    <w:p w:rsidR="00F00BCE" w:rsidRDefault="00F00BCE" w:rsidP="00F00BCE">
      <w:pPr>
        <w:pStyle w:val="Akapitzlist"/>
        <w:numPr>
          <w:ilvl w:val="0"/>
          <w:numId w:val="6"/>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zaświadczenie z banku o prowadzeniu rachunku bankowego, który został wskazany we wniosku o finansowanie lub dofinansowanie.</w:t>
      </w:r>
    </w:p>
    <w:p w:rsidR="00F00BCE" w:rsidRDefault="00F00BCE" w:rsidP="00F00BCE">
      <w:pPr>
        <w:pStyle w:val="Akapitzlist"/>
        <w:numPr>
          <w:ilvl w:val="0"/>
          <w:numId w:val="5"/>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Wniosek o finansowanie lub dofinansowanie powinien być podpisany przez osobę upoważnioną do reprezentowania Podmiotu utylizacyjnego, zgodnie z formą reprezentacji określoną w rejestrze lub innym dokumencie, właściwym dla danej formy organizacyjnej albo przez upełnomocnionego przedstawiciela Podmiotu utylizacyjnego.</w:t>
      </w:r>
    </w:p>
    <w:p w:rsidR="00F00BCE" w:rsidRDefault="00F00BCE" w:rsidP="00F00BCE">
      <w:pPr>
        <w:pStyle w:val="Akapitzlist"/>
        <w:numPr>
          <w:ilvl w:val="0"/>
          <w:numId w:val="5"/>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Wniosek o finansowanie lub dofinansowanie, dla którego Agencja określiła wzór w formie formularza, powinien zostać sporządzony zgodnie z tym wzorem, co do treści oraz opisu kolumn i wierszy. Wniosek ten winien być złożony w formie papierowej i elektronicznej na informatycznym nośniku danych.</w:t>
      </w:r>
    </w:p>
    <w:p w:rsidR="00F00BCE" w:rsidRDefault="00F00BCE" w:rsidP="00F00BCE">
      <w:pPr>
        <w:pStyle w:val="Akapitzlist"/>
        <w:numPr>
          <w:ilvl w:val="0"/>
          <w:numId w:val="5"/>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Każda ewentualna poprawka w treści Wniosku o finansowanie lub dofinansowanie, a w szczególności każde przerobienie, przekreślenie, uzupełnienie, nadpisanie, etc. powinno być parafowane przez Wnioskodawcę, w przeciwnym razie nie mogą być uwzględnione.</w:t>
      </w:r>
    </w:p>
    <w:p w:rsidR="00F00BCE" w:rsidRDefault="00F00BCE" w:rsidP="00F00BCE">
      <w:pPr>
        <w:pStyle w:val="Akapitzlist"/>
        <w:numPr>
          <w:ilvl w:val="0"/>
          <w:numId w:val="5"/>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W przypadku, gdyby zawarte we Wniosku o finansowanie lub dofinansowanie dane, oświadczenia lub dokumenty zawierały informacje stanowiące tajemnicę przedsiębiorstwa w rozumieniu przepisów o zwalczaniu nieuczciwej konkurencji, Podmiot powinien w sposób nie budzący wątpliwości zastrzec, które informacje stanowią tajemnicę przedsiębiorstwa. Nie mogą stanowić tajemnicy przedsiębiorstwa informacje podawane do wiadomości podczas otwarcia wniosków, tj. informacje dotyczące ceny oraz zakresu terytorialnego, którego wniosek dotyczy.</w:t>
      </w:r>
    </w:p>
    <w:p w:rsidR="00F00BCE" w:rsidRDefault="00F00BCE" w:rsidP="00F00BCE">
      <w:pPr>
        <w:pStyle w:val="Akapitzlist"/>
        <w:numPr>
          <w:ilvl w:val="0"/>
          <w:numId w:val="5"/>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t>Wniosek o finansowanie lub dofinansowanie musi zostać umieszczony w zamkniętym opakowaniu, uniemożliwiającym odczytanie jego zawartości bez uszkodzenia tego opakowania. Opakowanie powinno być oznaczone nazwą (firmą) i adresem Podmiotu, zaadresowane następująco:</w:t>
      </w:r>
    </w:p>
    <w:p w:rsidR="00F00BCE" w:rsidRDefault="00F00BCE" w:rsidP="00F00BCE">
      <w:pPr>
        <w:pStyle w:val="Akapitzlist"/>
        <w:autoSpaceDE w:val="0"/>
        <w:autoSpaceDN w:val="0"/>
        <w:adjustRightInd w:val="0"/>
        <w:spacing w:before="120"/>
        <w:ind w:left="714"/>
        <w:jc w:val="both"/>
        <w:rPr>
          <w:rFonts w:asciiTheme="minorHAnsi" w:hAnsiTheme="minorHAnsi" w:cs="Tahoma"/>
          <w:sz w:val="22"/>
          <w:szCs w:val="22"/>
        </w:rPr>
      </w:pPr>
    </w:p>
    <w:p w:rsidR="00F00BCE" w:rsidRDefault="00F00BCE" w:rsidP="00F00BCE">
      <w:pPr>
        <w:autoSpaceDE w:val="0"/>
        <w:autoSpaceDN w:val="0"/>
        <w:adjustRightInd w:val="0"/>
        <w:spacing w:before="120"/>
        <w:jc w:val="center"/>
        <w:rPr>
          <w:rFonts w:asciiTheme="minorHAnsi" w:hAnsiTheme="minorHAnsi" w:cs="Tahoma"/>
          <w:b/>
          <w:sz w:val="22"/>
          <w:szCs w:val="22"/>
        </w:rPr>
      </w:pPr>
      <w:r>
        <w:rPr>
          <w:rFonts w:asciiTheme="minorHAnsi" w:hAnsiTheme="minorHAnsi" w:cs="Tahoma"/>
          <w:b/>
          <w:sz w:val="22"/>
          <w:szCs w:val="22"/>
        </w:rPr>
        <w:t>Agencja Restrukturyzacji i Modernizacji Rolnictwa</w:t>
      </w:r>
    </w:p>
    <w:p w:rsidR="00F00BCE" w:rsidRDefault="00F00BCE" w:rsidP="00F00BCE">
      <w:pPr>
        <w:autoSpaceDE w:val="0"/>
        <w:autoSpaceDN w:val="0"/>
        <w:adjustRightInd w:val="0"/>
        <w:jc w:val="center"/>
        <w:rPr>
          <w:rFonts w:asciiTheme="minorHAnsi" w:hAnsiTheme="minorHAnsi" w:cs="Tahoma"/>
          <w:b/>
          <w:sz w:val="22"/>
          <w:szCs w:val="22"/>
        </w:rPr>
      </w:pPr>
      <w:r>
        <w:rPr>
          <w:rFonts w:asciiTheme="minorHAnsi" w:hAnsiTheme="minorHAnsi" w:cs="Tahoma"/>
          <w:b/>
          <w:sz w:val="22"/>
          <w:szCs w:val="22"/>
        </w:rPr>
        <w:t>ul. Poleczki 33</w:t>
      </w:r>
    </w:p>
    <w:p w:rsidR="00F00BCE" w:rsidRDefault="00F00BCE" w:rsidP="00F00BCE">
      <w:pPr>
        <w:autoSpaceDE w:val="0"/>
        <w:autoSpaceDN w:val="0"/>
        <w:adjustRightInd w:val="0"/>
        <w:jc w:val="center"/>
        <w:rPr>
          <w:rFonts w:asciiTheme="minorHAnsi" w:hAnsiTheme="minorHAnsi" w:cs="Tahoma"/>
          <w:b/>
          <w:sz w:val="22"/>
          <w:szCs w:val="22"/>
        </w:rPr>
      </w:pPr>
      <w:r>
        <w:rPr>
          <w:rFonts w:asciiTheme="minorHAnsi" w:hAnsiTheme="minorHAnsi" w:cs="Tahoma"/>
          <w:b/>
          <w:sz w:val="22"/>
          <w:szCs w:val="22"/>
        </w:rPr>
        <w:t>03-822  Warszawa</w:t>
      </w:r>
    </w:p>
    <w:p w:rsidR="00F00BCE" w:rsidRDefault="00F00BCE" w:rsidP="00F00BCE">
      <w:pPr>
        <w:autoSpaceDE w:val="0"/>
        <w:autoSpaceDN w:val="0"/>
        <w:adjustRightInd w:val="0"/>
        <w:jc w:val="center"/>
        <w:rPr>
          <w:rFonts w:asciiTheme="minorHAnsi" w:hAnsiTheme="minorHAnsi" w:cs="Tahoma"/>
          <w:b/>
          <w:sz w:val="22"/>
          <w:szCs w:val="22"/>
        </w:rPr>
      </w:pPr>
      <w:r>
        <w:rPr>
          <w:rFonts w:asciiTheme="minorHAnsi" w:hAnsiTheme="minorHAnsi" w:cs="Tahoma"/>
          <w:b/>
          <w:sz w:val="22"/>
          <w:szCs w:val="22"/>
        </w:rPr>
        <w:t>Parter – Kancelaria Główna</w:t>
      </w:r>
    </w:p>
    <w:p w:rsidR="00F00BCE" w:rsidRDefault="00F00BCE" w:rsidP="00F00BCE">
      <w:pPr>
        <w:autoSpaceDE w:val="0"/>
        <w:autoSpaceDN w:val="0"/>
        <w:adjustRightInd w:val="0"/>
        <w:jc w:val="center"/>
        <w:rPr>
          <w:rFonts w:asciiTheme="minorHAnsi" w:hAnsiTheme="minorHAnsi" w:cs="Tahoma"/>
          <w:b/>
          <w:sz w:val="22"/>
          <w:szCs w:val="22"/>
        </w:rPr>
      </w:pPr>
      <w:r>
        <w:rPr>
          <w:rFonts w:asciiTheme="minorHAnsi" w:hAnsiTheme="minorHAnsi" w:cs="Tahoma"/>
          <w:b/>
          <w:sz w:val="22"/>
          <w:szCs w:val="22"/>
        </w:rPr>
        <w:t>oraz opisane:</w:t>
      </w:r>
    </w:p>
    <w:p w:rsidR="00F00BCE" w:rsidRDefault="00F00BCE" w:rsidP="00F00BCE">
      <w:pPr>
        <w:autoSpaceDE w:val="0"/>
        <w:autoSpaceDN w:val="0"/>
        <w:adjustRightInd w:val="0"/>
        <w:jc w:val="center"/>
        <w:rPr>
          <w:rFonts w:asciiTheme="minorHAnsi" w:hAnsiTheme="minorHAnsi" w:cs="Tahoma"/>
          <w:b/>
          <w:sz w:val="22"/>
          <w:szCs w:val="22"/>
        </w:rPr>
      </w:pPr>
      <w:r>
        <w:rPr>
          <w:rFonts w:asciiTheme="minorHAnsi" w:hAnsiTheme="minorHAnsi" w:cs="Tahoma"/>
          <w:b/>
          <w:sz w:val="22"/>
          <w:szCs w:val="22"/>
        </w:rPr>
        <w:t>Departament Wsparcia Krajowego</w:t>
      </w:r>
    </w:p>
    <w:p w:rsidR="00F00BCE" w:rsidRDefault="00F00BCE" w:rsidP="00F00BCE">
      <w:pPr>
        <w:autoSpaceDE w:val="0"/>
        <w:autoSpaceDN w:val="0"/>
        <w:adjustRightInd w:val="0"/>
        <w:jc w:val="center"/>
        <w:rPr>
          <w:rFonts w:asciiTheme="minorHAnsi" w:hAnsiTheme="minorHAnsi" w:cs="Tahoma"/>
          <w:b/>
          <w:sz w:val="22"/>
          <w:szCs w:val="22"/>
        </w:rPr>
      </w:pPr>
      <w:r>
        <w:rPr>
          <w:rFonts w:asciiTheme="minorHAnsi" w:hAnsiTheme="minorHAnsi" w:cs="Tahoma"/>
          <w:b/>
          <w:sz w:val="22"/>
          <w:szCs w:val="22"/>
        </w:rPr>
        <w:t>„Wniosek o finansowanie lub dofinansowanie kosztów zbioru, transportu i unieszkodliwiania padły</w:t>
      </w:r>
      <w:r>
        <w:rPr>
          <w:rFonts w:asciiTheme="minorHAnsi" w:hAnsiTheme="minorHAnsi"/>
          <w:b/>
          <w:sz w:val="22"/>
          <w:szCs w:val="22"/>
        </w:rPr>
        <w:t xml:space="preserve">ch zwierząt </w:t>
      </w:r>
      <w:r>
        <w:rPr>
          <w:rFonts w:asciiTheme="minorHAnsi" w:hAnsiTheme="minorHAnsi" w:cs="Tahoma"/>
          <w:b/>
        </w:rPr>
        <w:t>na rok ……….”</w:t>
      </w:r>
    </w:p>
    <w:p w:rsidR="00F00BCE" w:rsidRDefault="00F00BCE" w:rsidP="00F00BCE">
      <w:pPr>
        <w:autoSpaceDE w:val="0"/>
        <w:autoSpaceDN w:val="0"/>
        <w:adjustRightInd w:val="0"/>
        <w:jc w:val="center"/>
        <w:rPr>
          <w:rFonts w:asciiTheme="minorHAnsi" w:hAnsiTheme="minorHAnsi" w:cs="Tahoma"/>
          <w:b/>
          <w:sz w:val="22"/>
          <w:szCs w:val="22"/>
        </w:rPr>
      </w:pPr>
      <w:r>
        <w:rPr>
          <w:rFonts w:asciiTheme="minorHAnsi" w:hAnsiTheme="minorHAnsi" w:cs="Tahoma"/>
          <w:b/>
          <w:sz w:val="22"/>
          <w:szCs w:val="22"/>
        </w:rPr>
        <w:t xml:space="preserve">„Nie otwierać przed dniem </w:t>
      </w:r>
      <w:r>
        <w:rPr>
          <w:rFonts w:asciiTheme="minorHAnsi" w:hAnsiTheme="minorHAnsi" w:cs="Tahoma"/>
          <w:b/>
        </w:rPr>
        <w:t>……….. r., godz. ……….</w:t>
      </w:r>
      <w:r>
        <w:rPr>
          <w:rFonts w:asciiTheme="minorHAnsi" w:hAnsiTheme="minorHAnsi" w:cs="Tahoma"/>
          <w:b/>
          <w:sz w:val="22"/>
          <w:szCs w:val="22"/>
        </w:rPr>
        <w:t>”</w:t>
      </w:r>
    </w:p>
    <w:p w:rsidR="00F00BCE" w:rsidRDefault="00F00BCE" w:rsidP="00F00BCE">
      <w:pPr>
        <w:pStyle w:val="Akapitzlist"/>
        <w:numPr>
          <w:ilvl w:val="0"/>
          <w:numId w:val="5"/>
        </w:numPr>
        <w:autoSpaceDE w:val="0"/>
        <w:autoSpaceDN w:val="0"/>
        <w:adjustRightInd w:val="0"/>
        <w:spacing w:before="120"/>
        <w:ind w:left="714" w:hanging="357"/>
        <w:jc w:val="both"/>
        <w:rPr>
          <w:rFonts w:asciiTheme="minorHAnsi" w:hAnsiTheme="minorHAnsi" w:cs="Tahoma"/>
          <w:sz w:val="22"/>
          <w:szCs w:val="22"/>
        </w:rPr>
      </w:pPr>
      <w:r>
        <w:rPr>
          <w:rFonts w:asciiTheme="minorHAnsi" w:hAnsiTheme="minorHAnsi" w:cs="Tahoma"/>
          <w:sz w:val="22"/>
          <w:szCs w:val="22"/>
        </w:rPr>
        <w:lastRenderedPageBreak/>
        <w:t xml:space="preserve">Przed upływem terminu składania Wniosków o finansowanie lub dofinansowanie, Podmiot utylizacyjny może wprowadzić zmiany do złożonego wniosku lub go wycofać. Oświadczenia </w:t>
      </w:r>
      <w:r>
        <w:rPr>
          <w:rFonts w:asciiTheme="minorHAnsi" w:hAnsiTheme="minorHAnsi" w:cs="Tahoma"/>
          <w:sz w:val="22"/>
          <w:szCs w:val="22"/>
        </w:rPr>
        <w:br/>
        <w:t>o wprowadzonych zmianach we wniosku powinny być doręczone Agencji na piśmie przed upływem terminu składania ofert wniosków lub wysłane w tym terminie pocztą, listem poleconym. Oświadczenie powinno być opakowane tak, jak Wniosek o finansowanie lub dofinansowanie oraz powinno dodatkowo na opakowaniu zawierać odpowiednio dodatkowe oznaczenie wyrazem: „ZMIANA” lub „WYCOFANIE”. W przypadku zmiany, określenie zmiana powinno znajdować się również na każdej stronie składanego dokumentu, w przypadku niezachowania tej formy może ono nie zostać uwzględnione.</w:t>
      </w:r>
    </w:p>
    <w:p w:rsidR="00F00BCE" w:rsidRDefault="00F00BCE" w:rsidP="00F00BCE">
      <w:pPr>
        <w:autoSpaceDE w:val="0"/>
        <w:autoSpaceDN w:val="0"/>
        <w:adjustRightInd w:val="0"/>
        <w:spacing w:before="240"/>
        <w:jc w:val="both"/>
        <w:rPr>
          <w:rFonts w:asciiTheme="minorHAnsi" w:hAnsiTheme="minorHAnsi" w:cs="Tahoma"/>
          <w:b/>
        </w:rPr>
      </w:pPr>
      <w:r>
        <w:rPr>
          <w:rFonts w:asciiTheme="minorHAnsi" w:hAnsiTheme="minorHAnsi" w:cs="Tahoma"/>
          <w:b/>
        </w:rPr>
        <w:t>1.1.5  Opis sposobu porozumiewania się oraz udzielania wyjaśnień.</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t>Wszelkie oświadczenia, wnioski, zawiadomienia oraz inne informacje Agencja oraz Podmioty utylizacyjne będą przekazywać listownie, faksem lub drogą elektroniczną. Agencja wymaga niezwłocznego potwierdzenia przez Podmiot utylizacyjny faktu otrzymania każdej informacji przekazanej w innej formie niż pisemna, a na żądanie Podmiotu potwierdzi fakt otrzymania od niego informacji.</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t>Forma pisemna zastrzeżona jest dla złożenia wniosku wraz z załącznikami, w tym oświadczeń i dokumentów potwierdzających spełnianie warunków udziału w postępowaniu oraz oświadczeń i dokumentów potwierdzających spełnianie wymagań określonych przez Agencję, a także zmiany lub wycofania wniosku.</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t>Podmiot utylizacyjny może się zwrócić do Agencji o wyjaśnienia treści WNW (a nie potwierdzenia ich zapisów), sposobu przygotowania i złożenia wniosku.</w:t>
      </w:r>
    </w:p>
    <w:p w:rsidR="00F00BCE" w:rsidRDefault="00F00BCE" w:rsidP="00F00BCE">
      <w:pPr>
        <w:autoSpaceDE w:val="0"/>
        <w:autoSpaceDN w:val="0"/>
        <w:adjustRightInd w:val="0"/>
        <w:jc w:val="both"/>
        <w:rPr>
          <w:rFonts w:asciiTheme="minorHAnsi" w:hAnsiTheme="minorHAnsi" w:cs="Tahoma"/>
          <w:sz w:val="22"/>
          <w:szCs w:val="22"/>
        </w:rPr>
      </w:pPr>
    </w:p>
    <w:p w:rsidR="00F00BCE" w:rsidRDefault="00F00BCE" w:rsidP="00F00BCE">
      <w:pPr>
        <w:autoSpaceDE w:val="0"/>
        <w:autoSpaceDN w:val="0"/>
        <w:adjustRightInd w:val="0"/>
        <w:jc w:val="both"/>
        <w:rPr>
          <w:rFonts w:asciiTheme="minorHAnsi" w:hAnsiTheme="minorHAnsi" w:cs="Tahoma"/>
          <w:sz w:val="22"/>
          <w:szCs w:val="22"/>
        </w:rPr>
      </w:pPr>
      <w:r>
        <w:rPr>
          <w:rFonts w:asciiTheme="minorHAnsi" w:hAnsiTheme="minorHAnsi" w:cs="Tahoma"/>
          <w:sz w:val="22"/>
          <w:szCs w:val="22"/>
        </w:rPr>
        <w:t>Pytania należy kierować na adres:</w:t>
      </w:r>
    </w:p>
    <w:p w:rsidR="00F00BCE" w:rsidRDefault="00F00BCE" w:rsidP="00F00BCE">
      <w:pPr>
        <w:autoSpaceDE w:val="0"/>
        <w:autoSpaceDN w:val="0"/>
        <w:adjustRightInd w:val="0"/>
        <w:jc w:val="both"/>
        <w:rPr>
          <w:rFonts w:asciiTheme="minorHAnsi" w:hAnsiTheme="minorHAnsi" w:cs="Tahoma"/>
          <w:b/>
          <w:sz w:val="22"/>
          <w:szCs w:val="22"/>
        </w:rPr>
      </w:pPr>
      <w:r>
        <w:rPr>
          <w:rFonts w:asciiTheme="minorHAnsi" w:hAnsiTheme="minorHAnsi" w:cs="Tahoma"/>
          <w:b/>
          <w:sz w:val="22"/>
          <w:szCs w:val="22"/>
        </w:rPr>
        <w:t>Agencja Restrukturyzacji i Modernizacji Rolnictwa</w:t>
      </w:r>
    </w:p>
    <w:p w:rsidR="00F00BCE" w:rsidRDefault="00F00BCE" w:rsidP="00F00BCE">
      <w:pPr>
        <w:autoSpaceDE w:val="0"/>
        <w:autoSpaceDN w:val="0"/>
        <w:adjustRightInd w:val="0"/>
        <w:jc w:val="both"/>
        <w:rPr>
          <w:rFonts w:asciiTheme="minorHAnsi" w:hAnsiTheme="minorHAnsi" w:cs="Tahoma"/>
          <w:sz w:val="22"/>
          <w:szCs w:val="22"/>
        </w:rPr>
      </w:pPr>
      <w:r>
        <w:rPr>
          <w:rFonts w:asciiTheme="minorHAnsi" w:hAnsiTheme="minorHAnsi" w:cs="Tahoma"/>
          <w:b/>
          <w:sz w:val="22"/>
          <w:szCs w:val="22"/>
        </w:rPr>
        <w:t>Departament Wsparcia Krajowego</w:t>
      </w:r>
    </w:p>
    <w:p w:rsidR="00F00BCE" w:rsidRDefault="00F00BCE" w:rsidP="00F00BCE">
      <w:pPr>
        <w:autoSpaceDE w:val="0"/>
        <w:autoSpaceDN w:val="0"/>
        <w:adjustRightInd w:val="0"/>
        <w:jc w:val="both"/>
        <w:rPr>
          <w:rFonts w:asciiTheme="minorHAnsi" w:hAnsiTheme="minorHAnsi" w:cs="Tahoma"/>
          <w:sz w:val="22"/>
          <w:szCs w:val="22"/>
        </w:rPr>
      </w:pPr>
      <w:r>
        <w:rPr>
          <w:rFonts w:asciiTheme="minorHAnsi" w:hAnsiTheme="minorHAnsi" w:cs="Tahoma"/>
          <w:sz w:val="22"/>
          <w:szCs w:val="22"/>
        </w:rPr>
        <w:t>ul. Poleczki 33,  02-822 Warszawa</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t>Numer faksu oraz adres poczty elektronicznej, pod które mogą być przesyłane pytania dotyczące treści WNW zostanie podany w treści ogłoszenia o zasadach rozpatrywania wniosków, o którym mowa w pkt. 1.2 niniejszych zasad.</w:t>
      </w:r>
    </w:p>
    <w:p w:rsidR="00F00BCE" w:rsidRDefault="00F00BCE" w:rsidP="00F00BCE">
      <w:pPr>
        <w:autoSpaceDE w:val="0"/>
        <w:autoSpaceDN w:val="0"/>
        <w:adjustRightInd w:val="0"/>
        <w:jc w:val="both"/>
        <w:rPr>
          <w:rFonts w:asciiTheme="minorHAnsi" w:hAnsiTheme="minorHAnsi" w:cs="Tahoma"/>
          <w:sz w:val="22"/>
          <w:szCs w:val="22"/>
        </w:rPr>
      </w:pPr>
    </w:p>
    <w:p w:rsidR="00F00BCE" w:rsidRDefault="00F00BCE" w:rsidP="00F00BCE">
      <w:pPr>
        <w:autoSpaceDE w:val="0"/>
        <w:autoSpaceDN w:val="0"/>
        <w:adjustRightInd w:val="0"/>
        <w:jc w:val="both"/>
        <w:rPr>
          <w:rFonts w:asciiTheme="minorHAnsi" w:hAnsiTheme="minorHAnsi" w:cs="Tahoma"/>
          <w:sz w:val="22"/>
          <w:szCs w:val="22"/>
        </w:rPr>
      </w:pPr>
      <w:r>
        <w:rPr>
          <w:rFonts w:asciiTheme="minorHAnsi" w:hAnsiTheme="minorHAnsi" w:cs="Tahoma"/>
          <w:sz w:val="22"/>
          <w:szCs w:val="22"/>
        </w:rPr>
        <w:t>Agencja odpowie niezwłocznie na pytanie przesyłając treść wyjaśnienia pytającemu i publikując pytanie oraz odpowiedź na oficjalnej stronie internetowej ARiMR (www.arimr.gov.pl), bez ujawnienia źródła zapytania. Agencja udzieli wyjaśnień niezwłocznie, jednak nie później niż na 2 dni przed terminem składania wniosków, pod warunkiem, że wniosek o wyjaśnienie treści WNW wpłynął do Agencji nie później niż 5 dni przed wyznaczonym terminem składania wniosków (decyduje data wpływu do kancelarii ARiMR).</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t>Jeśli wniosek o wyjaśnienie treści WNW wpłynął od Podmiotu utylizacyjnego w terminie późniejszym niż 5 dni przed wyznaczonym terminem składania wniosków Agencja udzieli wyjaśnień stosownie do możliwości ich opracowania i opublikowania na stronie internetowej ARiMR, co może skutkować opublikowaniem stanowiska po terminie składania wniosków, tj. po 30 września.</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t>W przypadku rozbieżności pomiędzy treścią WNW a treścią wyjaśnienia, jako obowiązującą należy przyjąć treść pisma zawierającego późniejsze oświadczenie Agencji.</w:t>
      </w:r>
    </w:p>
    <w:p w:rsidR="00F00BCE" w:rsidRDefault="00F00BCE" w:rsidP="00F00BCE">
      <w:pPr>
        <w:autoSpaceDE w:val="0"/>
        <w:autoSpaceDN w:val="0"/>
        <w:adjustRightInd w:val="0"/>
        <w:spacing w:before="120"/>
        <w:jc w:val="both"/>
        <w:rPr>
          <w:rFonts w:asciiTheme="minorHAnsi" w:hAnsiTheme="minorHAnsi" w:cs="Tahoma"/>
          <w:sz w:val="22"/>
          <w:szCs w:val="22"/>
        </w:rPr>
      </w:pPr>
      <w:r>
        <w:rPr>
          <w:rFonts w:asciiTheme="minorHAnsi" w:hAnsiTheme="minorHAnsi" w:cs="Tahoma"/>
          <w:sz w:val="22"/>
          <w:szCs w:val="22"/>
        </w:rPr>
        <w:t xml:space="preserve">Wszelkie kontakty firm zainteresowanych złożeniem wniosków o finansowanie muszą być prowadzone z zachowaniem formy pisemnej lub w formie elektronicznej z wykorzystaniem skrzynki </w:t>
      </w:r>
      <w:hyperlink r:id="rId5" w:history="1">
        <w:r>
          <w:rPr>
            <w:rStyle w:val="Hipercze"/>
            <w:rFonts w:asciiTheme="minorHAnsi" w:hAnsiTheme="minorHAnsi" w:cs="Tahoma"/>
            <w:sz w:val="22"/>
            <w:szCs w:val="22"/>
          </w:rPr>
          <w:t>utylizacja@arimr.gov.pl</w:t>
        </w:r>
      </w:hyperlink>
      <w:r>
        <w:rPr>
          <w:rFonts w:asciiTheme="minorHAnsi" w:hAnsiTheme="minorHAnsi" w:cs="Tahoma"/>
          <w:sz w:val="22"/>
          <w:szCs w:val="22"/>
        </w:rPr>
        <w:t xml:space="preserve"> </w:t>
      </w:r>
    </w:p>
    <w:p w:rsidR="00F00BCE" w:rsidRDefault="00F00BCE" w:rsidP="00F00BCE">
      <w:pPr>
        <w:autoSpaceDE w:val="0"/>
        <w:autoSpaceDN w:val="0"/>
        <w:adjustRightInd w:val="0"/>
        <w:spacing w:before="240"/>
        <w:jc w:val="both"/>
        <w:rPr>
          <w:rFonts w:asciiTheme="minorHAnsi" w:hAnsiTheme="minorHAnsi" w:cs="Tahoma"/>
          <w:b/>
        </w:rPr>
      </w:pPr>
      <w:r>
        <w:rPr>
          <w:rFonts w:asciiTheme="minorHAnsi" w:hAnsiTheme="minorHAnsi" w:cs="Tahoma"/>
          <w:b/>
        </w:rPr>
        <w:t>1.1.6  Opis sposobu otwarcia złożonych wniosków o finansowanie lub dofinansowanie.</w:t>
      </w:r>
    </w:p>
    <w:p w:rsidR="00F00BCE" w:rsidRDefault="00F00BCE" w:rsidP="00F00BCE">
      <w:pPr>
        <w:pStyle w:val="NormalnyWeb"/>
        <w:spacing w:before="120" w:beforeAutospacing="0" w:after="0" w:afterAutospacing="0"/>
        <w:jc w:val="both"/>
        <w:rPr>
          <w:rFonts w:asciiTheme="minorHAnsi" w:hAnsiTheme="minorHAnsi"/>
          <w:sz w:val="22"/>
          <w:szCs w:val="22"/>
        </w:rPr>
      </w:pPr>
      <w:r>
        <w:rPr>
          <w:rFonts w:asciiTheme="minorHAnsi" w:hAnsiTheme="minorHAnsi"/>
          <w:sz w:val="22"/>
          <w:szCs w:val="22"/>
        </w:rPr>
        <w:lastRenderedPageBreak/>
        <w:t xml:space="preserve">W celu zapewnienia prawidłowego przebiegu naboru wniosków, Dyrektor Departamentu Wsparcia Krajowego powołuje doraźną komisję składającą się z trzech osób, tj. przewodniczącego, sekretarza i członka komisji. Komisyjne otwarcie kopert z wnioskami przeprowadza się w terminie i miejscu podanym do publicznej wiadomości na stronie internetowej </w:t>
      </w:r>
      <w:r>
        <w:rPr>
          <w:rFonts w:asciiTheme="minorHAnsi" w:hAnsiTheme="minorHAnsi"/>
          <w:i/>
          <w:sz w:val="22"/>
          <w:szCs w:val="22"/>
          <w:u w:val="single"/>
        </w:rPr>
        <w:t>www.arimr.gov.pl</w:t>
      </w:r>
      <w:r>
        <w:rPr>
          <w:rFonts w:asciiTheme="minorHAnsi" w:hAnsiTheme="minorHAnsi"/>
          <w:sz w:val="22"/>
          <w:szCs w:val="22"/>
        </w:rPr>
        <w:t xml:space="preserve"> w </w:t>
      </w:r>
      <w:r>
        <w:rPr>
          <w:rFonts w:asciiTheme="minorHAnsi" w:hAnsiTheme="minorHAnsi"/>
          <w:i/>
          <w:sz w:val="22"/>
          <w:szCs w:val="22"/>
        </w:rPr>
        <w:t>Informacji o naborze wniosków na dany rok.</w:t>
      </w:r>
      <w:r>
        <w:rPr>
          <w:rFonts w:asciiTheme="minorHAnsi" w:hAnsiTheme="minorHAnsi"/>
          <w:sz w:val="22"/>
          <w:szCs w:val="22"/>
        </w:rPr>
        <w:t xml:space="preserve"> Z otwarcia ofert jest sporządzany protokół zawierający w szczególności listę podmiotów, które złożyły wnioski oraz zawarty w nich zakres terytorialny i oferowane ceny usług.</w:t>
      </w:r>
    </w:p>
    <w:p w:rsidR="00F00BCE" w:rsidRPr="006956E3" w:rsidRDefault="006956E3" w:rsidP="006956E3">
      <w:pPr>
        <w:spacing w:before="120"/>
        <w:jc w:val="both"/>
        <w:rPr>
          <w:rFonts w:asciiTheme="minorHAnsi" w:hAnsiTheme="minorHAnsi"/>
          <w:bCs/>
          <w:sz w:val="22"/>
          <w:szCs w:val="22"/>
          <w:u w:val="single"/>
        </w:rPr>
      </w:pPr>
      <w:bookmarkStart w:id="0" w:name="_GoBack"/>
      <w:bookmarkEnd w:id="0"/>
      <w:r>
        <w:rPr>
          <w:rFonts w:asciiTheme="minorHAnsi" w:hAnsiTheme="minorHAnsi"/>
          <w:sz w:val="22"/>
          <w:szCs w:val="22"/>
        </w:rPr>
        <w:t xml:space="preserve">Załącznik </w:t>
      </w:r>
      <w:r w:rsidR="00F00BCE" w:rsidRPr="006956E3">
        <w:rPr>
          <w:rFonts w:asciiTheme="minorHAnsi" w:hAnsiTheme="minorHAnsi"/>
          <w:sz w:val="22"/>
          <w:szCs w:val="22"/>
        </w:rPr>
        <w:t xml:space="preserve"> – Wzór wniosku o finansowanie lub dofinansowanie, ponoszonych przez producentów rolnych kosztów zbioru, transportu i unieszkodliwiania padłych zwierząt gospodarskich z gatunku bydło, owce, kozy, świnie lub konie.</w:t>
      </w:r>
    </w:p>
    <w:p w:rsidR="00F00BCE" w:rsidRDefault="00F00BCE" w:rsidP="00F00BCE">
      <w:pPr>
        <w:spacing w:before="120"/>
        <w:ind w:left="426"/>
        <w:jc w:val="both"/>
        <w:rPr>
          <w:rFonts w:asciiTheme="minorHAnsi" w:hAnsiTheme="minorHAnsi"/>
          <w:color w:val="FF0000"/>
          <w:sz w:val="22"/>
          <w:szCs w:val="22"/>
        </w:rPr>
      </w:pPr>
    </w:p>
    <w:p w:rsidR="003E6768" w:rsidRDefault="003E6768"/>
    <w:sectPr w:rsidR="003E6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45A"/>
    <w:multiLevelType w:val="multilevel"/>
    <w:tmpl w:val="366A0F58"/>
    <w:lvl w:ilvl="0">
      <w:start w:val="1"/>
      <w:numFmt w:val="decimal"/>
      <w:lvlText w:val="%1"/>
      <w:lvlJc w:val="left"/>
      <w:pPr>
        <w:ind w:left="705" w:hanging="705"/>
      </w:pPr>
      <w:rPr>
        <w:sz w:val="22"/>
      </w:rPr>
    </w:lvl>
    <w:lvl w:ilvl="1">
      <w:start w:val="1"/>
      <w:numFmt w:val="decimal"/>
      <w:lvlText w:val="%1.%2"/>
      <w:lvlJc w:val="left"/>
      <w:pPr>
        <w:ind w:left="705" w:hanging="705"/>
      </w:pPr>
      <w:rPr>
        <w:sz w:val="22"/>
      </w:rPr>
    </w:lvl>
    <w:lvl w:ilvl="2">
      <w:start w:val="1"/>
      <w:numFmt w:val="decimal"/>
      <w:lvlText w:val="%1.%2.%3"/>
      <w:lvlJc w:val="left"/>
      <w:pPr>
        <w:ind w:left="720" w:hanging="720"/>
      </w:pPr>
      <w:rPr>
        <w:sz w:val="22"/>
      </w:rPr>
    </w:lvl>
    <w:lvl w:ilvl="3">
      <w:start w:val="1"/>
      <w:numFmt w:val="decimal"/>
      <w:lvlText w:val="%1.%2.%3.%4"/>
      <w:lvlJc w:val="left"/>
      <w:pPr>
        <w:ind w:left="720" w:hanging="720"/>
      </w:pPr>
      <w:rPr>
        <w:sz w:val="22"/>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1" w15:restartNumberingAfterBreak="0">
    <w:nsid w:val="1746178D"/>
    <w:multiLevelType w:val="hybridMultilevel"/>
    <w:tmpl w:val="BEF2C7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CBC5EFE"/>
    <w:multiLevelType w:val="hybridMultilevel"/>
    <w:tmpl w:val="CCC432A8"/>
    <w:lvl w:ilvl="0" w:tplc="BC1897A0">
      <w:start w:val="1"/>
      <w:numFmt w:val="lowerLetter"/>
      <w:lvlText w:val="%1)"/>
      <w:lvlJc w:val="left"/>
      <w:pPr>
        <w:ind w:left="360" w:hanging="360"/>
      </w:pPr>
      <w:rPr>
        <w: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FEB77B2"/>
    <w:multiLevelType w:val="multilevel"/>
    <w:tmpl w:val="716CC6E6"/>
    <w:lvl w:ilvl="0">
      <w:start w:val="3"/>
      <w:numFmt w:val="decimal"/>
      <w:lvlText w:val="%1."/>
      <w:lvlJc w:val="left"/>
      <w:pPr>
        <w:ind w:left="360" w:hanging="360"/>
      </w:pPr>
      <w:rPr>
        <w:strike w:val="0"/>
        <w:dstrike w:val="0"/>
        <w:u w:val="none"/>
        <w:effect w:val="none"/>
      </w:rPr>
    </w:lvl>
    <w:lvl w:ilvl="1">
      <w:start w:val="1"/>
      <w:numFmt w:val="decimal"/>
      <w:lvlText w:val="%1.%2."/>
      <w:lvlJc w:val="left"/>
      <w:pPr>
        <w:ind w:left="786" w:hanging="360"/>
      </w:pPr>
      <w:rPr>
        <w:strike w:val="0"/>
        <w:dstrike w:val="0"/>
        <w:u w:val="none"/>
        <w:effect w:val="none"/>
      </w:rPr>
    </w:lvl>
    <w:lvl w:ilvl="2">
      <w:start w:val="1"/>
      <w:numFmt w:val="decimal"/>
      <w:lvlText w:val="%1.%2.%3."/>
      <w:lvlJc w:val="left"/>
      <w:pPr>
        <w:ind w:left="3548" w:hanging="720"/>
      </w:pPr>
      <w:rPr>
        <w:strike w:val="0"/>
        <w:dstrike w:val="0"/>
        <w:u w:val="none"/>
        <w:effect w:val="none"/>
      </w:rPr>
    </w:lvl>
    <w:lvl w:ilvl="3">
      <w:start w:val="1"/>
      <w:numFmt w:val="decimal"/>
      <w:lvlText w:val="%1.%2.%3.%4."/>
      <w:lvlJc w:val="left"/>
      <w:pPr>
        <w:ind w:left="4962" w:hanging="720"/>
      </w:pPr>
      <w:rPr>
        <w:strike w:val="0"/>
        <w:dstrike w:val="0"/>
        <w:u w:val="none"/>
        <w:effect w:val="none"/>
      </w:rPr>
    </w:lvl>
    <w:lvl w:ilvl="4">
      <w:start w:val="1"/>
      <w:numFmt w:val="decimal"/>
      <w:lvlText w:val="%1.%2.%3.%4.%5."/>
      <w:lvlJc w:val="left"/>
      <w:pPr>
        <w:ind w:left="6736" w:hanging="1080"/>
      </w:pPr>
      <w:rPr>
        <w:strike w:val="0"/>
        <w:dstrike w:val="0"/>
        <w:u w:val="none"/>
        <w:effect w:val="none"/>
      </w:rPr>
    </w:lvl>
    <w:lvl w:ilvl="5">
      <w:start w:val="1"/>
      <w:numFmt w:val="decimal"/>
      <w:lvlText w:val="%1.%2.%3.%4.%5.%6."/>
      <w:lvlJc w:val="left"/>
      <w:pPr>
        <w:ind w:left="8150" w:hanging="1080"/>
      </w:pPr>
      <w:rPr>
        <w:strike w:val="0"/>
        <w:dstrike w:val="0"/>
        <w:u w:val="none"/>
        <w:effect w:val="none"/>
      </w:rPr>
    </w:lvl>
    <w:lvl w:ilvl="6">
      <w:start w:val="1"/>
      <w:numFmt w:val="decimal"/>
      <w:lvlText w:val="%1.%2.%3.%4.%5.%6.%7."/>
      <w:lvlJc w:val="left"/>
      <w:pPr>
        <w:ind w:left="9924" w:hanging="1440"/>
      </w:pPr>
      <w:rPr>
        <w:strike w:val="0"/>
        <w:dstrike w:val="0"/>
        <w:u w:val="none"/>
        <w:effect w:val="none"/>
      </w:rPr>
    </w:lvl>
    <w:lvl w:ilvl="7">
      <w:start w:val="1"/>
      <w:numFmt w:val="decimal"/>
      <w:lvlText w:val="%1.%2.%3.%4.%5.%6.%7.%8."/>
      <w:lvlJc w:val="left"/>
      <w:pPr>
        <w:ind w:left="11338" w:hanging="1440"/>
      </w:pPr>
      <w:rPr>
        <w:strike w:val="0"/>
        <w:dstrike w:val="0"/>
        <w:u w:val="none"/>
        <w:effect w:val="none"/>
      </w:rPr>
    </w:lvl>
    <w:lvl w:ilvl="8">
      <w:start w:val="1"/>
      <w:numFmt w:val="decimal"/>
      <w:lvlText w:val="%1.%2.%3.%4.%5.%6.%7.%8.%9."/>
      <w:lvlJc w:val="left"/>
      <w:pPr>
        <w:ind w:left="13112" w:hanging="1800"/>
      </w:pPr>
      <w:rPr>
        <w:strike w:val="0"/>
        <w:dstrike w:val="0"/>
        <w:u w:val="none"/>
        <w:effect w:val="none"/>
      </w:rPr>
    </w:lvl>
  </w:abstractNum>
  <w:abstractNum w:abstractNumId="4" w15:restartNumberingAfterBreak="0">
    <w:nsid w:val="320A60F9"/>
    <w:multiLevelType w:val="hybridMultilevel"/>
    <w:tmpl w:val="158870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C460898"/>
    <w:multiLevelType w:val="multilevel"/>
    <w:tmpl w:val="9D2401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CAE2801"/>
    <w:multiLevelType w:val="hybridMultilevel"/>
    <w:tmpl w:val="F11A35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9B97AC0"/>
    <w:multiLevelType w:val="multilevel"/>
    <w:tmpl w:val="F8E4F4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Courier New" w:hAnsi="Courier New" w:cs="Times New Roman"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BE66F4C"/>
    <w:multiLevelType w:val="hybridMultilevel"/>
    <w:tmpl w:val="0480E30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588D6FDE"/>
    <w:multiLevelType w:val="hybridMultilevel"/>
    <w:tmpl w:val="759C68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B36512D"/>
    <w:multiLevelType w:val="hybridMultilevel"/>
    <w:tmpl w:val="2EA4B69E"/>
    <w:lvl w:ilvl="0" w:tplc="2ADA755E">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1" w15:restartNumberingAfterBreak="0">
    <w:nsid w:val="7EA72B9D"/>
    <w:multiLevelType w:val="hybridMultilevel"/>
    <w:tmpl w:val="AEE636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CE"/>
    <w:rsid w:val="003E6768"/>
    <w:rsid w:val="006956E3"/>
    <w:rsid w:val="00A509D9"/>
    <w:rsid w:val="00F00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DB0E0-E202-40C8-8369-49F5575E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0B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00BCE"/>
    <w:rPr>
      <w:color w:val="0000FF"/>
      <w:u w:val="single"/>
    </w:rPr>
  </w:style>
  <w:style w:type="paragraph" w:styleId="NormalnyWeb">
    <w:name w:val="Normal (Web)"/>
    <w:basedOn w:val="Normalny"/>
    <w:semiHidden/>
    <w:unhideWhenUsed/>
    <w:rsid w:val="00F00BCE"/>
    <w:pPr>
      <w:spacing w:before="100" w:beforeAutospacing="1" w:after="100" w:afterAutospacing="1"/>
    </w:pPr>
  </w:style>
  <w:style w:type="paragraph" w:styleId="Bezodstpw">
    <w:name w:val="No Spacing"/>
    <w:uiPriority w:val="1"/>
    <w:qFormat/>
    <w:rsid w:val="00F00BCE"/>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00BCE"/>
    <w:pPr>
      <w:ind w:left="720"/>
      <w:contextualSpacing/>
    </w:pPr>
  </w:style>
  <w:style w:type="character" w:customStyle="1" w:styleId="akapitdomyslny">
    <w:name w:val="akapitdomyslny"/>
    <w:basedOn w:val="Domylnaczcionkaakapitu"/>
    <w:rsid w:val="00F00BCE"/>
  </w:style>
  <w:style w:type="character" w:customStyle="1" w:styleId="akapitustep">
    <w:name w:val="akapitustep"/>
    <w:basedOn w:val="Domylnaczcionkaakapitu"/>
    <w:rsid w:val="00F00BCE"/>
  </w:style>
  <w:style w:type="character" w:customStyle="1" w:styleId="point">
    <w:name w:val="point"/>
    <w:basedOn w:val="Domylnaczcionkaakapitu"/>
    <w:rsid w:val="00F0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tylizacja@arim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1481</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Wolniakowska Monika</dc:creator>
  <cp:keywords/>
  <dc:description/>
  <cp:lastModifiedBy>Wolniakowska Monika</cp:lastModifiedBy>
  <cp:revision>3</cp:revision>
  <dcterms:created xsi:type="dcterms:W3CDTF">2016-09-19T10:19:00Z</dcterms:created>
  <dcterms:modified xsi:type="dcterms:W3CDTF">2016-09-19T10:39:00Z</dcterms:modified>
</cp:coreProperties>
</file>