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:rsidR="00745930" w:rsidRDefault="0074593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III kwartał 2020 roku</w:t>
      </w:r>
    </w:p>
    <w:p w:rsidR="00745930" w:rsidRDefault="009B120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2"/>
      </w:tblGrid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 Edukacji Narodowej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4B" w:rsidRPr="006D6F4B" w:rsidRDefault="006D6F4B" w:rsidP="006D6F4B">
            <w:pPr>
              <w:spacing w:line="276" w:lineRule="auto"/>
            </w:pPr>
            <w:r w:rsidRPr="006D6F4B">
              <w:t xml:space="preserve">Program Operacyjny Wiedza Edukacja Rozwój, Oś priorytetowa II, </w:t>
            </w:r>
            <w:r>
              <w:t>Działanie 2.11 Zapewnienie funkcjonowania Zintegrowanego Rejestru Kwalifikacji</w:t>
            </w:r>
          </w:p>
          <w:p w:rsidR="006D6F4B" w:rsidRDefault="006D6F4B" w:rsidP="006D6F4B">
            <w:pPr>
              <w:spacing w:line="276" w:lineRule="auto"/>
            </w:pPr>
            <w:r w:rsidRPr="006D6F4B">
              <w:t>w części EFS</w:t>
            </w:r>
            <w:r>
              <w:t>:</w:t>
            </w:r>
            <w:r w:rsidRPr="006D6F4B">
              <w:t> </w:t>
            </w:r>
            <w:r>
              <w:t>84,28%</w:t>
            </w:r>
            <w:r>
              <w:t xml:space="preserve">, </w:t>
            </w:r>
            <w:r w:rsidRPr="006D6F4B">
              <w:t>w części wkładu krajowego</w:t>
            </w:r>
            <w:r>
              <w:t>:</w:t>
            </w:r>
            <w:r w:rsidRPr="006D6F4B">
              <w:t xml:space="preserve"> </w:t>
            </w:r>
            <w:r>
              <w:t>15,72%</w:t>
            </w:r>
          </w:p>
          <w:p w:rsidR="00745930" w:rsidRPr="006D6F4B" w:rsidRDefault="002A2313" w:rsidP="006D6F4B">
            <w:pPr>
              <w:spacing w:line="276" w:lineRule="auto"/>
              <w:rPr>
                <w:i/>
              </w:rPr>
            </w:pPr>
            <w:r w:rsidRPr="006D6F4B">
              <w:rPr>
                <w:i/>
              </w:rPr>
              <w:t>budżet państwa: część 30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</w:pPr>
            <w:r>
              <w:t>Wartość początkowa projektu: 19 892 935,88 zł brutto</w:t>
            </w:r>
          </w:p>
          <w:p w:rsidR="00745930" w:rsidRDefault="009B1200">
            <w:pPr>
              <w:spacing w:line="276" w:lineRule="auto"/>
            </w:pPr>
            <w:r>
              <w:t>Wartość obecna projektu: 1</w:t>
            </w:r>
            <w:bookmarkStart w:id="0" w:name="_GoBack"/>
            <w:bookmarkEnd w:id="0"/>
            <w:r>
              <w:t>8 826 530,04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projektu - wydatki </w:t>
            </w:r>
            <w:r>
              <w:rPr>
                <w:rFonts w:ascii="Arial" w:hAnsi="Arial" w:cs="Arial"/>
                <w:b/>
                <w:sz w:val="24"/>
                <w:szCs w:val="24"/>
              </w:rPr>
              <w:t>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18 826 530,04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01-01-2018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pierwotna data zakończenia realizacji projektu: 30-06-2020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 xml:space="preserve">data zakończenia realizacji projektu: 30-11-2020 wynikająca z Aneksu nr 3 do </w:t>
            </w:r>
            <w:r>
              <w:t>umowy o dofinansowanie.</w:t>
            </w:r>
          </w:p>
          <w:p w:rsidR="00745930" w:rsidRDefault="00745930">
            <w:pPr>
              <w:spacing w:after="0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5930" w:rsidRDefault="009B1200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</w:t>
      </w:r>
      <w:r>
        <w:t>osił jednolity tekst ustawy o ZSK.</w:t>
      </w:r>
    </w:p>
    <w:p w:rsidR="00745930" w:rsidRDefault="009B1200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4593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5930">
        <w:tc>
          <w:tcPr>
            <w:tcW w:w="2972" w:type="dxa"/>
          </w:tcPr>
          <w:p w:rsidR="00745930" w:rsidRDefault="009B1200">
            <w:pPr>
              <w:spacing w:after="0" w:line="240" w:lineRule="auto"/>
            </w:pPr>
            <w:r>
              <w:t>% czasu przeznaczonego na realizację projektu, który upłynął do końca okresu sprawozdawczego: 94%</w:t>
            </w:r>
          </w:p>
        </w:tc>
        <w:tc>
          <w:tcPr>
            <w:tcW w:w="3260" w:type="dxa"/>
          </w:tcPr>
          <w:p w:rsidR="00745930" w:rsidRDefault="009B1200"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rFonts w:ascii="Calibri" w:hAnsi="Calibri" w:cs="Calibri"/>
              </w:rPr>
              <w:t>91,359%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>% wartość wydatków kwalifikowalnych wykazanych w zatwierdzonych wnioskach o płatność w stosunku do wartości umowy/porozumienia o dofinansowanie w części środków</w:t>
            </w:r>
            <w:r>
              <w:t xml:space="preserve"> kwalifikowalnych: </w:t>
            </w:r>
            <w:r>
              <w:rPr>
                <w:rFonts w:ascii="Calibri" w:hAnsi="Calibri" w:cs="Calibri"/>
              </w:rPr>
              <w:t>79,647%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 xml:space="preserve">% wartość wydatkowanych kwalifikowalnych poniesionych w projekcie w stosunku do wartości umowy/porozumienia o dofinansowanie w części środków kwalifikowalnych: </w:t>
            </w:r>
            <w:r>
              <w:rPr>
                <w:rFonts w:ascii="Calibri" w:hAnsi="Calibri" w:cs="Calibri"/>
              </w:rPr>
              <w:t>91,343%</w:t>
            </w:r>
          </w:p>
        </w:tc>
        <w:tc>
          <w:tcPr>
            <w:tcW w:w="3402" w:type="dxa"/>
          </w:tcPr>
          <w:p w:rsidR="00745930" w:rsidRDefault="009B1200">
            <w:pPr>
              <w:spacing w:after="0" w:line="240" w:lineRule="auto"/>
            </w:pPr>
            <w:r>
              <w:lastRenderedPageBreak/>
              <w:t>% wartość środków zaangażowanych w projekcie: 100%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74593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5930" w:rsidRDefault="009B1200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5930" w:rsidRDefault="009B120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74593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 xml:space="preserve">Pojawienie się w ZRK krótkich charakterystyk pierwszych stu </w:t>
            </w:r>
            <w:r>
              <w:rPr>
                <w:rFonts w:eastAsia="Times New Roman"/>
              </w:rPr>
              <w:t>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1914" w:type="dxa"/>
          </w:tcPr>
          <w:p w:rsidR="00745930" w:rsidRDefault="009B120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Osiągnięty 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 xml:space="preserve">Pojawienie się informacji o kwalifikacjach z ZRK  (po polsku i po angielsku) na </w:t>
            </w:r>
            <w:r>
              <w:rPr>
                <w:rFonts w:eastAsia="Times New Roman"/>
              </w:rPr>
              <w:t>portalu ERK</w:t>
            </w:r>
            <w:r>
              <w:rPr>
                <w:rStyle w:val="Odwoaniedokomentarza"/>
              </w:rPr>
              <w:t xml:space="preserve"> </w:t>
            </w:r>
            <w:r>
              <w:rPr>
                <w:rStyle w:val="Odwoaniedokomentarza"/>
                <w:sz w:val="24"/>
                <w:szCs w:val="24"/>
              </w:rPr>
              <w:t>(</w:t>
            </w:r>
            <w:proofErr w:type="spellStart"/>
            <w:r>
              <w:rPr>
                <w:rStyle w:val="Odwoaniedokomentarza"/>
                <w:sz w:val="24"/>
                <w:szCs w:val="24"/>
              </w:rPr>
              <w:t>Ploteus</w:t>
            </w:r>
            <w:proofErr w:type="spellEnd"/>
            <w:r>
              <w:rPr>
                <w:rStyle w:val="Odwoaniedokomentarza"/>
                <w:sz w:val="24"/>
                <w:szCs w:val="24"/>
              </w:rPr>
              <w:t>, LOQ)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3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1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745930" w:rsidRDefault="00745930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Sam rejestr został odebrany, pozostała do przeprowadzenia faza wdrażania i integracji z aplikacjami, których termin odbioru został przesunięty względem pierwotnie </w:t>
            </w:r>
            <w:r>
              <w:rPr>
                <w:rFonts w:eastAsia="Times New Roman"/>
              </w:rPr>
              <w:lastRenderedPageBreak/>
              <w:t xml:space="preserve">planowanego, zgodnie z poniżej zamieszczonymi informacjami. 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</w:pPr>
            <w:r>
              <w:lastRenderedPageBreak/>
              <w:t>aplikacje typu łącznikowego (do</w:t>
            </w:r>
            <w:r>
              <w:t xml:space="preserve"> eksportu/importu danych z systemów </w:t>
            </w:r>
            <w:proofErr w:type="spellStart"/>
            <w:r>
              <w:t>POLon</w:t>
            </w:r>
            <w:proofErr w:type="spellEnd"/>
            <w:r>
              <w:t>; LOQ (</w:t>
            </w:r>
            <w:proofErr w:type="spellStart"/>
            <w:r>
              <w:t>Ploteus</w:t>
            </w:r>
            <w:proofErr w:type="spellEnd"/>
            <w:r>
              <w:t>); badania „Ekonomicznych Losów Absolwentów” (ELA)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:rsidR="00745930" w:rsidRDefault="009B120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 (ELA)</w:t>
            </w:r>
          </w:p>
        </w:tc>
        <w:tc>
          <w:tcPr>
            <w:tcW w:w="191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 trakcie realizacji 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Okres </w:t>
            </w:r>
            <w:r>
              <w:rPr>
                <w:rFonts w:eastAsia="Times New Roman"/>
              </w:rPr>
              <w:t>rozpoczęcia realizacji projektu zaplanowano na styczeń 2018 r., jednakże w wyniku opóźnień faktyczny okres realizacji rozpoczął się w marcu 2018 r. Ponadto, w okresie kwiecień-sierpień 2018 r. była prowadzona kontrola IZ dotycząca realizacji projektu, w zw</w:t>
            </w:r>
            <w:r>
              <w:rPr>
                <w:rFonts w:eastAsia="Times New Roman"/>
              </w:rPr>
              <w:t>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2020 r. dodatkowe spowolnienie prac wynikające z pandemii COVID-19.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edukac</w:t>
            </w:r>
            <w:r>
              <w:t xml:space="preserve">yjnego („ścieżki rozwoju” - mapa wszystkich/wybranych kwalifikacji w postaci skierowanego grafu; aplikacja „kompas” - do oceny ścieżek rozwoju w zależności od zainteresowań/kompetencji; „szkolnictwo branżowe” - do wspomagania rodziców w wyborze szkoły dla </w:t>
            </w:r>
            <w:r>
              <w:t>dzieci)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</w:t>
            </w:r>
          </w:p>
        </w:tc>
        <w:tc>
          <w:tcPr>
            <w:tcW w:w="1914" w:type="dxa"/>
          </w:tcPr>
          <w:p w:rsidR="00745930" w:rsidRDefault="00745930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Okres rozpoczęcia realizacji projektu zaplanowano na styczeń 2018 r., jednakże w wyniku opóźnień faktyczny okres realizacji rozpoczął się w marcu 2018 r. Ponadto, w okresie </w:t>
            </w:r>
            <w:r>
              <w:rPr>
                <w:rFonts w:eastAsia="Times New Roman"/>
              </w:rPr>
              <w:t>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</w:t>
            </w:r>
            <w:r>
              <w:rPr>
                <w:rFonts w:eastAsia="Times New Roman"/>
              </w:rPr>
              <w:t>020 r. dodatkowe spowolnienie prac wynikające z pandemii COVID-19.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</w:pPr>
            <w:r>
              <w:t xml:space="preserve">aplikacje dla uprzywilejowanych użytkowników („Aktywne </w:t>
            </w:r>
            <w:r>
              <w:lastRenderedPageBreak/>
              <w:t xml:space="preserve">formularze” - obsługujące </w:t>
            </w:r>
            <w:proofErr w:type="spellStart"/>
            <w:r>
              <w:t>workflow</w:t>
            </w:r>
            <w:proofErr w:type="spellEnd"/>
            <w:r>
              <w:t xml:space="preserve"> obsługi wniosków i do współpracy grupowej (ocena wniosku, przypisywanie poziomu do kwalifikacji); </w:t>
            </w:r>
            <w:r>
              <w:t>„zarządzanie kwalifikacjami” - do zarządzania własnymi kwalifikacjami i raportowania dla danego uprawnionego podmiotu; „IC/PZZJ” - do gromadzenia danych z IC/PZZJ i raportowania właściwym podmiotom)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09-2018 („AF”)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12-2018</w:t>
            </w:r>
            <w:r>
              <w:rPr>
                <w:rFonts w:eastAsia="Times New Roman"/>
              </w:rPr>
              <w:t xml:space="preserve"> („IC/PZZJ”)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91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06-2020 („AF”)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 w:rsidR="00745930" w:rsidRDefault="009B1200">
            <w:pPr>
              <w:pStyle w:val="Akapitzlist"/>
              <w:spacing w:after="0" w:line="240" w:lineRule="auto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12-2019 („ZK”)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Osiągnięty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Przyczyny przekroczenia planowanego terminu realizacji </w:t>
            </w:r>
            <w:r>
              <w:rPr>
                <w:rFonts w:eastAsia="Times New Roman"/>
              </w:rPr>
              <w:lastRenderedPageBreak/>
              <w:t xml:space="preserve">kamienia milowego wynikają z przyczyn niezależnych od Beneficjenta – okres rozpoczęcia realizacji projektu </w:t>
            </w:r>
            <w:r>
              <w:rPr>
                <w:rFonts w:eastAsia="Times New Roman"/>
              </w:rPr>
              <w:t>zaplanowano na styczeń 2018 r., jednakże w wyniku opóźnień faktyczny okres realizacji rozpoczął się w marcu 2018 r. Ponadto, w okresie kwiecień-sierpień 2018 r. była prowadzona kontrola IZ dotycząca realizacji projektu, w związku z czym ograniczono prowadz</w:t>
            </w:r>
            <w:r>
              <w:rPr>
                <w:rFonts w:eastAsia="Times New Roman"/>
              </w:rPr>
              <w:t>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 xml:space="preserve">do poziomu niezbędnego finansowego minimum. W 2020 r. dodatkowe spowolnienie prac wynikające z pandemii COVID-19. </w:t>
            </w:r>
          </w:p>
        </w:tc>
      </w:tr>
    </w:tbl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459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Funkcjonujący ZRK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:rsidR="00745930" w:rsidRDefault="009B1200">
            <w:pPr>
              <w:spacing w:after="0" w:line="240" w:lineRule="auto"/>
            </w:pPr>
            <w:r>
              <w:t>1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autoSpaceDE w:val="0"/>
              <w:autoSpaceDN w:val="0"/>
              <w:adjustRightInd w:val="0"/>
              <w:spacing w:after="0" w:line="240" w:lineRule="auto"/>
            </w:pPr>
            <w:r>
              <w:t>Odsetek pełnych kwalifikacji wpisanych do ZRK</w:t>
            </w: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</w:pPr>
            <w:r>
              <w:t>100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  <w:p w:rsidR="00745930" w:rsidRDefault="00745930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745930" w:rsidRDefault="009B1200">
            <w:pPr>
              <w:spacing w:after="0" w:line="240" w:lineRule="auto"/>
            </w:pPr>
            <w:r>
              <w:t>100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iCs/>
              </w:rPr>
              <w:t xml:space="preserve">Zmodernizowany system </w:t>
            </w:r>
            <w:r>
              <w:rPr>
                <w:iCs/>
              </w:rPr>
              <w:t>informatyczny ZRK</w:t>
            </w: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</w:tc>
        <w:tc>
          <w:tcPr>
            <w:tcW w:w="2268" w:type="dxa"/>
          </w:tcPr>
          <w:p w:rsidR="00745930" w:rsidRDefault="009B1200">
            <w:pPr>
              <w:spacing w:after="0" w:line="240" w:lineRule="auto"/>
            </w:pPr>
            <w:r>
              <w:t>0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rPr>
                <w:rFonts w:eastAsia="Times New Roman"/>
              </w:rPr>
              <w:t>Sam rejestr został odebrany, pozostała do przeprowadzenia faza wdrażania</w:t>
            </w:r>
            <w:r>
              <w:rPr>
                <w:rFonts w:eastAsia="Times New Roman"/>
              </w:rPr>
              <w:t>, migracji danych</w:t>
            </w:r>
            <w:r>
              <w:rPr>
                <w:rFonts w:eastAsia="Times New Roman"/>
              </w:rPr>
              <w:t xml:space="preserve"> i integracji z aplikacjami powstającymi w ramach projektu. </w:t>
            </w: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3"/>
        <w:gridCol w:w="1182"/>
        <w:gridCol w:w="1133"/>
        <w:gridCol w:w="4386"/>
      </w:tblGrid>
      <w:tr w:rsidR="0074593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służące do wymiany danych z innymi systemami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 xml:space="preserve">, LOQ, ELA)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 xml:space="preserve">„ścieżki rozwoju”, „kompas”, </w:t>
            </w:r>
            <w:r>
              <w:rPr>
                <w:iCs/>
              </w:rPr>
              <w:t>”szkolnictwo branżowe”)</w:t>
            </w: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45930">
        <w:tc>
          <w:tcPr>
            <w:tcW w:w="293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4593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:rsidR="00745930" w:rsidRDefault="00745930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459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930">
        <w:tc>
          <w:tcPr>
            <w:tcW w:w="254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11-2020</w:t>
            </w:r>
          </w:p>
        </w:tc>
        <w:tc>
          <w:tcPr>
            <w:tcW w:w="1843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5930" w:rsidRDefault="009B120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Nie dotyczy.</w:t>
            </w:r>
          </w:p>
          <w:p w:rsidR="00745930" w:rsidRDefault="009B120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 xml:space="preserve">Zmodernizowany Zintegrowany Rejestr Kwalifikacji zachowuje wszystkie dotychczasowe funkcje istniejącego rejestru w zakresie pobierania i udostępniania danych, w tym API do pobierania informacji z rejestru oraz eksporty wybranych danych w formie </w:t>
            </w:r>
            <w:proofErr w:type="spellStart"/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xml</w:t>
            </w:r>
            <w:proofErr w:type="spellEnd"/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. ZRK je</w:t>
            </w: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st systemem referencyjnym dla ew. innych systemów, udostępnia nieodpłatnie dane w for</w:t>
            </w: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lastRenderedPageBreak/>
              <w:t>mie API, eksportów XML lub za pomocą portalu internetowego </w:t>
            </w:r>
            <w:hyperlink r:id="rId9" w:tgtFrame="_blank" w:history="1">
              <w:r>
                <w:rPr>
                  <w:rFonts w:ascii="Calibri" w:eastAsia="Times New Roman" w:hAnsi="Calibri" w:cs="Calibri"/>
                  <w:color w:val="1155CC"/>
                  <w:szCs w:val="24"/>
                  <w:u w:val="single"/>
                  <w:lang w:eastAsia="pl-PL"/>
                </w:rPr>
                <w:t>kwalifikacje.gov.pl</w:t>
              </w:r>
            </w:hyperlink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. Modernizacja nie dotyczy interfejsó</w:t>
            </w: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w systemu i nie ma wpływu na zależności/powiązania z innymi systemami.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5930" w:rsidRDefault="009B120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74593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45930">
        <w:tc>
          <w:tcPr>
            <w:tcW w:w="3265" w:type="dxa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Ryzyko </w:t>
            </w:r>
            <w:r>
              <w:t>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małe</w:t>
            </w:r>
          </w:p>
        </w:tc>
        <w:tc>
          <w:tcPr>
            <w:tcW w:w="2410" w:type="dxa"/>
          </w:tcPr>
          <w:p w:rsidR="00745930" w:rsidRDefault="009B1200">
            <w:pPr>
              <w:spacing w:after="0" w:line="240" w:lineRule="auto"/>
            </w:pPr>
            <w:r>
              <w:t>Zarządzanie ryzykiem polega na monitorowaniu i raportowaniu postępu prac. Każde ze zleceń zewnętrznych (zamówienie, o</w:t>
            </w:r>
            <w:r>
              <w:t xml:space="preserve">głoszenie) o wartości przekraczającej 100 tys. zł będzie oddzielnie traktowane jako projekt z własnym zarządzaniem (komitet sterujący, zespół projektowy, etapowanie prac, umowa zabezpieczająca terminy i płatności). Zabezpieczeniem dodatkowym jest założony </w:t>
            </w:r>
            <w:r>
              <w:t>bezpieczny termin wykonania zamówienia. Modernizacja i nowopowstałe aplikacje nie są od siebie zależne, wykonawcy będą wyłaniani w oddzielnych postępowaniach, co minimalizuje ryzyko związania się z jednym niesolidnym wykonawcą.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W związku z zakończeniem ko</w:t>
            </w:r>
            <w:r>
              <w:t>lejnych umów ryzyko to spada, jednak nadal dotyczy ostatnich wykonywanych aplikacji.</w:t>
            </w:r>
          </w:p>
        </w:tc>
      </w:tr>
      <w:tr w:rsidR="00745930">
        <w:tc>
          <w:tcPr>
            <w:tcW w:w="3265" w:type="dxa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 w:rsidR="00745930" w:rsidRDefault="009B1200"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 w:rsidR="00745930" w:rsidRDefault="009B1200">
            <w:pPr>
              <w:spacing w:after="0" w:line="240" w:lineRule="auto"/>
            </w:pPr>
            <w:r>
              <w:t xml:space="preserve">IBE będzie posiadało na własnych serwerach żywą kopię systemu co </w:t>
            </w:r>
            <w:r>
              <w:t>umożliwi kontynuowanie funkcjonowanie rejestru po kilkugodzinnej przerwie.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>Ryzyko utrzymuje się na tym samym poziomie.</w:t>
            </w:r>
          </w:p>
        </w:tc>
      </w:tr>
      <w:tr w:rsidR="00745930">
        <w:tc>
          <w:tcPr>
            <w:tcW w:w="3265" w:type="dxa"/>
            <w:vAlign w:val="center"/>
          </w:tcPr>
          <w:p w:rsidR="00745930" w:rsidRDefault="009B1200">
            <w:pPr>
              <w:spacing w:after="0" w:line="240" w:lineRule="auto"/>
            </w:pPr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 w:rsidR="00745930" w:rsidRDefault="009B1200"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 w:rsidR="00745930" w:rsidRDefault="009B1200">
            <w:pPr>
              <w:spacing w:after="0" w:line="240" w:lineRule="auto"/>
            </w:pPr>
            <w:r>
              <w:t>Zamawiane oprogramowanie będzie podlegało testom bezpiecze</w:t>
            </w:r>
            <w:r>
              <w:t>ństwa wykonywanym przez trzecią stronę; Funkcjonujący rejestr będzie monitorowany przez pracownika IT  IBE.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>Ryzyko utrzymuje się na tym samym poziomie.</w:t>
            </w:r>
          </w:p>
        </w:tc>
      </w:tr>
      <w:tr w:rsidR="00745930">
        <w:tc>
          <w:tcPr>
            <w:tcW w:w="3265" w:type="dxa"/>
            <w:vAlign w:val="center"/>
          </w:tcPr>
          <w:p w:rsidR="00745930" w:rsidRDefault="009B1200">
            <w:pPr>
              <w:spacing w:after="0" w:line="240" w:lineRule="auto"/>
            </w:pPr>
            <w:r>
              <w:t>Ryzyko związane z wystąpieniem COVID-19</w:t>
            </w:r>
          </w:p>
        </w:tc>
        <w:tc>
          <w:tcPr>
            <w:tcW w:w="1697" w:type="dxa"/>
          </w:tcPr>
          <w:p w:rsidR="00745930" w:rsidRDefault="009B1200">
            <w:pPr>
              <w:spacing w:after="0" w:line="240" w:lineRule="auto"/>
            </w:pPr>
            <w:r>
              <w:t>duża</w:t>
            </w:r>
          </w:p>
        </w:tc>
        <w:tc>
          <w:tcPr>
            <w:tcW w:w="2126" w:type="dxa"/>
          </w:tcPr>
          <w:p w:rsidR="00745930" w:rsidRDefault="009B1200">
            <w:pPr>
              <w:spacing w:after="0" w:line="240" w:lineRule="auto"/>
            </w:pPr>
            <w:r>
              <w:t>duże</w:t>
            </w:r>
          </w:p>
        </w:tc>
        <w:tc>
          <w:tcPr>
            <w:tcW w:w="2410" w:type="dxa"/>
          </w:tcPr>
          <w:p w:rsidR="00745930" w:rsidRDefault="009B1200">
            <w:pPr>
              <w:spacing w:after="0" w:line="240" w:lineRule="auto"/>
            </w:pPr>
            <w:r>
              <w:t xml:space="preserve">W związku z wystąpieniem pandemii COVID-19 pojawiły </w:t>
            </w:r>
            <w:r>
              <w:t>się problemy ze współpracą z obecnymi i przyszłymi Wykonawcami oraz dostawcami usług (zwolnienia, praca zdalna, brak spotkań bezpośrednich). Zagraża to terminowości odbieranych prac. W celu zapobiegania, tam gdzie jest to możliwe i zasadne, podpisano aneks</w:t>
            </w:r>
            <w:r>
              <w:t>y przedłużające termin realizacji umów. Termin realizacji projektu został wydłużony do 11.2020 r. (Aneks nr 3).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Ryzyko utrzymuje się na wysokim poziomie. </w:t>
            </w:r>
          </w:p>
        </w:tc>
      </w:tr>
    </w:tbl>
    <w:p w:rsidR="00745930" w:rsidRDefault="0074593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125"/>
        <w:gridCol w:w="2693"/>
      </w:tblGrid>
      <w:tr w:rsidR="007459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5930">
        <w:trPr>
          <w:trHeight w:val="724"/>
        </w:trPr>
        <w:tc>
          <w:tcPr>
            <w:tcW w:w="3261" w:type="dxa"/>
            <w:shd w:val="clear" w:color="auto" w:fill="auto"/>
          </w:tcPr>
          <w:p w:rsidR="00745930" w:rsidRDefault="009B1200"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 w:rsidR="00745930" w:rsidRDefault="0074593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t xml:space="preserve">Przeciwdziałaniem jest ścisła współpraca z </w:t>
            </w:r>
            <w:r>
              <w:t>ekspertami i środowiskiem akademickim w celu zachęcenia uczelni do aktywnego udziału w przedsięwzięciu. Zadanie to będzie zadaniem zleconym uczelniom (płatnym). Dodatkowo powstał  pakiet wsparcia: seminaria informacyjne i warsztaty, przygotowanie wytycznyc</w:t>
            </w:r>
            <w:r>
              <w:t>h do tworzenia krótkich opisów kwalifikacji i tłumaczeń nazw i krótkich opisów kwalifikacji i przygotowanie wzorcowych opisów/tłumaczeń nazw i krótkich charakterystyk kwalifikacji.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5930" w:rsidRDefault="009B1200">
      <w:pPr>
        <w:spacing w:after="0" w:line="240" w:lineRule="auto"/>
        <w:jc w:val="both"/>
      </w:pPr>
      <w:r>
        <w:t>Nie dotyczy</w:t>
      </w:r>
    </w:p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  <w:r>
        <w:t xml:space="preserve">Marek </w:t>
      </w:r>
      <w:r>
        <w:t>Kopyt, Instytut Badań Edukacyjnych, M.Kopyt@ibe.edu.pl, tel. +48601265143</w:t>
      </w:r>
      <w:bookmarkEnd w:id="2"/>
    </w:p>
    <w:p w:rsidR="00745930" w:rsidRDefault="00745930">
      <w:pPr>
        <w:spacing w:after="0"/>
        <w:jc w:val="both"/>
        <w:rPr>
          <w:rFonts w:ascii="Arial" w:hAnsi="Arial" w:cs="Arial"/>
        </w:rPr>
      </w:pPr>
    </w:p>
    <w:p w:rsidR="00745930" w:rsidRDefault="00745930">
      <w:pPr>
        <w:spacing w:after="0"/>
        <w:jc w:val="both"/>
        <w:rPr>
          <w:rFonts w:ascii="Arial" w:hAnsi="Arial" w:cs="Arial"/>
        </w:rPr>
      </w:pPr>
    </w:p>
    <w:p w:rsidR="00745930" w:rsidRDefault="00745930">
      <w:pPr>
        <w:spacing w:after="0"/>
        <w:jc w:val="both"/>
        <w:rPr>
          <w:rFonts w:ascii="Arial" w:hAnsi="Arial" w:cs="Arial"/>
        </w:rPr>
      </w:pPr>
    </w:p>
    <w:sectPr w:rsidR="00745930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200" w:rsidRDefault="009B1200">
      <w:pPr>
        <w:spacing w:after="0" w:line="240" w:lineRule="auto"/>
      </w:pPr>
      <w:r>
        <w:separator/>
      </w:r>
    </w:p>
  </w:endnote>
  <w:endnote w:type="continuationSeparator" w:id="0">
    <w:p w:rsidR="009B1200" w:rsidRDefault="009B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charset w:val="8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07321"/>
    </w:sdtPr>
    <w:sdtEndPr/>
    <w:sdtContent>
      <w:sdt>
        <w:sdtPr>
          <w:id w:val="-1769616900"/>
        </w:sdtPr>
        <w:sdtEndPr/>
        <w:sdtContent>
          <w:p w:rsidR="00745930" w:rsidRDefault="009B12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930" w:rsidRDefault="00745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200" w:rsidRDefault="009B1200">
      <w:pPr>
        <w:spacing w:after="0" w:line="240" w:lineRule="auto"/>
      </w:pPr>
      <w:r>
        <w:separator/>
      </w:r>
    </w:p>
  </w:footnote>
  <w:footnote w:type="continuationSeparator" w:id="0">
    <w:p w:rsidR="009B1200" w:rsidRDefault="009B1200">
      <w:pPr>
        <w:spacing w:after="0" w:line="240" w:lineRule="auto"/>
      </w:pPr>
      <w:r>
        <w:continuationSeparator/>
      </w:r>
    </w:p>
  </w:footnote>
  <w:footnote w:id="1">
    <w:p w:rsidR="00745930" w:rsidRDefault="009B12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B5227"/>
    <w:multiLevelType w:val="multilevel"/>
    <w:tmpl w:val="662B522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63EBB"/>
    <w:rsid w:val="00176FBB"/>
    <w:rsid w:val="00181E97"/>
    <w:rsid w:val="00182A08"/>
    <w:rsid w:val="001847EB"/>
    <w:rsid w:val="00187C5B"/>
    <w:rsid w:val="001A105B"/>
    <w:rsid w:val="001A2EF2"/>
    <w:rsid w:val="001C2D74"/>
    <w:rsid w:val="001C7FAC"/>
    <w:rsid w:val="001D167C"/>
    <w:rsid w:val="001E0CAC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2313"/>
    <w:rsid w:val="002A3C02"/>
    <w:rsid w:val="002A5452"/>
    <w:rsid w:val="002B4889"/>
    <w:rsid w:val="002B50C0"/>
    <w:rsid w:val="002B64B1"/>
    <w:rsid w:val="002B6F21"/>
    <w:rsid w:val="002D3D4A"/>
    <w:rsid w:val="002D5F58"/>
    <w:rsid w:val="002D7ADA"/>
    <w:rsid w:val="002E2FAF"/>
    <w:rsid w:val="002E567A"/>
    <w:rsid w:val="002F29A3"/>
    <w:rsid w:val="0030196F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508E7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A21B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5117"/>
    <w:rsid w:val="006C78AE"/>
    <w:rsid w:val="006D45AD"/>
    <w:rsid w:val="006D6F4B"/>
    <w:rsid w:val="006E0285"/>
    <w:rsid w:val="006E0CFA"/>
    <w:rsid w:val="006E6205"/>
    <w:rsid w:val="00701800"/>
    <w:rsid w:val="007064FD"/>
    <w:rsid w:val="00725708"/>
    <w:rsid w:val="00740A47"/>
    <w:rsid w:val="00745930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9B2"/>
    <w:rsid w:val="00976434"/>
    <w:rsid w:val="00992EA3"/>
    <w:rsid w:val="009967CA"/>
    <w:rsid w:val="009A17FF"/>
    <w:rsid w:val="009B1200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122C4"/>
    <w:rsid w:val="00C21393"/>
    <w:rsid w:val="00C26361"/>
    <w:rsid w:val="00C302F1"/>
    <w:rsid w:val="00C3575F"/>
    <w:rsid w:val="00C42AEA"/>
    <w:rsid w:val="00C57985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D02F6D"/>
    <w:rsid w:val="00D057C2"/>
    <w:rsid w:val="00D05B1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6403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A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kwalifikacj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A41205-2C9A-45E2-B288-ECD60FF3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2020-11-16T13:56:00Z</dcterms:created>
  <dcterms:modified xsi:type="dcterms:W3CDTF">2020-11-16T13:56:00Z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