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6DD38" w14:textId="3E9DB866" w:rsidR="00137353" w:rsidRPr="004458AE" w:rsidRDefault="001C7247" w:rsidP="00B83B38">
      <w:pPr>
        <w:spacing w:before="100" w:beforeAutospacing="1" w:after="100" w:afterAutospacing="1" w:line="360" w:lineRule="auto"/>
        <w:jc w:val="center"/>
        <w:rPr>
          <w:rFonts w:ascii="Arial" w:hAnsi="Arial" w:cs="Arial"/>
          <w:b/>
        </w:rPr>
      </w:pPr>
      <w:r w:rsidRPr="004458AE">
        <w:rPr>
          <w:rFonts w:ascii="Arial" w:hAnsi="Arial" w:cs="Arial"/>
          <w:b/>
        </w:rPr>
        <w:t xml:space="preserve">Standardy w orzecznictwie ETPCz </w:t>
      </w:r>
    </w:p>
    <w:p w14:paraId="09FDAB0D" w14:textId="35176AEC" w:rsidR="00543BB1" w:rsidRPr="004B25F1" w:rsidRDefault="001C7247" w:rsidP="004B25F1">
      <w:pPr>
        <w:spacing w:before="100" w:beforeAutospacing="1" w:after="100" w:afterAutospacing="1" w:line="360" w:lineRule="auto"/>
        <w:jc w:val="center"/>
        <w:rPr>
          <w:rFonts w:ascii="Arial" w:hAnsi="Arial" w:cs="Arial"/>
          <w:b/>
        </w:rPr>
      </w:pPr>
      <w:r w:rsidRPr="004458AE">
        <w:rPr>
          <w:rFonts w:ascii="Arial" w:hAnsi="Arial" w:cs="Arial"/>
          <w:b/>
        </w:rPr>
        <w:t>w zakresie p</w:t>
      </w:r>
      <w:r w:rsidR="000B214C" w:rsidRPr="004458AE">
        <w:rPr>
          <w:rFonts w:ascii="Arial" w:hAnsi="Arial" w:cs="Arial"/>
          <w:b/>
        </w:rPr>
        <w:t>rzemoc</w:t>
      </w:r>
      <w:r w:rsidRPr="004458AE">
        <w:rPr>
          <w:rFonts w:ascii="Arial" w:hAnsi="Arial" w:cs="Arial"/>
          <w:b/>
        </w:rPr>
        <w:t>y</w:t>
      </w:r>
      <w:r w:rsidR="000B214C" w:rsidRPr="004458AE">
        <w:rPr>
          <w:rFonts w:ascii="Arial" w:hAnsi="Arial" w:cs="Arial"/>
          <w:b/>
        </w:rPr>
        <w:t xml:space="preserve"> domow</w:t>
      </w:r>
      <w:r w:rsidRPr="004458AE">
        <w:rPr>
          <w:rFonts w:ascii="Arial" w:hAnsi="Arial" w:cs="Arial"/>
          <w:b/>
        </w:rPr>
        <w:t>ej</w:t>
      </w:r>
    </w:p>
    <w:p w14:paraId="241926C0" w14:textId="57464936" w:rsidR="003F2FD4" w:rsidRPr="004458AE" w:rsidRDefault="00A8407A" w:rsidP="00A275F3">
      <w:pPr>
        <w:pStyle w:val="Tekstpodstawowy"/>
        <w:spacing w:before="19" w:after="240" w:line="360" w:lineRule="auto"/>
        <w:ind w:left="0"/>
        <w:rPr>
          <w:rFonts w:ascii="Arial" w:hAnsi="Arial" w:cs="Arial"/>
          <w:sz w:val="22"/>
          <w:szCs w:val="22"/>
        </w:rPr>
      </w:pPr>
      <w:r w:rsidRPr="004458AE">
        <w:rPr>
          <w:rFonts w:ascii="Arial" w:hAnsi="Arial" w:cs="Arial"/>
          <w:b/>
          <w:sz w:val="22"/>
          <w:szCs w:val="22"/>
        </w:rPr>
        <w:t>[</w:t>
      </w:r>
      <w:r w:rsidR="00121F8C" w:rsidRPr="004458AE">
        <w:rPr>
          <w:rFonts w:ascii="Arial" w:hAnsi="Arial" w:cs="Arial"/>
          <w:b/>
          <w:sz w:val="22"/>
          <w:szCs w:val="22"/>
        </w:rPr>
        <w:t xml:space="preserve">Koncepcja </w:t>
      </w:r>
      <w:r w:rsidR="0012588C" w:rsidRPr="004458AE">
        <w:rPr>
          <w:rFonts w:ascii="Arial" w:hAnsi="Arial" w:cs="Arial"/>
          <w:b/>
          <w:sz w:val="22"/>
          <w:szCs w:val="22"/>
        </w:rPr>
        <w:t xml:space="preserve">pozytywnych </w:t>
      </w:r>
      <w:r w:rsidR="00121F8C" w:rsidRPr="004458AE">
        <w:rPr>
          <w:rFonts w:ascii="Arial" w:hAnsi="Arial" w:cs="Arial"/>
          <w:b/>
          <w:sz w:val="22"/>
          <w:szCs w:val="22"/>
        </w:rPr>
        <w:t xml:space="preserve">obowiązków </w:t>
      </w:r>
      <w:r w:rsidR="0012588C" w:rsidRPr="004458AE">
        <w:rPr>
          <w:rFonts w:ascii="Arial" w:hAnsi="Arial" w:cs="Arial"/>
          <w:b/>
          <w:sz w:val="22"/>
          <w:szCs w:val="22"/>
        </w:rPr>
        <w:t>państwa</w:t>
      </w:r>
      <w:r w:rsidR="00040302" w:rsidRPr="004458AE">
        <w:rPr>
          <w:rFonts w:ascii="Arial" w:hAnsi="Arial" w:cs="Arial"/>
          <w:b/>
          <w:sz w:val="22"/>
          <w:szCs w:val="22"/>
        </w:rPr>
        <w:t xml:space="preserve"> wobec ofiar przemocy domowej</w:t>
      </w:r>
      <w:r w:rsidRPr="004458AE">
        <w:rPr>
          <w:rFonts w:ascii="Arial" w:hAnsi="Arial" w:cs="Arial"/>
          <w:b/>
          <w:sz w:val="22"/>
          <w:szCs w:val="22"/>
        </w:rPr>
        <w:t>]</w:t>
      </w:r>
    </w:p>
    <w:p w14:paraId="6FFD5A79" w14:textId="2DE45C7A" w:rsidR="00BA3AB4" w:rsidRPr="004458AE" w:rsidRDefault="0012588C" w:rsidP="00A275F3">
      <w:pPr>
        <w:pStyle w:val="Tekstpodstawowy"/>
        <w:spacing w:before="19" w:after="240" w:line="360" w:lineRule="auto"/>
        <w:ind w:left="0"/>
        <w:rPr>
          <w:rStyle w:val="sb8d990e2"/>
          <w:rFonts w:ascii="Arial" w:hAnsi="Arial" w:cs="Arial"/>
          <w:color w:val="000000"/>
          <w:sz w:val="22"/>
          <w:szCs w:val="22"/>
          <w:shd w:val="clear" w:color="auto" w:fill="FFFFFF"/>
        </w:rPr>
      </w:pPr>
      <w:r w:rsidRPr="004458AE">
        <w:rPr>
          <w:rFonts w:ascii="Arial" w:hAnsi="Arial" w:cs="Arial"/>
          <w:b/>
          <w:sz w:val="22"/>
          <w:szCs w:val="22"/>
        </w:rPr>
        <w:t>Przewidziany w art. 1 Konwencji wymóg zapewnienia praw przewidzianych w Konwencji</w:t>
      </w:r>
      <w:r w:rsidR="00D351C6" w:rsidRPr="004458AE">
        <w:rPr>
          <w:rFonts w:ascii="Arial" w:hAnsi="Arial" w:cs="Arial"/>
          <w:b/>
          <w:sz w:val="22"/>
          <w:szCs w:val="22"/>
        </w:rPr>
        <w:t xml:space="preserve"> o ochronie praw człowieka i podstawowych wolności (dalej: Konwencji) </w:t>
      </w:r>
      <w:r w:rsidRPr="004458AE">
        <w:rPr>
          <w:rFonts w:ascii="Arial" w:hAnsi="Arial" w:cs="Arial"/>
          <w:b/>
          <w:sz w:val="22"/>
          <w:szCs w:val="22"/>
        </w:rPr>
        <w:t>wszystkim osobom znajdującym się w zakresie jurysdykcji państwa – strony</w:t>
      </w:r>
      <w:r w:rsidRPr="004458AE">
        <w:rPr>
          <w:rFonts w:ascii="Arial" w:hAnsi="Arial" w:cs="Arial"/>
          <w:bCs/>
          <w:sz w:val="22"/>
          <w:szCs w:val="22"/>
        </w:rPr>
        <w:t>, zakłada</w:t>
      </w:r>
      <w:r w:rsidR="0058272F" w:rsidRPr="004458AE">
        <w:rPr>
          <w:rFonts w:ascii="Arial" w:hAnsi="Arial" w:cs="Arial"/>
          <w:bCs/>
          <w:sz w:val="22"/>
          <w:szCs w:val="22"/>
        </w:rPr>
        <w:t>, że w</w:t>
      </w:r>
      <w:r w:rsidRPr="004458AE">
        <w:rPr>
          <w:rFonts w:ascii="Arial" w:hAnsi="Arial" w:cs="Arial"/>
          <w:bCs/>
          <w:sz w:val="22"/>
          <w:szCs w:val="22"/>
        </w:rPr>
        <w:t xml:space="preserve"> </w:t>
      </w:r>
      <w:r w:rsidR="0058272F" w:rsidRPr="004458AE">
        <w:rPr>
          <w:rFonts w:ascii="Arial" w:hAnsi="Arial" w:cs="Arial"/>
          <w:sz w:val="22"/>
          <w:szCs w:val="22"/>
        </w:rPr>
        <w:t xml:space="preserve">określonych </w:t>
      </w:r>
      <w:r w:rsidRPr="004458AE">
        <w:rPr>
          <w:rFonts w:ascii="Arial" w:hAnsi="Arial" w:cs="Arial"/>
          <w:sz w:val="22"/>
          <w:szCs w:val="22"/>
        </w:rPr>
        <w:t>okolicznościach dla zapewnieni</w:t>
      </w:r>
      <w:r w:rsidR="00687B48" w:rsidRPr="004458AE">
        <w:rPr>
          <w:rFonts w:ascii="Arial" w:hAnsi="Arial" w:cs="Arial"/>
          <w:sz w:val="22"/>
          <w:szCs w:val="22"/>
        </w:rPr>
        <w:t>a</w:t>
      </w:r>
      <w:r w:rsidRPr="004458AE">
        <w:rPr>
          <w:rFonts w:ascii="Arial" w:hAnsi="Arial" w:cs="Arial"/>
          <w:sz w:val="22"/>
          <w:szCs w:val="22"/>
        </w:rPr>
        <w:t xml:space="preserve"> pełnej możliwości korzystania </w:t>
      </w:r>
      <w:r w:rsidR="0058272F" w:rsidRPr="004458AE">
        <w:rPr>
          <w:rFonts w:ascii="Arial" w:hAnsi="Arial" w:cs="Arial"/>
          <w:sz w:val="22"/>
          <w:szCs w:val="22"/>
        </w:rPr>
        <w:t xml:space="preserve">przez jednostkę </w:t>
      </w:r>
      <w:r w:rsidRPr="004458AE">
        <w:rPr>
          <w:rFonts w:ascii="Arial" w:hAnsi="Arial" w:cs="Arial"/>
          <w:sz w:val="22"/>
          <w:szCs w:val="22"/>
        </w:rPr>
        <w:t>z uprawnień konwencyjnych</w:t>
      </w:r>
      <w:r w:rsidR="00687B48" w:rsidRPr="004458AE">
        <w:rPr>
          <w:rFonts w:ascii="Arial" w:hAnsi="Arial" w:cs="Arial"/>
          <w:sz w:val="22"/>
          <w:szCs w:val="22"/>
        </w:rPr>
        <w:t>, nieodzownym jest</w:t>
      </w:r>
      <w:r w:rsidRPr="004458AE">
        <w:rPr>
          <w:rFonts w:ascii="Arial" w:hAnsi="Arial" w:cs="Arial"/>
          <w:sz w:val="22"/>
          <w:szCs w:val="22"/>
        </w:rPr>
        <w:t xml:space="preserve"> podjęcie </w:t>
      </w:r>
      <w:r w:rsidR="0058272F" w:rsidRPr="004458AE">
        <w:rPr>
          <w:rFonts w:ascii="Arial" w:hAnsi="Arial" w:cs="Arial"/>
          <w:sz w:val="22"/>
          <w:szCs w:val="22"/>
        </w:rPr>
        <w:t xml:space="preserve">przez państwo (władze) </w:t>
      </w:r>
      <w:r w:rsidRPr="004458AE">
        <w:rPr>
          <w:rFonts w:ascii="Arial" w:hAnsi="Arial" w:cs="Arial"/>
          <w:sz w:val="22"/>
          <w:szCs w:val="22"/>
        </w:rPr>
        <w:t>określonych działań o charakterze pozytywnym</w:t>
      </w:r>
      <w:r w:rsidR="00BC7CAA" w:rsidRPr="004458AE">
        <w:rPr>
          <w:rFonts w:ascii="Arial" w:hAnsi="Arial" w:cs="Arial"/>
          <w:sz w:val="22"/>
          <w:szCs w:val="22"/>
        </w:rPr>
        <w:t>.</w:t>
      </w:r>
      <w:r w:rsidR="00DE6648" w:rsidRPr="004458AE">
        <w:rPr>
          <w:rFonts w:ascii="Arial" w:hAnsi="Arial" w:cs="Arial"/>
          <w:sz w:val="22"/>
          <w:szCs w:val="22"/>
        </w:rPr>
        <w:t xml:space="preserve"> </w:t>
      </w:r>
      <w:r w:rsidR="00BA3AB4" w:rsidRPr="004458AE">
        <w:rPr>
          <w:rStyle w:val="sb8d990e2"/>
          <w:rFonts w:ascii="Arial" w:hAnsi="Arial" w:cs="Arial"/>
          <w:color w:val="000000"/>
          <w:sz w:val="22"/>
          <w:szCs w:val="22"/>
          <w:shd w:val="clear" w:color="auto" w:fill="FFFFFF"/>
        </w:rPr>
        <w:t> </w:t>
      </w:r>
    </w:p>
    <w:p w14:paraId="2E6A5ADD" w14:textId="6B2D3B98" w:rsidR="00F467CF" w:rsidRPr="004458AE" w:rsidRDefault="00522EBA" w:rsidP="00F467CF">
      <w:pPr>
        <w:autoSpaceDE w:val="0"/>
        <w:autoSpaceDN w:val="0"/>
        <w:adjustRightInd w:val="0"/>
        <w:spacing w:line="360" w:lineRule="auto"/>
        <w:jc w:val="both"/>
        <w:rPr>
          <w:rStyle w:val="sf8bfa2bc"/>
          <w:rFonts w:ascii="Arial" w:hAnsi="Arial" w:cs="Arial"/>
          <w:color w:val="000000"/>
          <w:shd w:val="clear" w:color="auto" w:fill="FFFFFF"/>
        </w:rPr>
      </w:pPr>
      <w:r w:rsidRPr="004458AE">
        <w:rPr>
          <w:rFonts w:ascii="Arial" w:hAnsi="Arial" w:cs="Arial"/>
          <w:b/>
        </w:rPr>
        <w:t>I</w:t>
      </w:r>
      <w:r w:rsidR="00F467CF" w:rsidRPr="004458AE">
        <w:rPr>
          <w:rFonts w:ascii="Arial" w:hAnsi="Arial" w:cs="Arial"/>
          <w:b/>
        </w:rPr>
        <w:t>stnienie po stronie państwa</w:t>
      </w:r>
      <w:r w:rsidR="00F467CF" w:rsidRPr="004458AE">
        <w:rPr>
          <w:rFonts w:ascii="Arial" w:hAnsi="Arial" w:cs="Arial"/>
        </w:rPr>
        <w:t xml:space="preserve"> tego rodzaju </w:t>
      </w:r>
      <w:r w:rsidR="00F467CF" w:rsidRPr="004458AE">
        <w:rPr>
          <w:rFonts w:ascii="Arial" w:hAnsi="Arial" w:cs="Arial"/>
          <w:b/>
        </w:rPr>
        <w:t>obowiązków o charakterze pozytywnym wywodzić można z konieczności zagwarantowania, by prawa przewidziane w Konwencji były skuteczne i efektywne</w:t>
      </w:r>
      <w:r w:rsidR="00F467CF" w:rsidRPr="004458AE">
        <w:rPr>
          <w:rFonts w:ascii="Arial" w:hAnsi="Arial" w:cs="Arial"/>
        </w:rPr>
        <w:t>, a nie jedynie teoretyczne i iluzoryczne.</w:t>
      </w:r>
      <w:r w:rsidR="00AB2FE1">
        <w:rPr>
          <w:rFonts w:ascii="Arial" w:hAnsi="Arial" w:cs="Arial"/>
        </w:rPr>
        <w:t xml:space="preserve"> </w:t>
      </w:r>
      <w:bookmarkStart w:id="0" w:name="_GoBack"/>
      <w:bookmarkEnd w:id="0"/>
      <w:r w:rsidR="00F467CF" w:rsidRPr="004458AE">
        <w:rPr>
          <w:rFonts w:ascii="Arial" w:hAnsi="Arial" w:cs="Arial"/>
          <w:b/>
          <w:bCs/>
        </w:rPr>
        <w:t>N</w:t>
      </w:r>
      <w:r w:rsidR="00F467CF" w:rsidRPr="004458AE">
        <w:rPr>
          <w:rStyle w:val="sf8bfa2bc"/>
          <w:rFonts w:ascii="Arial" w:hAnsi="Arial" w:cs="Arial"/>
          <w:b/>
          <w:bCs/>
          <w:color w:val="000000"/>
          <w:shd w:val="clear" w:color="auto" w:fill="FFFFFF"/>
        </w:rPr>
        <w:t xml:space="preserve">iepodjęcie rozsądnych środków, które mogłyby realnie zmienić przebieg wydarzeń lub ograniczyć wyrządzoną szkodę, wystarcza do uznania, że w grę wchodzi odpowiedzialność państwa </w:t>
      </w:r>
      <w:r w:rsidR="00F467CF" w:rsidRPr="004458AE">
        <w:rPr>
          <w:rStyle w:val="sf8bfa2bc"/>
          <w:rFonts w:ascii="Arial" w:hAnsi="Arial" w:cs="Arial"/>
          <w:color w:val="000000"/>
          <w:shd w:val="clear" w:color="auto" w:fill="FFFFFF"/>
        </w:rPr>
        <w:t>(</w:t>
      </w:r>
      <w:r w:rsidR="00F467CF" w:rsidRPr="004458AE">
        <w:rPr>
          <w:rStyle w:val="s45d7f35c"/>
          <w:rFonts w:ascii="Arial" w:hAnsi="Arial" w:cs="Arial"/>
          <w:i/>
          <w:iCs/>
          <w:color w:val="000000"/>
          <w:shd w:val="clear" w:color="auto" w:fill="FFFFFF"/>
        </w:rPr>
        <w:t>E. i Inni przeciwko Zjednoczonemu Królestwu</w:t>
      </w:r>
      <w:r w:rsidR="00F467CF" w:rsidRPr="004458AE">
        <w:rPr>
          <w:rStyle w:val="sf8bfa2bc"/>
          <w:rFonts w:ascii="Arial" w:hAnsi="Arial" w:cs="Arial"/>
          <w:color w:val="000000"/>
          <w:shd w:val="clear" w:color="auto" w:fill="FFFFFF"/>
        </w:rPr>
        <w:t xml:space="preserve">, wyrok z 26 listopada 2002 </w:t>
      </w:r>
      <w:r w:rsidR="003C4508">
        <w:rPr>
          <w:rStyle w:val="sf8bfa2bc"/>
          <w:rFonts w:ascii="Arial" w:hAnsi="Arial" w:cs="Arial"/>
          <w:color w:val="000000"/>
          <w:shd w:val="clear" w:color="auto" w:fill="FFFFFF"/>
        </w:rPr>
        <w:t>roku</w:t>
      </w:r>
      <w:r w:rsidR="00F467CF" w:rsidRPr="004458AE">
        <w:rPr>
          <w:rStyle w:val="sf8bfa2bc"/>
          <w:rFonts w:ascii="Arial" w:hAnsi="Arial" w:cs="Arial"/>
          <w:color w:val="000000"/>
          <w:shd w:val="clear" w:color="auto" w:fill="FFFFFF"/>
        </w:rPr>
        <w:t xml:space="preserve">, nr </w:t>
      </w:r>
      <w:r w:rsidR="00F467CF" w:rsidRPr="004458AE">
        <w:rPr>
          <w:rStyle w:val="sf8bfa2bc"/>
          <w:rFonts w:ascii="Arial" w:hAnsi="Arial" w:cs="Arial"/>
          <w:shd w:val="clear" w:color="auto" w:fill="FFFFFF"/>
        </w:rPr>
        <w:t xml:space="preserve">skargi </w:t>
      </w:r>
      <w:hyperlink r:id="rId7" w:anchor="{%22appno%22:[%2233218/96%22]}" w:tgtFrame="_blank" w:history="1">
        <w:r w:rsidR="00F467CF" w:rsidRPr="004458AE">
          <w:rPr>
            <w:rStyle w:val="Hipercze"/>
            <w:rFonts w:ascii="Arial" w:hAnsi="Arial" w:cs="Arial"/>
            <w:color w:val="auto"/>
            <w:u w:val="none"/>
          </w:rPr>
          <w:t>33218/96</w:t>
        </w:r>
      </w:hyperlink>
      <w:r w:rsidR="00F467CF" w:rsidRPr="004458AE">
        <w:rPr>
          <w:rStyle w:val="sf8bfa2bc"/>
          <w:rFonts w:ascii="Arial" w:hAnsi="Arial" w:cs="Arial"/>
          <w:color w:val="000000"/>
          <w:shd w:val="clear" w:color="auto" w:fill="FFFFFF"/>
        </w:rPr>
        <w:t xml:space="preserve">, § 99; </w:t>
      </w:r>
      <w:r w:rsidR="00F467CF" w:rsidRPr="004458AE">
        <w:rPr>
          <w:rStyle w:val="s45d7f35c"/>
          <w:rFonts w:ascii="Arial" w:hAnsi="Arial" w:cs="Arial"/>
          <w:i/>
          <w:iCs/>
          <w:color w:val="000000"/>
          <w:shd w:val="clear" w:color="auto" w:fill="FFFFFF"/>
        </w:rPr>
        <w:t xml:space="preserve">Opuz p. Turcji, </w:t>
      </w:r>
      <w:r w:rsidR="00F467CF" w:rsidRPr="004458AE">
        <w:rPr>
          <w:rFonts w:ascii="Arial" w:hAnsi="Arial" w:cs="Arial"/>
        </w:rPr>
        <w:t xml:space="preserve">wyrok z 9 czerwca 2009 </w:t>
      </w:r>
      <w:r w:rsidR="003C4508">
        <w:rPr>
          <w:rFonts w:ascii="Arial" w:hAnsi="Arial" w:cs="Arial"/>
        </w:rPr>
        <w:t>roku</w:t>
      </w:r>
      <w:r w:rsidR="00F467CF" w:rsidRPr="004458AE">
        <w:rPr>
          <w:rFonts w:ascii="Arial" w:hAnsi="Arial" w:cs="Arial"/>
        </w:rPr>
        <w:t xml:space="preserve">, nr skargi </w:t>
      </w:r>
      <w:hyperlink r:id="rId8" w:anchor="{%22appno%22:[%2233401/02%22]}" w:tgtFrame="_blank" w:history="1">
        <w:r w:rsidR="00F467CF" w:rsidRPr="004458AE">
          <w:rPr>
            <w:rFonts w:ascii="Arial" w:eastAsia="Times New Roman" w:hAnsi="Arial" w:cs="Arial"/>
            <w:color w:val="000000" w:themeColor="text1"/>
          </w:rPr>
          <w:t>33401/02</w:t>
        </w:r>
      </w:hyperlink>
      <w:r w:rsidR="00F467CF" w:rsidRPr="004458AE">
        <w:rPr>
          <w:rFonts w:ascii="Arial" w:hAnsi="Arial" w:cs="Arial"/>
        </w:rPr>
        <w:t>, § 132 i</w:t>
      </w:r>
      <w:r w:rsidR="00F467CF" w:rsidRPr="004458AE">
        <w:rPr>
          <w:rStyle w:val="sf8bfa2bc"/>
          <w:rFonts w:ascii="Arial" w:hAnsi="Arial" w:cs="Arial"/>
          <w:color w:val="000000"/>
          <w:shd w:val="clear" w:color="auto" w:fill="FFFFFF"/>
        </w:rPr>
        <w:t xml:space="preserve"> § 136; </w:t>
      </w:r>
      <w:r w:rsidR="00F467CF" w:rsidRPr="004458AE">
        <w:rPr>
          <w:rStyle w:val="s45d7f35c"/>
          <w:rFonts w:ascii="Arial" w:hAnsi="Arial" w:cs="Arial"/>
          <w:i/>
          <w:iCs/>
          <w:color w:val="000000"/>
          <w:shd w:val="clear" w:color="auto" w:fill="FFFFFF"/>
        </w:rPr>
        <w:t xml:space="preserve">Bljakaj i Inni przeciwko Chorwacji, </w:t>
      </w:r>
      <w:r w:rsidR="00F467CF" w:rsidRPr="004458AE">
        <w:rPr>
          <w:rStyle w:val="s45d7f35c"/>
          <w:rFonts w:ascii="Arial" w:hAnsi="Arial" w:cs="Arial"/>
          <w:color w:val="000000"/>
          <w:shd w:val="clear" w:color="auto" w:fill="FFFFFF"/>
        </w:rPr>
        <w:t xml:space="preserve">wyrok z </w:t>
      </w:r>
      <w:r w:rsidR="00F467CF" w:rsidRPr="004458AE">
        <w:rPr>
          <w:rStyle w:val="sf8bfa2bc"/>
          <w:rFonts w:ascii="Arial" w:hAnsi="Arial" w:cs="Arial"/>
          <w:color w:val="000000"/>
          <w:shd w:val="clear" w:color="auto" w:fill="FFFFFF"/>
        </w:rPr>
        <w:t xml:space="preserve">18 września 2014 </w:t>
      </w:r>
      <w:r w:rsidR="003C4508">
        <w:rPr>
          <w:rStyle w:val="sf8bfa2bc"/>
          <w:rFonts w:ascii="Arial" w:hAnsi="Arial" w:cs="Arial"/>
          <w:color w:val="000000"/>
          <w:shd w:val="clear" w:color="auto" w:fill="FFFFFF"/>
        </w:rPr>
        <w:t>roku</w:t>
      </w:r>
      <w:r w:rsidR="00F467CF" w:rsidRPr="004458AE">
        <w:rPr>
          <w:rStyle w:val="sf8bfa2bc"/>
          <w:rFonts w:ascii="Arial" w:hAnsi="Arial" w:cs="Arial"/>
          <w:color w:val="000000"/>
          <w:shd w:val="clear" w:color="auto" w:fill="FFFFFF"/>
        </w:rPr>
        <w:t xml:space="preserve">, nr skargi </w:t>
      </w:r>
      <w:hyperlink r:id="rId9" w:anchor="{%22appno%22:[%2274448/12%22]}" w:tgtFrame="_blank" w:history="1">
        <w:r w:rsidR="00F467CF" w:rsidRPr="004458AE">
          <w:rPr>
            <w:rStyle w:val="Hipercze"/>
            <w:rFonts w:ascii="Arial" w:hAnsi="Arial" w:cs="Arial"/>
            <w:color w:val="auto"/>
            <w:u w:val="none"/>
          </w:rPr>
          <w:t>74448/12</w:t>
        </w:r>
      </w:hyperlink>
      <w:r w:rsidR="00F467CF" w:rsidRPr="004458AE">
        <w:rPr>
          <w:rStyle w:val="sf8bfa2bc"/>
          <w:rFonts w:ascii="Arial" w:hAnsi="Arial" w:cs="Arial"/>
          <w:shd w:val="clear" w:color="auto" w:fill="FFFFFF"/>
        </w:rPr>
        <w:t>,</w:t>
      </w:r>
      <w:r w:rsidR="00F467CF" w:rsidRPr="004458AE">
        <w:rPr>
          <w:rStyle w:val="sf8bfa2bc"/>
          <w:rFonts w:ascii="Arial" w:hAnsi="Arial" w:cs="Arial"/>
          <w:color w:val="000000"/>
          <w:shd w:val="clear" w:color="auto" w:fill="FFFFFF"/>
        </w:rPr>
        <w:t xml:space="preserve"> § 124; </w:t>
      </w:r>
      <w:r w:rsidR="00F467CF" w:rsidRPr="004458AE">
        <w:rPr>
          <w:rStyle w:val="sf8bfa2bc"/>
          <w:rFonts w:ascii="Arial" w:hAnsi="Arial" w:cs="Arial"/>
          <w:i/>
          <w:iCs/>
          <w:color w:val="000000"/>
          <w:shd w:val="clear" w:color="auto" w:fill="FFFFFF"/>
        </w:rPr>
        <w:t>Talpis p. Włochom</w:t>
      </w:r>
      <w:r w:rsidR="00F467CF" w:rsidRPr="004458AE">
        <w:rPr>
          <w:rStyle w:val="sf8bfa2bc"/>
          <w:rFonts w:ascii="Arial" w:hAnsi="Arial" w:cs="Arial"/>
          <w:color w:val="000000"/>
          <w:shd w:val="clear" w:color="auto" w:fill="FFFFFF"/>
        </w:rPr>
        <w:t xml:space="preserve">, wyrok </w:t>
      </w:r>
      <w:r w:rsidR="00F467CF" w:rsidRPr="004458AE">
        <w:rPr>
          <w:rFonts w:ascii="Arial" w:hAnsi="Arial" w:cs="Arial"/>
        </w:rPr>
        <w:t xml:space="preserve">z 2 marca 2017, nr skargi 41237/14, </w:t>
      </w:r>
      <w:r w:rsidR="00F467CF" w:rsidRPr="004458AE">
        <w:rPr>
          <w:rStyle w:val="sf8bfa2bc"/>
          <w:rFonts w:ascii="Arial" w:hAnsi="Arial" w:cs="Arial"/>
          <w:color w:val="000000"/>
          <w:shd w:val="clear" w:color="auto" w:fill="FFFFFF"/>
        </w:rPr>
        <w:t xml:space="preserve">§ </w:t>
      </w:r>
      <w:r w:rsidR="00F467CF" w:rsidRPr="004458AE">
        <w:rPr>
          <w:rFonts w:ascii="Arial" w:hAnsi="Arial" w:cs="Arial"/>
        </w:rPr>
        <w:t>121</w:t>
      </w:r>
      <w:r w:rsidR="00F467CF" w:rsidRPr="004458AE">
        <w:rPr>
          <w:rStyle w:val="sf8bfa2bc"/>
          <w:rFonts w:ascii="Arial" w:hAnsi="Arial" w:cs="Arial"/>
          <w:color w:val="000000"/>
          <w:shd w:val="clear" w:color="auto" w:fill="FFFFFF"/>
        </w:rPr>
        <w:t>).</w:t>
      </w:r>
    </w:p>
    <w:p w14:paraId="01AFD637" w14:textId="671DF2EE" w:rsidR="00D705A7" w:rsidRPr="004458AE" w:rsidRDefault="00D57239" w:rsidP="009B44A0">
      <w:pPr>
        <w:autoSpaceDE w:val="0"/>
        <w:autoSpaceDN w:val="0"/>
        <w:adjustRightInd w:val="0"/>
        <w:spacing w:line="360" w:lineRule="auto"/>
        <w:jc w:val="both"/>
        <w:rPr>
          <w:rFonts w:ascii="Arial" w:hAnsi="Arial" w:cs="Arial"/>
          <w:u w:val="single"/>
        </w:rPr>
      </w:pPr>
      <w:r w:rsidRPr="004458AE">
        <w:rPr>
          <w:rFonts w:ascii="Arial" w:hAnsi="Arial" w:cs="Arial"/>
        </w:rPr>
        <w:t xml:space="preserve">Zgodnie z ugruntowanym orzecznictwem Trybunału niekwestionowanym standardem jest </w:t>
      </w:r>
      <w:r w:rsidR="007E0B9E" w:rsidRPr="004458AE">
        <w:rPr>
          <w:rFonts w:ascii="Arial" w:hAnsi="Arial" w:cs="Arial"/>
        </w:rPr>
        <w:t>spoczywa</w:t>
      </w:r>
      <w:r w:rsidRPr="004458AE">
        <w:rPr>
          <w:rFonts w:ascii="Arial" w:hAnsi="Arial" w:cs="Arial"/>
        </w:rPr>
        <w:t xml:space="preserve">jący na każdym </w:t>
      </w:r>
      <w:r w:rsidR="008B5A45" w:rsidRPr="004458AE">
        <w:rPr>
          <w:rFonts w:ascii="Arial" w:hAnsi="Arial" w:cs="Arial"/>
        </w:rPr>
        <w:t>P</w:t>
      </w:r>
      <w:r w:rsidRPr="004458AE">
        <w:rPr>
          <w:rFonts w:ascii="Arial" w:hAnsi="Arial" w:cs="Arial"/>
        </w:rPr>
        <w:t>aństwie -</w:t>
      </w:r>
      <w:r w:rsidR="008B5A45" w:rsidRPr="004458AE">
        <w:rPr>
          <w:rFonts w:ascii="Arial" w:hAnsi="Arial" w:cs="Arial"/>
        </w:rPr>
        <w:t xml:space="preserve"> </w:t>
      </w:r>
      <w:r w:rsidRPr="004458AE">
        <w:rPr>
          <w:rFonts w:ascii="Arial" w:hAnsi="Arial" w:cs="Arial"/>
        </w:rPr>
        <w:t xml:space="preserve">stronie Konwencji </w:t>
      </w:r>
      <w:r w:rsidR="007E0B9E" w:rsidRPr="004458AE">
        <w:rPr>
          <w:rFonts w:ascii="Arial" w:hAnsi="Arial" w:cs="Arial"/>
        </w:rPr>
        <w:t>pozytywny obowiązek aktywnej ochrony osób narażonych na przemoc domową</w:t>
      </w:r>
      <w:r w:rsidR="004D7930" w:rsidRPr="004458AE">
        <w:rPr>
          <w:rFonts w:ascii="Arial" w:hAnsi="Arial" w:cs="Arial"/>
        </w:rPr>
        <w:t xml:space="preserve">. </w:t>
      </w:r>
      <w:r w:rsidR="00584FDD" w:rsidRPr="004458AE">
        <w:rPr>
          <w:rFonts w:ascii="Arial" w:hAnsi="Arial" w:cs="Arial"/>
          <w:b/>
          <w:bCs/>
        </w:rPr>
        <w:t>Trybuna</w:t>
      </w:r>
      <w:r w:rsidR="00584FDD" w:rsidRPr="00390DF0">
        <w:rPr>
          <w:rFonts w:ascii="Arial" w:hAnsi="Arial" w:cs="Arial"/>
          <w:b/>
          <w:bCs/>
        </w:rPr>
        <w:t>ł</w:t>
      </w:r>
      <w:r w:rsidR="00D435E2" w:rsidRPr="004458AE">
        <w:rPr>
          <w:rFonts w:ascii="Arial" w:hAnsi="Arial" w:cs="Arial"/>
        </w:rPr>
        <w:t xml:space="preserve"> </w:t>
      </w:r>
      <w:r w:rsidR="00D435E2" w:rsidRPr="004458AE">
        <w:rPr>
          <w:rFonts w:ascii="Arial" w:hAnsi="Arial" w:cs="Arial"/>
          <w:b/>
          <w:bCs/>
        </w:rPr>
        <w:t xml:space="preserve">zwraca uwagę na szczególną wrażliwość ofiar przemocy domowej i potrzebę aktywnego zaangażowania państwa </w:t>
      </w:r>
      <w:r w:rsidR="004D7930" w:rsidRPr="004458AE">
        <w:rPr>
          <w:rFonts w:ascii="Arial" w:hAnsi="Arial" w:cs="Arial"/>
          <w:b/>
          <w:bCs/>
        </w:rPr>
        <w:br/>
      </w:r>
      <w:r w:rsidR="00D435E2" w:rsidRPr="004458AE">
        <w:rPr>
          <w:rFonts w:ascii="Arial" w:hAnsi="Arial" w:cs="Arial"/>
          <w:b/>
          <w:bCs/>
        </w:rPr>
        <w:t xml:space="preserve">w ich ochronę </w:t>
      </w:r>
      <w:r w:rsidR="00D435E2" w:rsidRPr="004458AE">
        <w:rPr>
          <w:rFonts w:ascii="Arial" w:hAnsi="Arial" w:cs="Arial"/>
        </w:rPr>
        <w:t>(</w:t>
      </w:r>
      <w:r w:rsidR="00D435E2" w:rsidRPr="004458AE">
        <w:rPr>
          <w:rFonts w:ascii="Arial" w:hAnsi="Arial" w:cs="Arial"/>
          <w:i/>
          <w:iCs/>
          <w:color w:val="333333"/>
        </w:rPr>
        <w:t xml:space="preserve">A. przeciwko Wielkiej Brytanii, </w:t>
      </w:r>
      <w:r w:rsidR="00D435E2" w:rsidRPr="004458AE">
        <w:rPr>
          <w:rFonts w:ascii="Arial" w:hAnsi="Arial" w:cs="Arial"/>
        </w:rPr>
        <w:t>cyt. powyżej;</w:t>
      </w:r>
      <w:r w:rsidR="00D435E2" w:rsidRPr="004458AE">
        <w:rPr>
          <w:rFonts w:ascii="Arial" w:hAnsi="Arial" w:cs="Arial"/>
          <w:i/>
        </w:rPr>
        <w:t xml:space="preserve"> Bevacqua i S. przeciwko Bułgarii</w:t>
      </w:r>
      <w:r w:rsidR="00D435E2" w:rsidRPr="004458AE">
        <w:rPr>
          <w:rFonts w:ascii="Arial" w:hAnsi="Arial" w:cs="Arial"/>
        </w:rPr>
        <w:t xml:space="preserve">, wyrok z 12 czerwca 2008 </w:t>
      </w:r>
      <w:r w:rsidR="003C4508">
        <w:rPr>
          <w:rFonts w:ascii="Arial" w:hAnsi="Arial" w:cs="Arial"/>
        </w:rPr>
        <w:t>roku</w:t>
      </w:r>
      <w:r w:rsidR="00D435E2" w:rsidRPr="004458AE">
        <w:rPr>
          <w:rFonts w:ascii="Arial" w:hAnsi="Arial" w:cs="Arial"/>
        </w:rPr>
        <w:t>, nr skargi</w:t>
      </w:r>
      <w:r w:rsidR="00D435E2" w:rsidRPr="004458AE">
        <w:rPr>
          <w:rFonts w:ascii="Arial" w:hAnsi="Arial" w:cs="Arial"/>
          <w:bCs/>
        </w:rPr>
        <w:t xml:space="preserve"> </w:t>
      </w:r>
      <w:r w:rsidR="00D435E2" w:rsidRPr="004458AE">
        <w:rPr>
          <w:rFonts w:ascii="Arial" w:hAnsi="Arial" w:cs="Arial"/>
          <w:bCs/>
          <w:iCs/>
        </w:rPr>
        <w:t xml:space="preserve">71127/01, </w:t>
      </w:r>
      <w:r w:rsidR="00D435E2" w:rsidRPr="004458AE">
        <w:rPr>
          <w:rFonts w:ascii="Arial" w:hAnsi="Arial" w:cs="Arial"/>
        </w:rPr>
        <w:t xml:space="preserve">§ 65, </w:t>
      </w:r>
      <w:r w:rsidR="00D435E2" w:rsidRPr="002175F0">
        <w:rPr>
          <w:rFonts w:ascii="Arial" w:hAnsi="Arial" w:cs="Arial"/>
          <w:i/>
          <w:iCs/>
        </w:rPr>
        <w:t>Talpis p. Włochom</w:t>
      </w:r>
      <w:r w:rsidR="00D435E2" w:rsidRPr="004458AE">
        <w:rPr>
          <w:rFonts w:ascii="Arial" w:hAnsi="Arial" w:cs="Arial"/>
        </w:rPr>
        <w:t>, cyt. powyżej).</w:t>
      </w:r>
      <w:r w:rsidR="004B25F1">
        <w:rPr>
          <w:rFonts w:ascii="Arial" w:hAnsi="Arial" w:cs="Arial"/>
        </w:rPr>
        <w:t xml:space="preserve"> W odniesieniu do pokrzywdzonych małoletnich Trybunał </w:t>
      </w:r>
      <w:r w:rsidR="004B25F1" w:rsidRPr="004B25F1">
        <w:rPr>
          <w:rFonts w:ascii="Arial" w:hAnsi="Arial" w:cs="Arial"/>
        </w:rPr>
        <w:t xml:space="preserve">w celu zapewnienia skutecznej ochrony dzieci przed przemocą domową objętą zakresem </w:t>
      </w:r>
      <w:r w:rsidR="004B25F1" w:rsidRPr="004458AE">
        <w:rPr>
          <w:rFonts w:ascii="Arial" w:hAnsi="Arial" w:cs="Arial"/>
        </w:rPr>
        <w:t>art. 3 uzna</w:t>
      </w:r>
      <w:r w:rsidR="004B25F1">
        <w:rPr>
          <w:rFonts w:ascii="Arial" w:hAnsi="Arial" w:cs="Arial"/>
        </w:rPr>
        <w:t>je</w:t>
      </w:r>
      <w:r w:rsidR="004B25F1" w:rsidRPr="004458AE">
        <w:rPr>
          <w:rFonts w:ascii="Arial" w:hAnsi="Arial" w:cs="Arial"/>
        </w:rPr>
        <w:t>, iż nawet sporadyczne akty przemocy fizycznej w rodzinie naruszają godność dziecka, a nieprzyznanie przez sąd krajowy zadośćuczynienia dziecku, nad którym psychicznie i fizycznie znęcał się ojciec, stanowi</w:t>
      </w:r>
      <w:r w:rsidR="004B25F1">
        <w:rPr>
          <w:rFonts w:ascii="Arial" w:hAnsi="Arial" w:cs="Arial"/>
        </w:rPr>
        <w:t xml:space="preserve"> </w:t>
      </w:r>
      <w:r w:rsidR="004B25F1" w:rsidRPr="004458AE">
        <w:rPr>
          <w:rFonts w:ascii="Arial" w:hAnsi="Arial" w:cs="Arial"/>
        </w:rPr>
        <w:t>naruszenie zakazu nieludzkiego i poniżającego traktowania</w:t>
      </w:r>
      <w:r w:rsidR="004B25F1">
        <w:rPr>
          <w:rFonts w:ascii="Arial" w:hAnsi="Arial" w:cs="Arial"/>
        </w:rPr>
        <w:t xml:space="preserve">. </w:t>
      </w:r>
      <w:r w:rsidR="009B44A0" w:rsidRPr="009B44A0">
        <w:rPr>
          <w:rFonts w:ascii="Arial" w:hAnsi="Arial" w:cs="Arial"/>
        </w:rPr>
        <w:t>Ze s</w:t>
      </w:r>
      <w:r w:rsidR="004B25F1" w:rsidRPr="009B44A0">
        <w:rPr>
          <w:rFonts w:ascii="Arial" w:hAnsi="Arial" w:cs="Arial"/>
        </w:rPr>
        <w:t>poczywając</w:t>
      </w:r>
      <w:r w:rsidR="009B44A0" w:rsidRPr="009B44A0">
        <w:rPr>
          <w:rFonts w:ascii="Arial" w:hAnsi="Arial" w:cs="Arial"/>
        </w:rPr>
        <w:t>ego</w:t>
      </w:r>
      <w:r w:rsidR="004B25F1" w:rsidRPr="009B44A0">
        <w:rPr>
          <w:rFonts w:ascii="Arial" w:hAnsi="Arial" w:cs="Arial"/>
        </w:rPr>
        <w:t xml:space="preserve"> na państwach-stronach Konwencji</w:t>
      </w:r>
      <w:r w:rsidR="009B44A0" w:rsidRPr="009B44A0">
        <w:rPr>
          <w:rFonts w:ascii="Arial" w:hAnsi="Arial" w:cs="Arial"/>
        </w:rPr>
        <w:t xml:space="preserve"> obowiązku ochrony godności dziecka </w:t>
      </w:r>
      <w:r w:rsidR="004B25F1" w:rsidRPr="009B44A0">
        <w:rPr>
          <w:rFonts w:ascii="Arial" w:hAnsi="Arial" w:cs="Arial"/>
        </w:rPr>
        <w:t xml:space="preserve">wynika nakaz skutecznego przeciwdziałania przemocy domowej i jej zwalczania. Z </w:t>
      </w:r>
      <w:r w:rsidR="009B44A0" w:rsidRPr="009B44A0">
        <w:rPr>
          <w:rFonts w:ascii="Arial" w:hAnsi="Arial" w:cs="Arial"/>
        </w:rPr>
        <w:t xml:space="preserve">kolei z </w:t>
      </w:r>
      <w:r w:rsidR="004B25F1" w:rsidRPr="009B44A0">
        <w:rPr>
          <w:rFonts w:ascii="Arial" w:hAnsi="Arial" w:cs="Arial"/>
        </w:rPr>
        <w:t xml:space="preserve">nakazu tego wynika konieczność przyjmowania odpowiednich środków prawnych przez państwo i ich </w:t>
      </w:r>
      <w:r w:rsidR="004B25F1" w:rsidRPr="009B44A0">
        <w:rPr>
          <w:rFonts w:ascii="Arial" w:hAnsi="Arial" w:cs="Arial"/>
        </w:rPr>
        <w:lastRenderedPageBreak/>
        <w:t>skutecznej realizacji przez krajowe organy władzy, w tym konieczność przeprowadzenia skutecznego postępowania w przypadku złożenia doniesienia o znęcaniu się nad dzieckiem</w:t>
      </w:r>
      <w:r w:rsidR="009B44A0">
        <w:rPr>
          <w:rFonts w:ascii="Arial" w:hAnsi="Arial" w:cs="Arial"/>
          <w:b/>
          <w:bCs/>
        </w:rPr>
        <w:t xml:space="preserve"> </w:t>
      </w:r>
      <w:r w:rsidR="004B25F1">
        <w:rPr>
          <w:rFonts w:ascii="Arial" w:hAnsi="Arial" w:cs="Arial"/>
        </w:rPr>
        <w:t xml:space="preserve">(zob. </w:t>
      </w:r>
      <w:r w:rsidR="004B25F1" w:rsidRPr="009B44A0">
        <w:rPr>
          <w:rFonts w:ascii="Arial" w:hAnsi="Arial" w:cs="Arial"/>
          <w:i/>
          <w:iCs/>
        </w:rPr>
        <w:t>D.M.D. p. Rumunii</w:t>
      </w:r>
      <w:r w:rsidR="004B25F1" w:rsidRPr="004B25F1">
        <w:rPr>
          <w:rFonts w:ascii="Arial" w:hAnsi="Arial" w:cs="Arial"/>
        </w:rPr>
        <w:t>, wyrok</w:t>
      </w:r>
      <w:r w:rsidR="009B44A0">
        <w:rPr>
          <w:rFonts w:ascii="Arial" w:hAnsi="Arial" w:cs="Arial"/>
        </w:rPr>
        <w:t xml:space="preserve"> </w:t>
      </w:r>
      <w:r w:rsidR="004B25F1" w:rsidRPr="004B25F1">
        <w:rPr>
          <w:rFonts w:ascii="Arial" w:hAnsi="Arial" w:cs="Arial"/>
        </w:rPr>
        <w:t xml:space="preserve">z 3 października 2017 </w:t>
      </w:r>
      <w:r w:rsidR="003C4508">
        <w:rPr>
          <w:rFonts w:ascii="Arial" w:hAnsi="Arial" w:cs="Arial"/>
        </w:rPr>
        <w:t>roku</w:t>
      </w:r>
      <w:r w:rsidR="004B25F1" w:rsidRPr="004B25F1">
        <w:rPr>
          <w:rFonts w:ascii="Arial" w:hAnsi="Arial" w:cs="Arial"/>
        </w:rPr>
        <w:t>, nr skargi 23022/13</w:t>
      </w:r>
      <w:r w:rsidR="004B25F1">
        <w:rPr>
          <w:rFonts w:ascii="Arial" w:hAnsi="Arial" w:cs="Arial"/>
        </w:rPr>
        <w:t>).</w:t>
      </w:r>
    </w:p>
    <w:p w14:paraId="65810298" w14:textId="1D94783F" w:rsidR="00990436" w:rsidRPr="004458AE" w:rsidRDefault="00990436" w:rsidP="00990436">
      <w:pPr>
        <w:spacing w:before="120" w:after="120" w:line="360" w:lineRule="auto"/>
        <w:jc w:val="both"/>
        <w:rPr>
          <w:rFonts w:ascii="Arial" w:hAnsi="Arial" w:cs="Arial"/>
        </w:rPr>
      </w:pPr>
      <w:r w:rsidRPr="004458AE">
        <w:rPr>
          <w:rFonts w:ascii="Arial" w:hAnsi="Arial" w:cs="Arial"/>
        </w:rPr>
        <w:t xml:space="preserve">Trybunał stoi </w:t>
      </w:r>
      <w:r w:rsidR="009B44A0">
        <w:rPr>
          <w:rFonts w:ascii="Arial" w:hAnsi="Arial" w:cs="Arial"/>
        </w:rPr>
        <w:t xml:space="preserve">również na </w:t>
      </w:r>
      <w:r w:rsidRPr="004458AE">
        <w:rPr>
          <w:rFonts w:ascii="Arial" w:hAnsi="Arial" w:cs="Arial"/>
        </w:rPr>
        <w:t xml:space="preserve">stanowisku, że realizując swoje konwencyjne zobowiązania </w:t>
      </w:r>
      <w:r w:rsidRPr="004458AE">
        <w:rPr>
          <w:rFonts w:ascii="Arial" w:hAnsi="Arial" w:cs="Arial"/>
          <w:b/>
          <w:bCs/>
        </w:rPr>
        <w:t>państwo powinno</w:t>
      </w:r>
      <w:r w:rsidRPr="004458AE">
        <w:rPr>
          <w:rFonts w:ascii="Arial" w:hAnsi="Arial" w:cs="Arial"/>
        </w:rPr>
        <w:t xml:space="preserve"> </w:t>
      </w:r>
      <w:r w:rsidRPr="004458AE">
        <w:rPr>
          <w:rFonts w:ascii="Arial" w:hAnsi="Arial" w:cs="Arial"/>
          <w:b/>
          <w:bCs/>
        </w:rPr>
        <w:t>stworzyć efektywne mechanizmy ochrony</w:t>
      </w:r>
      <w:r w:rsidRPr="004458AE">
        <w:rPr>
          <w:rFonts w:ascii="Arial" w:hAnsi="Arial" w:cs="Arial"/>
        </w:rPr>
        <w:t xml:space="preserve"> i będąc w posiadaniu wiedzy </w:t>
      </w:r>
      <w:r w:rsidRPr="004458AE">
        <w:rPr>
          <w:rFonts w:ascii="Arial" w:hAnsi="Arial" w:cs="Arial"/>
        </w:rPr>
        <w:br/>
        <w:t xml:space="preserve">o podejrzeniu stosowania przemocy </w:t>
      </w:r>
      <w:r w:rsidRPr="004458AE">
        <w:rPr>
          <w:rFonts w:ascii="Arial" w:hAnsi="Arial" w:cs="Arial"/>
          <w:b/>
          <w:bCs/>
        </w:rPr>
        <w:t>działać proaktywnie nawet wtedy,</w:t>
      </w:r>
      <w:r w:rsidRPr="004458AE">
        <w:rPr>
          <w:rFonts w:ascii="Arial" w:hAnsi="Arial" w:cs="Arial"/>
        </w:rPr>
        <w:t xml:space="preserve"> </w:t>
      </w:r>
      <w:r w:rsidRPr="004458AE">
        <w:rPr>
          <w:rFonts w:ascii="Arial" w:hAnsi="Arial" w:cs="Arial"/>
          <w:b/>
          <w:bCs/>
        </w:rPr>
        <w:t xml:space="preserve">gdy pokrzywdzeni pod presją sprawcy wycofują swoje oskarżenia </w:t>
      </w:r>
      <w:r w:rsidRPr="004458AE">
        <w:rPr>
          <w:rFonts w:ascii="Arial" w:hAnsi="Arial" w:cs="Arial"/>
        </w:rPr>
        <w:t>(</w:t>
      </w:r>
      <w:r w:rsidRPr="004458AE">
        <w:rPr>
          <w:rFonts w:ascii="Arial" w:hAnsi="Arial" w:cs="Arial"/>
          <w:i/>
          <w:iCs/>
        </w:rPr>
        <w:t>Opuz p. Turcji</w:t>
      </w:r>
      <w:r w:rsidRPr="004458AE">
        <w:rPr>
          <w:rFonts w:ascii="Arial" w:hAnsi="Arial" w:cs="Arial"/>
        </w:rPr>
        <w:t>, cyt. powyżej).</w:t>
      </w:r>
    </w:p>
    <w:p w14:paraId="7248DCC4" w14:textId="51ED1594" w:rsidR="00990436" w:rsidRPr="004458AE" w:rsidRDefault="00990436" w:rsidP="00990436">
      <w:pPr>
        <w:spacing w:before="120" w:after="120" w:line="360" w:lineRule="auto"/>
        <w:jc w:val="both"/>
        <w:rPr>
          <w:rFonts w:ascii="Arial" w:hAnsi="Arial" w:cs="Arial"/>
        </w:rPr>
      </w:pPr>
      <w:r w:rsidRPr="004458AE">
        <w:rPr>
          <w:rFonts w:ascii="Arial" w:hAnsi="Arial" w:cs="Arial"/>
        </w:rPr>
        <w:t xml:space="preserve">Trybunał wymaga, aby wdrożona przez państwo polityka dotycząca zjawiska przemocy domowej stanowiła spójny i efektywny system, w którym </w:t>
      </w:r>
      <w:r w:rsidRPr="004458AE">
        <w:rPr>
          <w:rFonts w:ascii="Arial" w:hAnsi="Arial" w:cs="Arial"/>
          <w:b/>
          <w:bCs/>
        </w:rPr>
        <w:t>właściwe instytucje współpracują ze sobą i sprawnie przekazują informacje o możliwych zagrożeniach</w:t>
      </w:r>
      <w:r w:rsidRPr="004458AE">
        <w:rPr>
          <w:rFonts w:ascii="Arial" w:hAnsi="Arial" w:cs="Arial"/>
        </w:rPr>
        <w:t xml:space="preserve"> (</w:t>
      </w:r>
      <w:r w:rsidRPr="004458AE">
        <w:rPr>
          <w:rFonts w:ascii="Arial" w:hAnsi="Arial" w:cs="Arial"/>
          <w:i/>
          <w:iCs/>
        </w:rPr>
        <w:t>E. i inni przeciwko Wielkiej Brytanii</w:t>
      </w:r>
      <w:r w:rsidRPr="004458AE">
        <w:rPr>
          <w:rFonts w:ascii="Arial" w:hAnsi="Arial" w:cs="Arial"/>
        </w:rPr>
        <w:t xml:space="preserve">, wyrok z 26 listopada 2002 </w:t>
      </w:r>
      <w:r w:rsidR="003C4508">
        <w:rPr>
          <w:rFonts w:ascii="Arial" w:hAnsi="Arial" w:cs="Arial"/>
        </w:rPr>
        <w:t>roku</w:t>
      </w:r>
      <w:r w:rsidRPr="004458AE">
        <w:rPr>
          <w:rFonts w:ascii="Arial" w:hAnsi="Arial" w:cs="Arial"/>
        </w:rPr>
        <w:t xml:space="preserve">, nr skargi 33218/96). </w:t>
      </w:r>
    </w:p>
    <w:p w14:paraId="1048A9E7" w14:textId="61FC2E1E" w:rsidR="00AC1023" w:rsidRPr="004458AE" w:rsidRDefault="00F467CF" w:rsidP="00AC1023">
      <w:pPr>
        <w:autoSpaceDE w:val="0"/>
        <w:autoSpaceDN w:val="0"/>
        <w:adjustRightInd w:val="0"/>
        <w:spacing w:before="240" w:line="360" w:lineRule="auto"/>
        <w:jc w:val="both"/>
        <w:rPr>
          <w:rFonts w:ascii="Arial" w:hAnsi="Arial" w:cs="Arial"/>
        </w:rPr>
      </w:pPr>
      <w:r w:rsidRPr="004458AE">
        <w:rPr>
          <w:rFonts w:ascii="Arial" w:hAnsi="Arial" w:cs="Arial"/>
          <w:bCs/>
        </w:rPr>
        <w:t>Z</w:t>
      </w:r>
      <w:r w:rsidRPr="004458AE">
        <w:rPr>
          <w:rFonts w:ascii="Arial" w:hAnsi="Arial" w:cs="Arial"/>
        </w:rPr>
        <w:t xml:space="preserve">obowiązania państwa wynikające między innymi z postanowień Europejskiej Konwencji o Ochronie Praw Człowieka </w:t>
      </w:r>
      <w:r w:rsidR="00390DF0">
        <w:rPr>
          <w:rFonts w:ascii="Arial" w:hAnsi="Arial" w:cs="Arial"/>
        </w:rPr>
        <w:t>i</w:t>
      </w:r>
      <w:r w:rsidRPr="004458AE">
        <w:rPr>
          <w:rFonts w:ascii="Arial" w:hAnsi="Arial" w:cs="Arial"/>
        </w:rPr>
        <w:t xml:space="preserve"> Podstawowych Wolności (dalej: Konwencji) nie ograniczają się zatem do powstrzymywania się od naruszeń praw człowieka. Mogą obejmować również obowiązek zapewnienia, aby prawa jednostek nie były naruszane przez innych, a także, aby w przypadku takiego naruszenia osoby poszkodowane uzyskały określone formy pomocy.</w:t>
      </w:r>
    </w:p>
    <w:p w14:paraId="4E0D1021" w14:textId="34739E1C" w:rsidR="00AC1023" w:rsidRPr="004458AE" w:rsidRDefault="004D7930" w:rsidP="00AC1023">
      <w:pPr>
        <w:autoSpaceDE w:val="0"/>
        <w:autoSpaceDN w:val="0"/>
        <w:adjustRightInd w:val="0"/>
        <w:spacing w:before="240" w:line="360" w:lineRule="auto"/>
        <w:jc w:val="both"/>
        <w:rPr>
          <w:rStyle w:val="sb8d990e2"/>
          <w:rFonts w:ascii="Arial" w:hAnsi="Arial" w:cs="Arial"/>
          <w:color w:val="000000"/>
          <w:shd w:val="clear" w:color="auto" w:fill="FFFFFF"/>
        </w:rPr>
      </w:pPr>
      <w:r w:rsidRPr="004458AE">
        <w:rPr>
          <w:rStyle w:val="sb8d990e2"/>
          <w:rFonts w:ascii="Arial" w:hAnsi="Arial" w:cs="Arial"/>
          <w:b/>
          <w:bCs/>
          <w:color w:val="000000"/>
          <w:shd w:val="clear" w:color="auto" w:fill="FFFFFF"/>
        </w:rPr>
        <w:t>Zakres obowiązku pozytywnego</w:t>
      </w:r>
      <w:r w:rsidRPr="004458AE">
        <w:rPr>
          <w:rStyle w:val="sb8d990e2"/>
          <w:rFonts w:ascii="Arial" w:hAnsi="Arial" w:cs="Arial"/>
          <w:color w:val="000000"/>
          <w:shd w:val="clear" w:color="auto" w:fill="FFFFFF"/>
        </w:rPr>
        <w:t xml:space="preserve"> należy interpretować w sposób, który nie będzie oznaczał nałożenia na władze niemożliwego do udźwignięcia lub nadmiernego ciężaru. </w:t>
      </w:r>
      <w:r w:rsidR="00F467CF" w:rsidRPr="004458AE">
        <w:rPr>
          <w:rStyle w:val="sb8d990e2"/>
          <w:rFonts w:ascii="Arial" w:hAnsi="Arial" w:cs="Arial"/>
          <w:color w:val="000000"/>
          <w:shd w:val="clear" w:color="auto" w:fill="FFFFFF"/>
        </w:rPr>
        <w:t xml:space="preserve"> </w:t>
      </w:r>
      <w:r w:rsidRPr="004458AE">
        <w:rPr>
          <w:rStyle w:val="sb8d990e2"/>
          <w:rFonts w:ascii="Arial" w:hAnsi="Arial" w:cs="Arial"/>
          <w:b/>
          <w:bCs/>
          <w:color w:val="000000"/>
          <w:shd w:val="clear" w:color="auto" w:fill="FFFFFF"/>
        </w:rPr>
        <w:t xml:space="preserve">Aby w grę wchodził obowiązek pozytywny, należy ustalić, że władze wiedziały lub powinny były w odpowiednim momencie wiedzieć o realnym i bezpośrednim zagrożeniu życia danej osoby wskutek przestępczego zachowania osoby trzeciej i że nie podjęły, w ramach swoich uprawnień, rozsądnych środków, które mogłyby niewątpliwie uchylić to </w:t>
      </w:r>
      <w:r w:rsidR="00C55174" w:rsidRPr="004458AE">
        <w:rPr>
          <w:rStyle w:val="sb8d990e2"/>
          <w:rFonts w:ascii="Arial" w:hAnsi="Arial" w:cs="Arial"/>
          <w:b/>
          <w:bCs/>
          <w:color w:val="000000"/>
          <w:shd w:val="clear" w:color="auto" w:fill="FFFFFF"/>
        </w:rPr>
        <w:t>z</w:t>
      </w:r>
      <w:r w:rsidRPr="004458AE">
        <w:rPr>
          <w:rStyle w:val="sb8d990e2"/>
          <w:rFonts w:ascii="Arial" w:hAnsi="Arial" w:cs="Arial"/>
          <w:b/>
          <w:bCs/>
          <w:color w:val="000000"/>
          <w:shd w:val="clear" w:color="auto" w:fill="FFFFFF"/>
        </w:rPr>
        <w:t>agrożenie</w:t>
      </w:r>
      <w:r w:rsidRPr="004458AE">
        <w:rPr>
          <w:rStyle w:val="sb8d990e2"/>
          <w:rFonts w:ascii="Arial" w:hAnsi="Arial" w:cs="Arial"/>
          <w:color w:val="000000"/>
          <w:shd w:val="clear" w:color="auto" w:fill="FFFFFF"/>
        </w:rPr>
        <w:t xml:space="preserve"> (</w:t>
      </w:r>
      <w:r w:rsidR="00C55174" w:rsidRPr="004458AE">
        <w:rPr>
          <w:rStyle w:val="sb8d990e2"/>
          <w:rFonts w:ascii="Arial" w:hAnsi="Arial" w:cs="Arial"/>
          <w:color w:val="000000"/>
          <w:shd w:val="clear" w:color="auto" w:fill="FFFFFF"/>
        </w:rPr>
        <w:t xml:space="preserve">zob. </w:t>
      </w:r>
      <w:r w:rsidRPr="004458AE">
        <w:rPr>
          <w:rStyle w:val="s6b621b36"/>
          <w:rFonts w:ascii="Arial" w:hAnsi="Arial" w:cs="Arial"/>
          <w:i/>
          <w:iCs/>
          <w:color w:val="000000"/>
          <w:shd w:val="clear" w:color="auto" w:fill="FFFFFF"/>
        </w:rPr>
        <w:t>Keenan przeciwko Zjednoczonemu Królestwu</w:t>
      </w:r>
      <w:r w:rsidRPr="004458AE">
        <w:rPr>
          <w:rStyle w:val="sb8d990e2"/>
          <w:rFonts w:ascii="Arial" w:hAnsi="Arial" w:cs="Arial"/>
          <w:color w:val="000000"/>
          <w:shd w:val="clear" w:color="auto" w:fill="FFFFFF"/>
        </w:rPr>
        <w:t>, nr</w:t>
      </w:r>
      <w:r w:rsidR="00E55DFD" w:rsidRPr="004458AE">
        <w:rPr>
          <w:rStyle w:val="sb8d990e2"/>
          <w:rFonts w:ascii="Arial" w:hAnsi="Arial" w:cs="Arial"/>
          <w:color w:val="000000"/>
          <w:shd w:val="clear" w:color="auto" w:fill="FFFFFF"/>
        </w:rPr>
        <w:t xml:space="preserve"> skargi </w:t>
      </w:r>
      <w:hyperlink r:id="rId10" w:anchor="{%22appno%22:[%2227229/95%22]}" w:tgtFrame="_blank" w:history="1">
        <w:r w:rsidRPr="004458AE">
          <w:rPr>
            <w:rStyle w:val="Hipercze"/>
            <w:rFonts w:ascii="Arial" w:hAnsi="Arial" w:cs="Arial"/>
            <w:color w:val="auto"/>
            <w:u w:val="none"/>
          </w:rPr>
          <w:t>27229/95</w:t>
        </w:r>
      </w:hyperlink>
      <w:r w:rsidRPr="004458AE">
        <w:rPr>
          <w:rStyle w:val="sb8d990e2"/>
          <w:rFonts w:ascii="Arial" w:hAnsi="Arial" w:cs="Arial"/>
          <w:shd w:val="clear" w:color="auto" w:fill="FFFFFF"/>
        </w:rPr>
        <w:t>, §§ 89-90, ETPC 2001</w:t>
      </w:r>
      <w:r w:rsidRPr="004458AE">
        <w:rPr>
          <w:rStyle w:val="sb8d990e2"/>
          <w:rFonts w:ascii="Arial" w:hAnsi="Arial" w:cs="Arial"/>
          <w:shd w:val="clear" w:color="auto" w:fill="FFFFFF"/>
        </w:rPr>
        <w:noBreakHyphen/>
        <w:t>III</w:t>
      </w:r>
      <w:r w:rsidR="00E55DFD" w:rsidRPr="004458AE">
        <w:rPr>
          <w:rStyle w:val="sb8d990e2"/>
          <w:rFonts w:ascii="Arial" w:hAnsi="Arial" w:cs="Arial"/>
          <w:shd w:val="clear" w:color="auto" w:fill="FFFFFF"/>
        </w:rPr>
        <w:t>;</w:t>
      </w:r>
      <w:r w:rsidRPr="004458AE">
        <w:rPr>
          <w:rStyle w:val="sb8d990e2"/>
          <w:rFonts w:ascii="Arial" w:hAnsi="Arial" w:cs="Arial"/>
          <w:shd w:val="clear" w:color="auto" w:fill="FFFFFF"/>
        </w:rPr>
        <w:t> </w:t>
      </w:r>
      <w:r w:rsidRPr="004458AE">
        <w:rPr>
          <w:rStyle w:val="s6b621b36"/>
          <w:rFonts w:ascii="Arial" w:hAnsi="Arial" w:cs="Arial"/>
          <w:i/>
          <w:iCs/>
          <w:shd w:val="clear" w:color="auto" w:fill="FFFFFF"/>
        </w:rPr>
        <w:t>Gongadzé przeciwko Ukrainie</w:t>
      </w:r>
      <w:r w:rsidRPr="004458AE">
        <w:rPr>
          <w:rStyle w:val="sb8d990e2"/>
          <w:rFonts w:ascii="Arial" w:hAnsi="Arial" w:cs="Arial"/>
          <w:shd w:val="clear" w:color="auto" w:fill="FFFFFF"/>
        </w:rPr>
        <w:t>, nr </w:t>
      </w:r>
      <w:r w:rsidR="00E55DFD" w:rsidRPr="004458AE">
        <w:rPr>
          <w:rStyle w:val="sb8d990e2"/>
          <w:rFonts w:ascii="Arial" w:hAnsi="Arial" w:cs="Arial"/>
          <w:shd w:val="clear" w:color="auto" w:fill="FFFFFF"/>
        </w:rPr>
        <w:t xml:space="preserve">skargi </w:t>
      </w:r>
      <w:hyperlink r:id="rId11" w:anchor="{%22appno%22:[%2234056/02%22]}" w:tgtFrame="_blank" w:history="1">
        <w:r w:rsidRPr="004458AE">
          <w:rPr>
            <w:rStyle w:val="Hipercze"/>
            <w:rFonts w:ascii="Arial" w:hAnsi="Arial" w:cs="Arial"/>
            <w:color w:val="auto"/>
            <w:u w:val="none"/>
          </w:rPr>
          <w:t>34056/02</w:t>
        </w:r>
      </w:hyperlink>
      <w:r w:rsidR="00E55DFD" w:rsidRPr="004458AE">
        <w:rPr>
          <w:rStyle w:val="sb8d990e2"/>
          <w:rFonts w:ascii="Arial" w:hAnsi="Arial" w:cs="Arial"/>
          <w:shd w:val="clear" w:color="auto" w:fill="FFFFFF"/>
        </w:rPr>
        <w:t>;</w:t>
      </w:r>
      <w:r w:rsidRPr="004458AE">
        <w:rPr>
          <w:rStyle w:val="sb8d990e2"/>
          <w:rFonts w:ascii="Arial" w:hAnsi="Arial" w:cs="Arial"/>
          <w:shd w:val="clear" w:color="auto" w:fill="FFFFFF"/>
        </w:rPr>
        <w:t xml:space="preserve"> </w:t>
      </w:r>
      <w:r w:rsidRPr="004458AE">
        <w:rPr>
          <w:rStyle w:val="sb8d990e2"/>
          <w:rFonts w:ascii="Arial" w:hAnsi="Arial" w:cs="Arial"/>
          <w:color w:val="000000"/>
          <w:shd w:val="clear" w:color="auto" w:fill="FFFFFF"/>
        </w:rPr>
        <w:t>§ 165, ETPC 2005</w:t>
      </w:r>
      <w:r w:rsidR="00C55174" w:rsidRPr="004458AE">
        <w:rPr>
          <w:rStyle w:val="sb8d990e2"/>
          <w:rFonts w:ascii="Arial" w:hAnsi="Arial" w:cs="Arial"/>
          <w:color w:val="000000"/>
          <w:shd w:val="clear" w:color="auto" w:fill="FFFFFF"/>
        </w:rPr>
        <w:t xml:space="preserve"> - </w:t>
      </w:r>
      <w:r w:rsidRPr="004458AE">
        <w:rPr>
          <w:rStyle w:val="sb8d990e2"/>
          <w:rFonts w:ascii="Arial" w:hAnsi="Arial" w:cs="Arial"/>
          <w:color w:val="000000"/>
          <w:shd w:val="clear" w:color="auto" w:fill="FFFFFF"/>
        </w:rPr>
        <w:t>XI</w:t>
      </w:r>
      <w:r w:rsidR="00C55174" w:rsidRPr="004458AE">
        <w:rPr>
          <w:rStyle w:val="sb8d990e2"/>
          <w:rFonts w:ascii="Arial" w:hAnsi="Arial" w:cs="Arial"/>
          <w:color w:val="000000"/>
          <w:shd w:val="clear" w:color="auto" w:fill="FFFFFF"/>
        </w:rPr>
        <w:t>;</w:t>
      </w:r>
      <w:r w:rsidRPr="004458AE">
        <w:rPr>
          <w:rStyle w:val="sb8d990e2"/>
          <w:rFonts w:ascii="Arial" w:hAnsi="Arial" w:cs="Arial"/>
          <w:color w:val="000000"/>
          <w:shd w:val="clear" w:color="auto" w:fill="FFFFFF"/>
        </w:rPr>
        <w:t> </w:t>
      </w:r>
      <w:r w:rsidRPr="004458AE">
        <w:rPr>
          <w:rStyle w:val="s6b621b36"/>
          <w:rFonts w:ascii="Arial" w:hAnsi="Arial" w:cs="Arial"/>
          <w:i/>
          <w:iCs/>
          <w:color w:val="000000"/>
          <w:shd w:val="clear" w:color="auto" w:fill="FFFFFF"/>
        </w:rPr>
        <w:t>Opuz</w:t>
      </w:r>
      <w:r w:rsidR="00E55DFD" w:rsidRPr="004458AE">
        <w:rPr>
          <w:rStyle w:val="s6b621b36"/>
          <w:rFonts w:ascii="Arial" w:hAnsi="Arial" w:cs="Arial"/>
          <w:i/>
          <w:iCs/>
          <w:color w:val="000000"/>
          <w:shd w:val="clear" w:color="auto" w:fill="FFFFFF"/>
        </w:rPr>
        <w:t xml:space="preserve"> p. Turcji</w:t>
      </w:r>
      <w:r w:rsidRPr="004458AE">
        <w:rPr>
          <w:rStyle w:val="s6b621b36"/>
          <w:rFonts w:ascii="Arial" w:hAnsi="Arial" w:cs="Arial"/>
          <w:i/>
          <w:iCs/>
          <w:color w:val="000000"/>
          <w:shd w:val="clear" w:color="auto" w:fill="FFFFFF"/>
        </w:rPr>
        <w:t xml:space="preserve">, </w:t>
      </w:r>
      <w:r w:rsidRPr="004458AE">
        <w:rPr>
          <w:rStyle w:val="sb8d990e2"/>
          <w:rFonts w:ascii="Arial" w:hAnsi="Arial" w:cs="Arial"/>
          <w:color w:val="000000"/>
          <w:shd w:val="clear" w:color="auto" w:fill="FFFFFF"/>
        </w:rPr>
        <w:t>§ 129</w:t>
      </w:r>
      <w:r w:rsidR="00E55DFD" w:rsidRPr="004458AE">
        <w:rPr>
          <w:rStyle w:val="sb8d990e2"/>
          <w:rFonts w:ascii="Arial" w:hAnsi="Arial" w:cs="Arial"/>
          <w:color w:val="000000"/>
          <w:shd w:val="clear" w:color="auto" w:fill="FFFFFF"/>
        </w:rPr>
        <w:t xml:space="preserve"> </w:t>
      </w:r>
      <w:r w:rsidRPr="004458AE">
        <w:rPr>
          <w:rStyle w:val="sb8d990e2"/>
          <w:rFonts w:ascii="Arial" w:hAnsi="Arial" w:cs="Arial"/>
          <w:color w:val="000000"/>
          <w:shd w:val="clear" w:color="auto" w:fill="FFFFFF"/>
        </w:rPr>
        <w:t>-130</w:t>
      </w:r>
      <w:r w:rsidR="00E55DFD" w:rsidRPr="004458AE">
        <w:rPr>
          <w:rStyle w:val="sb8d990e2"/>
          <w:rFonts w:ascii="Arial" w:hAnsi="Arial" w:cs="Arial"/>
          <w:color w:val="000000"/>
          <w:shd w:val="clear" w:color="auto" w:fill="FFFFFF"/>
        </w:rPr>
        <w:t>;</w:t>
      </w:r>
      <w:r w:rsidR="007D48C1" w:rsidRPr="004458AE">
        <w:rPr>
          <w:rStyle w:val="sb8d990e2"/>
          <w:rFonts w:ascii="Arial" w:hAnsi="Arial" w:cs="Arial"/>
          <w:color w:val="000000"/>
          <w:shd w:val="clear" w:color="auto" w:fill="FFFFFF"/>
        </w:rPr>
        <w:t xml:space="preserve"> </w:t>
      </w:r>
      <w:hyperlink r:id="rId12">
        <w:r w:rsidR="00AC1023" w:rsidRPr="004458AE">
          <w:rPr>
            <w:rFonts w:ascii="Arial" w:hAnsi="Arial" w:cs="Arial"/>
          </w:rPr>
          <w:t>Civek przeciwko Turcji</w:t>
        </w:r>
      </w:hyperlink>
      <w:r w:rsidR="00AC1023" w:rsidRPr="004458AE">
        <w:rPr>
          <w:rFonts w:ascii="Arial" w:hAnsi="Arial" w:cs="Arial"/>
        </w:rPr>
        <w:t xml:space="preserve">, nr skargi 55354/11, wyrok z 23 lutego 2016 </w:t>
      </w:r>
      <w:r w:rsidR="003C4508">
        <w:rPr>
          <w:rFonts w:ascii="Arial" w:hAnsi="Arial" w:cs="Arial"/>
        </w:rPr>
        <w:t>roku</w:t>
      </w:r>
      <w:r w:rsidR="00AC1023" w:rsidRPr="004458AE">
        <w:rPr>
          <w:rFonts w:ascii="Arial" w:hAnsi="Arial" w:cs="Arial"/>
        </w:rPr>
        <w:t xml:space="preserve">, </w:t>
      </w:r>
      <w:r w:rsidR="00AC1023" w:rsidRPr="004458AE">
        <w:rPr>
          <w:rStyle w:val="sb8d990e2"/>
          <w:rFonts w:ascii="Arial" w:hAnsi="Arial" w:cs="Arial"/>
          <w:color w:val="000000"/>
          <w:shd w:val="clear" w:color="auto" w:fill="FFFFFF"/>
        </w:rPr>
        <w:t xml:space="preserve">§ 65; </w:t>
      </w:r>
      <w:r w:rsidR="00AC1023" w:rsidRPr="004458AE">
        <w:rPr>
          <w:rStyle w:val="sb8d990e2"/>
          <w:rFonts w:ascii="Arial" w:hAnsi="Arial" w:cs="Arial"/>
          <w:i/>
          <w:iCs/>
          <w:color w:val="000000"/>
          <w:shd w:val="clear" w:color="auto" w:fill="FFFFFF"/>
        </w:rPr>
        <w:t>T</w:t>
      </w:r>
      <w:r w:rsidR="007D48C1" w:rsidRPr="004458AE">
        <w:rPr>
          <w:rStyle w:val="sb8d990e2"/>
          <w:rFonts w:ascii="Arial" w:hAnsi="Arial" w:cs="Arial"/>
          <w:i/>
          <w:iCs/>
          <w:color w:val="000000"/>
          <w:shd w:val="clear" w:color="auto" w:fill="FFFFFF"/>
        </w:rPr>
        <w:t>alpis p Włochom</w:t>
      </w:r>
      <w:r w:rsidR="00E55DFD" w:rsidRPr="004458AE">
        <w:rPr>
          <w:rStyle w:val="sb8d990e2"/>
          <w:rFonts w:ascii="Arial" w:hAnsi="Arial" w:cs="Arial"/>
          <w:i/>
          <w:iCs/>
          <w:color w:val="000000"/>
          <w:shd w:val="clear" w:color="auto" w:fill="FFFFFF"/>
        </w:rPr>
        <w:t>, cyt</w:t>
      </w:r>
      <w:r w:rsidR="00AC1023" w:rsidRPr="004458AE">
        <w:rPr>
          <w:rStyle w:val="sb8d990e2"/>
          <w:rFonts w:ascii="Arial" w:hAnsi="Arial" w:cs="Arial"/>
          <w:i/>
          <w:iCs/>
          <w:color w:val="000000"/>
          <w:shd w:val="clear" w:color="auto" w:fill="FFFFFF"/>
        </w:rPr>
        <w:t>.</w:t>
      </w:r>
      <w:r w:rsidR="00E55DFD" w:rsidRPr="004458AE">
        <w:rPr>
          <w:rStyle w:val="sb8d990e2"/>
          <w:rFonts w:ascii="Arial" w:hAnsi="Arial" w:cs="Arial"/>
          <w:i/>
          <w:iCs/>
          <w:color w:val="000000"/>
          <w:shd w:val="clear" w:color="auto" w:fill="FFFFFF"/>
        </w:rPr>
        <w:t xml:space="preserve"> pow</w:t>
      </w:r>
      <w:r w:rsidR="00E55DFD" w:rsidRPr="004458AE">
        <w:rPr>
          <w:rStyle w:val="sb8d990e2"/>
          <w:rFonts w:ascii="Arial" w:hAnsi="Arial" w:cs="Arial"/>
          <w:i/>
          <w:iCs/>
          <w:shd w:val="clear" w:color="auto" w:fill="FFFFFF"/>
        </w:rPr>
        <w:t xml:space="preserve">yżej, </w:t>
      </w:r>
      <w:r w:rsidR="00E55DFD" w:rsidRPr="004458AE">
        <w:rPr>
          <w:rStyle w:val="sb8d990e2"/>
          <w:rFonts w:ascii="Arial" w:hAnsi="Arial" w:cs="Arial"/>
          <w:shd w:val="clear" w:color="auto" w:fill="FFFFFF"/>
        </w:rPr>
        <w:t>§ 101</w:t>
      </w:r>
      <w:r w:rsidR="00AC1023" w:rsidRPr="004458AE">
        <w:rPr>
          <w:rStyle w:val="sb8d990e2"/>
          <w:rFonts w:ascii="Arial" w:hAnsi="Arial" w:cs="Arial"/>
          <w:shd w:val="clear" w:color="auto" w:fill="FFFFFF"/>
        </w:rPr>
        <w:t>.</w:t>
      </w:r>
      <w:r w:rsidR="005D0CA5" w:rsidRPr="004458AE">
        <w:rPr>
          <w:rStyle w:val="sb8d990e2"/>
          <w:rFonts w:ascii="Arial" w:hAnsi="Arial" w:cs="Arial"/>
          <w:shd w:val="clear" w:color="auto" w:fill="FFFFFF"/>
        </w:rPr>
        <w:t xml:space="preserve"> </w:t>
      </w:r>
    </w:p>
    <w:p w14:paraId="260AABDF" w14:textId="6B3F2464" w:rsidR="000117C0" w:rsidRPr="004458AE" w:rsidRDefault="00BC0268" w:rsidP="000117C0">
      <w:pPr>
        <w:autoSpaceDE w:val="0"/>
        <w:autoSpaceDN w:val="0"/>
        <w:adjustRightInd w:val="0"/>
        <w:spacing w:before="100" w:beforeAutospacing="1" w:line="360" w:lineRule="auto"/>
        <w:jc w:val="both"/>
        <w:rPr>
          <w:rFonts w:ascii="Arial" w:hAnsi="Arial" w:cs="Arial"/>
        </w:rPr>
      </w:pPr>
      <w:r w:rsidRPr="004458AE">
        <w:rPr>
          <w:rFonts w:ascii="Arial" w:hAnsi="Arial" w:cs="Arial"/>
        </w:rPr>
        <w:t xml:space="preserve">Za </w:t>
      </w:r>
      <w:r w:rsidR="00870340" w:rsidRPr="004458AE">
        <w:rPr>
          <w:rFonts w:ascii="Arial" w:hAnsi="Arial" w:cs="Arial"/>
          <w:b/>
          <w:bCs/>
        </w:rPr>
        <w:t>obowiązki pozytywne państwa</w:t>
      </w:r>
      <w:r w:rsidR="00D435E2" w:rsidRPr="004458AE">
        <w:rPr>
          <w:rFonts w:ascii="Arial" w:hAnsi="Arial" w:cs="Arial"/>
          <w:b/>
          <w:bCs/>
        </w:rPr>
        <w:t xml:space="preserve">, które </w:t>
      </w:r>
      <w:r w:rsidR="00870340" w:rsidRPr="004458AE">
        <w:rPr>
          <w:rFonts w:ascii="Arial" w:hAnsi="Arial" w:cs="Arial"/>
        </w:rPr>
        <w:t xml:space="preserve">niejednokrotnie są ze sobą powiązane </w:t>
      </w:r>
      <w:r w:rsidR="00D435E2" w:rsidRPr="004458AE">
        <w:rPr>
          <w:rFonts w:ascii="Arial" w:hAnsi="Arial" w:cs="Arial"/>
        </w:rPr>
        <w:t xml:space="preserve">Trybunał </w:t>
      </w:r>
      <w:r w:rsidR="00C817FD" w:rsidRPr="004458AE">
        <w:rPr>
          <w:rFonts w:ascii="Arial" w:hAnsi="Arial" w:cs="Arial"/>
        </w:rPr>
        <w:t xml:space="preserve">konsekwentnie </w:t>
      </w:r>
      <w:r w:rsidRPr="004458AE">
        <w:rPr>
          <w:rFonts w:ascii="Arial" w:hAnsi="Arial" w:cs="Arial"/>
        </w:rPr>
        <w:t xml:space="preserve">uznaje </w:t>
      </w:r>
      <w:r w:rsidR="00584FDD" w:rsidRPr="004458AE">
        <w:rPr>
          <w:rFonts w:ascii="Arial" w:hAnsi="Arial" w:cs="Arial"/>
        </w:rPr>
        <w:t>(</w:t>
      </w:r>
      <w:r w:rsidRPr="004458AE">
        <w:rPr>
          <w:rFonts w:ascii="Arial" w:hAnsi="Arial" w:cs="Arial"/>
        </w:rPr>
        <w:t xml:space="preserve">ostatnio </w:t>
      </w:r>
      <w:r w:rsidR="00584FDD" w:rsidRPr="004458AE">
        <w:rPr>
          <w:rFonts w:ascii="Arial" w:hAnsi="Arial" w:cs="Arial"/>
        </w:rPr>
        <w:t xml:space="preserve">zob. </w:t>
      </w:r>
      <w:r w:rsidR="00C817FD" w:rsidRPr="004458AE">
        <w:rPr>
          <w:rFonts w:ascii="Arial" w:hAnsi="Arial" w:cs="Arial"/>
        </w:rPr>
        <w:t>wyrok z 26 maja 2020 r</w:t>
      </w:r>
      <w:r w:rsidR="003C4508">
        <w:rPr>
          <w:rFonts w:ascii="Arial" w:hAnsi="Arial" w:cs="Arial"/>
        </w:rPr>
        <w:t>oku</w:t>
      </w:r>
      <w:r w:rsidR="00C817FD" w:rsidRPr="004458AE">
        <w:rPr>
          <w:rFonts w:ascii="Arial" w:hAnsi="Arial" w:cs="Arial"/>
        </w:rPr>
        <w:t xml:space="preserve"> w sprawie </w:t>
      </w:r>
      <w:r w:rsidR="00584FDD" w:rsidRPr="004458AE">
        <w:rPr>
          <w:rFonts w:ascii="Arial" w:hAnsi="Arial" w:cs="Arial"/>
          <w:i/>
          <w:iCs/>
        </w:rPr>
        <w:t>Munteanu p. Republice Mołdawii</w:t>
      </w:r>
      <w:r w:rsidR="00C817FD" w:rsidRPr="004458AE">
        <w:rPr>
          <w:rFonts w:ascii="Arial" w:hAnsi="Arial" w:cs="Arial"/>
          <w:i/>
          <w:iCs/>
        </w:rPr>
        <w:t xml:space="preserve">, </w:t>
      </w:r>
      <w:r w:rsidR="00C817FD" w:rsidRPr="004458AE">
        <w:rPr>
          <w:rFonts w:ascii="Arial" w:hAnsi="Arial" w:cs="Arial"/>
        </w:rPr>
        <w:t xml:space="preserve">nr </w:t>
      </w:r>
      <w:r w:rsidR="00584FDD" w:rsidRPr="004458AE">
        <w:rPr>
          <w:rFonts w:ascii="Arial" w:hAnsi="Arial" w:cs="Arial"/>
        </w:rPr>
        <w:t>skarg</w:t>
      </w:r>
      <w:r w:rsidR="00C817FD" w:rsidRPr="004458AE">
        <w:rPr>
          <w:rFonts w:ascii="Arial" w:hAnsi="Arial" w:cs="Arial"/>
        </w:rPr>
        <w:t>i</w:t>
      </w:r>
      <w:r w:rsidR="00584FDD" w:rsidRPr="004458AE">
        <w:rPr>
          <w:rFonts w:ascii="Arial" w:hAnsi="Arial" w:cs="Arial"/>
        </w:rPr>
        <w:t xml:space="preserve"> 34168/11)</w:t>
      </w:r>
      <w:r w:rsidR="00C817FD" w:rsidRPr="004458AE">
        <w:rPr>
          <w:rFonts w:ascii="Arial" w:hAnsi="Arial" w:cs="Arial"/>
        </w:rPr>
        <w:t>:</w:t>
      </w:r>
      <w:r w:rsidR="00584FDD" w:rsidRPr="004458AE">
        <w:rPr>
          <w:rFonts w:ascii="Arial" w:hAnsi="Arial" w:cs="Arial"/>
        </w:rPr>
        <w:t xml:space="preserve"> </w:t>
      </w:r>
    </w:p>
    <w:p w14:paraId="3E84AF86" w14:textId="4476EC86" w:rsidR="00CE7C30" w:rsidRPr="004458AE" w:rsidRDefault="000117C0" w:rsidP="00F00CA0">
      <w:pPr>
        <w:pStyle w:val="s30eec3f8"/>
        <w:shd w:val="clear" w:color="auto" w:fill="FFFFFF"/>
        <w:spacing w:before="240" w:beforeAutospacing="0" w:after="240" w:afterAutospacing="0" w:line="360" w:lineRule="auto"/>
        <w:jc w:val="both"/>
        <w:rPr>
          <w:rFonts w:ascii="Arial" w:hAnsi="Arial" w:cs="Arial"/>
          <w:color w:val="000000"/>
          <w:sz w:val="22"/>
          <w:szCs w:val="22"/>
        </w:rPr>
      </w:pPr>
      <w:r w:rsidRPr="004458AE">
        <w:rPr>
          <w:rFonts w:ascii="Arial" w:hAnsi="Arial" w:cs="Arial"/>
          <w:sz w:val="22"/>
          <w:szCs w:val="22"/>
        </w:rPr>
        <w:t>(a)</w:t>
      </w:r>
      <w:r w:rsidR="00B741F5">
        <w:rPr>
          <w:rFonts w:ascii="Arial" w:hAnsi="Arial" w:cs="Arial"/>
          <w:sz w:val="22"/>
          <w:szCs w:val="22"/>
        </w:rPr>
        <w:t xml:space="preserve"> </w:t>
      </w:r>
      <w:r w:rsidR="00870340" w:rsidRPr="004458AE">
        <w:rPr>
          <w:rFonts w:ascii="Arial" w:hAnsi="Arial" w:cs="Arial"/>
          <w:sz w:val="22"/>
          <w:szCs w:val="22"/>
        </w:rPr>
        <w:t xml:space="preserve">obowiązek ustanowienia i stosowania w praktyce odpowiednich </w:t>
      </w:r>
      <w:r w:rsidR="00FF3598" w:rsidRPr="004458AE">
        <w:rPr>
          <w:rFonts w:ascii="Arial" w:hAnsi="Arial" w:cs="Arial"/>
          <w:sz w:val="22"/>
          <w:szCs w:val="22"/>
        </w:rPr>
        <w:t>uregulowań</w:t>
      </w:r>
      <w:r w:rsidR="00B357DB" w:rsidRPr="004458AE">
        <w:rPr>
          <w:rFonts w:ascii="Arial" w:hAnsi="Arial" w:cs="Arial"/>
          <w:sz w:val="22"/>
          <w:szCs w:val="22"/>
        </w:rPr>
        <w:t xml:space="preserve">, które </w:t>
      </w:r>
      <w:r w:rsidR="00870340" w:rsidRPr="004458AE">
        <w:rPr>
          <w:rFonts w:ascii="Arial" w:hAnsi="Arial" w:cs="Arial"/>
          <w:sz w:val="22"/>
          <w:szCs w:val="22"/>
        </w:rPr>
        <w:t>zapewnią</w:t>
      </w:r>
      <w:r w:rsidR="00B357DB" w:rsidRPr="004458AE">
        <w:rPr>
          <w:rFonts w:ascii="Arial" w:hAnsi="Arial" w:cs="Arial"/>
          <w:sz w:val="22"/>
          <w:szCs w:val="22"/>
        </w:rPr>
        <w:t xml:space="preserve"> </w:t>
      </w:r>
      <w:r w:rsidR="00870340" w:rsidRPr="004458AE">
        <w:rPr>
          <w:rFonts w:ascii="Arial" w:hAnsi="Arial" w:cs="Arial"/>
          <w:sz w:val="22"/>
          <w:szCs w:val="22"/>
        </w:rPr>
        <w:t>ochronę przed złym traktowaniem</w:t>
      </w:r>
      <w:r w:rsidR="00D13B3F" w:rsidRPr="004458AE">
        <w:rPr>
          <w:rFonts w:ascii="Arial" w:hAnsi="Arial" w:cs="Arial"/>
          <w:sz w:val="22"/>
          <w:szCs w:val="22"/>
        </w:rPr>
        <w:t xml:space="preserve">/ewentualnymi atakami </w:t>
      </w:r>
      <w:r w:rsidR="00870340" w:rsidRPr="004458AE">
        <w:rPr>
          <w:rFonts w:ascii="Arial" w:hAnsi="Arial" w:cs="Arial"/>
          <w:sz w:val="22"/>
          <w:szCs w:val="22"/>
        </w:rPr>
        <w:t xml:space="preserve">przez osoby </w:t>
      </w:r>
      <w:r w:rsidR="00D13B3F" w:rsidRPr="004458AE">
        <w:rPr>
          <w:rFonts w:ascii="Arial" w:hAnsi="Arial" w:cs="Arial"/>
          <w:sz w:val="22"/>
          <w:szCs w:val="22"/>
        </w:rPr>
        <w:t>fizyczne</w:t>
      </w:r>
      <w:r w:rsidRPr="004458AE">
        <w:rPr>
          <w:rFonts w:ascii="Arial" w:hAnsi="Arial" w:cs="Arial"/>
          <w:sz w:val="22"/>
          <w:szCs w:val="22"/>
        </w:rPr>
        <w:t xml:space="preserve">, w tym zapewnią ochronę integralności cielesnej i psychicznej </w:t>
      </w:r>
      <w:r w:rsidR="00870340" w:rsidRPr="004458AE">
        <w:rPr>
          <w:rFonts w:ascii="Arial" w:hAnsi="Arial" w:cs="Arial"/>
          <w:sz w:val="22"/>
          <w:szCs w:val="22"/>
        </w:rPr>
        <w:t>(</w:t>
      </w:r>
      <w:r w:rsidR="00B357DB" w:rsidRPr="004458AE">
        <w:rPr>
          <w:rFonts w:ascii="Arial" w:hAnsi="Arial" w:cs="Arial"/>
          <w:sz w:val="22"/>
          <w:szCs w:val="22"/>
        </w:rPr>
        <w:t xml:space="preserve">m .in. w </w:t>
      </w:r>
      <w:r w:rsidR="00D435E2" w:rsidRPr="004458AE">
        <w:rPr>
          <w:rFonts w:ascii="Arial" w:hAnsi="Arial" w:cs="Arial"/>
          <w:sz w:val="22"/>
          <w:szCs w:val="22"/>
        </w:rPr>
        <w:t>cyt</w:t>
      </w:r>
      <w:r w:rsidR="00390DF0">
        <w:rPr>
          <w:rFonts w:ascii="Arial" w:hAnsi="Arial" w:cs="Arial"/>
          <w:sz w:val="22"/>
          <w:szCs w:val="22"/>
        </w:rPr>
        <w:t>.</w:t>
      </w:r>
      <w:r w:rsidR="00D435E2" w:rsidRPr="004458AE">
        <w:rPr>
          <w:rFonts w:ascii="Arial" w:hAnsi="Arial" w:cs="Arial"/>
          <w:sz w:val="22"/>
          <w:szCs w:val="22"/>
        </w:rPr>
        <w:t xml:space="preserve"> na wstępie sprawie </w:t>
      </w:r>
      <w:r w:rsidR="00870340" w:rsidRPr="004458AE">
        <w:rPr>
          <w:rFonts w:ascii="Arial" w:hAnsi="Arial" w:cs="Arial"/>
          <w:i/>
          <w:iCs/>
          <w:sz w:val="22"/>
          <w:szCs w:val="22"/>
        </w:rPr>
        <w:t xml:space="preserve">Opuz </w:t>
      </w:r>
      <w:r w:rsidR="00FF3598" w:rsidRPr="004458AE">
        <w:rPr>
          <w:rFonts w:ascii="Arial" w:hAnsi="Arial" w:cs="Arial"/>
          <w:i/>
          <w:iCs/>
          <w:sz w:val="22"/>
          <w:szCs w:val="22"/>
        </w:rPr>
        <w:t>p.</w:t>
      </w:r>
      <w:r w:rsidR="00870340" w:rsidRPr="004458AE">
        <w:rPr>
          <w:rFonts w:ascii="Arial" w:hAnsi="Arial" w:cs="Arial"/>
          <w:i/>
          <w:iCs/>
          <w:sz w:val="22"/>
          <w:szCs w:val="22"/>
        </w:rPr>
        <w:t>Turcji</w:t>
      </w:r>
      <w:r w:rsidR="00D435E2" w:rsidRPr="004458AE">
        <w:rPr>
          <w:rFonts w:ascii="Arial" w:hAnsi="Arial" w:cs="Arial"/>
          <w:i/>
          <w:iCs/>
          <w:sz w:val="22"/>
          <w:szCs w:val="22"/>
        </w:rPr>
        <w:t xml:space="preserve"> </w:t>
      </w:r>
      <w:r w:rsidR="00B357DB" w:rsidRPr="004458AE">
        <w:rPr>
          <w:rFonts w:ascii="Arial" w:hAnsi="Arial" w:cs="Arial"/>
          <w:i/>
          <w:iCs/>
          <w:sz w:val="22"/>
          <w:szCs w:val="22"/>
        </w:rPr>
        <w:t>–</w:t>
      </w:r>
      <w:r w:rsidR="00D435E2" w:rsidRPr="004458AE">
        <w:rPr>
          <w:rFonts w:ascii="Arial" w:hAnsi="Arial" w:cs="Arial"/>
          <w:i/>
          <w:iCs/>
          <w:sz w:val="22"/>
          <w:szCs w:val="22"/>
        </w:rPr>
        <w:t xml:space="preserve"> </w:t>
      </w:r>
      <w:r w:rsidR="00B357DB" w:rsidRPr="004458AE">
        <w:rPr>
          <w:rFonts w:ascii="Arial" w:hAnsi="Arial" w:cs="Arial"/>
          <w:sz w:val="22"/>
          <w:szCs w:val="22"/>
        </w:rPr>
        <w:t xml:space="preserve">z uwagi na </w:t>
      </w:r>
      <w:r w:rsidR="00870340" w:rsidRPr="004458AE">
        <w:rPr>
          <w:rFonts w:ascii="Arial" w:hAnsi="Arial" w:cs="Arial"/>
          <w:sz w:val="22"/>
          <w:szCs w:val="22"/>
        </w:rPr>
        <w:t xml:space="preserve">brak systemu karania sprawców przemocy domowej, który mógłby </w:t>
      </w:r>
      <w:r w:rsidR="00870340" w:rsidRPr="004458AE">
        <w:rPr>
          <w:rFonts w:ascii="Arial" w:hAnsi="Arial" w:cs="Arial"/>
          <w:sz w:val="22"/>
          <w:szCs w:val="22"/>
        </w:rPr>
        <w:lastRenderedPageBreak/>
        <w:t xml:space="preserve">zapewnić skuteczne zapobieganie bezprawnym czynom sprawcy, § 199; </w:t>
      </w:r>
      <w:r w:rsidR="00870340" w:rsidRPr="004458AE">
        <w:rPr>
          <w:rFonts w:ascii="Arial" w:hAnsi="Arial" w:cs="Arial"/>
          <w:i/>
          <w:iCs/>
          <w:sz w:val="22"/>
          <w:szCs w:val="22"/>
        </w:rPr>
        <w:t>E.S. i Inni p. Słowacji</w:t>
      </w:r>
      <w:r w:rsidR="00870340" w:rsidRPr="004458AE">
        <w:rPr>
          <w:rFonts w:ascii="Arial" w:hAnsi="Arial" w:cs="Arial"/>
          <w:sz w:val="22"/>
          <w:szCs w:val="22"/>
        </w:rPr>
        <w:t xml:space="preserve">, </w:t>
      </w:r>
      <w:r w:rsidR="00870340" w:rsidRPr="004458AE">
        <w:rPr>
          <w:rFonts w:ascii="Arial" w:hAnsi="Arial" w:cs="Arial"/>
          <w:bCs/>
          <w:iCs/>
          <w:sz w:val="22"/>
          <w:szCs w:val="22"/>
        </w:rPr>
        <w:t xml:space="preserve">nr </w:t>
      </w:r>
      <w:r w:rsidR="0007713F" w:rsidRPr="004458AE">
        <w:rPr>
          <w:rFonts w:ascii="Arial" w:hAnsi="Arial" w:cs="Arial"/>
          <w:bCs/>
          <w:iCs/>
          <w:sz w:val="22"/>
          <w:szCs w:val="22"/>
        </w:rPr>
        <w:t xml:space="preserve">skargi </w:t>
      </w:r>
      <w:r w:rsidR="00870340" w:rsidRPr="004458AE">
        <w:rPr>
          <w:rFonts w:ascii="Arial" w:hAnsi="Arial" w:cs="Arial"/>
          <w:bCs/>
          <w:iCs/>
          <w:sz w:val="22"/>
          <w:szCs w:val="22"/>
        </w:rPr>
        <w:t xml:space="preserve">8227/04, wyrok z 15 września 2009 </w:t>
      </w:r>
      <w:r w:rsidR="003C4508">
        <w:rPr>
          <w:rFonts w:ascii="Arial" w:hAnsi="Arial" w:cs="Arial"/>
          <w:bCs/>
          <w:iCs/>
          <w:sz w:val="22"/>
          <w:szCs w:val="22"/>
        </w:rPr>
        <w:t>roku</w:t>
      </w:r>
      <w:r w:rsidR="00870340" w:rsidRPr="004458AE">
        <w:rPr>
          <w:rFonts w:ascii="Arial" w:hAnsi="Arial" w:cs="Arial"/>
          <w:bCs/>
          <w:sz w:val="22"/>
          <w:szCs w:val="22"/>
        </w:rPr>
        <w:t>,</w:t>
      </w:r>
      <w:r w:rsidR="00870340" w:rsidRPr="004458AE">
        <w:rPr>
          <w:rFonts w:ascii="Arial" w:hAnsi="Arial" w:cs="Arial"/>
          <w:sz w:val="22"/>
          <w:szCs w:val="22"/>
        </w:rPr>
        <w:t xml:space="preserve"> §§ 43 - 44 </w:t>
      </w:r>
      <w:r w:rsidR="00B357DB" w:rsidRPr="004458AE">
        <w:rPr>
          <w:rFonts w:ascii="Arial" w:hAnsi="Arial" w:cs="Arial"/>
          <w:sz w:val="22"/>
          <w:szCs w:val="22"/>
        </w:rPr>
        <w:t>–</w:t>
      </w:r>
      <w:r w:rsidR="00870340" w:rsidRPr="004458AE">
        <w:rPr>
          <w:rFonts w:ascii="Arial" w:hAnsi="Arial" w:cs="Arial"/>
          <w:sz w:val="22"/>
          <w:szCs w:val="22"/>
        </w:rPr>
        <w:t xml:space="preserve"> </w:t>
      </w:r>
      <w:r w:rsidR="00B357DB" w:rsidRPr="004458AE">
        <w:rPr>
          <w:rFonts w:ascii="Arial" w:hAnsi="Arial" w:cs="Arial"/>
          <w:sz w:val="22"/>
          <w:szCs w:val="22"/>
        </w:rPr>
        <w:t>z uwagi na b</w:t>
      </w:r>
      <w:r w:rsidR="00870340" w:rsidRPr="004458AE">
        <w:rPr>
          <w:rFonts w:ascii="Arial" w:hAnsi="Arial" w:cs="Arial"/>
          <w:sz w:val="22"/>
          <w:szCs w:val="22"/>
        </w:rPr>
        <w:t>rak prawnej możliwości usunięcia sprawcy przemocy domowej z zajmowanego lokalu</w:t>
      </w:r>
      <w:r w:rsidR="0007713F" w:rsidRPr="004458AE">
        <w:rPr>
          <w:rFonts w:ascii="Arial" w:hAnsi="Arial" w:cs="Arial"/>
          <w:sz w:val="22"/>
          <w:szCs w:val="22"/>
        </w:rPr>
        <w:t xml:space="preserve">; </w:t>
      </w:r>
      <w:hyperlink r:id="rId13">
        <w:r w:rsidR="0007713F" w:rsidRPr="004458AE">
          <w:rPr>
            <w:rFonts w:ascii="Arial" w:hAnsi="Arial" w:cs="Arial"/>
            <w:i/>
            <w:iCs/>
            <w:sz w:val="22"/>
            <w:szCs w:val="22"/>
          </w:rPr>
          <w:t xml:space="preserve">D.M.D. p. Rumunii, </w:t>
        </w:r>
        <w:r w:rsidR="0007713F" w:rsidRPr="004458AE">
          <w:rPr>
            <w:rFonts w:ascii="Arial" w:hAnsi="Arial" w:cs="Arial"/>
            <w:sz w:val="22"/>
            <w:szCs w:val="22"/>
          </w:rPr>
          <w:t xml:space="preserve">wyrok z 3 października 2017 </w:t>
        </w:r>
        <w:r w:rsidR="003C4508">
          <w:rPr>
            <w:rFonts w:ascii="Arial" w:hAnsi="Arial" w:cs="Arial"/>
            <w:sz w:val="22"/>
            <w:szCs w:val="22"/>
          </w:rPr>
          <w:t>roku</w:t>
        </w:r>
        <w:r w:rsidR="0007713F" w:rsidRPr="004458AE">
          <w:rPr>
            <w:rFonts w:ascii="Arial" w:hAnsi="Arial" w:cs="Arial"/>
            <w:sz w:val="22"/>
            <w:szCs w:val="22"/>
          </w:rPr>
          <w:t>, nr</w:t>
        </w:r>
        <w:r w:rsidR="0007713F" w:rsidRPr="004458AE">
          <w:rPr>
            <w:rFonts w:ascii="Arial" w:hAnsi="Arial" w:cs="Arial"/>
            <w:i/>
            <w:iCs/>
            <w:sz w:val="22"/>
            <w:szCs w:val="22"/>
          </w:rPr>
          <w:t xml:space="preserve"> </w:t>
        </w:r>
        <w:r w:rsidR="0007713F" w:rsidRPr="004458AE">
          <w:rPr>
            <w:rFonts w:ascii="Arial" w:hAnsi="Arial" w:cs="Arial"/>
            <w:sz w:val="22"/>
            <w:szCs w:val="22"/>
          </w:rPr>
          <w:t>skargi 23022/13</w:t>
        </w:r>
        <w:r w:rsidR="00681834" w:rsidRPr="004458AE">
          <w:rPr>
            <w:rFonts w:ascii="Arial" w:hAnsi="Arial" w:cs="Arial"/>
            <w:sz w:val="22"/>
            <w:szCs w:val="22"/>
          </w:rPr>
          <w:t xml:space="preserve"> – </w:t>
        </w:r>
        <w:r w:rsidR="00B357DB" w:rsidRPr="004458AE">
          <w:rPr>
            <w:rFonts w:ascii="Arial" w:hAnsi="Arial" w:cs="Arial"/>
            <w:sz w:val="22"/>
            <w:szCs w:val="22"/>
          </w:rPr>
          <w:t xml:space="preserve">w celu </w:t>
        </w:r>
        <w:r w:rsidR="00681834" w:rsidRPr="004458AE">
          <w:rPr>
            <w:rFonts w:ascii="Arial" w:hAnsi="Arial" w:cs="Arial"/>
            <w:sz w:val="22"/>
            <w:szCs w:val="22"/>
          </w:rPr>
          <w:t>zapewni</w:t>
        </w:r>
        <w:r w:rsidR="00B357DB" w:rsidRPr="004458AE">
          <w:rPr>
            <w:rFonts w:ascii="Arial" w:hAnsi="Arial" w:cs="Arial"/>
            <w:sz w:val="22"/>
            <w:szCs w:val="22"/>
          </w:rPr>
          <w:t xml:space="preserve">enia </w:t>
        </w:r>
        <w:r w:rsidR="00681834" w:rsidRPr="004458AE">
          <w:rPr>
            <w:rFonts w:ascii="Arial" w:hAnsi="Arial" w:cs="Arial"/>
            <w:sz w:val="22"/>
            <w:szCs w:val="22"/>
          </w:rPr>
          <w:t>skuteczn</w:t>
        </w:r>
        <w:r w:rsidR="00B357DB" w:rsidRPr="004458AE">
          <w:rPr>
            <w:rFonts w:ascii="Arial" w:hAnsi="Arial" w:cs="Arial"/>
            <w:sz w:val="22"/>
            <w:szCs w:val="22"/>
          </w:rPr>
          <w:t xml:space="preserve">ej </w:t>
        </w:r>
        <w:r w:rsidR="00681834" w:rsidRPr="004458AE">
          <w:rPr>
            <w:rFonts w:ascii="Arial" w:hAnsi="Arial" w:cs="Arial"/>
            <w:sz w:val="22"/>
            <w:szCs w:val="22"/>
          </w:rPr>
          <w:t>ochron</w:t>
        </w:r>
        <w:r w:rsidR="00B357DB" w:rsidRPr="004458AE">
          <w:rPr>
            <w:rFonts w:ascii="Arial" w:hAnsi="Arial" w:cs="Arial"/>
            <w:sz w:val="22"/>
            <w:szCs w:val="22"/>
          </w:rPr>
          <w:t>y</w:t>
        </w:r>
        <w:r w:rsidR="00681834" w:rsidRPr="004458AE">
          <w:rPr>
            <w:rFonts w:ascii="Arial" w:hAnsi="Arial" w:cs="Arial"/>
            <w:sz w:val="22"/>
            <w:szCs w:val="22"/>
          </w:rPr>
          <w:t xml:space="preserve"> dzieci przed przemocą domową objętą zakresem art. 3</w:t>
        </w:r>
        <w:r w:rsidR="00D13B3F" w:rsidRPr="004458AE">
          <w:rPr>
            <w:rFonts w:ascii="Arial" w:hAnsi="Arial" w:cs="Arial"/>
            <w:sz w:val="22"/>
            <w:szCs w:val="22"/>
          </w:rPr>
          <w:t>;</w:t>
        </w:r>
      </w:hyperlink>
      <w:r w:rsidR="00D13B3F" w:rsidRPr="004458AE">
        <w:rPr>
          <w:rFonts w:ascii="Arial" w:hAnsi="Arial" w:cs="Arial"/>
          <w:sz w:val="22"/>
          <w:szCs w:val="22"/>
        </w:rPr>
        <w:t xml:space="preserve"> </w:t>
      </w:r>
      <w:r w:rsidR="00D22744" w:rsidRPr="004458AE">
        <w:rPr>
          <w:rFonts w:ascii="Arial" w:hAnsi="Arial" w:cs="Arial"/>
          <w:sz w:val="22"/>
          <w:szCs w:val="22"/>
        </w:rPr>
        <w:t xml:space="preserve">a nadto </w:t>
      </w:r>
      <w:r w:rsidR="00D13B3F" w:rsidRPr="004458AE">
        <w:rPr>
          <w:rFonts w:ascii="Arial" w:hAnsi="Arial" w:cs="Arial"/>
          <w:sz w:val="22"/>
          <w:szCs w:val="22"/>
        </w:rPr>
        <w:t>zob</w:t>
      </w:r>
      <w:r w:rsidR="00D22744" w:rsidRPr="004458AE">
        <w:rPr>
          <w:rFonts w:ascii="Arial" w:hAnsi="Arial" w:cs="Arial"/>
          <w:sz w:val="22"/>
          <w:szCs w:val="22"/>
        </w:rPr>
        <w:t xml:space="preserve">. </w:t>
      </w:r>
      <w:r w:rsidR="00652234" w:rsidRPr="004458AE">
        <w:rPr>
          <w:rStyle w:val="s6b621b36"/>
          <w:rFonts w:ascii="Arial" w:eastAsia="Verdana" w:hAnsi="Arial" w:cs="Arial"/>
          <w:i/>
          <w:iCs/>
          <w:color w:val="000000"/>
          <w:sz w:val="22"/>
          <w:szCs w:val="22"/>
        </w:rPr>
        <w:t>Bevacqua i S. p</w:t>
      </w:r>
      <w:r w:rsidR="00D22744" w:rsidRPr="004458AE">
        <w:rPr>
          <w:rStyle w:val="s6b621b36"/>
          <w:rFonts w:ascii="Arial" w:eastAsia="Verdana" w:hAnsi="Arial" w:cs="Arial"/>
          <w:i/>
          <w:iCs/>
          <w:color w:val="000000"/>
          <w:sz w:val="22"/>
          <w:szCs w:val="22"/>
        </w:rPr>
        <w:t xml:space="preserve">. </w:t>
      </w:r>
      <w:r w:rsidR="00652234" w:rsidRPr="004458AE">
        <w:rPr>
          <w:rStyle w:val="s6b621b36"/>
          <w:rFonts w:ascii="Arial" w:eastAsia="Verdana" w:hAnsi="Arial" w:cs="Arial"/>
          <w:i/>
          <w:iCs/>
          <w:color w:val="000000"/>
          <w:sz w:val="22"/>
          <w:szCs w:val="22"/>
        </w:rPr>
        <w:t>Bułgarii</w:t>
      </w:r>
      <w:r w:rsidR="00652234" w:rsidRPr="004458AE">
        <w:rPr>
          <w:rStyle w:val="sb8d990e2"/>
          <w:rFonts w:ascii="Arial" w:eastAsia="Verdana" w:hAnsi="Arial" w:cs="Arial"/>
          <w:color w:val="000000"/>
          <w:sz w:val="22"/>
          <w:szCs w:val="22"/>
        </w:rPr>
        <w:t xml:space="preserve">, </w:t>
      </w:r>
      <w:r w:rsidR="002463E7" w:rsidRPr="004458AE">
        <w:rPr>
          <w:rStyle w:val="sb8d990e2"/>
          <w:rFonts w:ascii="Arial" w:eastAsia="Verdana" w:hAnsi="Arial" w:cs="Arial"/>
          <w:color w:val="000000"/>
          <w:sz w:val="22"/>
          <w:szCs w:val="22"/>
        </w:rPr>
        <w:t xml:space="preserve">cyt, powyżej </w:t>
      </w:r>
      <w:r w:rsidR="00652234" w:rsidRPr="004458AE">
        <w:rPr>
          <w:rStyle w:val="sb8d990e2"/>
          <w:rFonts w:ascii="Arial" w:eastAsia="Verdana" w:hAnsi="Arial" w:cs="Arial"/>
          <w:sz w:val="22"/>
          <w:szCs w:val="22"/>
        </w:rPr>
        <w:t>§ 65</w:t>
      </w:r>
      <w:r w:rsidR="00D13B3F" w:rsidRPr="004458AE">
        <w:rPr>
          <w:rStyle w:val="sb8d990e2"/>
          <w:rFonts w:ascii="Arial" w:eastAsia="Verdana" w:hAnsi="Arial" w:cs="Arial"/>
          <w:sz w:val="22"/>
          <w:szCs w:val="22"/>
        </w:rPr>
        <w:t>;</w:t>
      </w:r>
      <w:r w:rsidR="00652234" w:rsidRPr="004458AE">
        <w:rPr>
          <w:rStyle w:val="sb8d990e2"/>
          <w:rFonts w:ascii="Arial" w:eastAsia="Verdana" w:hAnsi="Arial" w:cs="Arial"/>
          <w:sz w:val="22"/>
          <w:szCs w:val="22"/>
        </w:rPr>
        <w:t xml:space="preserve"> </w:t>
      </w:r>
      <w:r w:rsidR="00652234" w:rsidRPr="004458AE">
        <w:rPr>
          <w:rStyle w:val="s6b621b36"/>
          <w:rFonts w:ascii="Arial" w:eastAsia="Verdana" w:hAnsi="Arial" w:cs="Arial"/>
          <w:i/>
          <w:iCs/>
          <w:sz w:val="22"/>
          <w:szCs w:val="22"/>
        </w:rPr>
        <w:t>Sandra Janković p</w:t>
      </w:r>
      <w:r w:rsidR="00D22744" w:rsidRPr="004458AE">
        <w:rPr>
          <w:rStyle w:val="s6b621b36"/>
          <w:rFonts w:ascii="Arial" w:eastAsia="Verdana" w:hAnsi="Arial" w:cs="Arial"/>
          <w:i/>
          <w:iCs/>
          <w:sz w:val="22"/>
          <w:szCs w:val="22"/>
        </w:rPr>
        <w:t>.</w:t>
      </w:r>
      <w:r w:rsidR="00652234" w:rsidRPr="004458AE">
        <w:rPr>
          <w:rStyle w:val="s6b621b36"/>
          <w:rFonts w:ascii="Arial" w:eastAsia="Verdana" w:hAnsi="Arial" w:cs="Arial"/>
          <w:i/>
          <w:iCs/>
          <w:sz w:val="22"/>
          <w:szCs w:val="22"/>
        </w:rPr>
        <w:t xml:space="preserve"> Chorwacji</w:t>
      </w:r>
      <w:r w:rsidR="00652234" w:rsidRPr="004458AE">
        <w:rPr>
          <w:rStyle w:val="sb8d990e2"/>
          <w:rFonts w:ascii="Arial" w:eastAsia="Verdana" w:hAnsi="Arial" w:cs="Arial"/>
          <w:sz w:val="22"/>
          <w:szCs w:val="22"/>
        </w:rPr>
        <w:t xml:space="preserve">, </w:t>
      </w:r>
      <w:r w:rsidR="00D13B3F" w:rsidRPr="004458AE">
        <w:rPr>
          <w:rStyle w:val="sb8d990e2"/>
          <w:rFonts w:ascii="Arial" w:eastAsia="Verdana" w:hAnsi="Arial" w:cs="Arial"/>
          <w:sz w:val="22"/>
          <w:szCs w:val="22"/>
        </w:rPr>
        <w:t xml:space="preserve">5 marca 2009 </w:t>
      </w:r>
      <w:r w:rsidR="003C4508">
        <w:rPr>
          <w:rStyle w:val="sb8d990e2"/>
          <w:rFonts w:ascii="Arial" w:eastAsia="Verdana" w:hAnsi="Arial" w:cs="Arial"/>
          <w:sz w:val="22"/>
          <w:szCs w:val="22"/>
        </w:rPr>
        <w:t>roku</w:t>
      </w:r>
      <w:r w:rsidR="00D13B3F" w:rsidRPr="004458AE">
        <w:rPr>
          <w:rStyle w:val="sb8d990e2"/>
          <w:rFonts w:ascii="Arial" w:eastAsia="Verdana" w:hAnsi="Arial" w:cs="Arial"/>
          <w:sz w:val="22"/>
          <w:szCs w:val="22"/>
        </w:rPr>
        <w:t xml:space="preserve">, </w:t>
      </w:r>
      <w:r w:rsidR="00652234" w:rsidRPr="004458AE">
        <w:rPr>
          <w:rStyle w:val="sb8d990e2"/>
          <w:rFonts w:ascii="Arial" w:eastAsia="Verdana" w:hAnsi="Arial" w:cs="Arial"/>
          <w:sz w:val="22"/>
          <w:szCs w:val="22"/>
        </w:rPr>
        <w:t>nr </w:t>
      </w:r>
      <w:r w:rsidR="00D13B3F" w:rsidRPr="004458AE">
        <w:rPr>
          <w:rStyle w:val="sb8d990e2"/>
          <w:rFonts w:ascii="Arial" w:eastAsia="Verdana" w:hAnsi="Arial" w:cs="Arial"/>
          <w:sz w:val="22"/>
          <w:szCs w:val="22"/>
        </w:rPr>
        <w:t xml:space="preserve">skargi </w:t>
      </w:r>
      <w:hyperlink r:id="rId14" w:anchor="{%22appno%22:[%2238478/05%22]}" w:tgtFrame="_blank" w:history="1">
        <w:r w:rsidR="00652234" w:rsidRPr="004458AE">
          <w:rPr>
            <w:rStyle w:val="Hipercze"/>
            <w:rFonts w:ascii="Arial" w:hAnsi="Arial" w:cs="Arial"/>
            <w:color w:val="auto"/>
            <w:sz w:val="22"/>
            <w:szCs w:val="22"/>
            <w:u w:val="none"/>
          </w:rPr>
          <w:t>38478/05</w:t>
        </w:r>
      </w:hyperlink>
      <w:r w:rsidR="00652234" w:rsidRPr="004458AE">
        <w:rPr>
          <w:rStyle w:val="sb8d990e2"/>
          <w:rFonts w:ascii="Arial" w:eastAsia="Verdana" w:hAnsi="Arial" w:cs="Arial"/>
          <w:sz w:val="22"/>
          <w:szCs w:val="22"/>
        </w:rPr>
        <w:t>, § 45</w:t>
      </w:r>
      <w:r w:rsidR="00D13B3F" w:rsidRPr="004458AE">
        <w:rPr>
          <w:rStyle w:val="sb8d990e2"/>
          <w:rFonts w:ascii="Arial" w:eastAsia="Verdana" w:hAnsi="Arial" w:cs="Arial"/>
          <w:sz w:val="22"/>
          <w:szCs w:val="22"/>
        </w:rPr>
        <w:t>;</w:t>
      </w:r>
      <w:r w:rsidR="00652234" w:rsidRPr="004458AE">
        <w:rPr>
          <w:rStyle w:val="sb8d990e2"/>
          <w:rFonts w:ascii="Arial" w:eastAsia="Verdana" w:hAnsi="Arial" w:cs="Arial"/>
          <w:sz w:val="22"/>
          <w:szCs w:val="22"/>
        </w:rPr>
        <w:t> </w:t>
      </w:r>
      <w:r w:rsidR="00652234" w:rsidRPr="004458AE">
        <w:rPr>
          <w:rStyle w:val="s6b621b36"/>
          <w:rFonts w:ascii="Arial" w:eastAsia="Verdana" w:hAnsi="Arial" w:cs="Arial"/>
          <w:i/>
          <w:iCs/>
          <w:sz w:val="22"/>
          <w:szCs w:val="22"/>
        </w:rPr>
        <w:t>A. p</w:t>
      </w:r>
      <w:r w:rsidR="00D22744" w:rsidRPr="004458AE">
        <w:rPr>
          <w:rStyle w:val="s6b621b36"/>
          <w:rFonts w:ascii="Arial" w:eastAsia="Verdana" w:hAnsi="Arial" w:cs="Arial"/>
          <w:i/>
          <w:iCs/>
          <w:sz w:val="22"/>
          <w:szCs w:val="22"/>
        </w:rPr>
        <w:t xml:space="preserve">. </w:t>
      </w:r>
      <w:r w:rsidR="00652234" w:rsidRPr="004458AE">
        <w:rPr>
          <w:rStyle w:val="s6b621b36"/>
          <w:rFonts w:ascii="Arial" w:eastAsia="Verdana" w:hAnsi="Arial" w:cs="Arial"/>
          <w:i/>
          <w:iCs/>
          <w:sz w:val="22"/>
          <w:szCs w:val="22"/>
        </w:rPr>
        <w:t>Chorwacji</w:t>
      </w:r>
      <w:r w:rsidR="00652234" w:rsidRPr="004458AE">
        <w:rPr>
          <w:rStyle w:val="sb8d990e2"/>
          <w:rFonts w:ascii="Arial" w:eastAsia="Verdana" w:hAnsi="Arial" w:cs="Arial"/>
          <w:sz w:val="22"/>
          <w:szCs w:val="22"/>
        </w:rPr>
        <w:t xml:space="preserve">, </w:t>
      </w:r>
      <w:r w:rsidR="00D13B3F" w:rsidRPr="004458AE">
        <w:rPr>
          <w:rStyle w:val="sb8d990e2"/>
          <w:rFonts w:ascii="Arial" w:eastAsia="Verdana" w:hAnsi="Arial" w:cs="Arial"/>
          <w:sz w:val="22"/>
          <w:szCs w:val="22"/>
        </w:rPr>
        <w:t xml:space="preserve">14 października 2010 </w:t>
      </w:r>
      <w:r w:rsidR="003C4508">
        <w:rPr>
          <w:rStyle w:val="sb8d990e2"/>
          <w:rFonts w:ascii="Arial" w:eastAsia="Verdana" w:hAnsi="Arial" w:cs="Arial"/>
          <w:sz w:val="22"/>
          <w:szCs w:val="22"/>
        </w:rPr>
        <w:t>roku</w:t>
      </w:r>
      <w:r w:rsidR="00D13B3F" w:rsidRPr="004458AE">
        <w:rPr>
          <w:rStyle w:val="sb8d990e2"/>
          <w:rFonts w:ascii="Arial" w:eastAsia="Verdana" w:hAnsi="Arial" w:cs="Arial"/>
          <w:sz w:val="22"/>
          <w:szCs w:val="22"/>
        </w:rPr>
        <w:t xml:space="preserve">, </w:t>
      </w:r>
      <w:r w:rsidR="00652234" w:rsidRPr="004458AE">
        <w:rPr>
          <w:rStyle w:val="sb8d990e2"/>
          <w:rFonts w:ascii="Arial" w:eastAsia="Verdana" w:hAnsi="Arial" w:cs="Arial"/>
          <w:sz w:val="22"/>
          <w:szCs w:val="22"/>
        </w:rPr>
        <w:t>nr </w:t>
      </w:r>
      <w:r w:rsidR="00D13B3F" w:rsidRPr="004458AE">
        <w:rPr>
          <w:rStyle w:val="sb8d990e2"/>
          <w:rFonts w:ascii="Arial" w:eastAsia="Verdana" w:hAnsi="Arial" w:cs="Arial"/>
          <w:sz w:val="22"/>
          <w:szCs w:val="22"/>
        </w:rPr>
        <w:t xml:space="preserve">skargi </w:t>
      </w:r>
      <w:hyperlink r:id="rId15" w:anchor="{%22appno%22:[%2255164/08%22]}" w:tgtFrame="_blank" w:history="1">
        <w:r w:rsidR="00652234" w:rsidRPr="004458AE">
          <w:rPr>
            <w:rStyle w:val="Hipercze"/>
            <w:rFonts w:ascii="Arial" w:hAnsi="Arial" w:cs="Arial"/>
            <w:color w:val="auto"/>
            <w:sz w:val="22"/>
            <w:szCs w:val="22"/>
            <w:u w:val="none"/>
          </w:rPr>
          <w:t>55164/08</w:t>
        </w:r>
      </w:hyperlink>
      <w:r w:rsidR="00652234" w:rsidRPr="004458AE">
        <w:rPr>
          <w:rStyle w:val="sb8d990e2"/>
          <w:rFonts w:ascii="Arial" w:eastAsia="Verdana" w:hAnsi="Arial" w:cs="Arial"/>
          <w:sz w:val="22"/>
          <w:szCs w:val="22"/>
        </w:rPr>
        <w:t>, § 60</w:t>
      </w:r>
      <w:r w:rsidR="00D13B3F" w:rsidRPr="004458AE">
        <w:rPr>
          <w:rStyle w:val="sb8d990e2"/>
          <w:rFonts w:ascii="Arial" w:eastAsia="Verdana" w:hAnsi="Arial" w:cs="Arial"/>
          <w:sz w:val="22"/>
          <w:szCs w:val="22"/>
        </w:rPr>
        <w:t>;</w:t>
      </w:r>
      <w:r w:rsidR="00652234" w:rsidRPr="004458AE">
        <w:rPr>
          <w:rStyle w:val="sb8d990e2"/>
          <w:rFonts w:ascii="Arial" w:eastAsia="Verdana" w:hAnsi="Arial" w:cs="Arial"/>
          <w:sz w:val="22"/>
          <w:szCs w:val="22"/>
        </w:rPr>
        <w:t xml:space="preserve"> </w:t>
      </w:r>
      <w:r w:rsidR="00652234" w:rsidRPr="004458AE">
        <w:rPr>
          <w:rStyle w:val="s6b621b36"/>
          <w:rFonts w:ascii="Arial" w:eastAsia="Verdana" w:hAnsi="Arial" w:cs="Arial"/>
          <w:i/>
          <w:iCs/>
          <w:sz w:val="22"/>
          <w:szCs w:val="22"/>
        </w:rPr>
        <w:t>Đorđević p</w:t>
      </w:r>
      <w:r w:rsidR="00D22744" w:rsidRPr="004458AE">
        <w:rPr>
          <w:rStyle w:val="s6b621b36"/>
          <w:rFonts w:ascii="Arial" w:eastAsia="Verdana" w:hAnsi="Arial" w:cs="Arial"/>
          <w:i/>
          <w:iCs/>
          <w:sz w:val="22"/>
          <w:szCs w:val="22"/>
        </w:rPr>
        <w:t>.</w:t>
      </w:r>
      <w:r w:rsidR="00652234" w:rsidRPr="004458AE">
        <w:rPr>
          <w:rStyle w:val="s6b621b36"/>
          <w:rFonts w:ascii="Arial" w:eastAsia="Verdana" w:hAnsi="Arial" w:cs="Arial"/>
          <w:i/>
          <w:iCs/>
          <w:sz w:val="22"/>
          <w:szCs w:val="22"/>
        </w:rPr>
        <w:t xml:space="preserve"> Chorwacji</w:t>
      </w:r>
      <w:r w:rsidR="00652234" w:rsidRPr="004458AE">
        <w:rPr>
          <w:rStyle w:val="sb8d990e2"/>
          <w:rFonts w:ascii="Arial" w:eastAsia="Verdana" w:hAnsi="Arial" w:cs="Arial"/>
          <w:sz w:val="22"/>
          <w:szCs w:val="22"/>
        </w:rPr>
        <w:t xml:space="preserve">, </w:t>
      </w:r>
      <w:r w:rsidR="00D22744" w:rsidRPr="004458AE">
        <w:rPr>
          <w:rStyle w:val="sb8d990e2"/>
          <w:rFonts w:ascii="Arial" w:eastAsia="Verdana" w:hAnsi="Arial" w:cs="Arial"/>
          <w:sz w:val="22"/>
          <w:szCs w:val="22"/>
        </w:rPr>
        <w:t xml:space="preserve">wyrok 24 październik 2010 </w:t>
      </w:r>
      <w:r w:rsidR="003C4508">
        <w:rPr>
          <w:rStyle w:val="sb8d990e2"/>
          <w:rFonts w:ascii="Arial" w:eastAsia="Verdana" w:hAnsi="Arial" w:cs="Arial"/>
          <w:sz w:val="22"/>
          <w:szCs w:val="22"/>
        </w:rPr>
        <w:t>roku</w:t>
      </w:r>
      <w:r w:rsidR="00D22744" w:rsidRPr="004458AE">
        <w:rPr>
          <w:rStyle w:val="sb8d990e2"/>
          <w:rFonts w:ascii="Arial" w:eastAsia="Verdana" w:hAnsi="Arial" w:cs="Arial"/>
          <w:sz w:val="22"/>
          <w:szCs w:val="22"/>
        </w:rPr>
        <w:t xml:space="preserve">, </w:t>
      </w:r>
      <w:r w:rsidR="00652234" w:rsidRPr="004458AE">
        <w:rPr>
          <w:rStyle w:val="sb8d990e2"/>
          <w:rFonts w:ascii="Arial" w:eastAsia="Verdana" w:hAnsi="Arial" w:cs="Arial"/>
          <w:sz w:val="22"/>
          <w:szCs w:val="22"/>
        </w:rPr>
        <w:t>nr </w:t>
      </w:r>
      <w:r w:rsidR="00D22744" w:rsidRPr="004458AE">
        <w:rPr>
          <w:rStyle w:val="sb8d990e2"/>
          <w:rFonts w:ascii="Arial" w:eastAsia="Verdana" w:hAnsi="Arial" w:cs="Arial"/>
          <w:sz w:val="22"/>
          <w:szCs w:val="22"/>
        </w:rPr>
        <w:t xml:space="preserve">skargi </w:t>
      </w:r>
      <w:hyperlink r:id="rId16" w:anchor="{%22appno%22:[%2241526/10%22]}" w:tgtFrame="_blank" w:history="1">
        <w:r w:rsidR="00652234" w:rsidRPr="004458AE">
          <w:rPr>
            <w:rStyle w:val="Hipercze"/>
            <w:rFonts w:ascii="Arial" w:hAnsi="Arial" w:cs="Arial"/>
            <w:color w:val="auto"/>
            <w:sz w:val="22"/>
            <w:szCs w:val="22"/>
            <w:u w:val="none"/>
          </w:rPr>
          <w:t>41526/10</w:t>
        </w:r>
      </w:hyperlink>
      <w:r w:rsidR="00652234" w:rsidRPr="004458AE">
        <w:rPr>
          <w:rStyle w:val="sb8d990e2"/>
          <w:rFonts w:ascii="Arial" w:eastAsia="Verdana" w:hAnsi="Arial" w:cs="Arial"/>
          <w:sz w:val="22"/>
          <w:szCs w:val="22"/>
        </w:rPr>
        <w:t>, §§ 141-143</w:t>
      </w:r>
      <w:r w:rsidR="00D22744" w:rsidRPr="004458AE">
        <w:rPr>
          <w:rStyle w:val="sb8d990e2"/>
          <w:rFonts w:ascii="Arial" w:eastAsia="Verdana" w:hAnsi="Arial" w:cs="Arial"/>
          <w:sz w:val="22"/>
          <w:szCs w:val="22"/>
        </w:rPr>
        <w:t>;</w:t>
      </w:r>
      <w:r w:rsidR="00652234" w:rsidRPr="004458AE">
        <w:rPr>
          <w:rStyle w:val="sb8d990e2"/>
          <w:rFonts w:ascii="Arial" w:eastAsia="Verdana" w:hAnsi="Arial" w:cs="Arial"/>
          <w:sz w:val="22"/>
          <w:szCs w:val="22"/>
        </w:rPr>
        <w:t> </w:t>
      </w:r>
      <w:r w:rsidR="00652234" w:rsidRPr="004458AE">
        <w:rPr>
          <w:rStyle w:val="s6b621b36"/>
          <w:rFonts w:ascii="Arial" w:eastAsia="Verdana" w:hAnsi="Arial" w:cs="Arial"/>
          <w:i/>
          <w:iCs/>
          <w:sz w:val="22"/>
          <w:szCs w:val="22"/>
        </w:rPr>
        <w:t>M. i M. p</w:t>
      </w:r>
      <w:r w:rsidR="00D22744" w:rsidRPr="004458AE">
        <w:rPr>
          <w:rStyle w:val="s6b621b36"/>
          <w:rFonts w:ascii="Arial" w:eastAsia="Verdana" w:hAnsi="Arial" w:cs="Arial"/>
          <w:i/>
          <w:iCs/>
          <w:sz w:val="22"/>
          <w:szCs w:val="22"/>
        </w:rPr>
        <w:t>.</w:t>
      </w:r>
      <w:r w:rsidR="00652234" w:rsidRPr="004458AE">
        <w:rPr>
          <w:rStyle w:val="s6b621b36"/>
          <w:rFonts w:ascii="Arial" w:eastAsia="Verdana" w:hAnsi="Arial" w:cs="Arial"/>
          <w:i/>
          <w:iCs/>
          <w:sz w:val="22"/>
          <w:szCs w:val="22"/>
        </w:rPr>
        <w:t xml:space="preserve"> Chorwacji</w:t>
      </w:r>
      <w:r w:rsidR="00652234" w:rsidRPr="004458AE">
        <w:rPr>
          <w:rStyle w:val="sb8d990e2"/>
          <w:rFonts w:ascii="Arial" w:eastAsia="Verdana" w:hAnsi="Arial" w:cs="Arial"/>
          <w:sz w:val="22"/>
          <w:szCs w:val="22"/>
        </w:rPr>
        <w:t xml:space="preserve">, </w:t>
      </w:r>
      <w:r w:rsidR="00D22744" w:rsidRPr="004458AE">
        <w:rPr>
          <w:rStyle w:val="sb8d990e2"/>
          <w:rFonts w:ascii="Arial" w:eastAsia="Verdana" w:hAnsi="Arial" w:cs="Arial"/>
          <w:sz w:val="22"/>
          <w:szCs w:val="22"/>
        </w:rPr>
        <w:t xml:space="preserve">wyrok 3 grudnia 2015 r, </w:t>
      </w:r>
      <w:r w:rsidR="00652234" w:rsidRPr="004458AE">
        <w:rPr>
          <w:rStyle w:val="sb8d990e2"/>
          <w:rFonts w:ascii="Arial" w:eastAsia="Verdana" w:hAnsi="Arial" w:cs="Arial"/>
          <w:sz w:val="22"/>
          <w:szCs w:val="22"/>
        </w:rPr>
        <w:t>nr </w:t>
      </w:r>
      <w:r w:rsidR="00D22744" w:rsidRPr="004458AE">
        <w:rPr>
          <w:rStyle w:val="sb8d990e2"/>
          <w:rFonts w:ascii="Arial" w:eastAsia="Verdana" w:hAnsi="Arial" w:cs="Arial"/>
          <w:sz w:val="22"/>
          <w:szCs w:val="22"/>
        </w:rPr>
        <w:t xml:space="preserve">skargi </w:t>
      </w:r>
      <w:hyperlink r:id="rId17" w:anchor="{%22appno%22:[%2210161/13%22]}" w:tgtFrame="_blank" w:history="1">
        <w:r w:rsidR="00652234" w:rsidRPr="004458AE">
          <w:rPr>
            <w:rStyle w:val="Hipercze"/>
            <w:rFonts w:ascii="Arial" w:hAnsi="Arial" w:cs="Arial"/>
            <w:color w:val="auto"/>
            <w:sz w:val="22"/>
            <w:szCs w:val="22"/>
            <w:u w:val="none"/>
          </w:rPr>
          <w:t>10161/13</w:t>
        </w:r>
      </w:hyperlink>
      <w:r w:rsidR="00652234" w:rsidRPr="004458AE">
        <w:rPr>
          <w:rStyle w:val="sb8d990e2"/>
          <w:rFonts w:ascii="Arial" w:eastAsia="Verdana" w:hAnsi="Arial" w:cs="Arial"/>
          <w:sz w:val="22"/>
          <w:szCs w:val="22"/>
        </w:rPr>
        <w:t>,</w:t>
      </w:r>
      <w:r w:rsidR="002463E7" w:rsidRPr="004458AE">
        <w:rPr>
          <w:rStyle w:val="sb8d990e2"/>
          <w:rFonts w:ascii="Arial" w:eastAsia="Verdana" w:hAnsi="Arial" w:cs="Arial"/>
          <w:sz w:val="22"/>
          <w:szCs w:val="22"/>
        </w:rPr>
        <w:t xml:space="preserve"> </w:t>
      </w:r>
      <w:r w:rsidR="00652234" w:rsidRPr="004458AE">
        <w:rPr>
          <w:rStyle w:val="sb8d990e2"/>
          <w:rFonts w:ascii="Arial" w:eastAsia="Verdana" w:hAnsi="Arial" w:cs="Arial"/>
          <w:color w:val="000000"/>
          <w:sz w:val="22"/>
          <w:szCs w:val="22"/>
        </w:rPr>
        <w:t>§ 136</w:t>
      </w:r>
      <w:r w:rsidR="00D22744" w:rsidRPr="004458AE">
        <w:rPr>
          <w:rStyle w:val="sb8d990e2"/>
          <w:rFonts w:ascii="Arial" w:eastAsia="Verdana" w:hAnsi="Arial" w:cs="Arial"/>
          <w:color w:val="000000"/>
          <w:sz w:val="22"/>
          <w:szCs w:val="22"/>
        </w:rPr>
        <w:t xml:space="preserve">; </w:t>
      </w:r>
      <w:r w:rsidR="00D22744" w:rsidRPr="004458AE">
        <w:rPr>
          <w:rStyle w:val="sb8d990e2"/>
          <w:rFonts w:ascii="Arial" w:eastAsia="Verdana" w:hAnsi="Arial" w:cs="Arial"/>
          <w:i/>
          <w:iCs/>
          <w:color w:val="000000"/>
          <w:sz w:val="22"/>
          <w:szCs w:val="22"/>
        </w:rPr>
        <w:t>Talpis p</w:t>
      </w:r>
      <w:r w:rsidR="002463E7" w:rsidRPr="004458AE">
        <w:rPr>
          <w:rStyle w:val="sb8d990e2"/>
          <w:rFonts w:ascii="Arial" w:eastAsia="Verdana" w:hAnsi="Arial" w:cs="Arial"/>
          <w:i/>
          <w:iCs/>
          <w:color w:val="000000"/>
          <w:sz w:val="22"/>
          <w:szCs w:val="22"/>
        </w:rPr>
        <w:t>.Włochom</w:t>
      </w:r>
      <w:r w:rsidR="002463E7" w:rsidRPr="004458AE">
        <w:rPr>
          <w:rStyle w:val="sb8d990e2"/>
          <w:rFonts w:ascii="Arial" w:eastAsia="Verdana" w:hAnsi="Arial" w:cs="Arial"/>
          <w:color w:val="000000"/>
          <w:sz w:val="22"/>
          <w:szCs w:val="22"/>
        </w:rPr>
        <w:t xml:space="preserve">, cyt. powyżej, § 99); </w:t>
      </w:r>
      <w:r w:rsidR="00CE7C30" w:rsidRPr="004458AE">
        <w:rPr>
          <w:rStyle w:val="sb8d990e2"/>
          <w:rFonts w:ascii="Arial" w:eastAsia="Verdana" w:hAnsi="Arial" w:cs="Arial"/>
          <w:color w:val="000000"/>
          <w:sz w:val="22"/>
          <w:szCs w:val="22"/>
        </w:rPr>
        <w:t>Obowiązek pozytywny ochrony nietykalności cielesnej jednostki rozciąga się na kwestie skuteczności śledztwa, które nie może ograniczać się do przypadków złego traktowania ze strony funkcjonariuszy państwa (</w:t>
      </w:r>
      <w:r w:rsidR="00CE7C30" w:rsidRPr="004458AE">
        <w:rPr>
          <w:rStyle w:val="s6b621b36"/>
          <w:rFonts w:ascii="Arial" w:eastAsia="Verdana" w:hAnsi="Arial" w:cs="Arial"/>
          <w:i/>
          <w:iCs/>
          <w:color w:val="000000"/>
          <w:sz w:val="22"/>
          <w:szCs w:val="22"/>
        </w:rPr>
        <w:t>M.C. p</w:t>
      </w:r>
      <w:r w:rsidR="004A4505" w:rsidRPr="004458AE">
        <w:rPr>
          <w:rStyle w:val="s6b621b36"/>
          <w:rFonts w:ascii="Arial" w:eastAsia="Verdana" w:hAnsi="Arial" w:cs="Arial"/>
          <w:i/>
          <w:iCs/>
          <w:color w:val="000000"/>
          <w:sz w:val="22"/>
          <w:szCs w:val="22"/>
        </w:rPr>
        <w:t xml:space="preserve">. </w:t>
      </w:r>
      <w:r w:rsidR="00CE7C30" w:rsidRPr="004458AE">
        <w:rPr>
          <w:rStyle w:val="s6b621b36"/>
          <w:rFonts w:ascii="Arial" w:eastAsia="Verdana" w:hAnsi="Arial" w:cs="Arial"/>
          <w:i/>
          <w:iCs/>
          <w:color w:val="000000"/>
          <w:sz w:val="22"/>
          <w:szCs w:val="22"/>
        </w:rPr>
        <w:t>Bułgarii</w:t>
      </w:r>
      <w:r w:rsidR="00CE7C30" w:rsidRPr="004458AE">
        <w:rPr>
          <w:rStyle w:val="sb8d990e2"/>
          <w:rFonts w:ascii="Arial" w:eastAsia="Verdana" w:hAnsi="Arial" w:cs="Arial"/>
          <w:color w:val="000000"/>
          <w:sz w:val="22"/>
          <w:szCs w:val="22"/>
        </w:rPr>
        <w:t xml:space="preserve">, </w:t>
      </w:r>
      <w:r w:rsidR="00F00CA0" w:rsidRPr="004458AE">
        <w:rPr>
          <w:rStyle w:val="sb8d990e2"/>
          <w:rFonts w:ascii="Arial" w:eastAsia="Verdana" w:hAnsi="Arial" w:cs="Arial"/>
          <w:color w:val="000000"/>
          <w:sz w:val="22"/>
          <w:szCs w:val="22"/>
        </w:rPr>
        <w:t>nr skargi</w:t>
      </w:r>
      <w:r w:rsidR="00CE7C30" w:rsidRPr="004458AE">
        <w:rPr>
          <w:rStyle w:val="sb8d990e2"/>
          <w:rFonts w:ascii="Arial" w:eastAsia="Verdana" w:hAnsi="Arial" w:cs="Arial"/>
          <w:sz w:val="22"/>
          <w:szCs w:val="22"/>
        </w:rPr>
        <w:t> </w:t>
      </w:r>
      <w:hyperlink r:id="rId18" w:anchor="{%22appno%22:[%2239272/98%22]}" w:tgtFrame="_blank" w:history="1">
        <w:r w:rsidR="00CE7C30" w:rsidRPr="004458AE">
          <w:rPr>
            <w:rStyle w:val="Hipercze"/>
            <w:rFonts w:ascii="Arial" w:hAnsi="Arial" w:cs="Arial"/>
            <w:color w:val="auto"/>
            <w:sz w:val="22"/>
            <w:szCs w:val="22"/>
            <w:u w:val="none"/>
          </w:rPr>
          <w:t>39272/98</w:t>
        </w:r>
      </w:hyperlink>
      <w:r w:rsidR="00CE7C30" w:rsidRPr="004458AE">
        <w:rPr>
          <w:rStyle w:val="sb8d990e2"/>
          <w:rFonts w:ascii="Arial" w:eastAsia="Verdana" w:hAnsi="Arial" w:cs="Arial"/>
          <w:color w:val="000000"/>
          <w:sz w:val="22"/>
          <w:szCs w:val="22"/>
        </w:rPr>
        <w:t xml:space="preserve">, </w:t>
      </w:r>
      <w:r w:rsidR="00F00CA0" w:rsidRPr="004458AE">
        <w:rPr>
          <w:rStyle w:val="sb8d990e2"/>
          <w:rFonts w:ascii="Arial" w:eastAsia="Verdana" w:hAnsi="Arial" w:cs="Arial"/>
          <w:color w:val="000000"/>
          <w:sz w:val="22"/>
          <w:szCs w:val="22"/>
        </w:rPr>
        <w:br/>
      </w:r>
      <w:r w:rsidR="00CE7C30" w:rsidRPr="004458AE">
        <w:rPr>
          <w:rStyle w:val="sb8d990e2"/>
          <w:rFonts w:ascii="Arial" w:eastAsia="Verdana" w:hAnsi="Arial" w:cs="Arial"/>
          <w:color w:val="000000"/>
          <w:sz w:val="22"/>
          <w:szCs w:val="22"/>
        </w:rPr>
        <w:t>§ 151, ETPC 2003</w:t>
      </w:r>
      <w:r w:rsidR="00CE7C30" w:rsidRPr="004458AE">
        <w:rPr>
          <w:rStyle w:val="sb8d990e2"/>
          <w:rFonts w:ascii="Arial" w:eastAsia="Verdana" w:hAnsi="Arial" w:cs="Arial"/>
          <w:color w:val="000000"/>
          <w:sz w:val="22"/>
          <w:szCs w:val="22"/>
        </w:rPr>
        <w:noBreakHyphen/>
        <w:t>XII).</w:t>
      </w:r>
      <w:r w:rsidR="00F00CA0" w:rsidRPr="004458AE">
        <w:rPr>
          <w:rStyle w:val="sb8d990e2"/>
          <w:rFonts w:ascii="Arial" w:eastAsia="Verdana" w:hAnsi="Arial" w:cs="Arial"/>
          <w:color w:val="000000"/>
          <w:sz w:val="22"/>
          <w:szCs w:val="22"/>
        </w:rPr>
        <w:t xml:space="preserve"> </w:t>
      </w:r>
      <w:r w:rsidR="00CE7C30" w:rsidRPr="004458AE">
        <w:rPr>
          <w:rStyle w:val="sb8d990e2"/>
          <w:rFonts w:ascii="Arial" w:eastAsia="Verdana" w:hAnsi="Arial" w:cs="Arial"/>
          <w:color w:val="000000"/>
          <w:sz w:val="22"/>
          <w:szCs w:val="22"/>
        </w:rPr>
        <w:t>Ten aspekt obowiązku pozytywnego nie wymaga skazania, lecz skutecznego stosowania przepisów, w szczególności przepisów karnych, celem zapewnienia ochrony praw zagwarantowanych w art. 3 Konwencji (</w:t>
      </w:r>
      <w:r w:rsidR="00CE7C30" w:rsidRPr="004458AE">
        <w:rPr>
          <w:rStyle w:val="s6b621b36"/>
          <w:rFonts w:ascii="Arial" w:eastAsia="Verdana" w:hAnsi="Arial" w:cs="Arial"/>
          <w:i/>
          <w:iCs/>
          <w:color w:val="000000"/>
          <w:sz w:val="22"/>
          <w:szCs w:val="22"/>
        </w:rPr>
        <w:t>M.G. p</w:t>
      </w:r>
      <w:r w:rsidR="004A4505" w:rsidRPr="004458AE">
        <w:rPr>
          <w:rStyle w:val="s6b621b36"/>
          <w:rFonts w:ascii="Arial" w:eastAsia="Verdana" w:hAnsi="Arial" w:cs="Arial"/>
          <w:i/>
          <w:iCs/>
          <w:color w:val="000000"/>
          <w:sz w:val="22"/>
          <w:szCs w:val="22"/>
        </w:rPr>
        <w:t>.</w:t>
      </w:r>
      <w:r w:rsidR="00CE7C30" w:rsidRPr="004458AE">
        <w:rPr>
          <w:rStyle w:val="s6b621b36"/>
          <w:rFonts w:ascii="Arial" w:eastAsia="Verdana" w:hAnsi="Arial" w:cs="Arial"/>
          <w:i/>
          <w:iCs/>
          <w:color w:val="000000"/>
          <w:sz w:val="22"/>
          <w:szCs w:val="22"/>
        </w:rPr>
        <w:t>Turcji, </w:t>
      </w:r>
      <w:r w:rsidR="00F00CA0" w:rsidRPr="004458AE">
        <w:rPr>
          <w:rStyle w:val="s6b621b36"/>
          <w:rFonts w:ascii="Arial" w:eastAsia="Verdana" w:hAnsi="Arial" w:cs="Arial"/>
          <w:color w:val="000000"/>
          <w:sz w:val="22"/>
          <w:szCs w:val="22"/>
        </w:rPr>
        <w:t>nr skargi 646/10</w:t>
      </w:r>
      <w:r w:rsidR="00CE7C30" w:rsidRPr="004458AE">
        <w:rPr>
          <w:rStyle w:val="sb8d990e2"/>
          <w:rFonts w:ascii="Arial" w:eastAsia="Verdana" w:hAnsi="Arial" w:cs="Arial"/>
          <w:color w:val="000000"/>
          <w:sz w:val="22"/>
          <w:szCs w:val="22"/>
        </w:rPr>
        <w:t>, § 80</w:t>
      </w:r>
      <w:r w:rsidR="004A4505" w:rsidRPr="004458AE">
        <w:rPr>
          <w:rStyle w:val="sb8d990e2"/>
          <w:rFonts w:ascii="Arial" w:eastAsia="Verdana" w:hAnsi="Arial" w:cs="Arial"/>
          <w:color w:val="000000"/>
          <w:sz w:val="22"/>
          <w:szCs w:val="22"/>
        </w:rPr>
        <w:t xml:space="preserve">; </w:t>
      </w:r>
      <w:r w:rsidR="004A4505" w:rsidRPr="004458AE">
        <w:rPr>
          <w:rStyle w:val="sb8d990e2"/>
          <w:rFonts w:ascii="Arial" w:eastAsia="Verdana" w:hAnsi="Arial" w:cs="Arial"/>
          <w:i/>
          <w:iCs/>
          <w:color w:val="000000"/>
          <w:sz w:val="22"/>
          <w:szCs w:val="22"/>
        </w:rPr>
        <w:t xml:space="preserve">Talpis p. Włochom, </w:t>
      </w:r>
      <w:r w:rsidR="004A4505" w:rsidRPr="004458AE">
        <w:rPr>
          <w:rStyle w:val="sb8d990e2"/>
          <w:rFonts w:ascii="Arial" w:eastAsia="Verdana" w:hAnsi="Arial" w:cs="Arial"/>
          <w:color w:val="000000"/>
          <w:sz w:val="22"/>
          <w:szCs w:val="22"/>
        </w:rPr>
        <w:t>§ 104</w:t>
      </w:r>
      <w:r w:rsidR="00CE7C30" w:rsidRPr="004458AE">
        <w:rPr>
          <w:rStyle w:val="sb8d990e2"/>
          <w:rFonts w:ascii="Arial" w:eastAsia="Verdana" w:hAnsi="Arial" w:cs="Arial"/>
          <w:color w:val="000000"/>
          <w:sz w:val="22"/>
          <w:szCs w:val="22"/>
        </w:rPr>
        <w:t>).</w:t>
      </w:r>
    </w:p>
    <w:p w14:paraId="4DC71BA0" w14:textId="58FF00CE" w:rsidR="00B65B9E" w:rsidRPr="004458AE" w:rsidRDefault="00870340" w:rsidP="00896D52">
      <w:pPr>
        <w:pStyle w:val="s30eec3f8"/>
        <w:shd w:val="clear" w:color="auto" w:fill="FFFFFF"/>
        <w:spacing w:before="0" w:beforeAutospacing="0" w:after="240" w:afterAutospacing="0" w:line="360" w:lineRule="auto"/>
        <w:jc w:val="both"/>
        <w:textAlignment w:val="baseline"/>
        <w:rPr>
          <w:rFonts w:ascii="Arial" w:hAnsi="Arial" w:cs="Arial"/>
          <w:sz w:val="22"/>
          <w:szCs w:val="22"/>
        </w:rPr>
      </w:pPr>
      <w:r w:rsidRPr="004458AE">
        <w:rPr>
          <w:rFonts w:ascii="Arial" w:hAnsi="Arial" w:cs="Arial"/>
          <w:sz w:val="22"/>
          <w:szCs w:val="22"/>
        </w:rPr>
        <w:t>(b) obowiązek podjęcia uzasadnionych środków w ramach swoich uprawnień, w celu uniknięcia rzeczywistego i bezpośredniego zagrożenia życia, o którym władze wiedziały lub powinny były wiedzieć które mogą zapobiec zagrożeniu,</w:t>
      </w:r>
      <w:r w:rsidR="00DF4ED4" w:rsidRPr="004458AE">
        <w:rPr>
          <w:rFonts w:ascii="Arial" w:hAnsi="Arial" w:cs="Arial"/>
          <w:sz w:val="22"/>
          <w:szCs w:val="22"/>
        </w:rPr>
        <w:t xml:space="preserve"> </w:t>
      </w:r>
      <w:r w:rsidRPr="004458AE">
        <w:rPr>
          <w:rFonts w:ascii="Arial" w:hAnsi="Arial" w:cs="Arial"/>
          <w:sz w:val="22"/>
          <w:szCs w:val="22"/>
        </w:rPr>
        <w:t xml:space="preserve">w sytuacjach, gdy organy wiedziały lub powinny były wiedzieć o istnieniu rzeczywistego i bezpośredniego zagrożenia życia zidentyfikowanej osoby na skutek czynów przestępnych (złego traktowania) popełnianych przez osobę trzecią (zob. </w:t>
      </w:r>
      <w:r w:rsidRPr="004458AE">
        <w:rPr>
          <w:rFonts w:ascii="Arial" w:hAnsi="Arial" w:cs="Arial"/>
          <w:i/>
          <w:iCs/>
          <w:sz w:val="22"/>
          <w:szCs w:val="22"/>
        </w:rPr>
        <w:t>Kontrova p</w:t>
      </w:r>
      <w:r w:rsidRPr="004458AE">
        <w:rPr>
          <w:rFonts w:ascii="Arial" w:hAnsi="Arial" w:cs="Arial"/>
          <w:i/>
          <w:iCs/>
          <w:color w:val="000000"/>
          <w:sz w:val="22"/>
          <w:szCs w:val="22"/>
        </w:rPr>
        <w:t>. Słowacji,</w:t>
      </w:r>
      <w:r w:rsidRPr="004458AE">
        <w:rPr>
          <w:rFonts w:ascii="Arial" w:hAnsi="Arial" w:cs="Arial"/>
          <w:color w:val="000000"/>
          <w:sz w:val="22"/>
          <w:szCs w:val="22"/>
        </w:rPr>
        <w:t xml:space="preserve"> wyrok z 31 maja 2007 </w:t>
      </w:r>
      <w:r w:rsidR="003C4508">
        <w:rPr>
          <w:rFonts w:ascii="Arial" w:hAnsi="Arial" w:cs="Arial"/>
          <w:color w:val="000000"/>
          <w:sz w:val="22"/>
          <w:szCs w:val="22"/>
        </w:rPr>
        <w:t>roku</w:t>
      </w:r>
      <w:r w:rsidRPr="004458AE">
        <w:rPr>
          <w:rFonts w:ascii="Arial" w:hAnsi="Arial" w:cs="Arial"/>
          <w:color w:val="000000"/>
          <w:sz w:val="22"/>
          <w:szCs w:val="22"/>
        </w:rPr>
        <w:t xml:space="preserve">, nr skargi </w:t>
      </w:r>
      <w:hyperlink r:id="rId19" w:anchor="{%22appno%22:[%227510/04%22]}" w:tgtFrame="_blank" w:history="1">
        <w:r w:rsidRPr="004458AE">
          <w:rPr>
            <w:rFonts w:ascii="Arial" w:hAnsi="Arial" w:cs="Arial"/>
            <w:sz w:val="22"/>
            <w:szCs w:val="22"/>
          </w:rPr>
          <w:t>7510/04</w:t>
        </w:r>
      </w:hyperlink>
      <w:r w:rsidRPr="004458AE">
        <w:rPr>
          <w:rFonts w:ascii="Arial" w:hAnsi="Arial" w:cs="Arial"/>
          <w:sz w:val="22"/>
          <w:szCs w:val="22"/>
        </w:rPr>
        <w:t xml:space="preserve">, </w:t>
      </w:r>
      <w:r w:rsidR="0001139A" w:rsidRPr="004458AE">
        <w:rPr>
          <w:rFonts w:ascii="Arial" w:hAnsi="Arial" w:cs="Arial"/>
          <w:sz w:val="22"/>
          <w:szCs w:val="22"/>
        </w:rPr>
        <w:t xml:space="preserve">56-66; </w:t>
      </w:r>
      <w:hyperlink r:id="rId20">
        <w:r w:rsidRPr="00390DF0">
          <w:rPr>
            <w:rFonts w:ascii="Arial" w:hAnsi="Arial" w:cs="Arial"/>
            <w:i/>
            <w:iCs/>
            <w:sz w:val="22"/>
            <w:szCs w:val="22"/>
          </w:rPr>
          <w:t>Branko Tomašić i Inni</w:t>
        </w:r>
        <w:r w:rsidRPr="004458AE">
          <w:rPr>
            <w:rFonts w:ascii="Arial" w:hAnsi="Arial" w:cs="Arial"/>
            <w:sz w:val="22"/>
            <w:szCs w:val="22"/>
          </w:rPr>
          <w:t xml:space="preserve"> przeciwko Chorwacji</w:t>
        </w:r>
      </w:hyperlink>
      <w:r w:rsidRPr="004458AE">
        <w:rPr>
          <w:rFonts w:ascii="Arial" w:hAnsi="Arial" w:cs="Arial"/>
          <w:sz w:val="22"/>
          <w:szCs w:val="22"/>
        </w:rPr>
        <w:t xml:space="preserve">, wyrok z 15 styczna 2009 </w:t>
      </w:r>
      <w:r w:rsidR="003C4508">
        <w:rPr>
          <w:rFonts w:ascii="Arial" w:hAnsi="Arial" w:cs="Arial"/>
          <w:sz w:val="22"/>
          <w:szCs w:val="22"/>
        </w:rPr>
        <w:t>roku</w:t>
      </w:r>
      <w:r w:rsidRPr="004458AE">
        <w:rPr>
          <w:rFonts w:ascii="Arial" w:hAnsi="Arial" w:cs="Arial"/>
          <w:sz w:val="22"/>
          <w:szCs w:val="22"/>
        </w:rPr>
        <w:t xml:space="preserve">, nr skargi  </w:t>
      </w:r>
      <w:hyperlink r:id="rId21" w:anchor="{%22appno%22:[%2246598/06%22]}" w:tgtFrame="_blank" w:history="1">
        <w:r w:rsidRPr="004458AE">
          <w:rPr>
            <w:rStyle w:val="Hipercze"/>
            <w:rFonts w:ascii="Arial" w:hAnsi="Arial" w:cs="Arial"/>
            <w:color w:val="auto"/>
            <w:sz w:val="22"/>
            <w:szCs w:val="22"/>
            <w:u w:val="none"/>
            <w:shd w:val="clear" w:color="auto" w:fill="FFFFFF"/>
          </w:rPr>
          <w:t>46598/06</w:t>
        </w:r>
      </w:hyperlink>
      <w:r w:rsidRPr="004458AE">
        <w:rPr>
          <w:rFonts w:ascii="Arial" w:hAnsi="Arial" w:cs="Arial"/>
          <w:sz w:val="22"/>
          <w:szCs w:val="22"/>
        </w:rPr>
        <w:t xml:space="preserve">, § </w:t>
      </w:r>
      <w:r w:rsidR="00BB47E7" w:rsidRPr="004458AE">
        <w:rPr>
          <w:rFonts w:ascii="Arial" w:hAnsi="Arial" w:cs="Arial"/>
          <w:sz w:val="22"/>
          <w:szCs w:val="22"/>
        </w:rPr>
        <w:t xml:space="preserve">50 - </w:t>
      </w:r>
      <w:r w:rsidRPr="004458AE">
        <w:rPr>
          <w:rFonts w:ascii="Arial" w:hAnsi="Arial" w:cs="Arial"/>
          <w:sz w:val="22"/>
          <w:szCs w:val="22"/>
        </w:rPr>
        <w:t xml:space="preserve">51; </w:t>
      </w:r>
      <w:r w:rsidR="004D7930" w:rsidRPr="004458AE">
        <w:rPr>
          <w:rFonts w:ascii="Arial" w:hAnsi="Arial" w:cs="Arial"/>
          <w:i/>
          <w:iCs/>
          <w:sz w:val="22"/>
          <w:szCs w:val="22"/>
        </w:rPr>
        <w:t>Opuz p. Turcji</w:t>
      </w:r>
      <w:r w:rsidR="004D7930" w:rsidRPr="004458AE">
        <w:rPr>
          <w:rFonts w:ascii="Arial" w:hAnsi="Arial" w:cs="Arial"/>
          <w:sz w:val="22"/>
          <w:szCs w:val="22"/>
        </w:rPr>
        <w:t xml:space="preserve"> cyt. powyżej, </w:t>
      </w:r>
      <w:r w:rsidR="004D7930" w:rsidRPr="004458AE">
        <w:rPr>
          <w:rStyle w:val="sb8d990e2"/>
          <w:rFonts w:ascii="Arial" w:hAnsi="Arial" w:cs="Arial"/>
          <w:color w:val="000000"/>
          <w:sz w:val="22"/>
          <w:szCs w:val="22"/>
        </w:rPr>
        <w:t>§ 128</w:t>
      </w:r>
      <w:r w:rsidR="004D7930" w:rsidRPr="004458AE">
        <w:rPr>
          <w:rFonts w:ascii="Arial" w:hAnsi="Arial" w:cs="Arial"/>
          <w:sz w:val="22"/>
          <w:szCs w:val="22"/>
        </w:rPr>
        <w:t xml:space="preserve">, </w:t>
      </w:r>
      <w:r w:rsidRPr="004458AE">
        <w:rPr>
          <w:rFonts w:ascii="Arial" w:hAnsi="Arial" w:cs="Arial"/>
          <w:i/>
          <w:iCs/>
          <w:sz w:val="22"/>
          <w:szCs w:val="22"/>
        </w:rPr>
        <w:t>Eremia p. Republice Mołdawii</w:t>
      </w:r>
      <w:r w:rsidR="00FA1621" w:rsidRPr="004458AE">
        <w:rPr>
          <w:rFonts w:ascii="Arial" w:hAnsi="Arial" w:cs="Arial"/>
          <w:i/>
          <w:iCs/>
          <w:sz w:val="22"/>
          <w:szCs w:val="22"/>
        </w:rPr>
        <w:t xml:space="preserve">, </w:t>
      </w:r>
      <w:r w:rsidRPr="004458AE">
        <w:rPr>
          <w:rFonts w:ascii="Arial" w:hAnsi="Arial" w:cs="Arial"/>
          <w:sz w:val="22"/>
          <w:szCs w:val="22"/>
        </w:rPr>
        <w:t xml:space="preserve"> wyrok z 28 maja 2013 </w:t>
      </w:r>
      <w:r w:rsidR="003C4508">
        <w:rPr>
          <w:rFonts w:ascii="Arial" w:hAnsi="Arial" w:cs="Arial"/>
          <w:sz w:val="22"/>
          <w:szCs w:val="22"/>
        </w:rPr>
        <w:t>roku</w:t>
      </w:r>
      <w:r w:rsidRPr="004458AE">
        <w:rPr>
          <w:rFonts w:ascii="Arial" w:hAnsi="Arial" w:cs="Arial"/>
          <w:sz w:val="22"/>
          <w:szCs w:val="22"/>
        </w:rPr>
        <w:t>, skarga nr 3564/11, §§ 55-56</w:t>
      </w:r>
      <w:r w:rsidR="002463E7" w:rsidRPr="004458AE">
        <w:rPr>
          <w:rFonts w:ascii="Arial" w:hAnsi="Arial" w:cs="Arial"/>
          <w:sz w:val="22"/>
          <w:szCs w:val="22"/>
        </w:rPr>
        <w:t>;</w:t>
      </w:r>
      <w:r w:rsidR="00BB47E7" w:rsidRPr="004458AE">
        <w:rPr>
          <w:rStyle w:val="sb8d990e2"/>
          <w:rFonts w:ascii="Arial" w:hAnsi="Arial" w:cs="Arial"/>
          <w:color w:val="000000"/>
          <w:sz w:val="22"/>
          <w:szCs w:val="22"/>
        </w:rPr>
        <w:t xml:space="preserve"> </w:t>
      </w:r>
      <w:r w:rsidR="00BB47E7" w:rsidRPr="004458AE">
        <w:rPr>
          <w:rStyle w:val="s6b621b36"/>
          <w:rFonts w:ascii="Arial" w:hAnsi="Arial" w:cs="Arial"/>
          <w:i/>
          <w:iCs/>
          <w:color w:val="000000"/>
          <w:sz w:val="22"/>
          <w:szCs w:val="22"/>
        </w:rPr>
        <w:t>Branko Tomašić i Inni przeciwko Chorwacji</w:t>
      </w:r>
      <w:r w:rsidR="00BB47E7" w:rsidRPr="004458AE">
        <w:rPr>
          <w:rStyle w:val="sb8d990e2"/>
          <w:rFonts w:ascii="Arial" w:hAnsi="Arial" w:cs="Arial"/>
          <w:color w:val="000000"/>
          <w:sz w:val="22"/>
          <w:szCs w:val="22"/>
        </w:rPr>
        <w:t xml:space="preserve">, 15 stycznia 2009 </w:t>
      </w:r>
      <w:r w:rsidR="003C4508">
        <w:rPr>
          <w:rStyle w:val="sb8d990e2"/>
          <w:rFonts w:ascii="Arial" w:hAnsi="Arial" w:cs="Arial"/>
          <w:color w:val="000000"/>
          <w:sz w:val="22"/>
          <w:szCs w:val="22"/>
        </w:rPr>
        <w:t>roku</w:t>
      </w:r>
      <w:r w:rsidR="004D7930" w:rsidRPr="004458AE">
        <w:rPr>
          <w:rStyle w:val="sb8d990e2"/>
          <w:rFonts w:ascii="Arial" w:hAnsi="Arial" w:cs="Arial"/>
          <w:color w:val="000000"/>
          <w:sz w:val="22"/>
          <w:szCs w:val="22"/>
        </w:rPr>
        <w:t xml:space="preserve"> nr skargi </w:t>
      </w:r>
      <w:hyperlink r:id="rId22" w:anchor="{%22appno%22:[%2246598/06%22]}" w:tgtFrame="_blank" w:history="1">
        <w:r w:rsidR="004D7930" w:rsidRPr="004458AE">
          <w:rPr>
            <w:rStyle w:val="Hipercze"/>
            <w:rFonts w:ascii="Arial" w:hAnsi="Arial" w:cs="Arial"/>
            <w:color w:val="auto"/>
            <w:sz w:val="22"/>
            <w:szCs w:val="22"/>
            <w:u w:val="none"/>
          </w:rPr>
          <w:t>46598/06</w:t>
        </w:r>
      </w:hyperlink>
      <w:r w:rsidR="004D7930" w:rsidRPr="004458AE">
        <w:rPr>
          <w:rStyle w:val="sb8d990e2"/>
          <w:rFonts w:ascii="Arial" w:hAnsi="Arial" w:cs="Arial"/>
          <w:color w:val="000000"/>
          <w:sz w:val="22"/>
          <w:szCs w:val="22"/>
        </w:rPr>
        <w:t xml:space="preserve">, § 50; </w:t>
      </w:r>
      <w:r w:rsidR="004D7930" w:rsidRPr="004458AE">
        <w:rPr>
          <w:rStyle w:val="sb8d990e2"/>
          <w:rFonts w:ascii="Arial" w:hAnsi="Arial" w:cs="Arial"/>
          <w:i/>
          <w:iCs/>
          <w:color w:val="000000"/>
          <w:sz w:val="22"/>
          <w:szCs w:val="22"/>
        </w:rPr>
        <w:t>Talpis p. Włochom</w:t>
      </w:r>
      <w:r w:rsidR="004D7930" w:rsidRPr="004458AE">
        <w:rPr>
          <w:rStyle w:val="sb8d990e2"/>
          <w:rFonts w:ascii="Arial" w:hAnsi="Arial" w:cs="Arial"/>
          <w:color w:val="000000"/>
          <w:sz w:val="22"/>
          <w:szCs w:val="22"/>
        </w:rPr>
        <w:t>, § 101</w:t>
      </w:r>
      <w:r w:rsidR="00B65B9E" w:rsidRPr="004458AE">
        <w:rPr>
          <w:rStyle w:val="sb8d990e2"/>
          <w:rFonts w:ascii="Arial" w:hAnsi="Arial" w:cs="Arial"/>
          <w:color w:val="000000"/>
          <w:sz w:val="22"/>
          <w:szCs w:val="22"/>
        </w:rPr>
        <w:t>;</w:t>
      </w:r>
      <w:r w:rsidR="00B65B9E" w:rsidRPr="004458AE">
        <w:rPr>
          <w:rStyle w:val="sb8d990e2"/>
          <w:rFonts w:ascii="Arial" w:hAnsi="Arial" w:cs="Arial"/>
          <w:sz w:val="22"/>
          <w:szCs w:val="22"/>
        </w:rPr>
        <w:t xml:space="preserve"> </w:t>
      </w:r>
      <w:hyperlink r:id="rId23">
        <w:r w:rsidR="00B65B9E" w:rsidRPr="004458AE">
          <w:rPr>
            <w:rFonts w:ascii="Arial" w:hAnsi="Arial" w:cs="Arial"/>
            <w:i/>
            <w:iCs/>
            <w:sz w:val="22"/>
            <w:szCs w:val="22"/>
          </w:rPr>
          <w:t>Halime Kılıç p. Turcji</w:t>
        </w:r>
      </w:hyperlink>
      <w:r w:rsidR="00B65B9E" w:rsidRPr="004458AE">
        <w:rPr>
          <w:rFonts w:ascii="Arial" w:hAnsi="Arial" w:cs="Arial"/>
          <w:i/>
          <w:iCs/>
          <w:sz w:val="22"/>
          <w:szCs w:val="22"/>
        </w:rPr>
        <w:t xml:space="preserve">, </w:t>
      </w:r>
      <w:r w:rsidR="00B65B9E" w:rsidRPr="004458AE">
        <w:rPr>
          <w:rFonts w:ascii="Arial" w:hAnsi="Arial" w:cs="Arial"/>
          <w:sz w:val="22"/>
          <w:szCs w:val="22"/>
        </w:rPr>
        <w:t xml:space="preserve">wyrok z 28 czerwca 2016 </w:t>
      </w:r>
      <w:r w:rsidR="003C4508">
        <w:rPr>
          <w:rFonts w:ascii="Arial" w:hAnsi="Arial" w:cs="Arial"/>
          <w:sz w:val="22"/>
          <w:szCs w:val="22"/>
        </w:rPr>
        <w:t>roku</w:t>
      </w:r>
      <w:r w:rsidR="00B65B9E" w:rsidRPr="004458AE">
        <w:rPr>
          <w:rFonts w:ascii="Arial" w:hAnsi="Arial" w:cs="Arial"/>
          <w:sz w:val="22"/>
          <w:szCs w:val="22"/>
        </w:rPr>
        <w:t>, nr skargi 63034/11</w:t>
      </w:r>
      <w:r w:rsidR="00B930F6" w:rsidRPr="004458AE">
        <w:rPr>
          <w:rFonts w:ascii="Arial" w:hAnsi="Arial" w:cs="Arial"/>
          <w:sz w:val="22"/>
          <w:szCs w:val="22"/>
        </w:rPr>
        <w:t>)</w:t>
      </w:r>
      <w:r w:rsidR="00534DE6" w:rsidRPr="004458AE">
        <w:rPr>
          <w:rFonts w:ascii="Arial" w:hAnsi="Arial" w:cs="Arial"/>
          <w:sz w:val="22"/>
          <w:szCs w:val="22"/>
        </w:rPr>
        <w:t>;</w:t>
      </w:r>
      <w:r w:rsidR="00B65B9E" w:rsidRPr="004458AE">
        <w:rPr>
          <w:rFonts w:ascii="Arial" w:hAnsi="Arial" w:cs="Arial"/>
          <w:i/>
          <w:iCs/>
          <w:sz w:val="22"/>
          <w:szCs w:val="22"/>
        </w:rPr>
        <w:t xml:space="preserve"> </w:t>
      </w:r>
    </w:p>
    <w:p w14:paraId="0293817D" w14:textId="2AE47EAC" w:rsidR="00F51C1C" w:rsidRPr="004458AE" w:rsidRDefault="00870340" w:rsidP="00DF4ED4">
      <w:pPr>
        <w:pStyle w:val="s30eec3f8"/>
        <w:shd w:val="clear" w:color="auto" w:fill="FFFFFF"/>
        <w:spacing w:before="0" w:beforeAutospacing="0" w:after="240" w:afterAutospacing="0" w:line="360" w:lineRule="auto"/>
        <w:jc w:val="both"/>
        <w:textAlignment w:val="baseline"/>
        <w:rPr>
          <w:rFonts w:ascii="Arial" w:hAnsi="Arial" w:cs="Arial"/>
          <w:sz w:val="22"/>
          <w:szCs w:val="22"/>
        </w:rPr>
      </w:pPr>
      <w:r w:rsidRPr="004458AE">
        <w:rPr>
          <w:rFonts w:ascii="Arial" w:hAnsi="Arial" w:cs="Arial"/>
          <w:sz w:val="22"/>
          <w:szCs w:val="22"/>
        </w:rPr>
        <w:t xml:space="preserve">(c) </w:t>
      </w:r>
      <w:r w:rsidR="00F802AB" w:rsidRPr="004458AE">
        <w:rPr>
          <w:rFonts w:ascii="Arial" w:hAnsi="Arial" w:cs="Arial"/>
          <w:sz w:val="22"/>
          <w:szCs w:val="22"/>
          <w:u w:val="single"/>
        </w:rPr>
        <w:t xml:space="preserve">proceduralny </w:t>
      </w:r>
      <w:r w:rsidRPr="004458AE">
        <w:rPr>
          <w:rFonts w:ascii="Arial" w:hAnsi="Arial" w:cs="Arial"/>
          <w:sz w:val="22"/>
          <w:szCs w:val="22"/>
          <w:u w:val="single"/>
        </w:rPr>
        <w:t xml:space="preserve">obowiązek przeprowadzenia skutecznego </w:t>
      </w:r>
      <w:r w:rsidR="00F802AB" w:rsidRPr="004458AE">
        <w:rPr>
          <w:rFonts w:ascii="Arial" w:hAnsi="Arial" w:cs="Arial"/>
          <w:sz w:val="22"/>
          <w:szCs w:val="22"/>
          <w:u w:val="single"/>
        </w:rPr>
        <w:t xml:space="preserve">postępowania przewidzianego przepisami prawa </w:t>
      </w:r>
      <w:r w:rsidRPr="004458AE">
        <w:rPr>
          <w:rFonts w:ascii="Arial" w:hAnsi="Arial" w:cs="Arial"/>
          <w:sz w:val="22"/>
          <w:szCs w:val="22"/>
          <w:u w:val="single"/>
        </w:rPr>
        <w:t>w przypadku podniesienia argumentu dotyczącego złego traktowania</w:t>
      </w:r>
      <w:r w:rsidRPr="004458AE">
        <w:rPr>
          <w:rFonts w:ascii="Arial" w:hAnsi="Arial" w:cs="Arial"/>
          <w:sz w:val="22"/>
          <w:szCs w:val="22"/>
        </w:rPr>
        <w:t xml:space="preserve"> (zob.</w:t>
      </w:r>
      <w:r w:rsidRPr="004458AE">
        <w:rPr>
          <w:rFonts w:ascii="Arial" w:hAnsi="Arial" w:cs="Arial"/>
          <w:i/>
          <w:iCs/>
          <w:sz w:val="22"/>
          <w:szCs w:val="22"/>
        </w:rPr>
        <w:t xml:space="preserve"> Bevacqua i S. p. Bułgarii</w:t>
      </w:r>
      <w:r w:rsidRPr="004458AE">
        <w:rPr>
          <w:rFonts w:ascii="Arial" w:hAnsi="Arial" w:cs="Arial"/>
          <w:sz w:val="22"/>
          <w:szCs w:val="22"/>
        </w:rPr>
        <w:t xml:space="preserve">, </w:t>
      </w:r>
      <w:r w:rsidR="00FA1621" w:rsidRPr="004458AE">
        <w:rPr>
          <w:rFonts w:ascii="Arial" w:hAnsi="Arial" w:cs="Arial"/>
          <w:sz w:val="22"/>
          <w:szCs w:val="22"/>
        </w:rPr>
        <w:t xml:space="preserve">wyrok </w:t>
      </w:r>
      <w:r w:rsidRPr="004458AE">
        <w:rPr>
          <w:rFonts w:ascii="Arial" w:hAnsi="Arial" w:cs="Arial"/>
          <w:sz w:val="22"/>
          <w:szCs w:val="22"/>
        </w:rPr>
        <w:t xml:space="preserve">12 czerwca 2008 </w:t>
      </w:r>
      <w:r w:rsidR="003C4508">
        <w:rPr>
          <w:rFonts w:ascii="Arial" w:hAnsi="Arial" w:cs="Arial"/>
          <w:sz w:val="22"/>
          <w:szCs w:val="22"/>
        </w:rPr>
        <w:t>roku</w:t>
      </w:r>
      <w:r w:rsidRPr="004458AE">
        <w:rPr>
          <w:rFonts w:ascii="Arial" w:hAnsi="Arial" w:cs="Arial"/>
          <w:sz w:val="22"/>
          <w:szCs w:val="22"/>
        </w:rPr>
        <w:t xml:space="preserve">, nr skargi 71127/01 § 65; </w:t>
      </w:r>
      <w:r w:rsidRPr="004458AE">
        <w:rPr>
          <w:rFonts w:ascii="Arial" w:hAnsi="Arial" w:cs="Arial"/>
          <w:i/>
          <w:iCs/>
          <w:sz w:val="22"/>
          <w:szCs w:val="22"/>
        </w:rPr>
        <w:t>Opuz p. Turcji,</w:t>
      </w:r>
      <w:r w:rsidRPr="004458AE">
        <w:rPr>
          <w:rFonts w:ascii="Arial" w:hAnsi="Arial" w:cs="Arial"/>
          <w:sz w:val="22"/>
          <w:szCs w:val="22"/>
        </w:rPr>
        <w:t xml:space="preserve"> cyt. na wstępie, § 144-</w:t>
      </w:r>
      <w:r w:rsidR="00652234" w:rsidRPr="004458AE">
        <w:rPr>
          <w:rFonts w:ascii="Arial" w:hAnsi="Arial" w:cs="Arial"/>
          <w:sz w:val="22"/>
          <w:szCs w:val="22"/>
        </w:rPr>
        <w:t>1</w:t>
      </w:r>
      <w:r w:rsidRPr="004458AE">
        <w:rPr>
          <w:rFonts w:ascii="Arial" w:hAnsi="Arial" w:cs="Arial"/>
          <w:sz w:val="22"/>
          <w:szCs w:val="22"/>
        </w:rPr>
        <w:t>55 i 162-</w:t>
      </w:r>
      <w:r w:rsidR="00652234" w:rsidRPr="004458AE">
        <w:rPr>
          <w:rFonts w:ascii="Arial" w:hAnsi="Arial" w:cs="Arial"/>
          <w:sz w:val="22"/>
          <w:szCs w:val="22"/>
        </w:rPr>
        <w:t>1</w:t>
      </w:r>
      <w:r w:rsidRPr="004458AE">
        <w:rPr>
          <w:rFonts w:ascii="Arial" w:hAnsi="Arial" w:cs="Arial"/>
          <w:sz w:val="22"/>
          <w:szCs w:val="22"/>
        </w:rPr>
        <w:t xml:space="preserve">65; </w:t>
      </w:r>
      <w:r w:rsidRPr="004458AE">
        <w:rPr>
          <w:rFonts w:ascii="Arial" w:hAnsi="Arial" w:cs="Arial"/>
          <w:i/>
          <w:iCs/>
          <w:sz w:val="22"/>
          <w:szCs w:val="22"/>
        </w:rPr>
        <w:t>Eremia p. Republice Mołdawii</w:t>
      </w:r>
      <w:r w:rsidRPr="004458AE">
        <w:rPr>
          <w:rFonts w:ascii="Arial" w:hAnsi="Arial" w:cs="Arial"/>
          <w:sz w:val="22"/>
          <w:szCs w:val="22"/>
        </w:rPr>
        <w:t xml:space="preserve">, </w:t>
      </w:r>
      <w:r w:rsidR="00FA1621" w:rsidRPr="004458AE">
        <w:rPr>
          <w:rFonts w:ascii="Arial" w:hAnsi="Arial" w:cs="Arial"/>
          <w:sz w:val="22"/>
          <w:szCs w:val="22"/>
        </w:rPr>
        <w:t xml:space="preserve">cyt. powyżej, </w:t>
      </w:r>
      <w:r w:rsidRPr="004458AE">
        <w:rPr>
          <w:rFonts w:ascii="Arial" w:hAnsi="Arial" w:cs="Arial"/>
          <w:sz w:val="22"/>
          <w:szCs w:val="22"/>
        </w:rPr>
        <w:t xml:space="preserve">§§ 49-52 i 56; </w:t>
      </w:r>
      <w:hyperlink r:id="rId24">
        <w:r w:rsidR="00960209" w:rsidRPr="004458AE">
          <w:rPr>
            <w:rFonts w:ascii="Arial" w:hAnsi="Arial" w:cs="Arial"/>
            <w:i/>
            <w:iCs/>
            <w:sz w:val="22"/>
            <w:szCs w:val="22"/>
          </w:rPr>
          <w:t xml:space="preserve">E.M. p. Rumunii, </w:t>
        </w:r>
        <w:r w:rsidR="00960209" w:rsidRPr="004458AE">
          <w:rPr>
            <w:rFonts w:ascii="Arial" w:hAnsi="Arial" w:cs="Arial"/>
            <w:sz w:val="22"/>
            <w:szCs w:val="22"/>
          </w:rPr>
          <w:t>wyrok z 30 października 2012 </w:t>
        </w:r>
        <w:r w:rsidR="003C4508">
          <w:rPr>
            <w:rFonts w:ascii="Arial" w:hAnsi="Arial" w:cs="Arial"/>
            <w:sz w:val="22"/>
            <w:szCs w:val="22"/>
          </w:rPr>
          <w:t>roku</w:t>
        </w:r>
        <w:r w:rsidR="00960209" w:rsidRPr="004458AE">
          <w:rPr>
            <w:rFonts w:ascii="Arial" w:hAnsi="Arial" w:cs="Arial"/>
            <w:sz w:val="22"/>
            <w:szCs w:val="22"/>
          </w:rPr>
          <w:t xml:space="preserve">, nr skargi 43994/05; </w:t>
        </w:r>
      </w:hyperlink>
      <w:hyperlink r:id="rId25">
        <w:r w:rsidR="00960209" w:rsidRPr="004458AE">
          <w:rPr>
            <w:rFonts w:ascii="Arial" w:hAnsi="Arial" w:cs="Arial"/>
            <w:i/>
            <w:iCs/>
            <w:sz w:val="22"/>
            <w:szCs w:val="22"/>
          </w:rPr>
          <w:t>Valiulienė p. Litwie</w:t>
        </w:r>
      </w:hyperlink>
      <w:r w:rsidR="00960209" w:rsidRPr="004458AE">
        <w:rPr>
          <w:rFonts w:ascii="Arial" w:hAnsi="Arial" w:cs="Arial"/>
          <w:i/>
          <w:iCs/>
          <w:sz w:val="22"/>
          <w:szCs w:val="22"/>
        </w:rPr>
        <w:t>,</w:t>
      </w:r>
      <w:r w:rsidR="00960209" w:rsidRPr="004458AE">
        <w:rPr>
          <w:rFonts w:ascii="Arial" w:hAnsi="Arial" w:cs="Arial"/>
          <w:i/>
          <w:iCs/>
          <w:sz w:val="22"/>
          <w:szCs w:val="22"/>
          <w:u w:val="single"/>
        </w:rPr>
        <w:t xml:space="preserve"> </w:t>
      </w:r>
      <w:r w:rsidR="00960209" w:rsidRPr="004458AE">
        <w:rPr>
          <w:rFonts w:ascii="Arial" w:hAnsi="Arial" w:cs="Arial"/>
          <w:sz w:val="22"/>
          <w:szCs w:val="22"/>
        </w:rPr>
        <w:t>wyrok z 26 marca 2013 </w:t>
      </w:r>
      <w:r w:rsidR="003C4508">
        <w:rPr>
          <w:rFonts w:ascii="Arial" w:hAnsi="Arial" w:cs="Arial"/>
          <w:sz w:val="22"/>
          <w:szCs w:val="22"/>
        </w:rPr>
        <w:t>roku</w:t>
      </w:r>
      <w:r w:rsidR="00960209" w:rsidRPr="004458AE">
        <w:rPr>
          <w:rFonts w:ascii="Arial" w:hAnsi="Arial" w:cs="Arial"/>
          <w:sz w:val="22"/>
          <w:szCs w:val="22"/>
        </w:rPr>
        <w:t>, nr skargi 33234/07;</w:t>
      </w:r>
      <w:r w:rsidR="00960209" w:rsidRPr="004458AE">
        <w:rPr>
          <w:rFonts w:ascii="Arial" w:hAnsi="Arial" w:cs="Arial"/>
          <w:i/>
          <w:iCs/>
          <w:sz w:val="22"/>
          <w:szCs w:val="22"/>
        </w:rPr>
        <w:t xml:space="preserve"> </w:t>
      </w:r>
      <w:r w:rsidRPr="004458AE">
        <w:rPr>
          <w:rFonts w:ascii="Arial" w:hAnsi="Arial" w:cs="Arial"/>
          <w:i/>
          <w:iCs/>
          <w:sz w:val="22"/>
          <w:szCs w:val="22"/>
        </w:rPr>
        <w:t>Talpis p. Włochom</w:t>
      </w:r>
      <w:r w:rsidRPr="004458AE">
        <w:rPr>
          <w:rFonts w:ascii="Arial" w:hAnsi="Arial" w:cs="Arial"/>
          <w:sz w:val="22"/>
          <w:szCs w:val="22"/>
        </w:rPr>
        <w:t xml:space="preserve"> </w:t>
      </w:r>
      <w:r w:rsidR="0043499D" w:rsidRPr="004458AE">
        <w:rPr>
          <w:rFonts w:ascii="Arial" w:hAnsi="Arial" w:cs="Arial"/>
          <w:sz w:val="22"/>
          <w:szCs w:val="22"/>
        </w:rPr>
        <w:t>cyt. powyżej</w:t>
      </w:r>
      <w:r w:rsidRPr="004458AE">
        <w:rPr>
          <w:rFonts w:ascii="Arial" w:hAnsi="Arial" w:cs="Arial"/>
          <w:sz w:val="22"/>
          <w:szCs w:val="22"/>
        </w:rPr>
        <w:t>,</w:t>
      </w:r>
      <w:r w:rsidR="00F802AB" w:rsidRPr="004458AE">
        <w:rPr>
          <w:rFonts w:ascii="Arial" w:hAnsi="Arial" w:cs="Arial"/>
          <w:sz w:val="22"/>
          <w:szCs w:val="22"/>
        </w:rPr>
        <w:t xml:space="preserve"> § 97,</w:t>
      </w:r>
      <w:r w:rsidRPr="004458AE">
        <w:rPr>
          <w:rFonts w:ascii="Arial" w:hAnsi="Arial" w:cs="Arial"/>
          <w:sz w:val="22"/>
          <w:szCs w:val="22"/>
        </w:rPr>
        <w:t xml:space="preserve"> §§ 100-106; </w:t>
      </w:r>
      <w:r w:rsidRPr="004458AE">
        <w:rPr>
          <w:rFonts w:ascii="Arial" w:hAnsi="Arial" w:cs="Arial"/>
          <w:i/>
          <w:iCs/>
          <w:sz w:val="22"/>
          <w:szCs w:val="22"/>
        </w:rPr>
        <w:t>Bălşan p.Rumunii</w:t>
      </w:r>
      <w:r w:rsidR="00FA1621" w:rsidRPr="004458AE">
        <w:rPr>
          <w:rFonts w:ascii="Arial" w:hAnsi="Arial" w:cs="Arial"/>
          <w:i/>
          <w:iCs/>
          <w:sz w:val="22"/>
          <w:szCs w:val="22"/>
        </w:rPr>
        <w:t>;</w:t>
      </w:r>
      <w:r w:rsidRPr="004458AE">
        <w:rPr>
          <w:rFonts w:ascii="Arial" w:hAnsi="Arial" w:cs="Arial"/>
          <w:sz w:val="22"/>
          <w:szCs w:val="22"/>
        </w:rPr>
        <w:t xml:space="preserve"> 23 maja 2017 </w:t>
      </w:r>
      <w:r w:rsidR="003C4508">
        <w:rPr>
          <w:rFonts w:ascii="Arial" w:hAnsi="Arial" w:cs="Arial"/>
          <w:sz w:val="22"/>
          <w:szCs w:val="22"/>
        </w:rPr>
        <w:t>roku</w:t>
      </w:r>
      <w:r w:rsidRPr="004458AE">
        <w:rPr>
          <w:rFonts w:ascii="Arial" w:hAnsi="Arial" w:cs="Arial"/>
          <w:sz w:val="22"/>
          <w:szCs w:val="22"/>
        </w:rPr>
        <w:t>, nr skargi 49645/09, § 57</w:t>
      </w:r>
      <w:r w:rsidR="00FA1621" w:rsidRPr="004458AE">
        <w:rPr>
          <w:rFonts w:ascii="Arial" w:hAnsi="Arial" w:cs="Arial"/>
          <w:sz w:val="22"/>
          <w:szCs w:val="22"/>
        </w:rPr>
        <w:t>;</w:t>
      </w:r>
      <w:r w:rsidRPr="004458AE">
        <w:rPr>
          <w:rFonts w:ascii="Arial" w:hAnsi="Arial" w:cs="Arial"/>
          <w:sz w:val="22"/>
          <w:szCs w:val="22"/>
        </w:rPr>
        <w:t xml:space="preserve"> </w:t>
      </w:r>
      <w:r w:rsidR="00FA1621" w:rsidRPr="004458AE">
        <w:rPr>
          <w:rFonts w:ascii="Arial" w:hAnsi="Arial" w:cs="Arial"/>
          <w:i/>
          <w:iCs/>
          <w:sz w:val="22"/>
          <w:szCs w:val="22"/>
        </w:rPr>
        <w:t xml:space="preserve">Volodina </w:t>
      </w:r>
      <w:r w:rsidRPr="004458AE">
        <w:rPr>
          <w:rFonts w:ascii="Arial" w:hAnsi="Arial" w:cs="Arial"/>
          <w:i/>
          <w:iCs/>
          <w:sz w:val="22"/>
          <w:szCs w:val="22"/>
        </w:rPr>
        <w:t>p. Rosji</w:t>
      </w:r>
      <w:r w:rsidR="00FA1621" w:rsidRPr="004458AE">
        <w:rPr>
          <w:rFonts w:ascii="Arial" w:hAnsi="Arial" w:cs="Arial"/>
          <w:i/>
          <w:iCs/>
          <w:sz w:val="22"/>
          <w:szCs w:val="22"/>
        </w:rPr>
        <w:t xml:space="preserve">, </w:t>
      </w:r>
      <w:r w:rsidR="00FA1621" w:rsidRPr="004458AE">
        <w:rPr>
          <w:rFonts w:ascii="Arial" w:hAnsi="Arial" w:cs="Arial"/>
          <w:sz w:val="22"/>
          <w:szCs w:val="22"/>
        </w:rPr>
        <w:t xml:space="preserve">wyrok 9 lipca 2019 </w:t>
      </w:r>
      <w:r w:rsidR="003C4508">
        <w:rPr>
          <w:rFonts w:ascii="Arial" w:hAnsi="Arial" w:cs="Arial"/>
          <w:sz w:val="22"/>
          <w:szCs w:val="22"/>
        </w:rPr>
        <w:t>roku</w:t>
      </w:r>
      <w:r w:rsidRPr="004458AE">
        <w:rPr>
          <w:rFonts w:ascii="Arial" w:hAnsi="Arial" w:cs="Arial"/>
          <w:sz w:val="22"/>
          <w:szCs w:val="22"/>
        </w:rPr>
        <w:t xml:space="preserve">, </w:t>
      </w:r>
      <w:r w:rsidR="00FA1621" w:rsidRPr="004458AE">
        <w:rPr>
          <w:rFonts w:ascii="Arial" w:hAnsi="Arial" w:cs="Arial"/>
          <w:sz w:val="22"/>
          <w:szCs w:val="22"/>
        </w:rPr>
        <w:t xml:space="preserve">nr skargi 41261/17, </w:t>
      </w:r>
      <w:r w:rsidRPr="004458AE">
        <w:rPr>
          <w:rFonts w:ascii="Arial" w:hAnsi="Arial" w:cs="Arial"/>
          <w:sz w:val="22"/>
          <w:szCs w:val="22"/>
        </w:rPr>
        <w:t>§§ 76 i 77).</w:t>
      </w:r>
      <w:r w:rsidR="00F802AB" w:rsidRPr="004458AE">
        <w:rPr>
          <w:rFonts w:ascii="Arial" w:hAnsi="Arial" w:cs="Arial"/>
          <w:sz w:val="22"/>
          <w:szCs w:val="22"/>
        </w:rPr>
        <w:t xml:space="preserve"> </w:t>
      </w:r>
    </w:p>
    <w:p w14:paraId="526CF30A" w14:textId="6E15FBD5" w:rsidR="007E4D12" w:rsidRPr="004458AE" w:rsidRDefault="00F51C1C" w:rsidP="007E4D12">
      <w:pPr>
        <w:pStyle w:val="s30eec3f8"/>
        <w:shd w:val="clear" w:color="auto" w:fill="FFFFFF"/>
        <w:spacing w:before="0" w:beforeAutospacing="0" w:after="240" w:afterAutospacing="0" w:line="360" w:lineRule="auto"/>
        <w:jc w:val="both"/>
        <w:textAlignment w:val="baseline"/>
        <w:rPr>
          <w:rFonts w:ascii="Arial" w:hAnsi="Arial" w:cs="Arial"/>
          <w:color w:val="000000"/>
          <w:sz w:val="22"/>
          <w:szCs w:val="22"/>
          <w:lang w:eastAsia="en-US"/>
        </w:rPr>
      </w:pPr>
      <w:r w:rsidRPr="004458AE">
        <w:rPr>
          <w:rFonts w:ascii="Arial" w:hAnsi="Arial" w:cs="Arial"/>
          <w:sz w:val="22"/>
          <w:szCs w:val="22"/>
        </w:rPr>
        <w:lastRenderedPageBreak/>
        <w:t xml:space="preserve">Równocześnie należy podkreślić, że </w:t>
      </w:r>
      <w:r w:rsidR="00522EBA" w:rsidRPr="004458AE">
        <w:rPr>
          <w:rFonts w:ascii="Arial" w:hAnsi="Arial" w:cs="Arial"/>
          <w:sz w:val="22"/>
          <w:szCs w:val="22"/>
        </w:rPr>
        <w:t>zgodnie ze stanowiskiem</w:t>
      </w:r>
      <w:r w:rsidR="00522EBA" w:rsidRPr="004458AE">
        <w:rPr>
          <w:rFonts w:ascii="Arial" w:hAnsi="Arial" w:cs="Arial"/>
          <w:b/>
          <w:bCs/>
          <w:sz w:val="22"/>
          <w:szCs w:val="22"/>
        </w:rPr>
        <w:t xml:space="preserve"> Trybunału t</w:t>
      </w:r>
      <w:r w:rsidRPr="004458AE">
        <w:rPr>
          <w:rFonts w:ascii="Arial" w:hAnsi="Arial" w:cs="Arial"/>
          <w:b/>
          <w:bCs/>
          <w:sz w:val="22"/>
          <w:szCs w:val="22"/>
        </w:rPr>
        <w:t>raktowanie przejawów przemocy domowej jako prywatnego konfliktu,</w:t>
      </w:r>
      <w:r w:rsidRPr="004458AE">
        <w:rPr>
          <w:rFonts w:ascii="Arial" w:hAnsi="Arial" w:cs="Arial"/>
          <w:sz w:val="22"/>
          <w:szCs w:val="22"/>
        </w:rPr>
        <w:t xml:space="preserve"> </w:t>
      </w:r>
      <w:r w:rsidRPr="004458AE">
        <w:rPr>
          <w:rFonts w:ascii="Arial" w:hAnsi="Arial" w:cs="Arial"/>
          <w:sz w:val="22"/>
          <w:szCs w:val="22"/>
          <w:cs/>
        </w:rPr>
        <w:t xml:space="preserve">który nie wymaga ingerencji państwa i wszczęcia postępowania karnego z urzędu jest </w:t>
      </w:r>
      <w:r w:rsidRPr="004458AE">
        <w:rPr>
          <w:rFonts w:ascii="Arial" w:hAnsi="Arial" w:cs="Arial"/>
          <w:b/>
          <w:bCs/>
          <w:sz w:val="22"/>
          <w:szCs w:val="22"/>
        </w:rPr>
        <w:t>niedopuszczalne i niezgodne ze spoczywającym na władzach krajowych obowiązkiem zapewnienia ochrony</w:t>
      </w:r>
      <w:r w:rsidR="002175F0">
        <w:rPr>
          <w:rFonts w:ascii="Arial" w:hAnsi="Arial" w:cs="Arial"/>
          <w:b/>
          <w:bCs/>
          <w:sz w:val="22"/>
          <w:szCs w:val="22"/>
        </w:rPr>
        <w:t xml:space="preserve"> życia</w:t>
      </w:r>
      <w:r w:rsidR="002175F0" w:rsidRPr="002175F0">
        <w:rPr>
          <w:rFonts w:ascii="Arial" w:hAnsi="Arial" w:cs="Arial"/>
          <w:sz w:val="22"/>
          <w:szCs w:val="22"/>
        </w:rPr>
        <w:t xml:space="preserve"> </w:t>
      </w:r>
      <w:r w:rsidR="002175F0">
        <w:rPr>
          <w:rFonts w:ascii="Arial" w:hAnsi="Arial" w:cs="Arial"/>
          <w:sz w:val="22"/>
          <w:szCs w:val="22"/>
        </w:rPr>
        <w:t>(</w:t>
      </w:r>
      <w:r w:rsidR="00522EBA" w:rsidRPr="004458AE">
        <w:rPr>
          <w:rFonts w:ascii="Arial" w:hAnsi="Arial" w:cs="Arial"/>
          <w:sz w:val="22"/>
          <w:szCs w:val="22"/>
        </w:rPr>
        <w:t xml:space="preserve">zob. </w:t>
      </w:r>
      <w:r w:rsidRPr="004458AE">
        <w:rPr>
          <w:rFonts w:ascii="Arial" w:hAnsi="Arial" w:cs="Arial"/>
          <w:i/>
          <w:iCs/>
          <w:sz w:val="22"/>
          <w:szCs w:val="22"/>
        </w:rPr>
        <w:t>Bevacqua i S.</w:t>
      </w:r>
      <w:r w:rsidR="000117C0" w:rsidRPr="004458AE">
        <w:rPr>
          <w:rFonts w:ascii="Arial" w:hAnsi="Arial" w:cs="Arial"/>
          <w:i/>
          <w:iCs/>
          <w:sz w:val="22"/>
          <w:szCs w:val="22"/>
        </w:rPr>
        <w:t xml:space="preserve"> </w:t>
      </w:r>
      <w:r w:rsidRPr="004458AE">
        <w:rPr>
          <w:rFonts w:ascii="Arial" w:hAnsi="Arial" w:cs="Arial"/>
          <w:i/>
          <w:iCs/>
          <w:sz w:val="22"/>
          <w:szCs w:val="22"/>
        </w:rPr>
        <w:t>p. Bułgarii</w:t>
      </w:r>
      <w:r w:rsidR="00B22766" w:rsidRPr="004458AE">
        <w:rPr>
          <w:rFonts w:ascii="Arial" w:hAnsi="Arial" w:cs="Arial"/>
          <w:i/>
          <w:iCs/>
          <w:sz w:val="22"/>
          <w:szCs w:val="22"/>
        </w:rPr>
        <w:t>,</w:t>
      </w:r>
      <w:r w:rsidR="000117C0" w:rsidRPr="004458AE">
        <w:rPr>
          <w:rFonts w:ascii="Arial" w:hAnsi="Arial" w:cs="Arial"/>
          <w:i/>
          <w:iCs/>
          <w:sz w:val="22"/>
          <w:szCs w:val="22"/>
        </w:rPr>
        <w:t xml:space="preserve"> </w:t>
      </w:r>
      <w:r w:rsidRPr="004458AE">
        <w:rPr>
          <w:rFonts w:ascii="Arial" w:hAnsi="Arial" w:cs="Arial"/>
          <w:sz w:val="22"/>
          <w:szCs w:val="22"/>
        </w:rPr>
        <w:t>cyt.</w:t>
      </w:r>
      <w:r w:rsidR="000117C0" w:rsidRPr="004458AE">
        <w:rPr>
          <w:rFonts w:ascii="Arial" w:hAnsi="Arial" w:cs="Arial"/>
          <w:sz w:val="22"/>
          <w:szCs w:val="22"/>
        </w:rPr>
        <w:t xml:space="preserve"> </w:t>
      </w:r>
      <w:r w:rsidRPr="004458AE">
        <w:rPr>
          <w:rFonts w:ascii="Arial" w:hAnsi="Arial" w:cs="Arial"/>
          <w:sz w:val="22"/>
          <w:szCs w:val="22"/>
        </w:rPr>
        <w:t xml:space="preserve">powyżej). </w:t>
      </w:r>
      <w:r w:rsidR="007E4D12" w:rsidRPr="004458AE">
        <w:rPr>
          <w:rFonts w:ascii="Arial" w:hAnsi="Arial" w:cs="Arial"/>
          <w:color w:val="000000"/>
          <w:sz w:val="22"/>
          <w:szCs w:val="22"/>
          <w:lang w:eastAsia="en-US"/>
        </w:rPr>
        <w:t>Państwo ma pozytywny obowiązek podjęcia zapobiegawczo praktycznych środków w celu ochrony jednostki, której życie jest zagrożone (zob</w:t>
      </w:r>
      <w:r w:rsidR="004458AE">
        <w:rPr>
          <w:rFonts w:ascii="Arial" w:hAnsi="Arial" w:cs="Arial"/>
          <w:color w:val="000000"/>
          <w:sz w:val="22"/>
          <w:szCs w:val="22"/>
          <w:lang w:eastAsia="en-US"/>
        </w:rPr>
        <w:t>.</w:t>
      </w:r>
      <w:r w:rsidR="007E4D12" w:rsidRPr="004458AE">
        <w:rPr>
          <w:rFonts w:ascii="Arial" w:hAnsi="Arial" w:cs="Arial"/>
          <w:color w:val="000000"/>
          <w:sz w:val="22"/>
          <w:szCs w:val="22"/>
          <w:lang w:eastAsia="en-US"/>
        </w:rPr>
        <w:t xml:space="preserve"> </w:t>
      </w:r>
      <w:r w:rsidR="007E4D12" w:rsidRPr="004458AE">
        <w:rPr>
          <w:rFonts w:ascii="Arial" w:hAnsi="Arial" w:cs="Arial"/>
          <w:i/>
          <w:iCs/>
          <w:color w:val="000000"/>
          <w:sz w:val="22"/>
          <w:szCs w:val="22"/>
          <w:lang w:eastAsia="en-US"/>
        </w:rPr>
        <w:t>Talpis,</w:t>
      </w:r>
      <w:r w:rsidR="007E4D12" w:rsidRPr="004458AE">
        <w:rPr>
          <w:rFonts w:ascii="Arial" w:hAnsi="Arial" w:cs="Arial"/>
          <w:color w:val="000000"/>
          <w:sz w:val="22"/>
          <w:szCs w:val="22"/>
          <w:lang w:eastAsia="en-US"/>
        </w:rPr>
        <w:t xml:space="preserve"> cyt, powyżej, § 123).</w:t>
      </w:r>
    </w:p>
    <w:p w14:paraId="15B0FD3B" w14:textId="1318A131" w:rsidR="00534DE6" w:rsidRPr="004458AE" w:rsidRDefault="00534DE6" w:rsidP="00534DE6">
      <w:pPr>
        <w:pStyle w:val="s30eec3f8"/>
        <w:shd w:val="clear" w:color="auto" w:fill="FFFFFF"/>
        <w:spacing w:before="0" w:beforeAutospacing="0" w:after="240" w:afterAutospacing="0" w:line="360" w:lineRule="auto"/>
        <w:jc w:val="both"/>
        <w:textAlignment w:val="baseline"/>
        <w:rPr>
          <w:rFonts w:ascii="Arial" w:hAnsi="Arial" w:cs="Arial"/>
          <w:color w:val="000000"/>
          <w:sz w:val="22"/>
          <w:szCs w:val="22"/>
          <w:lang w:eastAsia="en-US"/>
        </w:rPr>
      </w:pPr>
      <w:r w:rsidRPr="004458AE">
        <w:rPr>
          <w:rFonts w:ascii="Arial" w:hAnsi="Arial" w:cs="Arial"/>
          <w:sz w:val="22"/>
          <w:szCs w:val="22"/>
        </w:rPr>
        <w:t xml:space="preserve">Trzeba również mieć na uwadze, że w sprawach dotyczących przemocy domowej </w:t>
      </w:r>
      <w:r w:rsidRPr="004458AE">
        <w:rPr>
          <w:rFonts w:ascii="Arial" w:hAnsi="Arial" w:cs="Arial"/>
          <w:b/>
          <w:bCs/>
          <w:sz w:val="22"/>
          <w:szCs w:val="22"/>
          <w:lang w:val="pl"/>
        </w:rPr>
        <w:t>prawa agresora nie mogą przeważać nad prawami ofiar do życia oraz integralności</w:t>
      </w:r>
      <w:r w:rsidRPr="004458AE">
        <w:rPr>
          <w:rFonts w:ascii="Arial" w:hAnsi="Arial" w:cs="Arial"/>
          <w:sz w:val="22"/>
          <w:szCs w:val="22"/>
        </w:rPr>
        <w:t xml:space="preserve"> </w:t>
      </w:r>
      <w:r w:rsidRPr="004458AE">
        <w:rPr>
          <w:rFonts w:ascii="Arial" w:hAnsi="Arial" w:cs="Arial"/>
          <w:color w:val="000000"/>
          <w:sz w:val="22"/>
          <w:szCs w:val="22"/>
          <w:lang w:eastAsia="en-US"/>
        </w:rPr>
        <w:t xml:space="preserve">(zob </w:t>
      </w:r>
      <w:r w:rsidRPr="004458AE">
        <w:rPr>
          <w:rFonts w:ascii="Arial" w:hAnsi="Arial" w:cs="Arial"/>
          <w:i/>
          <w:iCs/>
          <w:color w:val="000000"/>
          <w:sz w:val="22"/>
          <w:szCs w:val="22"/>
          <w:lang w:eastAsia="en-US"/>
        </w:rPr>
        <w:t xml:space="preserve">Opuz, </w:t>
      </w:r>
      <w:r w:rsidRPr="004458AE">
        <w:rPr>
          <w:rFonts w:ascii="Arial" w:hAnsi="Arial" w:cs="Arial"/>
          <w:color w:val="000000"/>
          <w:sz w:val="22"/>
          <w:szCs w:val="22"/>
          <w:lang w:eastAsia="en-US"/>
        </w:rPr>
        <w:t xml:space="preserve">cyt. powyżej, § 147; </w:t>
      </w:r>
      <w:r w:rsidRPr="004458AE">
        <w:rPr>
          <w:rFonts w:ascii="Arial" w:hAnsi="Arial" w:cs="Arial"/>
          <w:i/>
          <w:iCs/>
          <w:color w:val="000000"/>
          <w:sz w:val="22"/>
          <w:szCs w:val="22"/>
          <w:lang w:eastAsia="en-US"/>
        </w:rPr>
        <w:t>Talpis,</w:t>
      </w:r>
      <w:r w:rsidRPr="004458AE">
        <w:rPr>
          <w:rFonts w:ascii="Arial" w:hAnsi="Arial" w:cs="Arial"/>
          <w:color w:val="000000"/>
          <w:sz w:val="22"/>
          <w:szCs w:val="22"/>
          <w:lang w:eastAsia="en-US"/>
        </w:rPr>
        <w:t xml:space="preserve"> cyt, powyżej, § 123). </w:t>
      </w:r>
    </w:p>
    <w:p w14:paraId="5ED71C0B" w14:textId="52754208" w:rsidR="004458AE" w:rsidRPr="004458AE" w:rsidRDefault="00E70A12" w:rsidP="001666AF">
      <w:pPr>
        <w:pStyle w:val="Tekstpodstawowy"/>
        <w:spacing w:line="360" w:lineRule="auto"/>
        <w:ind w:left="0"/>
        <w:rPr>
          <w:rFonts w:ascii="Arial" w:hAnsi="Arial" w:cs="Arial"/>
          <w:sz w:val="22"/>
          <w:szCs w:val="22"/>
        </w:rPr>
      </w:pPr>
      <w:r w:rsidRPr="004458AE">
        <w:rPr>
          <w:rFonts w:ascii="Arial" w:hAnsi="Arial" w:cs="Arial"/>
          <w:b/>
          <w:sz w:val="22"/>
          <w:szCs w:val="22"/>
        </w:rPr>
        <w:t>Problematyka przemocy domowej</w:t>
      </w:r>
      <w:r w:rsidRPr="004458AE">
        <w:rPr>
          <w:rFonts w:ascii="Arial" w:hAnsi="Arial" w:cs="Arial"/>
          <w:sz w:val="22"/>
          <w:szCs w:val="22"/>
        </w:rPr>
        <w:t xml:space="preserve"> i zarzucanych przez skarżących zaniechań </w:t>
      </w:r>
      <w:r w:rsidRPr="004458AE">
        <w:rPr>
          <w:rFonts w:ascii="Arial" w:hAnsi="Arial" w:cs="Arial"/>
          <w:sz w:val="22"/>
          <w:szCs w:val="22"/>
        </w:rPr>
        <w:br/>
        <w:t xml:space="preserve">w kontekście </w:t>
      </w:r>
      <w:r w:rsidRPr="001666AF">
        <w:rPr>
          <w:rFonts w:ascii="Arial" w:hAnsi="Arial" w:cs="Arial"/>
          <w:sz w:val="22"/>
          <w:szCs w:val="22"/>
        </w:rPr>
        <w:t xml:space="preserve">realizacji pozytywnych obowiązków państwa, w zależności od konkretnego stanu faktycznego, </w:t>
      </w:r>
      <w:r w:rsidRPr="001666AF">
        <w:rPr>
          <w:rFonts w:ascii="Arial" w:hAnsi="Arial" w:cs="Arial"/>
          <w:b/>
          <w:sz w:val="22"/>
          <w:szCs w:val="22"/>
        </w:rPr>
        <w:t xml:space="preserve">jest konsekwentnie analizowana przez </w:t>
      </w:r>
      <w:r w:rsidRPr="001666AF">
        <w:rPr>
          <w:rFonts w:ascii="Arial" w:hAnsi="Arial" w:cs="Arial"/>
          <w:sz w:val="22"/>
          <w:szCs w:val="22"/>
        </w:rPr>
        <w:t xml:space="preserve">Trybunał </w:t>
      </w:r>
      <w:r w:rsidRPr="001666AF">
        <w:rPr>
          <w:rFonts w:ascii="Arial" w:hAnsi="Arial" w:cs="Arial"/>
          <w:b/>
          <w:sz w:val="22"/>
          <w:szCs w:val="22"/>
        </w:rPr>
        <w:t>z punktu widzenia zgodności ze standardem art. 2</w:t>
      </w:r>
      <w:r w:rsidRPr="001666AF">
        <w:rPr>
          <w:rFonts w:ascii="Arial" w:hAnsi="Arial" w:cs="Arial"/>
          <w:sz w:val="22"/>
          <w:szCs w:val="22"/>
        </w:rPr>
        <w:t xml:space="preserve"> (prawo do życia), </w:t>
      </w:r>
      <w:r w:rsidRPr="001666AF">
        <w:rPr>
          <w:rFonts w:ascii="Arial" w:hAnsi="Arial" w:cs="Arial"/>
          <w:b/>
          <w:sz w:val="22"/>
          <w:szCs w:val="22"/>
        </w:rPr>
        <w:t>art. 3</w:t>
      </w:r>
      <w:r w:rsidRPr="001666AF">
        <w:rPr>
          <w:rFonts w:ascii="Arial" w:hAnsi="Arial" w:cs="Arial"/>
          <w:sz w:val="22"/>
          <w:szCs w:val="22"/>
        </w:rPr>
        <w:t xml:space="preserve"> (zakaz tortur, nieludzkiego lub poniżającego traktowania i karania) </w:t>
      </w:r>
      <w:r w:rsidRPr="001666AF">
        <w:rPr>
          <w:rFonts w:ascii="Arial" w:hAnsi="Arial" w:cs="Arial"/>
          <w:b/>
          <w:sz w:val="22"/>
          <w:szCs w:val="22"/>
        </w:rPr>
        <w:t xml:space="preserve">oraz art. 8 Konwencji </w:t>
      </w:r>
      <w:r w:rsidRPr="001666AF">
        <w:rPr>
          <w:rFonts w:ascii="Arial" w:hAnsi="Arial" w:cs="Arial"/>
          <w:sz w:val="22"/>
          <w:szCs w:val="22"/>
        </w:rPr>
        <w:t xml:space="preserve">(prawo do poszanowania życia prywatnego i rodzinnego). W swoim dorobku orzeczniczym dotyczącym przemocy domowej, Trybunał stopniowo poszerzył listę pozytywnych obowiązków państwa również na gruncie </w:t>
      </w:r>
      <w:r w:rsidRPr="001666AF">
        <w:rPr>
          <w:rFonts w:ascii="Arial" w:hAnsi="Arial" w:cs="Arial"/>
          <w:b/>
          <w:bCs/>
          <w:sz w:val="22"/>
          <w:szCs w:val="22"/>
        </w:rPr>
        <w:t>art.  14</w:t>
      </w:r>
      <w:r w:rsidRPr="001666AF">
        <w:rPr>
          <w:rFonts w:ascii="Arial" w:hAnsi="Arial" w:cs="Arial"/>
          <w:sz w:val="22"/>
          <w:szCs w:val="22"/>
        </w:rPr>
        <w:t xml:space="preserve"> </w:t>
      </w:r>
      <w:r w:rsidR="004458AE" w:rsidRPr="001666AF">
        <w:rPr>
          <w:rFonts w:ascii="Arial" w:hAnsi="Arial" w:cs="Arial"/>
          <w:sz w:val="22"/>
          <w:szCs w:val="22"/>
        </w:rPr>
        <w:t xml:space="preserve">uznając, </w:t>
      </w:r>
      <w:r w:rsidR="001666AF">
        <w:rPr>
          <w:rFonts w:ascii="Arial" w:hAnsi="Arial" w:cs="Arial"/>
          <w:sz w:val="22"/>
          <w:szCs w:val="22"/>
        </w:rPr>
        <w:t>że</w:t>
      </w:r>
      <w:r w:rsidR="004458AE" w:rsidRPr="001666AF">
        <w:rPr>
          <w:rFonts w:ascii="Arial" w:hAnsi="Arial" w:cs="Arial"/>
          <w:sz w:val="22"/>
          <w:szCs w:val="22"/>
        </w:rPr>
        <w:t xml:space="preserve"> p</w:t>
      </w:r>
      <w:r w:rsidR="001666AF" w:rsidRPr="001666AF">
        <w:rPr>
          <w:rFonts w:ascii="Arial" w:hAnsi="Arial" w:cs="Arial"/>
          <w:sz w:val="22"/>
          <w:szCs w:val="22"/>
        </w:rPr>
        <w:t xml:space="preserve">rzemoc </w:t>
      </w:r>
      <w:r w:rsidR="004458AE" w:rsidRPr="001666AF">
        <w:rPr>
          <w:rFonts w:ascii="Arial" w:hAnsi="Arial" w:cs="Arial"/>
          <w:sz w:val="22"/>
          <w:szCs w:val="22"/>
        </w:rPr>
        <w:t xml:space="preserve">ze względu na płeć </w:t>
      </w:r>
      <w:r w:rsidR="001666AF">
        <w:rPr>
          <w:rFonts w:ascii="Arial" w:hAnsi="Arial" w:cs="Arial"/>
          <w:sz w:val="22"/>
          <w:szCs w:val="22"/>
        </w:rPr>
        <w:t xml:space="preserve">stanowi </w:t>
      </w:r>
      <w:r w:rsidR="004458AE" w:rsidRPr="001666AF">
        <w:rPr>
          <w:rFonts w:ascii="Arial" w:hAnsi="Arial" w:cs="Arial"/>
          <w:sz w:val="22"/>
          <w:szCs w:val="22"/>
        </w:rPr>
        <w:t>naruszenie zakazu dyskryminacji</w:t>
      </w:r>
      <w:r w:rsidR="001666AF">
        <w:rPr>
          <w:rFonts w:ascii="Arial" w:hAnsi="Arial" w:cs="Arial"/>
          <w:sz w:val="22"/>
          <w:szCs w:val="22"/>
        </w:rPr>
        <w:t xml:space="preserve"> (zob. m.in, wyrok w sprawie</w:t>
      </w:r>
      <w:r w:rsidR="001666AF" w:rsidRPr="001666AF">
        <w:rPr>
          <w:rFonts w:ascii="Arial" w:hAnsi="Arial" w:cs="Arial"/>
          <w:sz w:val="22"/>
          <w:szCs w:val="22"/>
        </w:rPr>
        <w:t xml:space="preserve"> </w:t>
      </w:r>
      <w:hyperlink r:id="rId26">
        <w:r w:rsidR="004458AE" w:rsidRPr="001666AF">
          <w:rPr>
            <w:rFonts w:ascii="Arial" w:hAnsi="Arial" w:cs="Arial"/>
            <w:i/>
            <w:iCs/>
            <w:sz w:val="22"/>
            <w:szCs w:val="22"/>
          </w:rPr>
          <w:t>Eremia i Inni przeciwko Republice Mołdawii</w:t>
        </w:r>
      </w:hyperlink>
      <w:r w:rsidR="001666AF">
        <w:rPr>
          <w:rFonts w:ascii="Arial" w:hAnsi="Arial" w:cs="Arial"/>
          <w:i/>
          <w:iCs/>
          <w:sz w:val="22"/>
          <w:szCs w:val="22"/>
        </w:rPr>
        <w:t xml:space="preserve">, </w:t>
      </w:r>
      <w:r w:rsidR="004458AE" w:rsidRPr="001666AF">
        <w:rPr>
          <w:rFonts w:ascii="Arial" w:hAnsi="Arial" w:cs="Arial"/>
          <w:sz w:val="22"/>
          <w:szCs w:val="22"/>
        </w:rPr>
        <w:t>cyt</w:t>
      </w:r>
      <w:r w:rsidR="001666AF">
        <w:rPr>
          <w:rFonts w:ascii="Arial" w:hAnsi="Arial" w:cs="Arial"/>
          <w:sz w:val="22"/>
          <w:szCs w:val="22"/>
        </w:rPr>
        <w:t>.</w:t>
      </w:r>
      <w:r w:rsidR="004458AE" w:rsidRPr="001666AF">
        <w:rPr>
          <w:rFonts w:ascii="Arial" w:hAnsi="Arial" w:cs="Arial"/>
          <w:sz w:val="22"/>
          <w:szCs w:val="22"/>
        </w:rPr>
        <w:t xml:space="preserve"> powyżej</w:t>
      </w:r>
      <w:r w:rsidR="001666AF">
        <w:rPr>
          <w:rFonts w:ascii="Arial" w:hAnsi="Arial" w:cs="Arial"/>
          <w:sz w:val="22"/>
          <w:szCs w:val="22"/>
        </w:rPr>
        <w:t>).</w:t>
      </w:r>
    </w:p>
    <w:p w14:paraId="770B19B5" w14:textId="0FF30202" w:rsidR="00C310D9" w:rsidRPr="004458AE" w:rsidRDefault="006E56D9" w:rsidP="00C310D9">
      <w:pPr>
        <w:pStyle w:val="Nagwek1"/>
        <w:spacing w:before="100" w:after="240" w:line="360" w:lineRule="auto"/>
        <w:ind w:left="0"/>
        <w:rPr>
          <w:rFonts w:ascii="Arial" w:hAnsi="Arial" w:cs="Arial"/>
          <w:color w:val="808080"/>
        </w:rPr>
      </w:pPr>
      <w:r>
        <w:rPr>
          <w:rFonts w:ascii="Arial" w:hAnsi="Arial" w:cs="Arial"/>
          <w:sz w:val="22"/>
          <w:szCs w:val="22"/>
        </w:rPr>
        <w:t>Or</w:t>
      </w:r>
      <w:r w:rsidR="00FB65B8" w:rsidRPr="004458AE">
        <w:rPr>
          <w:rFonts w:ascii="Arial" w:hAnsi="Arial" w:cs="Arial"/>
          <w:sz w:val="22"/>
          <w:szCs w:val="22"/>
        </w:rPr>
        <w:t xml:space="preserve">zecznictwo Trybunału tworzy także istotny </w:t>
      </w:r>
      <w:r w:rsidR="00FB65B8" w:rsidRPr="004458AE">
        <w:rPr>
          <w:rFonts w:ascii="Arial" w:hAnsi="Arial" w:cs="Arial"/>
          <w:b/>
          <w:bCs/>
          <w:sz w:val="22"/>
          <w:szCs w:val="22"/>
        </w:rPr>
        <w:t>standard w zakresie konieczności izolacji ofiar przemocy od ich sprawcy wskazując, że wydanie nakazu opuszczenia wspólnego mieszkania przez sprawcę powinno zapewniać natychmiastową ochronę ofiarom</w:t>
      </w:r>
      <w:r w:rsidR="00FB65B8" w:rsidRPr="004458AE">
        <w:rPr>
          <w:rFonts w:ascii="Arial" w:hAnsi="Arial" w:cs="Arial"/>
          <w:sz w:val="22"/>
          <w:szCs w:val="22"/>
        </w:rPr>
        <w:t>, natomiast zastosowanie go dopiero po pewnym czasie od pierwszych sygnałów o stosowaniu przemocy przez partnera stanowi naruszenie zakazu określonego w art. 3 Konwencji</w:t>
      </w:r>
      <w:r w:rsidR="00F220E0" w:rsidRPr="004458AE">
        <w:rPr>
          <w:rFonts w:ascii="Arial" w:hAnsi="Arial" w:cs="Arial"/>
          <w:sz w:val="22"/>
          <w:szCs w:val="22"/>
        </w:rPr>
        <w:t xml:space="preserve"> (zob</w:t>
      </w:r>
      <w:r w:rsidR="00FB65B8" w:rsidRPr="004458AE">
        <w:rPr>
          <w:rFonts w:ascii="Arial" w:hAnsi="Arial" w:cs="Arial"/>
          <w:sz w:val="22"/>
          <w:szCs w:val="22"/>
        </w:rPr>
        <w:t xml:space="preserve">. </w:t>
      </w:r>
      <w:r w:rsidR="00F220E0" w:rsidRPr="004458AE">
        <w:rPr>
          <w:rFonts w:ascii="Arial" w:hAnsi="Arial" w:cs="Arial"/>
          <w:sz w:val="22"/>
          <w:szCs w:val="22"/>
        </w:rPr>
        <w:t xml:space="preserve"> </w:t>
      </w:r>
      <w:r w:rsidR="00020733" w:rsidRPr="004458AE">
        <w:rPr>
          <w:rFonts w:ascii="Arial" w:hAnsi="Arial" w:cs="Arial"/>
          <w:sz w:val="22"/>
          <w:szCs w:val="22"/>
        </w:rPr>
        <w:t>m.in.</w:t>
      </w:r>
      <w:r w:rsidR="00F220E0" w:rsidRPr="004458AE">
        <w:rPr>
          <w:rFonts w:ascii="Arial" w:hAnsi="Arial" w:cs="Arial"/>
          <w:sz w:val="22"/>
          <w:szCs w:val="22"/>
        </w:rPr>
        <w:t xml:space="preserve">; </w:t>
      </w:r>
      <w:r w:rsidR="00F220E0" w:rsidRPr="006E56D9">
        <w:rPr>
          <w:rFonts w:ascii="Arial" w:hAnsi="Arial" w:cs="Arial"/>
          <w:i/>
          <w:iCs/>
          <w:sz w:val="22"/>
          <w:szCs w:val="22"/>
        </w:rPr>
        <w:t>Opuz p.</w:t>
      </w:r>
      <w:r>
        <w:rPr>
          <w:rFonts w:ascii="Arial" w:hAnsi="Arial" w:cs="Arial"/>
          <w:i/>
          <w:iCs/>
          <w:sz w:val="22"/>
          <w:szCs w:val="22"/>
        </w:rPr>
        <w:t xml:space="preserve"> </w:t>
      </w:r>
      <w:r w:rsidR="00F220E0" w:rsidRPr="006E56D9">
        <w:rPr>
          <w:rFonts w:ascii="Arial" w:hAnsi="Arial" w:cs="Arial"/>
          <w:i/>
          <w:iCs/>
          <w:sz w:val="22"/>
          <w:szCs w:val="22"/>
        </w:rPr>
        <w:t>Turcji,</w:t>
      </w:r>
      <w:r w:rsidR="00F220E0" w:rsidRPr="004458AE">
        <w:rPr>
          <w:rFonts w:ascii="Arial" w:hAnsi="Arial" w:cs="Arial"/>
          <w:sz w:val="22"/>
          <w:szCs w:val="22"/>
        </w:rPr>
        <w:t xml:space="preserve"> cyt. powyżej, § 159</w:t>
      </w:r>
      <w:r w:rsidR="00020733" w:rsidRPr="004458AE">
        <w:rPr>
          <w:rFonts w:ascii="Arial" w:hAnsi="Arial" w:cs="Arial"/>
          <w:sz w:val="22"/>
          <w:szCs w:val="22"/>
        </w:rPr>
        <w:t xml:space="preserve">; </w:t>
      </w:r>
      <w:r w:rsidR="00020733" w:rsidRPr="004458AE">
        <w:rPr>
          <w:rFonts w:ascii="Arial" w:hAnsi="Arial" w:cs="Arial"/>
          <w:i/>
          <w:iCs/>
          <w:sz w:val="22"/>
          <w:szCs w:val="22"/>
        </w:rPr>
        <w:t xml:space="preserve">E.S. przeciwko Słowacji, </w:t>
      </w:r>
      <w:r w:rsidR="00020733" w:rsidRPr="004458AE">
        <w:rPr>
          <w:rFonts w:ascii="Arial" w:hAnsi="Arial" w:cs="Arial"/>
          <w:sz w:val="22"/>
          <w:szCs w:val="22"/>
        </w:rPr>
        <w:t xml:space="preserve">wyrok z </w:t>
      </w:r>
      <w:r w:rsidR="00896D52" w:rsidRPr="004458AE">
        <w:rPr>
          <w:rFonts w:ascii="Arial" w:hAnsi="Arial" w:cs="Arial"/>
          <w:sz w:val="22"/>
          <w:szCs w:val="22"/>
        </w:rPr>
        <w:t xml:space="preserve">dnia </w:t>
      </w:r>
      <w:r w:rsidR="00020733" w:rsidRPr="004458AE">
        <w:rPr>
          <w:rFonts w:ascii="Arial" w:hAnsi="Arial" w:cs="Arial"/>
          <w:sz w:val="22"/>
          <w:szCs w:val="22"/>
        </w:rPr>
        <w:t xml:space="preserve">15 września 2009 </w:t>
      </w:r>
      <w:r w:rsidR="003C4508">
        <w:rPr>
          <w:rFonts w:ascii="Arial" w:hAnsi="Arial" w:cs="Arial"/>
          <w:sz w:val="22"/>
          <w:szCs w:val="22"/>
        </w:rPr>
        <w:t>roku</w:t>
      </w:r>
      <w:r w:rsidR="00020733" w:rsidRPr="004458AE">
        <w:rPr>
          <w:rFonts w:ascii="Arial" w:hAnsi="Arial" w:cs="Arial"/>
          <w:sz w:val="22"/>
          <w:szCs w:val="22"/>
        </w:rPr>
        <w:t xml:space="preserve"> nr skargi 8227/04</w:t>
      </w:r>
      <w:r w:rsidR="0084339B">
        <w:rPr>
          <w:rFonts w:ascii="Arial" w:hAnsi="Arial" w:cs="Arial"/>
          <w:sz w:val="22"/>
          <w:szCs w:val="22"/>
        </w:rPr>
        <w:t>).</w:t>
      </w:r>
      <w:r w:rsidR="00D705A7">
        <w:rPr>
          <w:rFonts w:ascii="Arial" w:hAnsi="Arial" w:cs="Arial"/>
          <w:sz w:val="22"/>
          <w:szCs w:val="22"/>
        </w:rPr>
        <w:t xml:space="preserve"> </w:t>
      </w:r>
    </w:p>
    <w:p w14:paraId="73DC2ABE" w14:textId="77777777" w:rsidR="00B22766" w:rsidRPr="004458AE" w:rsidRDefault="00B22766" w:rsidP="00B22766">
      <w:pPr>
        <w:spacing w:before="120" w:after="0" w:line="360" w:lineRule="auto"/>
        <w:jc w:val="both"/>
        <w:rPr>
          <w:rFonts w:ascii="Arial" w:hAnsi="Arial" w:cs="Arial"/>
          <w:b/>
          <w:bCs/>
        </w:rPr>
      </w:pPr>
      <w:r w:rsidRPr="004458AE">
        <w:rPr>
          <w:rFonts w:ascii="Arial" w:hAnsi="Arial" w:cs="Arial"/>
          <w:b/>
          <w:bCs/>
        </w:rPr>
        <w:t>[Obowiązek podejmowania czynności i rozpoznawania spraw bez zbędnej zwłoki]</w:t>
      </w:r>
    </w:p>
    <w:p w14:paraId="6CA79E47" w14:textId="77777777" w:rsidR="00432340" w:rsidRDefault="00B22766" w:rsidP="00432340">
      <w:pPr>
        <w:spacing w:line="360" w:lineRule="auto"/>
        <w:jc w:val="both"/>
        <w:rPr>
          <w:rFonts w:ascii="Arial" w:hAnsi="Arial" w:cs="Arial"/>
        </w:rPr>
      </w:pPr>
      <w:r w:rsidRPr="004458AE">
        <w:rPr>
          <w:rStyle w:val="sb8d990e2"/>
          <w:rFonts w:ascii="Arial" w:hAnsi="Arial" w:cs="Arial"/>
          <w:color w:val="000000"/>
          <w:shd w:val="clear" w:color="auto" w:fill="FFFFFF"/>
        </w:rPr>
        <w:t xml:space="preserve">Zgodnie ze stanowiskiem Trybunału </w:t>
      </w:r>
      <w:r w:rsidRPr="004458AE">
        <w:rPr>
          <w:rStyle w:val="sb8d990e2"/>
          <w:rFonts w:ascii="Arial" w:hAnsi="Arial" w:cs="Arial"/>
          <w:b/>
          <w:bCs/>
          <w:color w:val="000000"/>
          <w:shd w:val="clear" w:color="auto" w:fill="FFFFFF"/>
        </w:rPr>
        <w:t>mechanizmy ochrony</w:t>
      </w:r>
      <w:r w:rsidRPr="004458AE">
        <w:rPr>
          <w:rStyle w:val="sb8d990e2"/>
          <w:rFonts w:ascii="Arial" w:hAnsi="Arial" w:cs="Arial"/>
          <w:color w:val="000000"/>
          <w:shd w:val="clear" w:color="auto" w:fill="FFFFFF"/>
        </w:rPr>
        <w:t xml:space="preserve"> przewidziane w prawie krajowym </w:t>
      </w:r>
      <w:r w:rsidRPr="004458AE">
        <w:rPr>
          <w:rStyle w:val="sb8d990e2"/>
          <w:rFonts w:ascii="Arial" w:hAnsi="Arial" w:cs="Arial"/>
          <w:b/>
          <w:bCs/>
          <w:color w:val="000000"/>
          <w:shd w:val="clear" w:color="auto" w:fill="FFFFFF"/>
        </w:rPr>
        <w:t>powinny w praktyce działać z zachowaniem rozsądnych terminów</w:t>
      </w:r>
      <w:r w:rsidRPr="004458AE">
        <w:rPr>
          <w:rStyle w:val="sb8d990e2"/>
          <w:rFonts w:ascii="Arial" w:hAnsi="Arial" w:cs="Arial"/>
          <w:color w:val="000000"/>
          <w:shd w:val="clear" w:color="auto" w:fill="FFFFFF"/>
        </w:rPr>
        <w:t> zapewniających zakończenie badania przedmiotu konkretnych spraw (</w:t>
      </w:r>
      <w:r w:rsidRPr="004458AE">
        <w:rPr>
          <w:rStyle w:val="s6b621b36"/>
          <w:rFonts w:ascii="Arial" w:hAnsi="Arial" w:cs="Arial"/>
          <w:i/>
          <w:iCs/>
          <w:color w:val="000000"/>
          <w:shd w:val="clear" w:color="auto" w:fill="FFFFFF"/>
        </w:rPr>
        <w:t>Opuz p. Turcji</w:t>
      </w:r>
      <w:r w:rsidRPr="004458AE">
        <w:rPr>
          <w:rStyle w:val="sb8d990e2"/>
          <w:rFonts w:ascii="Arial" w:hAnsi="Arial" w:cs="Arial"/>
          <w:color w:val="000000"/>
          <w:shd w:val="clear" w:color="auto" w:fill="FFFFFF"/>
        </w:rPr>
        <w:t>,</w:t>
      </w:r>
      <w:r w:rsidRPr="004458AE">
        <w:rPr>
          <w:rStyle w:val="s6b621b36"/>
          <w:rFonts w:ascii="Arial" w:hAnsi="Arial" w:cs="Arial"/>
          <w:i/>
          <w:iCs/>
          <w:color w:val="000000"/>
          <w:shd w:val="clear" w:color="auto" w:fill="FFFFFF"/>
        </w:rPr>
        <w:t> </w:t>
      </w:r>
      <w:r w:rsidRPr="004458AE">
        <w:rPr>
          <w:rStyle w:val="s6b621b36"/>
          <w:rFonts w:ascii="Arial" w:hAnsi="Arial" w:cs="Arial"/>
          <w:color w:val="000000"/>
          <w:shd w:val="clear" w:color="auto" w:fill="FFFFFF"/>
        </w:rPr>
        <w:t>cyt</w:t>
      </w:r>
      <w:r w:rsidRPr="004458AE">
        <w:rPr>
          <w:rStyle w:val="s6b621b36"/>
          <w:rFonts w:ascii="Arial" w:hAnsi="Arial" w:cs="Arial"/>
          <w:i/>
          <w:iCs/>
          <w:color w:val="000000"/>
          <w:shd w:val="clear" w:color="auto" w:fill="FFFFFF"/>
        </w:rPr>
        <w:t xml:space="preserve">. </w:t>
      </w:r>
      <w:r w:rsidRPr="004458AE">
        <w:rPr>
          <w:rStyle w:val="s6b621b36"/>
          <w:rFonts w:ascii="Arial" w:hAnsi="Arial" w:cs="Arial"/>
          <w:color w:val="000000"/>
          <w:shd w:val="clear" w:color="auto" w:fill="FFFFFF"/>
        </w:rPr>
        <w:t>powyżej</w:t>
      </w:r>
      <w:r w:rsidRPr="004458AE">
        <w:rPr>
          <w:rStyle w:val="sb8d990e2"/>
          <w:rFonts w:ascii="Arial" w:hAnsi="Arial" w:cs="Arial"/>
          <w:color w:val="000000"/>
          <w:shd w:val="clear" w:color="auto" w:fill="FFFFFF"/>
        </w:rPr>
        <w:t>, §§ 150-151). Obowiązku państwa na tle art. 3 Konwencji nie można również uznać za wypełniony, jeśli mechanizmy takie istnieją wyłącznie w teorii: muszą one bowiem być przede wszystkim skuteczne w praktyce, co z kolei wiąże się z rozpoznawaniem spraw szybko i bez zbędnej zwłoki (</w:t>
      </w:r>
      <w:r w:rsidRPr="004458AE">
        <w:rPr>
          <w:rStyle w:val="sb8d990e2"/>
          <w:rFonts w:ascii="Arial" w:hAnsi="Arial" w:cs="Arial"/>
          <w:i/>
          <w:iCs/>
          <w:color w:val="000000"/>
          <w:shd w:val="clear" w:color="auto" w:fill="FFFFFF"/>
        </w:rPr>
        <w:t>Talpis p. Włochom</w:t>
      </w:r>
      <w:r w:rsidRPr="004458AE">
        <w:rPr>
          <w:rStyle w:val="sb8d990e2"/>
          <w:rFonts w:ascii="Arial" w:hAnsi="Arial" w:cs="Arial"/>
          <w:color w:val="000000"/>
          <w:shd w:val="clear" w:color="auto" w:fill="FFFFFF"/>
        </w:rPr>
        <w:t>, cyt. powyżej).</w:t>
      </w:r>
    </w:p>
    <w:p w14:paraId="4298E102" w14:textId="2C7268C5" w:rsidR="00657D17" w:rsidRPr="00432340" w:rsidRDefault="00657D17" w:rsidP="00432340">
      <w:pPr>
        <w:spacing w:after="0" w:line="360" w:lineRule="auto"/>
        <w:jc w:val="both"/>
        <w:rPr>
          <w:rFonts w:ascii="Arial" w:hAnsi="Arial" w:cs="Arial"/>
        </w:rPr>
      </w:pPr>
      <w:r w:rsidRPr="004458AE">
        <w:rPr>
          <w:rFonts w:ascii="Arial" w:hAnsi="Arial" w:cs="Arial"/>
          <w:b/>
          <w:bCs/>
        </w:rPr>
        <w:lastRenderedPageBreak/>
        <w:t xml:space="preserve">[Odpowiedzialność państwa w związku z niedopełnieniem </w:t>
      </w:r>
      <w:r w:rsidR="00BB2453" w:rsidRPr="004458AE">
        <w:rPr>
          <w:rFonts w:ascii="Arial" w:hAnsi="Arial" w:cs="Arial"/>
          <w:b/>
          <w:bCs/>
        </w:rPr>
        <w:t xml:space="preserve">pozytywnych </w:t>
      </w:r>
      <w:r w:rsidRPr="004458AE">
        <w:rPr>
          <w:rFonts w:ascii="Arial" w:hAnsi="Arial" w:cs="Arial"/>
          <w:b/>
          <w:bCs/>
        </w:rPr>
        <w:t>obowiązków]</w:t>
      </w:r>
    </w:p>
    <w:p w14:paraId="2D2C204F" w14:textId="6109734B" w:rsidR="007D48C1" w:rsidRPr="004458AE" w:rsidRDefault="007D48C1" w:rsidP="007D48C1">
      <w:pPr>
        <w:autoSpaceDE w:val="0"/>
        <w:autoSpaceDN w:val="0"/>
        <w:adjustRightInd w:val="0"/>
        <w:spacing w:after="0" w:line="360" w:lineRule="auto"/>
        <w:jc w:val="both"/>
        <w:rPr>
          <w:rFonts w:ascii="Arial" w:hAnsi="Arial" w:cs="Arial"/>
        </w:rPr>
      </w:pPr>
      <w:r w:rsidRPr="004458AE">
        <w:rPr>
          <w:rFonts w:ascii="Arial" w:hAnsi="Arial" w:cs="Arial"/>
          <w:b/>
          <w:bCs/>
        </w:rPr>
        <w:t xml:space="preserve">Do przykładowych podstaw odpowiedzialności </w:t>
      </w:r>
      <w:r w:rsidRPr="0084339B">
        <w:rPr>
          <w:rFonts w:ascii="Arial" w:hAnsi="Arial" w:cs="Arial"/>
        </w:rPr>
        <w:t>związanych z niedopełnieniem</w:t>
      </w:r>
      <w:r w:rsidRPr="004458AE">
        <w:rPr>
          <w:rFonts w:ascii="Arial" w:hAnsi="Arial" w:cs="Arial"/>
        </w:rPr>
        <w:t xml:space="preserve"> przez państwo obowiązków o charakterze pozytywnym w odniesieniu do zjawiska przemocy domowej</w:t>
      </w:r>
      <w:r w:rsidRPr="004458AE">
        <w:rPr>
          <w:rFonts w:ascii="Arial" w:hAnsi="Arial" w:cs="Arial"/>
          <w:b/>
          <w:bCs/>
        </w:rPr>
        <w:t xml:space="preserve"> </w:t>
      </w:r>
      <w:r w:rsidRPr="004458AE">
        <w:rPr>
          <w:rFonts w:ascii="Arial" w:hAnsi="Arial" w:cs="Arial"/>
        </w:rPr>
        <w:t xml:space="preserve">zaliczyć zatem należy: </w:t>
      </w:r>
    </w:p>
    <w:p w14:paraId="10E0429B" w14:textId="03F4D387" w:rsidR="007D48C1" w:rsidRPr="004458AE" w:rsidRDefault="007D48C1" w:rsidP="007D48C1">
      <w:pPr>
        <w:autoSpaceDE w:val="0"/>
        <w:autoSpaceDN w:val="0"/>
        <w:adjustRightInd w:val="0"/>
        <w:spacing w:after="0" w:line="360" w:lineRule="auto"/>
        <w:jc w:val="both"/>
        <w:rPr>
          <w:rFonts w:ascii="Arial" w:hAnsi="Arial" w:cs="Arial"/>
        </w:rPr>
      </w:pPr>
      <w:r w:rsidRPr="004458AE">
        <w:rPr>
          <w:rFonts w:ascii="Arial" w:hAnsi="Arial" w:cs="Arial"/>
        </w:rPr>
        <w:t xml:space="preserve">-niewprowadzenie regulacji oddziałującej prewencyjnie na sprawców przemocy domowej, </w:t>
      </w:r>
    </w:p>
    <w:p w14:paraId="0667E7DD" w14:textId="77777777" w:rsidR="007D48C1" w:rsidRPr="004458AE" w:rsidRDefault="007D48C1" w:rsidP="007D48C1">
      <w:pPr>
        <w:autoSpaceDE w:val="0"/>
        <w:autoSpaceDN w:val="0"/>
        <w:adjustRightInd w:val="0"/>
        <w:spacing w:after="0" w:line="360" w:lineRule="auto"/>
        <w:jc w:val="both"/>
        <w:rPr>
          <w:rFonts w:ascii="Arial" w:hAnsi="Arial" w:cs="Arial"/>
        </w:rPr>
      </w:pPr>
      <w:r w:rsidRPr="004458AE">
        <w:rPr>
          <w:rFonts w:ascii="Arial" w:hAnsi="Arial" w:cs="Arial"/>
        </w:rPr>
        <w:t xml:space="preserve">-niepodejmowanie działań faktycznych mających na celu ochronę jednostki, której życie jest zagrożone,  </w:t>
      </w:r>
    </w:p>
    <w:p w14:paraId="5B36BB90" w14:textId="77777777" w:rsidR="007D48C1" w:rsidRPr="004458AE" w:rsidRDefault="007D48C1" w:rsidP="007D48C1">
      <w:pPr>
        <w:autoSpaceDE w:val="0"/>
        <w:autoSpaceDN w:val="0"/>
        <w:adjustRightInd w:val="0"/>
        <w:spacing w:after="0" w:line="360" w:lineRule="auto"/>
        <w:jc w:val="both"/>
        <w:rPr>
          <w:rFonts w:ascii="Arial" w:hAnsi="Arial" w:cs="Arial"/>
        </w:rPr>
      </w:pPr>
      <w:r w:rsidRPr="004458AE">
        <w:rPr>
          <w:rFonts w:ascii="Arial" w:hAnsi="Arial" w:cs="Arial"/>
        </w:rPr>
        <w:t>-tolerowanie przemocy stosowanej rzekomo jako środka wychowawczego wobec dzieci,</w:t>
      </w:r>
    </w:p>
    <w:p w14:paraId="5DC65894" w14:textId="62639B36" w:rsidR="007D48C1" w:rsidRPr="004458AE" w:rsidRDefault="007D48C1" w:rsidP="007D48C1">
      <w:pPr>
        <w:autoSpaceDE w:val="0"/>
        <w:autoSpaceDN w:val="0"/>
        <w:adjustRightInd w:val="0"/>
        <w:spacing w:after="0" w:line="360" w:lineRule="auto"/>
        <w:jc w:val="both"/>
        <w:rPr>
          <w:rFonts w:ascii="Arial" w:hAnsi="Arial" w:cs="Arial"/>
        </w:rPr>
      </w:pPr>
      <w:r w:rsidRPr="004458AE">
        <w:rPr>
          <w:rFonts w:ascii="Arial" w:hAnsi="Arial" w:cs="Arial"/>
        </w:rPr>
        <w:t xml:space="preserve">-zaniechania ze strony właściwych służb skutkujące kontynuowaniem złego traktowania członków rodziny sprawcy, </w:t>
      </w:r>
    </w:p>
    <w:p w14:paraId="332717A7" w14:textId="1F94F490" w:rsidR="00985F50" w:rsidRPr="004458AE" w:rsidRDefault="007D48C1" w:rsidP="00985F50">
      <w:pPr>
        <w:autoSpaceDE w:val="0"/>
        <w:autoSpaceDN w:val="0"/>
        <w:adjustRightInd w:val="0"/>
        <w:spacing w:line="360" w:lineRule="auto"/>
        <w:jc w:val="both"/>
        <w:rPr>
          <w:rFonts w:ascii="Arial" w:hAnsi="Arial" w:cs="Arial"/>
          <w:b/>
          <w:bCs/>
        </w:rPr>
      </w:pPr>
      <w:r w:rsidRPr="004458AE">
        <w:rPr>
          <w:rFonts w:ascii="Arial" w:hAnsi="Arial" w:cs="Arial"/>
        </w:rPr>
        <w:t xml:space="preserve">-niepodjęcie działań mających na celu natychmiastowe odizolowanie ofiar przemocy domowej od sprawcy. </w:t>
      </w:r>
      <w:r w:rsidR="00985F50" w:rsidRPr="004458AE">
        <w:rPr>
          <w:rFonts w:ascii="Arial" w:hAnsi="Arial" w:cs="Arial"/>
          <w:b/>
          <w:bCs/>
        </w:rPr>
        <w:t xml:space="preserve"> </w:t>
      </w:r>
    </w:p>
    <w:p w14:paraId="75C968FD" w14:textId="77777777" w:rsidR="007D48C1" w:rsidRPr="004458AE" w:rsidRDefault="007D48C1" w:rsidP="00432340">
      <w:pPr>
        <w:spacing w:after="0" w:line="360" w:lineRule="auto"/>
        <w:jc w:val="both"/>
        <w:rPr>
          <w:rFonts w:ascii="Arial" w:hAnsi="Arial" w:cs="Arial"/>
          <w:b/>
          <w:bCs/>
        </w:rPr>
      </w:pPr>
      <w:r w:rsidRPr="004458AE">
        <w:rPr>
          <w:rFonts w:ascii="Arial" w:hAnsi="Arial" w:cs="Arial"/>
          <w:b/>
          <w:bCs/>
        </w:rPr>
        <w:t>[</w:t>
      </w:r>
      <w:r w:rsidRPr="004458AE">
        <w:rPr>
          <w:rFonts w:ascii="Arial" w:hAnsi="Arial" w:cs="Arial"/>
          <w:b/>
          <w:bCs/>
          <w:lang w:val="pl"/>
        </w:rPr>
        <w:t>Test Osmana</w:t>
      </w:r>
      <w:r w:rsidRPr="004458AE">
        <w:rPr>
          <w:rFonts w:ascii="Arial" w:hAnsi="Arial" w:cs="Arial"/>
          <w:b/>
          <w:bCs/>
        </w:rPr>
        <w:t>]</w:t>
      </w:r>
    </w:p>
    <w:p w14:paraId="4ACDBB07" w14:textId="472B848C" w:rsidR="007D48C1" w:rsidRPr="004458AE" w:rsidRDefault="007D48C1" w:rsidP="007D48C1">
      <w:pPr>
        <w:spacing w:after="0" w:line="360" w:lineRule="auto"/>
        <w:jc w:val="both"/>
        <w:rPr>
          <w:rFonts w:ascii="Arial" w:hAnsi="Arial" w:cs="Arial"/>
          <w:lang w:val="pl"/>
        </w:rPr>
      </w:pPr>
      <w:r w:rsidRPr="004458AE">
        <w:rPr>
          <w:rFonts w:ascii="Arial" w:hAnsi="Arial" w:cs="Arial"/>
        </w:rPr>
        <w:t xml:space="preserve">W dotychczasowym orzecznictwie Trybunału </w:t>
      </w:r>
      <w:r w:rsidRPr="004458AE">
        <w:rPr>
          <w:rFonts w:ascii="Arial" w:hAnsi="Arial" w:cs="Arial"/>
          <w:lang w:val="pl"/>
        </w:rPr>
        <w:t xml:space="preserve">przy podejmowaniu decyzji o tym, </w:t>
      </w:r>
      <w:r w:rsidRPr="004458AE">
        <w:rPr>
          <w:rFonts w:ascii="Arial" w:hAnsi="Arial" w:cs="Arial"/>
          <w:b/>
          <w:bCs/>
          <w:lang w:val="pl"/>
        </w:rPr>
        <w:t xml:space="preserve">czy państwo pozwane wypełniło swój pozytywny obowiązek ochrony osoby, której życie jest zagrożone z powodu czynów przestępczych innej osoby, </w:t>
      </w:r>
      <w:r w:rsidRPr="004458AE">
        <w:rPr>
          <w:rFonts w:ascii="Arial" w:hAnsi="Arial" w:cs="Arial"/>
          <w:lang w:val="pl"/>
        </w:rPr>
        <w:t xml:space="preserve">Trybunał niezmiennie stosował tzw. Test Osmana opracowany w sprawie </w:t>
      </w:r>
      <w:r w:rsidRPr="004458AE">
        <w:rPr>
          <w:rFonts w:ascii="Arial" w:hAnsi="Arial" w:cs="Arial"/>
          <w:i/>
          <w:iCs/>
          <w:lang w:val="pl"/>
        </w:rPr>
        <w:t xml:space="preserve">Osman przeciwko Zjednoczonemu Królestwu </w:t>
      </w:r>
      <w:r w:rsidR="0084339B">
        <w:rPr>
          <w:rFonts w:ascii="Arial" w:hAnsi="Arial" w:cs="Arial"/>
          <w:lang w:val="pl"/>
        </w:rPr>
        <w:t>(</w:t>
      </w:r>
      <w:r w:rsidRPr="004458AE">
        <w:rPr>
          <w:rFonts w:ascii="Arial" w:hAnsi="Arial" w:cs="Arial"/>
          <w:lang w:val="pl"/>
        </w:rPr>
        <w:t xml:space="preserve">28 października 1998 </w:t>
      </w:r>
      <w:r w:rsidR="003C4508">
        <w:rPr>
          <w:rFonts w:ascii="Arial" w:hAnsi="Arial" w:cs="Arial"/>
          <w:lang w:val="pl"/>
        </w:rPr>
        <w:t>roku</w:t>
      </w:r>
      <w:r w:rsidRPr="004458AE">
        <w:rPr>
          <w:rFonts w:ascii="Arial" w:hAnsi="Arial" w:cs="Arial"/>
          <w:lang w:val="pl"/>
        </w:rPr>
        <w:t xml:space="preserve">, § 116, </w:t>
      </w:r>
      <w:r w:rsidRPr="004458AE">
        <w:rPr>
          <w:rFonts w:ascii="Arial" w:hAnsi="Arial" w:cs="Arial"/>
          <w:i/>
          <w:iCs/>
          <w:lang w:val="pl"/>
        </w:rPr>
        <w:t>Sprawozdania z orzeczeń i decyzji</w:t>
      </w:r>
      <w:r w:rsidRPr="004458AE">
        <w:rPr>
          <w:rFonts w:ascii="Arial" w:hAnsi="Arial" w:cs="Arial"/>
          <w:lang w:val="pl"/>
        </w:rPr>
        <w:t xml:space="preserve">  1998-VIII) i w konsekwencji przyjmuje, że prawo do życia jest naruszane, jeżeli władze wiedziały lub powinny były wiedzieć w momencie istnienia rzeczywistego i bezpośredniego zagrożenia dla zidentyfikowanej osoby lub osób z czynów przestępczych osoby trzeciej i nie podjęły środków w zakresie swoich uprawnień, co do których można było oczekiwać, że pozwolą, aby  uniknąć tego ryzyka. </w:t>
      </w:r>
    </w:p>
    <w:p w14:paraId="2538C760" w14:textId="46E3171F" w:rsidR="007D48C1" w:rsidRPr="004458AE" w:rsidRDefault="00B843FC" w:rsidP="007D48C1">
      <w:pPr>
        <w:spacing w:line="360" w:lineRule="auto"/>
        <w:jc w:val="both"/>
        <w:rPr>
          <w:rStyle w:val="sb8d990e2"/>
          <w:rFonts w:ascii="Arial" w:hAnsi="Arial" w:cs="Arial"/>
          <w:color w:val="000000"/>
          <w:shd w:val="clear" w:color="auto" w:fill="FFFFFF"/>
        </w:rPr>
      </w:pPr>
      <w:r w:rsidRPr="004458AE">
        <w:rPr>
          <w:rFonts w:ascii="Arial" w:hAnsi="Arial" w:cs="Arial"/>
          <w:lang w:val="pl"/>
        </w:rPr>
        <w:t xml:space="preserve">Tym niemniej </w:t>
      </w:r>
      <w:r w:rsidR="007D48C1" w:rsidRPr="004458AE">
        <w:rPr>
          <w:rFonts w:ascii="Arial" w:hAnsi="Arial" w:cs="Arial"/>
          <w:lang w:val="pl"/>
        </w:rPr>
        <w:t xml:space="preserve">należy mieć na uwadze, że wyrok w sprawie </w:t>
      </w:r>
      <w:r w:rsidR="007D48C1" w:rsidRPr="004458AE">
        <w:rPr>
          <w:rFonts w:ascii="Arial" w:hAnsi="Arial" w:cs="Arial"/>
          <w:i/>
          <w:iCs/>
          <w:lang w:val="pl"/>
        </w:rPr>
        <w:t>Talpis</w:t>
      </w:r>
      <w:r w:rsidR="007D48C1" w:rsidRPr="004458AE">
        <w:rPr>
          <w:rFonts w:ascii="Arial" w:hAnsi="Arial" w:cs="Arial"/>
          <w:lang w:val="pl"/>
        </w:rPr>
        <w:t xml:space="preserve"> </w:t>
      </w:r>
      <w:r w:rsidR="007D48C1" w:rsidRPr="004458AE">
        <w:rPr>
          <w:rFonts w:ascii="Arial" w:hAnsi="Arial" w:cs="Arial"/>
          <w:i/>
          <w:iCs/>
          <w:lang w:val="pl"/>
        </w:rPr>
        <w:t>p. Włochom</w:t>
      </w:r>
      <w:r w:rsidR="00824672" w:rsidRPr="004458AE">
        <w:rPr>
          <w:rFonts w:ascii="Arial" w:hAnsi="Arial" w:cs="Arial"/>
          <w:i/>
          <w:iCs/>
          <w:lang w:val="pl"/>
        </w:rPr>
        <w:t xml:space="preserve"> </w:t>
      </w:r>
      <w:r w:rsidR="00824672" w:rsidRPr="004458AE">
        <w:rPr>
          <w:rFonts w:ascii="Arial" w:hAnsi="Arial" w:cs="Arial"/>
          <w:lang w:val="pl"/>
        </w:rPr>
        <w:t xml:space="preserve">omówionej poniżej </w:t>
      </w:r>
      <w:r w:rsidR="007D48C1" w:rsidRPr="004458AE">
        <w:rPr>
          <w:rFonts w:ascii="Arial" w:hAnsi="Arial" w:cs="Arial"/>
          <w:lang w:val="pl"/>
        </w:rPr>
        <w:t xml:space="preserve">wskazuje na </w:t>
      </w:r>
      <w:r w:rsidR="007D48C1" w:rsidRPr="004458AE">
        <w:rPr>
          <w:rFonts w:ascii="Arial" w:hAnsi="Arial" w:cs="Arial"/>
          <w:b/>
          <w:bCs/>
          <w:lang w:val="pl"/>
        </w:rPr>
        <w:t>możliwość bardziej elastycznej interpretacji pojęcia bezpośredniego zagrożenia</w:t>
      </w:r>
      <w:r w:rsidR="007D48C1" w:rsidRPr="004458AE">
        <w:rPr>
          <w:rFonts w:ascii="Arial" w:hAnsi="Arial" w:cs="Arial"/>
          <w:lang w:val="pl"/>
        </w:rPr>
        <w:t xml:space="preserve"> </w:t>
      </w:r>
      <w:r w:rsidR="00824672" w:rsidRPr="004458AE">
        <w:rPr>
          <w:rFonts w:ascii="Arial" w:hAnsi="Arial" w:cs="Arial"/>
          <w:lang w:val="pl"/>
        </w:rPr>
        <w:t xml:space="preserve">UWAGA: </w:t>
      </w:r>
      <w:r w:rsidR="007E4D12" w:rsidRPr="004458AE">
        <w:rPr>
          <w:rFonts w:ascii="Arial" w:hAnsi="Arial" w:cs="Arial"/>
          <w:lang w:val="pl"/>
        </w:rPr>
        <w:t xml:space="preserve">aktualnej </w:t>
      </w:r>
      <w:r w:rsidR="007D48C1" w:rsidRPr="004458AE">
        <w:rPr>
          <w:rStyle w:val="sb8d990e2"/>
          <w:rFonts w:ascii="Arial" w:hAnsi="Arial" w:cs="Arial"/>
          <w:color w:val="000000"/>
          <w:shd w:val="clear" w:color="auto" w:fill="FFFFFF"/>
        </w:rPr>
        <w:t xml:space="preserve">interpretacji pojęcia bezpośredniego zagrożenia oraz związanego z tym sposobu badania odpowiedzialności państwa z tytułu jego pozytywnych obowiązków w sprawach w sprawach, w których nastąpiły śmiertelne skutki przemocy domowej można się spodziewać po ogłoszeniu wyroku Wielkiej Izby w sprawie </w:t>
      </w:r>
      <w:r w:rsidR="007D48C1" w:rsidRPr="004458AE">
        <w:rPr>
          <w:rStyle w:val="sb8d990e2"/>
          <w:rFonts w:ascii="Arial" w:hAnsi="Arial" w:cs="Arial"/>
          <w:i/>
          <w:iCs/>
          <w:shd w:val="clear" w:color="auto" w:fill="FFFFFF"/>
        </w:rPr>
        <w:t>Kurt p. Austrii,</w:t>
      </w:r>
      <w:r w:rsidR="007D48C1" w:rsidRPr="004458AE">
        <w:rPr>
          <w:rStyle w:val="sb8d990e2"/>
          <w:rFonts w:ascii="Arial" w:hAnsi="Arial" w:cs="Arial"/>
          <w:shd w:val="clear" w:color="auto" w:fill="FFFFFF"/>
        </w:rPr>
        <w:t xml:space="preserve"> nr skargi</w:t>
      </w:r>
      <w:r w:rsidR="00896D52" w:rsidRPr="004458AE">
        <w:rPr>
          <w:rStyle w:val="sb8d990e2"/>
          <w:rFonts w:ascii="Arial" w:hAnsi="Arial" w:cs="Arial"/>
          <w:shd w:val="clear" w:color="auto" w:fill="FFFFFF"/>
        </w:rPr>
        <w:t xml:space="preserve"> 62903/15 </w:t>
      </w:r>
      <w:r w:rsidR="008714A5">
        <w:rPr>
          <w:rStyle w:val="sb8d990e2"/>
          <w:rFonts w:ascii="Arial" w:hAnsi="Arial" w:cs="Arial"/>
          <w:shd w:val="clear" w:color="auto" w:fill="FFFFFF"/>
        </w:rPr>
        <w:t>(</w:t>
      </w:r>
      <w:r w:rsidR="00896D52" w:rsidRPr="004458AE">
        <w:rPr>
          <w:rStyle w:val="sb8d990e2"/>
          <w:rFonts w:ascii="Arial" w:hAnsi="Arial" w:cs="Arial"/>
          <w:shd w:val="clear" w:color="auto" w:fill="FFFFFF"/>
        </w:rPr>
        <w:t>sprawa przekazana do Wielkiej Izby 4 listopada 2019 r</w:t>
      </w:r>
      <w:r w:rsidR="0084339B">
        <w:rPr>
          <w:rStyle w:val="sb8d990e2"/>
          <w:rFonts w:ascii="Arial" w:hAnsi="Arial" w:cs="Arial"/>
          <w:shd w:val="clear" w:color="auto" w:fill="FFFFFF"/>
        </w:rPr>
        <w:t xml:space="preserve">oku, </w:t>
      </w:r>
      <w:r w:rsidR="00896D52" w:rsidRPr="004458AE">
        <w:rPr>
          <w:rStyle w:val="sb8d990e2"/>
          <w:rFonts w:ascii="Arial" w:hAnsi="Arial" w:cs="Arial"/>
          <w:shd w:val="clear" w:color="auto" w:fill="FFFFFF"/>
        </w:rPr>
        <w:t xml:space="preserve">ostatnie posiedzenie </w:t>
      </w:r>
      <w:r w:rsidR="004A24FB" w:rsidRPr="004458AE">
        <w:rPr>
          <w:rStyle w:val="sb8d990e2"/>
          <w:rFonts w:ascii="Arial" w:hAnsi="Arial" w:cs="Arial"/>
          <w:shd w:val="clear" w:color="auto" w:fill="FFFFFF"/>
        </w:rPr>
        <w:t xml:space="preserve">Wielkiej Izby </w:t>
      </w:r>
      <w:r w:rsidR="00896D52" w:rsidRPr="004458AE">
        <w:rPr>
          <w:rStyle w:val="sb8d990e2"/>
          <w:rFonts w:ascii="Arial" w:hAnsi="Arial" w:cs="Arial"/>
          <w:shd w:val="clear" w:color="auto" w:fill="FFFFFF"/>
        </w:rPr>
        <w:t xml:space="preserve">17 </w:t>
      </w:r>
      <w:r w:rsidR="008555D2" w:rsidRPr="004458AE">
        <w:rPr>
          <w:rStyle w:val="sb8d990e2"/>
          <w:rFonts w:ascii="Arial" w:hAnsi="Arial" w:cs="Arial"/>
          <w:shd w:val="clear" w:color="auto" w:fill="FFFFFF"/>
        </w:rPr>
        <w:t>c</w:t>
      </w:r>
      <w:r w:rsidR="00896D52" w:rsidRPr="004458AE">
        <w:rPr>
          <w:rStyle w:val="sb8d990e2"/>
          <w:rFonts w:ascii="Arial" w:hAnsi="Arial" w:cs="Arial"/>
          <w:shd w:val="clear" w:color="auto" w:fill="FFFFFF"/>
        </w:rPr>
        <w:t xml:space="preserve">zerwca </w:t>
      </w:r>
      <w:r w:rsidR="008555D2" w:rsidRPr="004458AE">
        <w:rPr>
          <w:rStyle w:val="sb8d990e2"/>
          <w:rFonts w:ascii="Arial" w:hAnsi="Arial" w:cs="Arial"/>
          <w:shd w:val="clear" w:color="auto" w:fill="FFFFFF"/>
        </w:rPr>
        <w:t>20</w:t>
      </w:r>
      <w:r w:rsidR="004A24FB" w:rsidRPr="004458AE">
        <w:rPr>
          <w:rStyle w:val="sb8d990e2"/>
          <w:rFonts w:ascii="Arial" w:hAnsi="Arial" w:cs="Arial"/>
          <w:shd w:val="clear" w:color="auto" w:fill="FFFFFF"/>
        </w:rPr>
        <w:t>20 r</w:t>
      </w:r>
      <w:r w:rsidR="008714A5">
        <w:rPr>
          <w:rStyle w:val="sb8d990e2"/>
          <w:rFonts w:ascii="Arial" w:hAnsi="Arial" w:cs="Arial"/>
          <w:shd w:val="clear" w:color="auto" w:fill="FFFFFF"/>
        </w:rPr>
        <w:t>oku</w:t>
      </w:r>
      <w:r w:rsidR="004A24FB" w:rsidRPr="004458AE">
        <w:rPr>
          <w:rStyle w:val="sb8d990e2"/>
          <w:rFonts w:ascii="Arial" w:hAnsi="Arial" w:cs="Arial"/>
          <w:shd w:val="clear" w:color="auto" w:fill="FFFFFF"/>
        </w:rPr>
        <w:t xml:space="preserve"> – brak końcowego rozstrzygnięcia)</w:t>
      </w:r>
      <w:r w:rsidR="007D48C1" w:rsidRPr="004458AE">
        <w:rPr>
          <w:rStyle w:val="sb8d990e2"/>
          <w:rFonts w:ascii="Arial" w:hAnsi="Arial" w:cs="Arial"/>
          <w:color w:val="000000"/>
          <w:shd w:val="clear" w:color="auto" w:fill="FFFFFF"/>
        </w:rPr>
        <w:t>,</w:t>
      </w:r>
      <w:r w:rsidR="00F94DF8" w:rsidRPr="004458AE">
        <w:rPr>
          <w:rStyle w:val="sb8d990e2"/>
          <w:rFonts w:ascii="Arial" w:hAnsi="Arial" w:cs="Arial"/>
          <w:color w:val="000000"/>
          <w:shd w:val="clear" w:color="auto" w:fill="FFFFFF"/>
        </w:rPr>
        <w:t xml:space="preserve"> </w:t>
      </w:r>
      <w:r w:rsidR="007D48C1" w:rsidRPr="004458AE">
        <w:rPr>
          <w:rStyle w:val="sb8d990e2"/>
          <w:rFonts w:ascii="Arial" w:hAnsi="Arial" w:cs="Arial"/>
          <w:color w:val="000000"/>
          <w:shd w:val="clear" w:color="auto" w:fill="FFFFFF"/>
        </w:rPr>
        <w:t>która dotyczy zabójstwa dziewięcioletniego syna skarżącej przez jego ojca na terenie szkoły, której nie obejmował orzeczony zakaz przebywania w określonych miejscach.</w:t>
      </w:r>
    </w:p>
    <w:p w14:paraId="0F910050" w14:textId="09F75A95" w:rsidR="00F7748B" w:rsidRPr="004458AE" w:rsidRDefault="000B4FDC" w:rsidP="00A275F3">
      <w:pPr>
        <w:spacing w:before="120" w:after="0" w:line="360" w:lineRule="auto"/>
        <w:jc w:val="both"/>
        <w:rPr>
          <w:rFonts w:ascii="Arial" w:hAnsi="Arial" w:cs="Arial"/>
          <w:b/>
          <w:bCs/>
        </w:rPr>
      </w:pPr>
      <w:r w:rsidRPr="004458AE">
        <w:rPr>
          <w:rFonts w:ascii="Arial" w:hAnsi="Arial" w:cs="Arial"/>
          <w:b/>
          <w:bCs/>
        </w:rPr>
        <w:t>[</w:t>
      </w:r>
      <w:r w:rsidR="00F7748B" w:rsidRPr="004458AE">
        <w:rPr>
          <w:rFonts w:ascii="Arial" w:hAnsi="Arial" w:cs="Arial"/>
          <w:b/>
          <w:bCs/>
        </w:rPr>
        <w:t>Prawo do odszkodowania]</w:t>
      </w:r>
    </w:p>
    <w:p w14:paraId="0190AD16" w14:textId="4EE04EB2" w:rsidR="0077732A" w:rsidRPr="0077732A" w:rsidRDefault="00B843FC" w:rsidP="00A152DC">
      <w:pPr>
        <w:pStyle w:val="Tekstpodstawowy"/>
        <w:spacing w:line="360" w:lineRule="auto"/>
        <w:ind w:left="0"/>
        <w:rPr>
          <w:rFonts w:ascii="Arial" w:hAnsi="Arial" w:cs="Arial"/>
          <w:sz w:val="22"/>
          <w:szCs w:val="22"/>
        </w:rPr>
      </w:pPr>
      <w:r w:rsidRPr="004458AE">
        <w:rPr>
          <w:rFonts w:ascii="Arial" w:hAnsi="Arial" w:cs="Arial"/>
          <w:sz w:val="22"/>
          <w:szCs w:val="22"/>
        </w:rPr>
        <w:t>Z kolei w</w:t>
      </w:r>
      <w:r w:rsidR="00A4463D" w:rsidRPr="004458AE">
        <w:rPr>
          <w:rFonts w:ascii="Arial" w:hAnsi="Arial" w:cs="Arial"/>
          <w:sz w:val="22"/>
          <w:szCs w:val="22"/>
        </w:rPr>
        <w:t xml:space="preserve"> </w:t>
      </w:r>
      <w:r w:rsidR="008714A5">
        <w:rPr>
          <w:rFonts w:ascii="Arial" w:hAnsi="Arial" w:cs="Arial"/>
          <w:sz w:val="22"/>
          <w:szCs w:val="22"/>
        </w:rPr>
        <w:t>sprawie</w:t>
      </w:r>
      <w:r w:rsidR="00A4463D" w:rsidRPr="004458AE">
        <w:rPr>
          <w:rFonts w:ascii="Arial" w:hAnsi="Arial" w:cs="Arial"/>
          <w:sz w:val="22"/>
          <w:szCs w:val="22"/>
        </w:rPr>
        <w:t xml:space="preserve"> </w:t>
      </w:r>
      <w:hyperlink r:id="rId27">
        <w:r w:rsidR="007E0B9E" w:rsidRPr="004B25F1">
          <w:rPr>
            <w:rFonts w:ascii="Arial" w:hAnsi="Arial" w:cs="Arial"/>
            <w:b/>
            <w:bCs/>
            <w:i/>
            <w:iCs/>
            <w:sz w:val="22"/>
            <w:szCs w:val="22"/>
          </w:rPr>
          <w:t>D.M.D. p</w:t>
        </w:r>
        <w:r w:rsidR="004B25F1">
          <w:rPr>
            <w:rFonts w:ascii="Arial" w:hAnsi="Arial" w:cs="Arial"/>
            <w:b/>
            <w:bCs/>
            <w:i/>
            <w:iCs/>
          </w:rPr>
          <w:t>rzeciwko</w:t>
        </w:r>
        <w:r w:rsidR="00CC0891" w:rsidRPr="004B25F1">
          <w:rPr>
            <w:rFonts w:ascii="Arial" w:hAnsi="Arial" w:cs="Arial"/>
            <w:b/>
            <w:bCs/>
            <w:i/>
            <w:iCs/>
            <w:sz w:val="22"/>
            <w:szCs w:val="22"/>
          </w:rPr>
          <w:t xml:space="preserve"> </w:t>
        </w:r>
        <w:r w:rsidR="007E0B9E" w:rsidRPr="004B25F1">
          <w:rPr>
            <w:rFonts w:ascii="Arial" w:hAnsi="Arial" w:cs="Arial"/>
            <w:b/>
            <w:bCs/>
            <w:i/>
            <w:iCs/>
            <w:sz w:val="22"/>
            <w:szCs w:val="22"/>
          </w:rPr>
          <w:t>Rumunii</w:t>
        </w:r>
        <w:r w:rsidR="007E0B9E" w:rsidRPr="008714A5">
          <w:rPr>
            <w:rFonts w:ascii="Arial" w:hAnsi="Arial" w:cs="Arial"/>
            <w:i/>
            <w:iCs/>
            <w:sz w:val="22"/>
            <w:szCs w:val="22"/>
          </w:rPr>
          <w:t xml:space="preserve"> </w:t>
        </w:r>
        <w:r w:rsidR="007E0B9E" w:rsidRPr="008714A5">
          <w:rPr>
            <w:rFonts w:ascii="Arial" w:hAnsi="Arial" w:cs="Arial"/>
            <w:sz w:val="22"/>
            <w:szCs w:val="22"/>
          </w:rPr>
          <w:t>(</w:t>
        </w:r>
        <w:r w:rsidR="008714A5" w:rsidRPr="008714A5">
          <w:rPr>
            <w:rFonts w:ascii="Arial" w:hAnsi="Arial" w:cs="Arial"/>
            <w:sz w:val="22"/>
            <w:szCs w:val="22"/>
          </w:rPr>
          <w:t xml:space="preserve">wyrok z dnia 3 października 2017 roku, </w:t>
        </w:r>
        <w:r w:rsidRPr="008714A5">
          <w:rPr>
            <w:rFonts w:ascii="Arial" w:hAnsi="Arial" w:cs="Arial"/>
            <w:sz w:val="22"/>
            <w:szCs w:val="22"/>
          </w:rPr>
          <w:t xml:space="preserve">nr </w:t>
        </w:r>
        <w:r w:rsidR="007E0B9E" w:rsidRPr="008714A5">
          <w:rPr>
            <w:rFonts w:ascii="Arial" w:hAnsi="Arial" w:cs="Arial"/>
            <w:sz w:val="22"/>
            <w:szCs w:val="22"/>
          </w:rPr>
          <w:t>skarg</w:t>
        </w:r>
        <w:r w:rsidRPr="008714A5">
          <w:rPr>
            <w:rFonts w:ascii="Arial" w:hAnsi="Arial" w:cs="Arial"/>
            <w:sz w:val="22"/>
            <w:szCs w:val="22"/>
          </w:rPr>
          <w:t>i</w:t>
        </w:r>
        <w:r w:rsidR="007E0B9E" w:rsidRPr="008714A5">
          <w:rPr>
            <w:rFonts w:ascii="Arial" w:hAnsi="Arial" w:cs="Arial"/>
            <w:sz w:val="22"/>
            <w:szCs w:val="22"/>
          </w:rPr>
          <w:t> 23022/13)</w:t>
        </w:r>
      </w:hyperlink>
      <w:r w:rsidR="0077732A">
        <w:rPr>
          <w:rFonts w:ascii="Arial" w:hAnsi="Arial" w:cs="Arial"/>
          <w:b/>
          <w:bCs/>
        </w:rPr>
        <w:t>,</w:t>
      </w:r>
      <w:r w:rsidR="0077732A" w:rsidRPr="00A152DC">
        <w:rPr>
          <w:rFonts w:ascii="Arial" w:hAnsi="Arial" w:cs="Arial"/>
          <w:sz w:val="22"/>
          <w:szCs w:val="22"/>
        </w:rPr>
        <w:t xml:space="preserve"> </w:t>
      </w:r>
      <w:r w:rsidR="00A152DC" w:rsidRPr="00A152DC">
        <w:rPr>
          <w:rFonts w:ascii="Arial" w:hAnsi="Arial" w:cs="Arial"/>
          <w:sz w:val="22"/>
          <w:szCs w:val="22"/>
        </w:rPr>
        <w:t xml:space="preserve">która </w:t>
      </w:r>
      <w:r w:rsidR="00A152DC" w:rsidRPr="004458AE">
        <w:rPr>
          <w:rFonts w:ascii="Arial" w:hAnsi="Arial" w:cs="Arial"/>
          <w:sz w:val="22"/>
          <w:szCs w:val="22"/>
        </w:rPr>
        <w:t xml:space="preserve">dotyczyła </w:t>
      </w:r>
      <w:r w:rsidR="00A152DC">
        <w:rPr>
          <w:rFonts w:ascii="Arial" w:hAnsi="Arial" w:cs="Arial"/>
          <w:sz w:val="22"/>
          <w:szCs w:val="22"/>
        </w:rPr>
        <w:t xml:space="preserve">trwającego ponad 8 lat </w:t>
      </w:r>
      <w:r w:rsidR="00A152DC" w:rsidRPr="004458AE">
        <w:rPr>
          <w:rFonts w:ascii="Arial" w:hAnsi="Arial" w:cs="Arial"/>
          <w:sz w:val="22"/>
          <w:szCs w:val="22"/>
        </w:rPr>
        <w:t>postępowania wszczętego przez skarżącego przeciwko jego ojcu w związku z przemocą domową</w:t>
      </w:r>
      <w:r w:rsidR="008714A5">
        <w:rPr>
          <w:rFonts w:ascii="Arial" w:hAnsi="Arial" w:cs="Arial"/>
          <w:sz w:val="22"/>
          <w:szCs w:val="22"/>
        </w:rPr>
        <w:t>, p</w:t>
      </w:r>
      <w:r w:rsidR="00A152DC" w:rsidRPr="004458AE">
        <w:rPr>
          <w:rFonts w:ascii="Arial" w:hAnsi="Arial" w:cs="Arial"/>
          <w:sz w:val="22"/>
          <w:szCs w:val="22"/>
        </w:rPr>
        <w:t>ostępowanie</w:t>
      </w:r>
      <w:r w:rsidR="008714A5">
        <w:rPr>
          <w:rFonts w:ascii="Arial" w:hAnsi="Arial" w:cs="Arial"/>
          <w:sz w:val="22"/>
          <w:szCs w:val="22"/>
        </w:rPr>
        <w:t xml:space="preserve"> karne</w:t>
      </w:r>
      <w:r w:rsidR="00A152DC" w:rsidRPr="004458AE">
        <w:rPr>
          <w:rFonts w:ascii="Arial" w:hAnsi="Arial" w:cs="Arial"/>
          <w:sz w:val="22"/>
          <w:szCs w:val="22"/>
        </w:rPr>
        <w:t xml:space="preserve"> </w:t>
      </w:r>
      <w:r w:rsidR="00A152DC" w:rsidRPr="004458AE">
        <w:rPr>
          <w:rFonts w:ascii="Arial" w:hAnsi="Arial" w:cs="Arial"/>
          <w:sz w:val="22"/>
          <w:szCs w:val="22"/>
        </w:rPr>
        <w:lastRenderedPageBreak/>
        <w:t>zakończyło się skazaniem ojca za fizyczne i psychiczne znęcanie się nad dzieckiem. Skarżący zarzucił, że postępowanie to było nieskuteczne i że nie przyznano mu odszkodowania</w:t>
      </w:r>
      <w:r w:rsidR="008714A5">
        <w:rPr>
          <w:rFonts w:ascii="Arial" w:hAnsi="Arial" w:cs="Arial"/>
          <w:sz w:val="22"/>
          <w:szCs w:val="22"/>
        </w:rPr>
        <w:t xml:space="preserve"> - </w:t>
      </w:r>
      <w:r w:rsidR="00A152DC" w:rsidRPr="004458AE">
        <w:rPr>
          <w:rFonts w:ascii="Arial" w:hAnsi="Arial" w:cs="Arial"/>
          <w:sz w:val="22"/>
          <w:szCs w:val="22"/>
        </w:rPr>
        <w:t>sądy krajowe stwierdziły w ostatniej instancji, że rozpatrywanie kwestii odszkodowania nie było konieczne, ponieważ ani skarżący, ani prokurator nie wnieśli o to do sądów niższej instancji.</w:t>
      </w:r>
      <w:r w:rsidR="00A152DC">
        <w:rPr>
          <w:rFonts w:ascii="Arial" w:hAnsi="Arial" w:cs="Arial"/>
          <w:sz w:val="22"/>
          <w:szCs w:val="22"/>
        </w:rPr>
        <w:t xml:space="preserve"> </w:t>
      </w:r>
    </w:p>
    <w:p w14:paraId="7AAAB85B" w14:textId="63DDD9A6" w:rsidR="00DE1139" w:rsidRDefault="00B843FC" w:rsidP="00960209">
      <w:pPr>
        <w:spacing w:after="0" w:line="360" w:lineRule="auto"/>
        <w:jc w:val="both"/>
        <w:rPr>
          <w:rFonts w:ascii="Arial" w:hAnsi="Arial" w:cs="Arial"/>
        </w:rPr>
      </w:pPr>
      <w:r w:rsidRPr="004458AE">
        <w:rPr>
          <w:rFonts w:ascii="Arial" w:hAnsi="Arial" w:cs="Arial"/>
        </w:rPr>
        <w:t xml:space="preserve">Trybunał uznał, że </w:t>
      </w:r>
      <w:r w:rsidR="00A4463D" w:rsidRPr="004458AE">
        <w:rPr>
          <w:rFonts w:ascii="Arial" w:hAnsi="Arial" w:cs="Arial"/>
          <w:b/>
          <w:bCs/>
        </w:rPr>
        <w:t xml:space="preserve">każda ofiara przemocy domowej </w:t>
      </w:r>
      <w:r w:rsidR="00A2578C" w:rsidRPr="004458AE">
        <w:rPr>
          <w:rFonts w:ascii="Arial" w:hAnsi="Arial" w:cs="Arial"/>
          <w:b/>
          <w:bCs/>
        </w:rPr>
        <w:t>jako ofiara nieludzkiego lub poniżającego traktowania</w:t>
      </w:r>
      <w:r w:rsidR="00A2578C" w:rsidRPr="004458AE">
        <w:rPr>
          <w:rFonts w:ascii="Arial" w:hAnsi="Arial" w:cs="Arial"/>
        </w:rPr>
        <w:t xml:space="preserve"> </w:t>
      </w:r>
      <w:r w:rsidR="00A4463D" w:rsidRPr="004458AE">
        <w:rPr>
          <w:rFonts w:ascii="Arial" w:hAnsi="Arial" w:cs="Arial"/>
          <w:b/>
          <w:bCs/>
        </w:rPr>
        <w:t xml:space="preserve">ma </w:t>
      </w:r>
      <w:r w:rsidR="00A4463D" w:rsidRPr="003B3DD3">
        <w:rPr>
          <w:rFonts w:ascii="Arial" w:hAnsi="Arial" w:cs="Arial"/>
          <w:b/>
          <w:bCs/>
        </w:rPr>
        <w:t xml:space="preserve">prawo nie tylko do szybkiej reakcji ze strony organów władzy państwowej na położenie, w jakim się znalazła, ale ma również </w:t>
      </w:r>
      <w:r w:rsidR="00A4463D" w:rsidRPr="004458AE">
        <w:rPr>
          <w:rFonts w:ascii="Arial" w:hAnsi="Arial" w:cs="Arial"/>
          <w:b/>
          <w:bCs/>
        </w:rPr>
        <w:t>prawo do odszkodowania</w:t>
      </w:r>
      <w:r w:rsidR="003B3DD3">
        <w:rPr>
          <w:rFonts w:ascii="Arial" w:hAnsi="Arial" w:cs="Arial"/>
          <w:b/>
          <w:bCs/>
        </w:rPr>
        <w:t xml:space="preserve">. </w:t>
      </w:r>
      <w:r w:rsidR="00A4463D" w:rsidRPr="004458AE">
        <w:rPr>
          <w:rFonts w:ascii="Arial" w:hAnsi="Arial" w:cs="Arial"/>
        </w:rPr>
        <w:t>W świetle tego wyroku można wskazać dwa rodzaje roszczeń odszkodowawczych, które będą przysługiwać osobie pokrzywdzonej przemocą domową</w:t>
      </w:r>
      <w:r w:rsidR="00E65BB6" w:rsidRPr="004458AE">
        <w:rPr>
          <w:rFonts w:ascii="Arial" w:hAnsi="Arial" w:cs="Arial"/>
        </w:rPr>
        <w:t>: p</w:t>
      </w:r>
      <w:r w:rsidR="00A4463D" w:rsidRPr="004458AE">
        <w:rPr>
          <w:rFonts w:ascii="Arial" w:hAnsi="Arial" w:cs="Arial"/>
        </w:rPr>
        <w:t>ierwsze - bezpośrednio do sprawcy aktu przemocy, który naruszył godność ofiary</w:t>
      </w:r>
      <w:r w:rsidR="00E65BB6" w:rsidRPr="004458AE">
        <w:rPr>
          <w:rFonts w:ascii="Arial" w:hAnsi="Arial" w:cs="Arial"/>
        </w:rPr>
        <w:t xml:space="preserve">, natomiast drugie </w:t>
      </w:r>
      <w:r w:rsidR="00A4463D" w:rsidRPr="004458AE">
        <w:rPr>
          <w:rFonts w:ascii="Arial" w:hAnsi="Arial" w:cs="Arial"/>
        </w:rPr>
        <w:t xml:space="preserve">będzie roszczeniem, które materializuje się w przypadku przewlekłego i nieskutecznego działania organów władzy, zobowiązanych do aktywnej ochrony ofiarom przemocy. </w:t>
      </w:r>
      <w:r w:rsidR="00E65BB6" w:rsidRPr="004458AE">
        <w:rPr>
          <w:rFonts w:ascii="Arial" w:hAnsi="Arial" w:cs="Arial"/>
        </w:rPr>
        <w:t>Przewlekłoś</w:t>
      </w:r>
      <w:r w:rsidR="00A4463D" w:rsidRPr="004458AE">
        <w:rPr>
          <w:rFonts w:ascii="Arial" w:hAnsi="Arial" w:cs="Arial"/>
        </w:rPr>
        <w:t xml:space="preserve">ć i nieskuteczność </w:t>
      </w:r>
      <w:r w:rsidR="00E65BB6" w:rsidRPr="004458AE">
        <w:rPr>
          <w:rFonts w:ascii="Arial" w:hAnsi="Arial" w:cs="Arial"/>
        </w:rPr>
        <w:t xml:space="preserve">działań podejmowanych przez Państwo </w:t>
      </w:r>
      <w:r w:rsidR="00A4463D" w:rsidRPr="004458AE">
        <w:rPr>
          <w:rFonts w:ascii="Arial" w:hAnsi="Arial" w:cs="Arial"/>
        </w:rPr>
        <w:t>również może stanowić podstawę do przyznania zadośćuczynienia za dodatkowe cierpnie, które stało się udziałem ofiary przemocy domowej w związku z przedłużeniem jej trudnego położenia. Zdaniem Trybunału wieloletnie oczekiwanie na skuteczną reakcję organów ścigania i wymiaru sprawiedliwości na akt przemocy domowej samo w sobie stanowi skazanie ofiary na dodatkowe nieludzkie i poniżające traktowanie, za które może ona żądać zadośćuczynienia wobec naruszenia jej praw z art. 3 (lub art. 8) Konwencji.</w:t>
      </w:r>
      <w:r w:rsidR="00A2578C" w:rsidRPr="004458AE">
        <w:rPr>
          <w:rFonts w:ascii="Arial" w:hAnsi="Arial" w:cs="Arial"/>
        </w:rPr>
        <w:t xml:space="preserve"> </w:t>
      </w:r>
    </w:p>
    <w:p w14:paraId="21BEBE3E" w14:textId="026F82FC" w:rsidR="007777FB" w:rsidRPr="00DE1139" w:rsidRDefault="00DE1139" w:rsidP="00960209">
      <w:pPr>
        <w:spacing w:after="0" w:line="360" w:lineRule="auto"/>
        <w:jc w:val="both"/>
        <w:rPr>
          <w:rFonts w:ascii="Arial" w:hAnsi="Arial" w:cs="Arial"/>
        </w:rPr>
      </w:pPr>
      <w:r w:rsidRPr="00DE1139">
        <w:rPr>
          <w:rFonts w:ascii="Arial" w:hAnsi="Arial" w:cs="Arial"/>
        </w:rPr>
        <w:t xml:space="preserve">Trybunał orzekł, że doszło do </w:t>
      </w:r>
      <w:r w:rsidRPr="00DE1139">
        <w:rPr>
          <w:rFonts w:ascii="Arial" w:hAnsi="Arial" w:cs="Arial"/>
          <w:b/>
        </w:rPr>
        <w:t>naruszenia art. 3</w:t>
      </w:r>
      <w:r w:rsidRPr="00DE1139">
        <w:rPr>
          <w:rFonts w:ascii="Arial" w:hAnsi="Arial" w:cs="Arial"/>
        </w:rPr>
        <w:t xml:space="preserve"> (zakaz nieludzkiego lub poniżającego traktowania) Konwencji, ponieważ śledztwo w sprawie zarzutów dotyczących znęcania trwało zbyt długo i było obarczone innymi poważnymi uchybieniami.</w:t>
      </w:r>
      <w:r>
        <w:rPr>
          <w:rFonts w:ascii="Arial" w:hAnsi="Arial" w:cs="Arial"/>
        </w:rPr>
        <w:t xml:space="preserve"> </w:t>
      </w:r>
    </w:p>
    <w:p w14:paraId="10E2CCA9" w14:textId="524A370B" w:rsidR="003B3DD3" w:rsidRPr="004458AE" w:rsidRDefault="00DE1139" w:rsidP="00DE1139">
      <w:pPr>
        <w:spacing w:line="360" w:lineRule="auto"/>
        <w:jc w:val="both"/>
        <w:rPr>
          <w:rFonts w:ascii="Arial" w:hAnsi="Arial" w:cs="Arial"/>
          <w:color w:val="0071BB"/>
        </w:rPr>
      </w:pPr>
      <w:r>
        <w:rPr>
          <w:rFonts w:ascii="Arial" w:hAnsi="Arial" w:cs="Arial"/>
        </w:rPr>
        <w:t>Równocześnie, p</w:t>
      </w:r>
      <w:r w:rsidR="00774B6C" w:rsidRPr="004458AE">
        <w:rPr>
          <w:rFonts w:ascii="Arial" w:hAnsi="Arial" w:cs="Arial"/>
        </w:rPr>
        <w:t>onieważ sądy krajowe nie zbadały zasadności wniosku skarżącego dotyczącego nieprzyznania mu odszkodowania,</w:t>
      </w:r>
      <w:r>
        <w:rPr>
          <w:rFonts w:ascii="Arial" w:hAnsi="Arial" w:cs="Arial"/>
        </w:rPr>
        <w:t xml:space="preserve"> </w:t>
      </w:r>
      <w:r w:rsidRPr="00DE1139">
        <w:rPr>
          <w:rFonts w:ascii="Arial" w:hAnsi="Arial" w:cs="Arial"/>
        </w:rPr>
        <w:t>pomimo że w prawie krajowym jasno sformułowano, że są one zobowiązane do orzekania w kwestii odszkodowania w sprawie dotyczącej małoletniego, nawet w braku formalnego wniosku ofiary</w:t>
      </w:r>
      <w:r>
        <w:rPr>
          <w:rFonts w:ascii="Arial" w:hAnsi="Arial" w:cs="Arial"/>
        </w:rPr>
        <w:t xml:space="preserve">, </w:t>
      </w:r>
      <w:r w:rsidR="00774B6C" w:rsidRPr="004458AE">
        <w:rPr>
          <w:rFonts w:ascii="Arial" w:hAnsi="Arial" w:cs="Arial"/>
        </w:rPr>
        <w:t xml:space="preserve"> Trybunał orzekł również, że doszło do </w:t>
      </w:r>
      <w:r w:rsidR="00774B6C" w:rsidRPr="004458AE">
        <w:rPr>
          <w:rFonts w:ascii="Arial" w:hAnsi="Arial" w:cs="Arial"/>
          <w:b/>
        </w:rPr>
        <w:t>naruszenia art. 6 ust. 1</w:t>
      </w:r>
      <w:r w:rsidR="00774B6C" w:rsidRPr="004458AE">
        <w:rPr>
          <w:rFonts w:ascii="Arial" w:hAnsi="Arial" w:cs="Arial"/>
        </w:rPr>
        <w:t xml:space="preserve"> (prawo do rzetelnego procesu sądowego).</w:t>
      </w:r>
    </w:p>
    <w:p w14:paraId="1D1642FA" w14:textId="353B4D75" w:rsidR="00C310D9" w:rsidRDefault="00D705A7" w:rsidP="003C482F">
      <w:pPr>
        <w:spacing w:line="360" w:lineRule="auto"/>
        <w:jc w:val="both"/>
        <w:rPr>
          <w:rFonts w:ascii="Arial" w:hAnsi="Arial" w:cs="Arial"/>
          <w:bCs/>
        </w:rPr>
      </w:pPr>
      <w:r>
        <w:rPr>
          <w:rFonts w:ascii="Arial" w:hAnsi="Arial" w:cs="Arial"/>
        </w:rPr>
        <w:t xml:space="preserve">Z kolei w </w:t>
      </w:r>
      <w:r w:rsidRPr="004458AE">
        <w:rPr>
          <w:rFonts w:ascii="Arial" w:hAnsi="Arial" w:cs="Arial"/>
          <w:bCs/>
        </w:rPr>
        <w:t>wyroku z 31 maja 2007 r</w:t>
      </w:r>
      <w:r w:rsidR="008714A5">
        <w:rPr>
          <w:rFonts w:ascii="Arial" w:hAnsi="Arial" w:cs="Arial"/>
          <w:bCs/>
        </w:rPr>
        <w:t>oku</w:t>
      </w:r>
      <w:r w:rsidRPr="004458AE">
        <w:rPr>
          <w:rFonts w:ascii="Arial" w:hAnsi="Arial" w:cs="Arial"/>
          <w:bCs/>
        </w:rPr>
        <w:t xml:space="preserve"> w </w:t>
      </w:r>
      <w:r w:rsidRPr="004458AE">
        <w:rPr>
          <w:rFonts w:ascii="Arial" w:hAnsi="Arial" w:cs="Arial"/>
        </w:rPr>
        <w:t xml:space="preserve">sprawie </w:t>
      </w:r>
      <w:r w:rsidRPr="004458AE">
        <w:rPr>
          <w:rFonts w:ascii="Arial" w:hAnsi="Arial" w:cs="Arial"/>
          <w:b/>
          <w:i/>
          <w:iCs/>
        </w:rPr>
        <w:t xml:space="preserve">Kontrovà przeciwko Słowacji </w:t>
      </w:r>
      <w:r w:rsidRPr="003245AC">
        <w:rPr>
          <w:rFonts w:ascii="Arial" w:hAnsi="Arial" w:cs="Arial"/>
          <w:bCs/>
          <w:iCs/>
        </w:rPr>
        <w:t>(nr skargi 7510/04)</w:t>
      </w:r>
      <w:r w:rsidRPr="003245AC">
        <w:rPr>
          <w:rFonts w:ascii="Arial" w:hAnsi="Arial" w:cs="Arial"/>
          <w:bCs/>
        </w:rPr>
        <w:t xml:space="preserve"> – omówionym poniżej również w kontekście zaniechania przez organy ścigania</w:t>
      </w:r>
      <w:r w:rsidRPr="00D705A7">
        <w:rPr>
          <w:rFonts w:ascii="Arial" w:hAnsi="Arial" w:cs="Arial"/>
          <w:bCs/>
        </w:rPr>
        <w:t xml:space="preserve"> wystarczających działań w celu ochrony ofiar przed przemocą domową, niedopełnienie obowiązku ochrony życia</w:t>
      </w:r>
      <w:r>
        <w:rPr>
          <w:rFonts w:ascii="Arial" w:hAnsi="Arial" w:cs="Arial"/>
          <w:bCs/>
        </w:rPr>
        <w:t xml:space="preserve"> - </w:t>
      </w:r>
      <w:r w:rsidRPr="004458AE">
        <w:rPr>
          <w:rFonts w:ascii="Arial" w:hAnsi="Arial" w:cs="Arial"/>
        </w:rPr>
        <w:t xml:space="preserve">Trybunał </w:t>
      </w:r>
      <w:r w:rsidRPr="004458AE">
        <w:rPr>
          <w:rFonts w:ascii="Arial" w:hAnsi="Arial" w:cs="Arial"/>
          <w:bCs/>
        </w:rPr>
        <w:t xml:space="preserve">orzekł, że </w:t>
      </w:r>
      <w:r w:rsidRPr="004458AE">
        <w:rPr>
          <w:rFonts w:ascii="Arial" w:hAnsi="Arial" w:cs="Arial"/>
          <w:b/>
        </w:rPr>
        <w:t xml:space="preserve">doszło do naruszenia art. 13 </w:t>
      </w:r>
      <w:r w:rsidRPr="004458AE">
        <w:rPr>
          <w:rFonts w:ascii="Arial" w:hAnsi="Arial" w:cs="Arial"/>
          <w:bCs/>
        </w:rPr>
        <w:t xml:space="preserve">(prawo do skutecznego środka odwoławczego) Konwencji, </w:t>
      </w:r>
      <w:r w:rsidRPr="004458AE">
        <w:rPr>
          <w:rFonts w:ascii="Arial" w:hAnsi="Arial" w:cs="Arial"/>
          <w:b/>
        </w:rPr>
        <w:t>ponieważ skarżąca (matka) nie miała możliwości dochodzenia na szczeblu krajowym stosownego odszkodowania za szkodę niemajątkową</w:t>
      </w:r>
      <w:r w:rsidRPr="004458AE">
        <w:rPr>
          <w:rFonts w:ascii="Arial" w:hAnsi="Arial" w:cs="Arial"/>
          <w:bCs/>
        </w:rPr>
        <w:t xml:space="preserve">. </w:t>
      </w:r>
    </w:p>
    <w:p w14:paraId="059281EF" w14:textId="608F6CD6" w:rsidR="003C482F" w:rsidRDefault="003C482F" w:rsidP="003C482F">
      <w:pPr>
        <w:spacing w:line="360" w:lineRule="auto"/>
        <w:jc w:val="both"/>
        <w:rPr>
          <w:rFonts w:ascii="Arial" w:hAnsi="Arial" w:cs="Arial"/>
          <w:bCs/>
        </w:rPr>
      </w:pPr>
    </w:p>
    <w:p w14:paraId="04EF011B" w14:textId="1E0D20A6" w:rsidR="00817035" w:rsidRDefault="004C524B" w:rsidP="002175F0">
      <w:pPr>
        <w:spacing w:before="240" w:line="360" w:lineRule="auto"/>
        <w:jc w:val="both"/>
        <w:rPr>
          <w:rFonts w:ascii="Arial" w:hAnsi="Arial" w:cs="Arial"/>
          <w:b/>
          <w:bCs/>
        </w:rPr>
      </w:pPr>
      <w:r w:rsidRPr="004458AE">
        <w:rPr>
          <w:rFonts w:ascii="Arial" w:hAnsi="Arial" w:cs="Arial"/>
          <w:b/>
        </w:rPr>
        <w:lastRenderedPageBreak/>
        <w:t xml:space="preserve">Wybrane orzeczenia Trybunału </w:t>
      </w:r>
      <w:r w:rsidR="00F746D1" w:rsidRPr="004458AE">
        <w:rPr>
          <w:rFonts w:ascii="Arial" w:hAnsi="Arial" w:cs="Arial"/>
          <w:b/>
        </w:rPr>
        <w:t xml:space="preserve">dotyczących odpowiedzialności państw </w:t>
      </w:r>
      <w:r w:rsidRPr="004458AE">
        <w:rPr>
          <w:rFonts w:ascii="Arial" w:hAnsi="Arial" w:cs="Arial"/>
          <w:b/>
        </w:rPr>
        <w:t xml:space="preserve">w </w:t>
      </w:r>
      <w:r w:rsidR="00F746D1" w:rsidRPr="004458AE">
        <w:rPr>
          <w:rFonts w:ascii="Arial" w:hAnsi="Arial" w:cs="Arial"/>
          <w:b/>
        </w:rPr>
        <w:t xml:space="preserve">związku </w:t>
      </w:r>
      <w:r w:rsidR="00F746D1" w:rsidRPr="004458AE">
        <w:rPr>
          <w:rFonts w:ascii="Arial" w:hAnsi="Arial" w:cs="Arial"/>
          <w:b/>
        </w:rPr>
        <w:br/>
        <w:t xml:space="preserve">z naruszeniem praw konwencyjnych w </w:t>
      </w:r>
      <w:r w:rsidRPr="004458AE">
        <w:rPr>
          <w:rFonts w:ascii="Arial" w:hAnsi="Arial" w:cs="Arial"/>
          <w:b/>
        </w:rPr>
        <w:t>spraw</w:t>
      </w:r>
      <w:r w:rsidR="00F746D1" w:rsidRPr="004458AE">
        <w:rPr>
          <w:rFonts w:ascii="Arial" w:hAnsi="Arial" w:cs="Arial"/>
          <w:b/>
        </w:rPr>
        <w:t>ach</w:t>
      </w:r>
      <w:r w:rsidRPr="004458AE">
        <w:rPr>
          <w:rFonts w:ascii="Arial" w:hAnsi="Arial" w:cs="Arial"/>
          <w:b/>
        </w:rPr>
        <w:t xml:space="preserve"> </w:t>
      </w:r>
      <w:r w:rsidR="00F746D1" w:rsidRPr="004458AE">
        <w:rPr>
          <w:rFonts w:ascii="Arial" w:hAnsi="Arial" w:cs="Arial"/>
          <w:b/>
        </w:rPr>
        <w:t xml:space="preserve">dotyczących </w:t>
      </w:r>
      <w:r w:rsidRPr="004458AE">
        <w:rPr>
          <w:rFonts w:ascii="Arial" w:hAnsi="Arial" w:cs="Arial"/>
          <w:b/>
        </w:rPr>
        <w:t xml:space="preserve">przemocy domowej. </w:t>
      </w:r>
    </w:p>
    <w:p w14:paraId="57F2B3FA" w14:textId="43CF5B51" w:rsidR="00C64B64" w:rsidRPr="004458AE" w:rsidRDefault="00C64B64" w:rsidP="008978CD">
      <w:pPr>
        <w:spacing w:line="360" w:lineRule="auto"/>
        <w:jc w:val="both"/>
        <w:rPr>
          <w:rFonts w:ascii="Arial" w:hAnsi="Arial" w:cs="Arial"/>
          <w:b/>
          <w:bCs/>
        </w:rPr>
      </w:pPr>
      <w:r w:rsidRPr="004458AE">
        <w:rPr>
          <w:rFonts w:ascii="Arial" w:hAnsi="Arial" w:cs="Arial"/>
          <w:b/>
          <w:bCs/>
        </w:rPr>
        <w:t>[Naruszenie obowiązków pozytywnych przez państwo</w:t>
      </w:r>
      <w:r w:rsidR="003C482F">
        <w:rPr>
          <w:rFonts w:ascii="Arial" w:hAnsi="Arial" w:cs="Arial"/>
          <w:b/>
          <w:bCs/>
        </w:rPr>
        <w:t xml:space="preserve">] </w:t>
      </w:r>
    </w:p>
    <w:p w14:paraId="687D2C96" w14:textId="1FF5567E" w:rsidR="008978CD" w:rsidRDefault="00B22766" w:rsidP="008978CD">
      <w:pPr>
        <w:spacing w:line="360" w:lineRule="auto"/>
        <w:jc w:val="both"/>
        <w:rPr>
          <w:rFonts w:ascii="Arial" w:hAnsi="Arial" w:cs="Arial"/>
        </w:rPr>
      </w:pPr>
      <w:r w:rsidRPr="004458AE">
        <w:rPr>
          <w:rFonts w:ascii="Arial" w:hAnsi="Arial" w:cs="Arial"/>
          <w:b/>
          <w:bCs/>
        </w:rPr>
        <w:t xml:space="preserve">Przełomowym orzeczeniem w kwestii naruszenia obowiązków pozytywnych przez państwo </w:t>
      </w:r>
      <w:r w:rsidRPr="004458AE">
        <w:rPr>
          <w:rFonts w:ascii="Arial" w:hAnsi="Arial" w:cs="Arial"/>
        </w:rPr>
        <w:t xml:space="preserve">w związku z brakiem skutecznej ochrony przed przemocą domową był wyrok </w:t>
      </w:r>
      <w:r w:rsidRPr="004458AE">
        <w:rPr>
          <w:rFonts w:ascii="Arial" w:hAnsi="Arial" w:cs="Arial"/>
        </w:rPr>
        <w:br/>
      </w:r>
      <w:r w:rsidRPr="004458AE">
        <w:rPr>
          <w:rFonts w:ascii="Arial" w:hAnsi="Arial" w:cs="Arial"/>
          <w:b/>
          <w:bCs/>
          <w:i/>
          <w:iCs/>
        </w:rPr>
        <w:t>A. przeciwko Wielkiej Brytanii</w:t>
      </w:r>
      <w:r w:rsidRPr="004458AE">
        <w:rPr>
          <w:rFonts w:ascii="Arial" w:hAnsi="Arial" w:cs="Arial"/>
          <w:b/>
          <w:bCs/>
        </w:rPr>
        <w:t xml:space="preserve"> </w:t>
      </w:r>
      <w:r w:rsidRPr="00F97FC3">
        <w:rPr>
          <w:rFonts w:ascii="Arial" w:hAnsi="Arial" w:cs="Arial"/>
        </w:rPr>
        <w:t>(</w:t>
      </w:r>
      <w:r w:rsidRPr="003245AC">
        <w:rPr>
          <w:rFonts w:ascii="Arial" w:hAnsi="Arial" w:cs="Arial"/>
          <w:b/>
          <w:bCs/>
        </w:rPr>
        <w:t>wyrok z 23 września 1998 r</w:t>
      </w:r>
      <w:r w:rsidR="00F97FC3" w:rsidRPr="003245AC">
        <w:rPr>
          <w:rFonts w:ascii="Arial" w:hAnsi="Arial" w:cs="Arial"/>
          <w:b/>
          <w:bCs/>
        </w:rPr>
        <w:t>oku</w:t>
      </w:r>
      <w:r w:rsidRPr="00F97FC3">
        <w:rPr>
          <w:rFonts w:ascii="Arial" w:hAnsi="Arial" w:cs="Arial"/>
        </w:rPr>
        <w:t>, nr skargi 25599/94).</w:t>
      </w:r>
      <w:r w:rsidRPr="004458AE">
        <w:rPr>
          <w:rFonts w:ascii="Arial" w:hAnsi="Arial" w:cs="Arial"/>
        </w:rPr>
        <w:t xml:space="preserve"> W tej sprawie pomimo prowadzonych </w:t>
      </w:r>
      <w:r w:rsidR="00F97FC3">
        <w:rPr>
          <w:rFonts w:ascii="Arial" w:hAnsi="Arial" w:cs="Arial"/>
        </w:rPr>
        <w:t>postępowań</w:t>
      </w:r>
      <w:r w:rsidRPr="004458AE">
        <w:rPr>
          <w:rFonts w:ascii="Arial" w:hAnsi="Arial" w:cs="Arial"/>
        </w:rPr>
        <w:t xml:space="preserve">, dziewięcioletniemu chłopcu nie zapewniono ochrony przed biciem ze strony ojczyma, którego nie pociągnięto do odpowiedzialności. Trybunał stwierdził, że niezapewnienie dziewięcioletniemu chłopcu przez państwo odpowiedniej ochrony przed torturami, nieludzkim, poniżającym traktowaniem i karaniem ze strony ojczyma stanowiło naruszenie art. 3 Konwencji. Obowiązek państw do zapewnienia każdej osobie, pozostającej w granicach ich jurysdykcji, praw i wolności wymaga podjęcia kroków zapewniających tym osobom ochronę przed torturami. Państwo ma obowiązek zapewnienia ochrony niezależnie od tego, kto jest sprawcą zamachów. W omawianym orzeczeniu Trybunał podkreślił, że obowiązek zapewnienia każdej osobie znajdującej się w jurysdykcji państwa – strony Konwencji wynikających z niej praw i wolności, w związku </w:t>
      </w:r>
      <w:r w:rsidRPr="00F97FC3">
        <w:rPr>
          <w:rFonts w:ascii="Arial" w:hAnsi="Arial" w:cs="Arial"/>
        </w:rPr>
        <w:t>z art. 3 Konwencji</w:t>
      </w:r>
      <w:r w:rsidRPr="004458AE">
        <w:rPr>
          <w:rFonts w:ascii="Arial" w:hAnsi="Arial" w:cs="Arial"/>
          <w:b/>
          <w:bCs/>
        </w:rPr>
        <w:t>, obliguje państwa do przedsięwzięcia środków, mających na celu zapewnienie, że jednostki, znajdujące się w ich jurysdykcji, nie są poddawane torturom, nieludzkiemu, czy też poniżającemu traktowaniu lub karaniu, w tym również ze strony innych jednostek</w:t>
      </w:r>
      <w:r w:rsidRPr="004458AE">
        <w:rPr>
          <w:rFonts w:ascii="Arial" w:hAnsi="Arial" w:cs="Arial"/>
        </w:rPr>
        <w:t>.</w:t>
      </w:r>
    </w:p>
    <w:p w14:paraId="03F32EE3" w14:textId="2BEED70D" w:rsidR="008978CD" w:rsidRPr="008978CD" w:rsidRDefault="008978CD" w:rsidP="008978CD">
      <w:pPr>
        <w:spacing w:line="360" w:lineRule="auto"/>
        <w:jc w:val="both"/>
        <w:rPr>
          <w:rFonts w:ascii="Arial" w:hAnsi="Arial" w:cs="Arial"/>
        </w:rPr>
      </w:pPr>
      <w:r>
        <w:rPr>
          <w:rFonts w:ascii="Arial" w:hAnsi="Arial" w:cs="Arial"/>
          <w:b/>
          <w:bCs/>
        </w:rPr>
        <w:t>[P</w:t>
      </w:r>
      <w:r w:rsidRPr="004458AE">
        <w:rPr>
          <w:rFonts w:ascii="Arial" w:hAnsi="Arial" w:cs="Arial"/>
          <w:b/>
          <w:bCs/>
        </w:rPr>
        <w:t>o</w:t>
      </w:r>
      <w:r w:rsidRPr="004458AE">
        <w:rPr>
          <w:rFonts w:ascii="Arial" w:hAnsi="Arial" w:cs="Arial"/>
          <w:b/>
        </w:rPr>
        <w:t>błażliwość władz krajowych wobec przemocy domowej traktowanej jako sprawa prywatna, brak jej kryminalizacji oraz instrumentów służących ochronie ofiar przemocy, przemoc oparta na kryterium płci</w:t>
      </w:r>
      <w:r w:rsidRPr="004458AE">
        <w:rPr>
          <w:rStyle w:val="sb8d990e2"/>
          <w:rFonts w:ascii="Arial" w:eastAsia="Verdana" w:hAnsi="Arial" w:cs="Arial"/>
          <w:b/>
          <w:bCs/>
          <w:color w:val="000000"/>
        </w:rPr>
        <w:t xml:space="preserve">, prawo ofiar do ochrony i umieszczenia </w:t>
      </w:r>
      <w:r w:rsidRPr="004458AE">
        <w:rPr>
          <w:rStyle w:val="sb8d990e2"/>
          <w:rFonts w:ascii="Arial" w:eastAsia="Verdana" w:hAnsi="Arial" w:cs="Arial"/>
          <w:b/>
          <w:bCs/>
          <w:color w:val="000000"/>
        </w:rPr>
        <w:br/>
        <w:t>w bezpiecznym miejscu, niezachowanie wymogu rozsądnej szybkości i staranności postępowania</w:t>
      </w:r>
      <w:r w:rsidRPr="004458AE">
        <w:rPr>
          <w:rFonts w:ascii="Arial" w:hAnsi="Arial" w:cs="Arial"/>
          <w:b/>
        </w:rPr>
        <w:t xml:space="preserve">] </w:t>
      </w:r>
    </w:p>
    <w:p w14:paraId="299C85E2" w14:textId="0283D093" w:rsidR="00F442AE" w:rsidRDefault="003C482F" w:rsidP="00F442AE">
      <w:pPr>
        <w:pStyle w:val="Nagwek2"/>
        <w:spacing w:before="91" w:after="240" w:line="360" w:lineRule="auto"/>
        <w:ind w:left="0"/>
        <w:rPr>
          <w:rFonts w:ascii="Arial" w:hAnsi="Arial" w:cs="Arial"/>
          <w:b w:val="0"/>
          <w:sz w:val="22"/>
          <w:szCs w:val="22"/>
          <w:u w:val="none"/>
        </w:rPr>
      </w:pPr>
      <w:r w:rsidRPr="004458AE">
        <w:rPr>
          <w:rFonts w:ascii="Arial" w:hAnsi="Arial" w:cs="Arial"/>
          <w:b w:val="0"/>
          <w:bCs w:val="0"/>
          <w:sz w:val="22"/>
          <w:szCs w:val="22"/>
          <w:u w:val="none"/>
        </w:rPr>
        <w:t xml:space="preserve">Szczególnie istotnym rozstrzygnięciem Trybunału </w:t>
      </w:r>
      <w:r w:rsidR="008978CD">
        <w:rPr>
          <w:rFonts w:ascii="Arial" w:hAnsi="Arial" w:cs="Arial"/>
          <w:b w:val="0"/>
          <w:bCs w:val="0"/>
          <w:sz w:val="22"/>
          <w:szCs w:val="22"/>
          <w:u w:val="none"/>
        </w:rPr>
        <w:t xml:space="preserve">budującym standardy postępowania </w:t>
      </w:r>
      <w:r w:rsidR="008978CD">
        <w:rPr>
          <w:rFonts w:ascii="Arial" w:hAnsi="Arial" w:cs="Arial"/>
          <w:b w:val="0"/>
          <w:bCs w:val="0"/>
          <w:sz w:val="22"/>
          <w:szCs w:val="22"/>
          <w:u w:val="none"/>
        </w:rPr>
        <w:br/>
        <w:t xml:space="preserve">w sprawach dotyczących przemocy domowej w ramach koncepcji pozytywnych obowiązków państwa </w:t>
      </w:r>
      <w:r w:rsidRPr="004458AE">
        <w:rPr>
          <w:rFonts w:ascii="Arial" w:hAnsi="Arial" w:cs="Arial"/>
          <w:b w:val="0"/>
          <w:bCs w:val="0"/>
          <w:sz w:val="22"/>
          <w:szCs w:val="22"/>
          <w:u w:val="none"/>
        </w:rPr>
        <w:t>(z</w:t>
      </w:r>
      <w:r w:rsidRPr="004458AE">
        <w:rPr>
          <w:rStyle w:val="sb8d990e2"/>
          <w:rFonts w:ascii="Arial" w:hAnsi="Arial" w:cs="Arial"/>
          <w:b w:val="0"/>
          <w:bCs w:val="0"/>
          <w:color w:val="000000"/>
          <w:sz w:val="22"/>
          <w:szCs w:val="22"/>
          <w:u w:val="none"/>
        </w:rPr>
        <w:t xml:space="preserve">asady orzecznictwa dotyczącego przemocy domowej określone w tej sprawie Trybunał wielokrotnie przypomina w kolejnych orzeczeniach) </w:t>
      </w:r>
      <w:r w:rsidRPr="004458AE">
        <w:rPr>
          <w:rFonts w:ascii="Arial" w:hAnsi="Arial" w:cs="Arial"/>
          <w:b w:val="0"/>
          <w:bCs w:val="0"/>
          <w:sz w:val="22"/>
          <w:szCs w:val="22"/>
          <w:u w:val="none"/>
        </w:rPr>
        <w:t xml:space="preserve">jest wyrok z </w:t>
      </w:r>
      <w:r w:rsidRPr="004458AE">
        <w:rPr>
          <w:rFonts w:ascii="Arial" w:hAnsi="Arial" w:cs="Arial"/>
          <w:sz w:val="22"/>
          <w:szCs w:val="22"/>
          <w:u w:val="none"/>
        </w:rPr>
        <w:t>9 czerwca 2009 r</w:t>
      </w:r>
      <w:r w:rsidR="00F97FC3">
        <w:rPr>
          <w:rFonts w:ascii="Arial" w:hAnsi="Arial" w:cs="Arial"/>
          <w:sz w:val="22"/>
          <w:szCs w:val="22"/>
          <w:u w:val="none"/>
        </w:rPr>
        <w:t>oku</w:t>
      </w:r>
      <w:r w:rsidRPr="004458AE">
        <w:rPr>
          <w:rFonts w:ascii="Arial" w:hAnsi="Arial" w:cs="Arial"/>
          <w:sz w:val="22"/>
          <w:szCs w:val="22"/>
          <w:u w:val="none"/>
        </w:rPr>
        <w:t xml:space="preserve"> </w:t>
      </w:r>
      <w:r w:rsidRPr="004458AE">
        <w:rPr>
          <w:rFonts w:ascii="Arial" w:hAnsi="Arial" w:cs="Arial"/>
          <w:b w:val="0"/>
          <w:bCs w:val="0"/>
          <w:sz w:val="22"/>
          <w:szCs w:val="22"/>
          <w:u w:val="none"/>
        </w:rPr>
        <w:t>w sprawie</w:t>
      </w:r>
      <w:r w:rsidRPr="004458AE">
        <w:rPr>
          <w:rFonts w:ascii="Arial" w:hAnsi="Arial" w:cs="Arial"/>
          <w:sz w:val="22"/>
          <w:szCs w:val="22"/>
          <w:u w:val="none"/>
        </w:rPr>
        <w:t xml:space="preserve"> </w:t>
      </w:r>
      <w:r w:rsidRPr="004458AE">
        <w:rPr>
          <w:rFonts w:ascii="Arial" w:hAnsi="Arial" w:cs="Arial"/>
          <w:i/>
          <w:iCs/>
          <w:sz w:val="22"/>
          <w:szCs w:val="22"/>
          <w:u w:val="none"/>
        </w:rPr>
        <w:t xml:space="preserve">Opuz przeciwko Turcji </w:t>
      </w:r>
      <w:r w:rsidRPr="003245AC">
        <w:rPr>
          <w:rFonts w:ascii="Arial" w:hAnsi="Arial" w:cs="Arial"/>
          <w:b w:val="0"/>
          <w:bCs w:val="0"/>
          <w:iCs/>
          <w:sz w:val="22"/>
          <w:szCs w:val="22"/>
          <w:u w:val="none"/>
        </w:rPr>
        <w:t>(nr skargi 33401/02)</w:t>
      </w:r>
      <w:r w:rsidRPr="003245AC">
        <w:rPr>
          <w:rFonts w:ascii="Arial" w:hAnsi="Arial" w:cs="Arial"/>
          <w:b w:val="0"/>
          <w:bCs w:val="0"/>
          <w:sz w:val="22"/>
          <w:szCs w:val="22"/>
          <w:u w:val="none"/>
        </w:rPr>
        <w:t>,</w:t>
      </w:r>
      <w:r w:rsidRPr="004458AE">
        <w:rPr>
          <w:rFonts w:ascii="Arial" w:hAnsi="Arial" w:cs="Arial"/>
          <w:b w:val="0"/>
          <w:bCs w:val="0"/>
          <w:sz w:val="22"/>
          <w:szCs w:val="22"/>
          <w:u w:val="none"/>
        </w:rPr>
        <w:t xml:space="preserve">  która zasadniczo dotyczyła braku reakcji na przemoc domową ze strony władz Turcji pomimo wielokrotnego zawiadamiania policji o stosowaniu przemocy przez męża skarżącej, co ostatecznie doprowadziło do zabójstwa matki skarżącej przez jej męża. </w:t>
      </w:r>
      <w:r w:rsidRPr="004458AE">
        <w:rPr>
          <w:rFonts w:ascii="Arial" w:hAnsi="Arial" w:cs="Arial"/>
          <w:sz w:val="22"/>
          <w:szCs w:val="22"/>
          <w:u w:val="none"/>
        </w:rPr>
        <w:t xml:space="preserve">W tej sprawie skarżąca oraz jej matka przez długie lata były ofiarami licznych napaści oraz zastraszania ze strony męża skarżącej, w wielu przypadkach powodujących zagrażające życiu obrażenia u obu </w:t>
      </w:r>
      <w:r w:rsidRPr="004458AE">
        <w:rPr>
          <w:rFonts w:ascii="Arial" w:hAnsi="Arial" w:cs="Arial"/>
          <w:sz w:val="22"/>
          <w:szCs w:val="22"/>
          <w:u w:val="none"/>
        </w:rPr>
        <w:lastRenderedPageBreak/>
        <w:t>kobiet.</w:t>
      </w:r>
      <w:r w:rsidRPr="004458AE">
        <w:rPr>
          <w:rFonts w:ascii="Arial" w:hAnsi="Arial" w:cs="Arial"/>
          <w:b w:val="0"/>
          <w:bCs w:val="0"/>
          <w:sz w:val="22"/>
          <w:szCs w:val="22"/>
          <w:u w:val="none"/>
        </w:rPr>
        <w:t xml:space="preserve"> </w:t>
      </w:r>
      <w:r w:rsidR="003D37CF">
        <w:rPr>
          <w:rFonts w:ascii="Arial" w:hAnsi="Arial" w:cs="Arial"/>
          <w:b w:val="0"/>
          <w:bCs w:val="0"/>
          <w:sz w:val="22"/>
          <w:szCs w:val="22"/>
          <w:u w:val="none"/>
        </w:rPr>
        <w:t xml:space="preserve"> </w:t>
      </w:r>
      <w:r w:rsidRPr="004458AE">
        <w:rPr>
          <w:rFonts w:ascii="Arial" w:hAnsi="Arial" w:cs="Arial"/>
          <w:b w:val="0"/>
          <w:bCs w:val="0"/>
          <w:sz w:val="22"/>
          <w:szCs w:val="22"/>
          <w:u w:val="none"/>
        </w:rPr>
        <w:t>Z jednym tylko wyjątkiem, nie wniesiono przeciwko niemu żadnego oskarżenia, ponieważ obie kobiety wycofały swoje skuteczne złożone skargi, pomimo wyjaśnień, że mąż skarżącej zmuszał je do tego, grożąc, że je zabije. Następnie mężczyzna siedmiokrotnie dźgnął żonę nożem, za co został ukarany grzywną w wysokości około 385 euro, płatną w ratach. Obie kobiety składały liczne skargi twierdząc, że ich życie było zagrożone. Pomimo tego mąż skarżącej był jedynie przesłuchiwany przez organy ścigania, a następnie zwalniany. Gdy obie kobiety próbowały wyprowadzić się z domu mąż skarżącej zastrzelił teściową twierdząc, że uczynił tak w związku z grożącą mu utratą honoru. Mężczyzna został uznany za winnego zabójstwa, ale został zwolniony na czas postępowania odwoławczego. Skarżąca stwierdziła, że mąż w tym czasie nadal jej groził.</w:t>
      </w:r>
      <w:r w:rsidRPr="004458AE">
        <w:rPr>
          <w:rFonts w:ascii="Arial" w:hAnsi="Arial" w:cs="Arial"/>
          <w:sz w:val="22"/>
          <w:szCs w:val="22"/>
          <w:u w:val="none"/>
        </w:rPr>
        <w:t xml:space="preserve"> </w:t>
      </w:r>
      <w:r w:rsidRPr="004458AE">
        <w:rPr>
          <w:rFonts w:ascii="Arial" w:hAnsi="Arial" w:cs="Arial"/>
          <w:b w:val="0"/>
          <w:bCs w:val="0"/>
          <w:sz w:val="22"/>
          <w:szCs w:val="22"/>
          <w:u w:val="none"/>
        </w:rPr>
        <w:t xml:space="preserve">W </w:t>
      </w:r>
      <w:r w:rsidRPr="004458AE">
        <w:rPr>
          <w:rFonts w:ascii="Arial" w:hAnsi="Arial" w:cs="Arial"/>
          <w:b w:val="0"/>
          <w:sz w:val="22"/>
          <w:szCs w:val="22"/>
          <w:u w:val="none"/>
        </w:rPr>
        <w:t xml:space="preserve">tak ustalonym stanie faktycznym Trybunał uznał naruszenie przez Turcję dwóch postanowień Konwencji: </w:t>
      </w:r>
      <w:r w:rsidRPr="004458AE">
        <w:rPr>
          <w:rFonts w:ascii="Arial" w:hAnsi="Arial" w:cs="Arial"/>
          <w:bCs w:val="0"/>
          <w:sz w:val="22"/>
          <w:szCs w:val="22"/>
          <w:u w:val="none"/>
        </w:rPr>
        <w:t>art. 2</w:t>
      </w:r>
      <w:r w:rsidRPr="004458AE">
        <w:rPr>
          <w:rFonts w:ascii="Arial" w:hAnsi="Arial" w:cs="Arial"/>
          <w:b w:val="0"/>
          <w:sz w:val="22"/>
          <w:szCs w:val="22"/>
          <w:u w:val="none"/>
        </w:rPr>
        <w:t xml:space="preserve"> (prawo do życia) - w zakresie pozbawienia przez męża skarżącej życia swojej teściowej oraz </w:t>
      </w:r>
      <w:r w:rsidRPr="004458AE">
        <w:rPr>
          <w:rFonts w:ascii="Arial" w:hAnsi="Arial" w:cs="Arial"/>
          <w:bCs w:val="0"/>
          <w:sz w:val="22"/>
          <w:szCs w:val="22"/>
          <w:u w:val="none"/>
        </w:rPr>
        <w:t>art. 3</w:t>
      </w:r>
      <w:r w:rsidRPr="004458AE">
        <w:rPr>
          <w:rFonts w:ascii="Arial" w:hAnsi="Arial" w:cs="Arial"/>
          <w:b w:val="0"/>
          <w:sz w:val="22"/>
          <w:szCs w:val="22"/>
          <w:u w:val="none"/>
        </w:rPr>
        <w:t xml:space="preserve"> (zakaz tortur, nieludzkiego lub poniżającego traktowania) - z uwagi na </w:t>
      </w:r>
      <w:r w:rsidRPr="00F97FC3">
        <w:rPr>
          <w:rFonts w:ascii="Arial" w:hAnsi="Arial" w:cs="Arial"/>
          <w:bCs w:val="0"/>
          <w:sz w:val="22"/>
          <w:szCs w:val="22"/>
          <w:u w:val="none"/>
        </w:rPr>
        <w:t>niewywiązanie</w:t>
      </w:r>
      <w:r w:rsidRPr="004458AE">
        <w:rPr>
          <w:rFonts w:ascii="Arial" w:hAnsi="Arial" w:cs="Arial"/>
          <w:b w:val="0"/>
          <w:sz w:val="22"/>
          <w:szCs w:val="22"/>
          <w:u w:val="none"/>
        </w:rPr>
        <w:t xml:space="preserve"> się ze strony władz krajowych z obowiązku zapewnienia skarżącej stosownej ochrony skarżącej przed atakami męża. </w:t>
      </w:r>
      <w:r w:rsidRPr="004458AE">
        <w:rPr>
          <w:rFonts w:ascii="Arial" w:hAnsi="Arial" w:cs="Arial"/>
          <w:bCs w:val="0"/>
          <w:sz w:val="22"/>
          <w:szCs w:val="22"/>
          <w:u w:val="none"/>
        </w:rPr>
        <w:t xml:space="preserve">Turcja nie wprowadziła bowiem do swojego systemu prawnego regulacji karnych dotyczących karania sprawców przemocy domowej, </w:t>
      </w:r>
      <w:r w:rsidRPr="004458AE">
        <w:rPr>
          <w:rFonts w:ascii="Arial" w:hAnsi="Arial" w:cs="Arial"/>
          <w:b w:val="0"/>
          <w:sz w:val="22"/>
          <w:szCs w:val="22"/>
          <w:u w:val="none"/>
        </w:rPr>
        <w:t>jak również instrumentów mających na celu ochronę ofiar tego typu aktów.</w:t>
      </w:r>
      <w:r w:rsidRPr="004458AE">
        <w:rPr>
          <w:rFonts w:ascii="Arial" w:hAnsi="Arial" w:cs="Arial"/>
          <w:bCs w:val="0"/>
          <w:sz w:val="22"/>
          <w:szCs w:val="22"/>
          <w:u w:val="none"/>
        </w:rPr>
        <w:t xml:space="preserve"> Władze krajowe nie prowadziły postępowań </w:t>
      </w:r>
      <w:r w:rsidRPr="004458AE">
        <w:rPr>
          <w:rFonts w:ascii="Arial" w:hAnsi="Arial" w:cs="Arial"/>
          <w:b w:val="0"/>
          <w:sz w:val="22"/>
          <w:szCs w:val="22"/>
          <w:u w:val="none"/>
        </w:rPr>
        <w:t xml:space="preserve">(umarzały je), pomimo składanych zawiadomień, </w:t>
      </w:r>
      <w:r w:rsidRPr="004458AE">
        <w:rPr>
          <w:rFonts w:ascii="Arial" w:hAnsi="Arial" w:cs="Arial"/>
          <w:bCs w:val="0"/>
          <w:sz w:val="22"/>
          <w:szCs w:val="22"/>
          <w:u w:val="none"/>
        </w:rPr>
        <w:t xml:space="preserve">uznając zdarzenia za sprawy rodzinne, </w:t>
      </w:r>
      <w:r w:rsidRPr="004458AE">
        <w:rPr>
          <w:rFonts w:ascii="Arial" w:hAnsi="Arial" w:cs="Arial"/>
          <w:b w:val="0"/>
          <w:sz w:val="22"/>
          <w:szCs w:val="22"/>
          <w:u w:val="none"/>
        </w:rPr>
        <w:t xml:space="preserve">ignorując przyczyny wycofywania składanych skarg. </w:t>
      </w:r>
    </w:p>
    <w:p w14:paraId="5E58CBC4" w14:textId="77777777" w:rsidR="003245AC" w:rsidRDefault="003C482F" w:rsidP="00F442AE">
      <w:pPr>
        <w:pStyle w:val="Nagwek2"/>
        <w:spacing w:before="91" w:after="240" w:line="360" w:lineRule="auto"/>
        <w:ind w:left="0"/>
        <w:contextualSpacing/>
        <w:rPr>
          <w:rStyle w:val="sb8d990e2"/>
          <w:rFonts w:ascii="Arial" w:hAnsi="Arial" w:cs="Arial"/>
          <w:b w:val="0"/>
          <w:color w:val="000000"/>
          <w:sz w:val="22"/>
          <w:szCs w:val="22"/>
          <w:u w:val="none"/>
        </w:rPr>
      </w:pPr>
      <w:r w:rsidRPr="004458AE">
        <w:rPr>
          <w:rFonts w:ascii="Arial" w:hAnsi="Arial" w:cs="Arial"/>
          <w:b w:val="0"/>
          <w:sz w:val="22"/>
          <w:szCs w:val="22"/>
          <w:u w:val="none"/>
        </w:rPr>
        <w:t xml:space="preserve">W negatywny sposób Trybunał ocenił również brak możliwości ścigania tego rodzaju zachowań z urzędu, niezależnie od złożonych w tym zakresie skarg. </w:t>
      </w:r>
      <w:r w:rsidRPr="004458AE">
        <w:rPr>
          <w:rFonts w:ascii="Arial" w:hAnsi="Arial" w:cs="Arial"/>
          <w:bCs w:val="0"/>
          <w:sz w:val="22"/>
          <w:szCs w:val="22"/>
          <w:u w:val="none"/>
        </w:rPr>
        <w:t>Szczególnie istotne</w:t>
      </w:r>
      <w:r w:rsidRPr="004458AE">
        <w:rPr>
          <w:rFonts w:ascii="Arial" w:hAnsi="Arial" w:cs="Arial"/>
          <w:b w:val="0"/>
          <w:sz w:val="22"/>
          <w:szCs w:val="22"/>
          <w:u w:val="none"/>
        </w:rPr>
        <w:t xml:space="preserve"> w sprawie </w:t>
      </w:r>
      <w:r w:rsidRPr="004458AE">
        <w:rPr>
          <w:rFonts w:ascii="Arial" w:hAnsi="Arial" w:cs="Arial"/>
          <w:b w:val="0"/>
          <w:i/>
          <w:iCs/>
          <w:sz w:val="22"/>
          <w:szCs w:val="22"/>
          <w:u w:val="none"/>
        </w:rPr>
        <w:t xml:space="preserve">Opuz </w:t>
      </w:r>
      <w:r w:rsidRPr="004458AE">
        <w:rPr>
          <w:rFonts w:ascii="Arial" w:hAnsi="Arial" w:cs="Arial"/>
          <w:b w:val="0"/>
          <w:sz w:val="22"/>
          <w:szCs w:val="22"/>
          <w:u w:val="none"/>
        </w:rPr>
        <w:t xml:space="preserve">jest, że </w:t>
      </w:r>
      <w:r w:rsidRPr="00F97FC3">
        <w:rPr>
          <w:rFonts w:ascii="Arial" w:hAnsi="Arial" w:cs="Arial"/>
          <w:b w:val="0"/>
          <w:sz w:val="22"/>
          <w:szCs w:val="22"/>
          <w:u w:val="none"/>
        </w:rPr>
        <w:t>na tle powyższego stanu faktycznego</w:t>
      </w:r>
      <w:r w:rsidRPr="004458AE">
        <w:rPr>
          <w:rFonts w:ascii="Arial" w:hAnsi="Arial" w:cs="Arial"/>
          <w:bCs w:val="0"/>
          <w:sz w:val="22"/>
          <w:szCs w:val="22"/>
          <w:u w:val="none"/>
        </w:rPr>
        <w:t xml:space="preserve"> Trybunał po raz pierwszy uznał, że doszło również do naruszenia art. 14 (zakaz dyskryminacji) w zw. z art. 2 i 3 Konwencji.</w:t>
      </w:r>
      <w:r w:rsidRPr="004458AE">
        <w:rPr>
          <w:rFonts w:ascii="Arial" w:hAnsi="Arial" w:cs="Arial"/>
          <w:b w:val="0"/>
          <w:sz w:val="22"/>
          <w:szCs w:val="22"/>
          <w:u w:val="none"/>
        </w:rPr>
        <w:t xml:space="preserve"> W tym kontekście Trybunał podkreślił, że </w:t>
      </w:r>
      <w:r w:rsidRPr="004458AE">
        <w:rPr>
          <w:rFonts w:ascii="Arial" w:hAnsi="Arial" w:cs="Arial"/>
          <w:bCs w:val="0"/>
          <w:sz w:val="22"/>
          <w:szCs w:val="22"/>
          <w:u w:val="none"/>
        </w:rPr>
        <w:t>przemoc, której doświadczyła skarżąca i jej matka może być uznana za przemoc opartą na kryterium płci, stanowiącą formę dyskryminacji kobiet.</w:t>
      </w:r>
      <w:r w:rsidRPr="004458AE">
        <w:rPr>
          <w:rFonts w:ascii="Arial" w:hAnsi="Arial" w:cs="Arial"/>
          <w:b w:val="0"/>
          <w:sz w:val="22"/>
          <w:szCs w:val="22"/>
          <w:u w:val="none"/>
        </w:rPr>
        <w:t xml:space="preserve"> Pomimo reform wprowadzonych przez rząd turecki ogólna bierność wymiaru sprawiedliwości wobec sprawców przemocy domowej jako przestępstwa skierowanego głównie przeciwko kobietom stworzyła sprzyjający jej klimat. Zdaniem Trybunału dokonane ustalenia wskaz</w:t>
      </w:r>
      <w:r>
        <w:rPr>
          <w:rFonts w:ascii="Arial" w:hAnsi="Arial" w:cs="Arial"/>
          <w:b w:val="0"/>
          <w:sz w:val="22"/>
          <w:szCs w:val="22"/>
          <w:u w:val="none"/>
        </w:rPr>
        <w:t xml:space="preserve">ywały </w:t>
      </w:r>
      <w:r w:rsidRPr="004458AE">
        <w:rPr>
          <w:rFonts w:ascii="Arial" w:hAnsi="Arial" w:cs="Arial"/>
          <w:b w:val="0"/>
          <w:sz w:val="22"/>
          <w:szCs w:val="22"/>
          <w:u w:val="none"/>
        </w:rPr>
        <w:t xml:space="preserve">na niedostateczną determinację państwa do podejmowania działań mających na celu rozwiązanie problemu przemocy domowej. </w:t>
      </w:r>
      <w:r w:rsidRPr="009175CF">
        <w:rPr>
          <w:rFonts w:ascii="Arial" w:hAnsi="Arial" w:cs="Arial"/>
          <w:bCs w:val="0"/>
          <w:sz w:val="22"/>
          <w:szCs w:val="22"/>
          <w:u w:val="none"/>
        </w:rPr>
        <w:t>Orzeczenie Trybunału nakazuje skutecznie chronić kobiety przed przemocą w rodzinie i wskazuje, że bezczynność lub wykonywanie pozornych działań w odpowiedzi na informacje o przemocy domowej jest brakiem realizacji obowiązków pozytywnych państwa.</w:t>
      </w:r>
      <w:r w:rsidRPr="004458AE">
        <w:rPr>
          <w:rFonts w:ascii="Arial" w:hAnsi="Arial" w:cs="Arial"/>
          <w:b w:val="0"/>
          <w:sz w:val="22"/>
          <w:szCs w:val="22"/>
          <w:u w:val="none"/>
        </w:rPr>
        <w:t xml:space="preserve"> </w:t>
      </w:r>
      <w:r w:rsidRPr="004458AE">
        <w:rPr>
          <w:rStyle w:val="sb8d990e2"/>
          <w:rFonts w:ascii="Arial" w:hAnsi="Arial" w:cs="Arial"/>
          <w:b w:val="0"/>
          <w:color w:val="000000"/>
          <w:sz w:val="22"/>
          <w:szCs w:val="22"/>
          <w:u w:val="none"/>
        </w:rPr>
        <w:t xml:space="preserve">Trybunał stwierdził również, że obowiązki pozytywne wskazane w zdaniu pierwszym art. 2 Konwencji zakładają również ciążący na państwie obowiązek stworzenia skutecznego i niezależnego systemu sądowego umożliwiającego ustalenie przyczyny śmierci jednostki i </w:t>
      </w:r>
      <w:r w:rsidRPr="004458AE">
        <w:rPr>
          <w:rStyle w:val="sb8d990e2"/>
          <w:rFonts w:ascii="Arial" w:hAnsi="Arial" w:cs="Arial"/>
          <w:b w:val="0"/>
          <w:color w:val="000000"/>
          <w:sz w:val="22"/>
          <w:szCs w:val="22"/>
          <w:u w:val="none"/>
        </w:rPr>
        <w:lastRenderedPageBreak/>
        <w:t>ukaranie winnych</w:t>
      </w:r>
      <w:r w:rsidR="003245AC">
        <w:rPr>
          <w:rStyle w:val="sb8d990e2"/>
          <w:rFonts w:ascii="Arial" w:hAnsi="Arial" w:cs="Arial"/>
          <w:b w:val="0"/>
          <w:color w:val="000000"/>
          <w:sz w:val="22"/>
          <w:szCs w:val="22"/>
          <w:u w:val="none"/>
        </w:rPr>
        <w:t>.</w:t>
      </w:r>
    </w:p>
    <w:p w14:paraId="3704B1CC" w14:textId="3076F319" w:rsidR="00817035" w:rsidRDefault="003C482F" w:rsidP="00F442AE">
      <w:pPr>
        <w:pStyle w:val="Nagwek2"/>
        <w:spacing w:before="91" w:after="240" w:line="360" w:lineRule="auto"/>
        <w:ind w:left="0"/>
        <w:contextualSpacing/>
        <w:rPr>
          <w:rStyle w:val="sb8d990e2"/>
          <w:rFonts w:ascii="Arial" w:hAnsi="Arial" w:cs="Arial"/>
          <w:b w:val="0"/>
          <w:color w:val="000000"/>
          <w:sz w:val="22"/>
          <w:szCs w:val="22"/>
          <w:u w:val="none"/>
        </w:rPr>
      </w:pPr>
      <w:r w:rsidRPr="004458AE">
        <w:rPr>
          <w:rStyle w:val="sb8d990e2"/>
          <w:rFonts w:ascii="Arial" w:hAnsi="Arial" w:cs="Arial"/>
          <w:b w:val="0"/>
          <w:color w:val="000000"/>
          <w:sz w:val="22"/>
          <w:szCs w:val="22"/>
          <w:u w:val="none"/>
        </w:rPr>
        <w:t>Ponadto w wyroku tej sprawie Trybunał wyraźnie określił zasady interpretacji zakresu pozytywnego obowiązku państwa w sposób, który nie będzie oznaczał nałożenia na władze niemożliwego do udźwignięcia lub nadmiernego ciężaru, pamiętając o trudnościach, z jakimi boryka się policja przy wykonywaniu zadań we współczesnych społeczeństwach, nieprzewidywalności ludzkich</w:t>
      </w:r>
      <w:r w:rsidR="00F442AE">
        <w:rPr>
          <w:rStyle w:val="sb8d990e2"/>
          <w:rFonts w:ascii="Arial" w:hAnsi="Arial" w:cs="Arial"/>
          <w:b w:val="0"/>
          <w:color w:val="000000"/>
          <w:sz w:val="22"/>
          <w:szCs w:val="22"/>
          <w:u w:val="none"/>
        </w:rPr>
        <w:t xml:space="preserve"> </w:t>
      </w:r>
      <w:r w:rsidRPr="004458AE">
        <w:rPr>
          <w:rStyle w:val="sb8d990e2"/>
          <w:rFonts w:ascii="Arial" w:hAnsi="Arial" w:cs="Arial"/>
          <w:b w:val="0"/>
          <w:color w:val="000000"/>
          <w:sz w:val="22"/>
          <w:szCs w:val="22"/>
          <w:u w:val="none"/>
        </w:rPr>
        <w:t>zachow</w:t>
      </w:r>
      <w:r w:rsidR="00F442AE">
        <w:rPr>
          <w:rStyle w:val="sb8d990e2"/>
          <w:rFonts w:ascii="Arial" w:hAnsi="Arial" w:cs="Arial"/>
          <w:b w:val="0"/>
          <w:color w:val="000000"/>
          <w:sz w:val="22"/>
          <w:szCs w:val="22"/>
          <w:u w:val="none"/>
        </w:rPr>
        <w:t>a</w:t>
      </w:r>
      <w:r w:rsidRPr="004458AE">
        <w:rPr>
          <w:rStyle w:val="sb8d990e2"/>
          <w:rFonts w:ascii="Arial" w:hAnsi="Arial" w:cs="Arial"/>
          <w:b w:val="0"/>
          <w:color w:val="000000"/>
          <w:sz w:val="22"/>
          <w:szCs w:val="22"/>
          <w:u w:val="none"/>
        </w:rPr>
        <w:t>ń</w:t>
      </w:r>
      <w:r w:rsidR="00F442AE">
        <w:rPr>
          <w:rStyle w:val="sb8d990e2"/>
          <w:rFonts w:ascii="Arial" w:hAnsi="Arial" w:cs="Arial"/>
          <w:b w:val="0"/>
          <w:color w:val="000000"/>
          <w:sz w:val="22"/>
          <w:szCs w:val="22"/>
          <w:u w:val="none"/>
        </w:rPr>
        <w:t xml:space="preserve"> </w:t>
      </w:r>
      <w:r w:rsidRPr="004458AE">
        <w:rPr>
          <w:rStyle w:val="sb8d990e2"/>
          <w:rFonts w:ascii="Arial" w:hAnsi="Arial" w:cs="Arial"/>
          <w:b w:val="0"/>
          <w:color w:val="000000"/>
          <w:sz w:val="22"/>
          <w:szCs w:val="22"/>
          <w:u w:val="none"/>
        </w:rPr>
        <w:t>oraz konieczności dokonywania praktycznych wyborów w sferze priorytetów i środków. Wskazał przy tym, że pozytywny obowiązek państwa w zakresie ochrony przed przemocą nie oznacza, że w związku z każdym rzekomym zagrożeniem życia Konwencja zobowiązuje władze do podejmowania konkretnych działań mających zapobiec jego realizacji.</w:t>
      </w:r>
      <w:r w:rsidRPr="004458AE">
        <w:rPr>
          <w:rStyle w:val="sb8d990e2"/>
          <w:rFonts w:ascii="Arial" w:hAnsi="Arial" w:cs="Arial"/>
          <w:bCs w:val="0"/>
          <w:color w:val="000000"/>
          <w:sz w:val="22"/>
          <w:szCs w:val="22"/>
          <w:u w:val="none"/>
        </w:rPr>
        <w:t>  Aby w grę wchodził pozytywny obowiązek państwa należy ustalić, że władze wiedziały lub powinny były w odpowiednim momencie wiedzieć o realnym i bezpośrednim zagrożeniu życia danej osoby wskutek przestępczego zachowania osoby</w:t>
      </w:r>
      <w:r w:rsidRPr="004458AE">
        <w:rPr>
          <w:rStyle w:val="sb8d990e2"/>
          <w:rFonts w:ascii="Arial" w:hAnsi="Arial" w:cs="Arial"/>
          <w:b w:val="0"/>
          <w:color w:val="000000"/>
          <w:sz w:val="22"/>
          <w:szCs w:val="22"/>
          <w:u w:val="none"/>
        </w:rPr>
        <w:t xml:space="preserve"> trzeciej i że nie podjęły, w ramach swoich uprawnień, rozsądnych środków, które mogłyby niewątpliwie uchylić to zagrożenie. </w:t>
      </w:r>
      <w:r w:rsidRPr="004458AE">
        <w:rPr>
          <w:rStyle w:val="sb8d990e2"/>
          <w:rFonts w:ascii="Arial" w:hAnsi="Arial" w:cs="Arial"/>
          <w:bCs w:val="0"/>
          <w:color w:val="000000"/>
          <w:sz w:val="22"/>
          <w:szCs w:val="22"/>
          <w:u w:val="none"/>
        </w:rPr>
        <w:t>Podstawowym celem postępowań (</w:t>
      </w:r>
      <w:r w:rsidRPr="002857D0">
        <w:rPr>
          <w:rStyle w:val="sb8d990e2"/>
          <w:rFonts w:ascii="Arial" w:hAnsi="Arial" w:cs="Arial"/>
          <w:bCs w:val="0"/>
          <w:i/>
          <w:iCs/>
          <w:color w:val="000000"/>
          <w:sz w:val="22"/>
          <w:szCs w:val="22"/>
          <w:u w:val="none"/>
        </w:rPr>
        <w:t>investigations)</w:t>
      </w:r>
      <w:r w:rsidRPr="004458AE">
        <w:rPr>
          <w:rStyle w:val="sb8d990e2"/>
          <w:rFonts w:ascii="Arial" w:hAnsi="Arial" w:cs="Arial"/>
          <w:bCs w:val="0"/>
          <w:color w:val="000000"/>
          <w:sz w:val="22"/>
          <w:szCs w:val="22"/>
          <w:u w:val="none"/>
        </w:rPr>
        <w:t xml:space="preserve"> w tego rodzaju sprawach jest zapewnienie skutecznego stosowania przepisów prawa krajowego, które chronią prawo do życia</w:t>
      </w:r>
      <w:r w:rsidRPr="004458AE">
        <w:rPr>
          <w:rStyle w:val="sb8d990e2"/>
          <w:rFonts w:ascii="Arial" w:hAnsi="Arial" w:cs="Arial"/>
          <w:b w:val="0"/>
          <w:color w:val="000000"/>
          <w:sz w:val="22"/>
          <w:szCs w:val="22"/>
          <w:u w:val="none"/>
        </w:rPr>
        <w:t xml:space="preserve">, a w przypadku, gdy mogło wchodzić w grę zachowanie funkcjonariuszy publicznych lub władz - zagwarantowanie, że zostaną oni ukarani za śmierć, jaka nastąpiła w zakresie ich odpowiedzialności. </w:t>
      </w:r>
    </w:p>
    <w:p w14:paraId="19111614" w14:textId="24BAB77C" w:rsidR="003C482F" w:rsidRDefault="003C482F" w:rsidP="002175F0">
      <w:pPr>
        <w:pStyle w:val="Nagwek2"/>
        <w:spacing w:before="91" w:after="240" w:line="360" w:lineRule="auto"/>
        <w:ind w:left="0"/>
        <w:contextualSpacing/>
        <w:rPr>
          <w:rStyle w:val="sb8d990e2"/>
          <w:rFonts w:ascii="Arial" w:hAnsi="Arial" w:cs="Arial"/>
          <w:b w:val="0"/>
          <w:color w:val="000000"/>
          <w:sz w:val="22"/>
          <w:szCs w:val="22"/>
          <w:u w:val="none"/>
        </w:rPr>
      </w:pPr>
      <w:r w:rsidRPr="004458AE">
        <w:rPr>
          <w:rFonts w:ascii="Arial" w:hAnsi="Arial" w:cs="Arial"/>
          <w:b w:val="0"/>
          <w:sz w:val="22"/>
          <w:szCs w:val="22"/>
          <w:u w:val="none"/>
        </w:rPr>
        <w:t>Trybunał wskazał</w:t>
      </w:r>
      <w:r w:rsidR="00817035">
        <w:rPr>
          <w:rFonts w:ascii="Arial" w:hAnsi="Arial" w:cs="Arial"/>
          <w:b w:val="0"/>
          <w:sz w:val="22"/>
          <w:szCs w:val="22"/>
          <w:u w:val="none"/>
        </w:rPr>
        <w:t xml:space="preserve">  również</w:t>
      </w:r>
      <w:r w:rsidRPr="004458AE">
        <w:rPr>
          <w:rFonts w:ascii="Arial" w:hAnsi="Arial" w:cs="Arial"/>
          <w:b w:val="0"/>
          <w:sz w:val="22"/>
          <w:szCs w:val="22"/>
          <w:u w:val="none"/>
        </w:rPr>
        <w:t xml:space="preserve">, że </w:t>
      </w:r>
      <w:r w:rsidRPr="002857D0">
        <w:rPr>
          <w:rFonts w:ascii="Arial" w:hAnsi="Arial" w:cs="Arial"/>
          <w:b w:val="0"/>
          <w:sz w:val="22"/>
          <w:szCs w:val="22"/>
          <w:u w:val="none"/>
        </w:rPr>
        <w:t>w</w:t>
      </w:r>
      <w:r w:rsidRPr="002857D0">
        <w:rPr>
          <w:rStyle w:val="sb8d990e2"/>
          <w:rFonts w:ascii="Arial" w:hAnsi="Arial" w:cs="Arial"/>
          <w:b w:val="0"/>
          <w:color w:val="000000"/>
          <w:sz w:val="22"/>
          <w:szCs w:val="22"/>
          <w:u w:val="none"/>
        </w:rPr>
        <w:t xml:space="preserve"> niektórych, ściśle wskazanych okolicznościach</w:t>
      </w:r>
      <w:r w:rsidRPr="004458AE">
        <w:rPr>
          <w:rStyle w:val="sb8d990e2"/>
          <w:rFonts w:ascii="Arial" w:hAnsi="Arial" w:cs="Arial"/>
          <w:bCs w:val="0"/>
          <w:color w:val="000000"/>
          <w:sz w:val="22"/>
          <w:szCs w:val="22"/>
          <w:u w:val="none"/>
        </w:rPr>
        <w:t xml:space="preserve"> art. 2 Konwencji może nakładać na władze pozytywny obowiązek podjęcia środków prewencyjnych mających chronić jednostkę, której życie jest zagrożone przestępczym zachowaniem innej osoby. Zwłaszcza </w:t>
      </w:r>
      <w:r w:rsidRPr="004458AE">
        <w:rPr>
          <w:rFonts w:ascii="Arial" w:hAnsi="Arial" w:cs="Arial"/>
          <w:bCs w:val="0"/>
          <w:sz w:val="22"/>
          <w:szCs w:val="22"/>
          <w:u w:val="none"/>
        </w:rPr>
        <w:t>o</w:t>
      </w:r>
      <w:r w:rsidRPr="004458AE">
        <w:rPr>
          <w:rStyle w:val="sb8d990e2"/>
          <w:rFonts w:ascii="Arial" w:hAnsi="Arial" w:cs="Arial"/>
          <w:bCs w:val="0"/>
          <w:color w:val="000000"/>
          <w:sz w:val="22"/>
          <w:szCs w:val="22"/>
          <w:u w:val="none"/>
        </w:rPr>
        <w:t xml:space="preserve">sobom znajdującym się w sytuacji bezbronności, do których należą ofiary przemocy domowej, przysługuje w szczególności prawo do ochrony ze strony państwa w formie skutecznej prewencji, zapewniającej im umieszczenie w bezpiecznym miejscu z dala od tak poważnych form naruszenia nietykalności fizycznej </w:t>
      </w:r>
      <w:r w:rsidRPr="004458AE">
        <w:rPr>
          <w:rStyle w:val="sb8d990e2"/>
          <w:rFonts w:ascii="Arial" w:hAnsi="Arial" w:cs="Arial"/>
          <w:b w:val="0"/>
          <w:color w:val="000000"/>
          <w:sz w:val="22"/>
          <w:szCs w:val="22"/>
          <w:u w:val="none"/>
        </w:rPr>
        <w:t xml:space="preserve">(§ 159). </w:t>
      </w:r>
    </w:p>
    <w:p w14:paraId="5239421D" w14:textId="77777777" w:rsidR="003245AC" w:rsidRDefault="003C482F" w:rsidP="003245AC">
      <w:pPr>
        <w:pStyle w:val="Nagwek2"/>
        <w:spacing w:before="91" w:after="240" w:line="360" w:lineRule="auto"/>
        <w:ind w:left="0"/>
        <w:contextualSpacing/>
        <w:rPr>
          <w:rFonts w:ascii="Arial" w:hAnsi="Arial" w:cs="Arial"/>
          <w:sz w:val="22"/>
          <w:szCs w:val="22"/>
        </w:rPr>
      </w:pPr>
      <w:r w:rsidRPr="004458AE">
        <w:rPr>
          <w:rFonts w:ascii="Arial" w:hAnsi="Arial" w:cs="Arial"/>
          <w:b w:val="0"/>
          <w:sz w:val="22"/>
          <w:szCs w:val="22"/>
          <w:u w:val="none"/>
        </w:rPr>
        <w:t>Trybunał stwierdził, że gdy „</w:t>
      </w:r>
      <w:r w:rsidRPr="004458AE">
        <w:rPr>
          <w:rFonts w:ascii="Arial" w:hAnsi="Arial" w:cs="Arial"/>
          <w:bCs w:val="0"/>
          <w:sz w:val="22"/>
          <w:szCs w:val="22"/>
          <w:u w:val="none"/>
        </w:rPr>
        <w:t>przemoc [..] była „na tyle poważna, że uzasadniała ściganie i istniało stałe zagrożenie dla integralności fizycznej skarżącej</w:t>
      </w:r>
      <w:r w:rsidR="002857D0">
        <w:rPr>
          <w:rFonts w:ascii="Arial" w:hAnsi="Arial" w:cs="Arial"/>
          <w:bCs w:val="0"/>
          <w:sz w:val="22"/>
          <w:szCs w:val="22"/>
          <w:u w:val="none"/>
        </w:rPr>
        <w:t>,</w:t>
      </w:r>
      <w:r w:rsidRPr="004458AE">
        <w:rPr>
          <w:rFonts w:ascii="Arial" w:hAnsi="Arial" w:cs="Arial"/>
          <w:bCs w:val="0"/>
          <w:sz w:val="22"/>
          <w:szCs w:val="22"/>
          <w:u w:val="none"/>
        </w:rPr>
        <w:t xml:space="preserve"> ramy prawne powinny umożliwić organom ścigania prowadzenie postępowań karnych, pomimo, że skarga została wycofana” </w:t>
      </w:r>
      <w:r w:rsidRPr="004458AE">
        <w:rPr>
          <w:rFonts w:ascii="Arial" w:hAnsi="Arial" w:cs="Arial"/>
          <w:b w:val="0"/>
          <w:sz w:val="22"/>
          <w:szCs w:val="22"/>
          <w:u w:val="none"/>
        </w:rPr>
        <w:t>(§ 168).</w:t>
      </w:r>
      <w:r w:rsidRPr="004458AE">
        <w:rPr>
          <w:rFonts w:ascii="Arial" w:hAnsi="Arial" w:cs="Arial"/>
          <w:sz w:val="22"/>
          <w:szCs w:val="22"/>
        </w:rPr>
        <w:t xml:space="preserve"> </w:t>
      </w:r>
    </w:p>
    <w:p w14:paraId="7A27D83C" w14:textId="62CF9FFB" w:rsidR="003C482F" w:rsidRPr="003245AC" w:rsidRDefault="003C482F" w:rsidP="003245AC">
      <w:pPr>
        <w:pStyle w:val="Nagwek2"/>
        <w:spacing w:before="91" w:after="240" w:line="360" w:lineRule="auto"/>
        <w:ind w:left="0"/>
        <w:contextualSpacing/>
        <w:rPr>
          <w:rStyle w:val="sb8d990e2"/>
          <w:rFonts w:ascii="Arial" w:hAnsi="Arial" w:cs="Arial"/>
          <w:sz w:val="22"/>
          <w:szCs w:val="22"/>
        </w:rPr>
      </w:pPr>
      <w:r w:rsidRPr="004458AE">
        <w:rPr>
          <w:rStyle w:val="sb8d990e2"/>
          <w:rFonts w:ascii="Arial" w:hAnsi="Arial" w:cs="Arial"/>
          <w:color w:val="000000"/>
          <w:sz w:val="22"/>
          <w:szCs w:val="22"/>
        </w:rPr>
        <w:t xml:space="preserve">Z obowiązku przeprowadzenia śledztwa wynika w sposób dorozumiany nie tylko wymóg rozsądnej szybkości, ale i staranności w działaniu. Z tego względu Trybunał wskazał, że mechanizmy ochrony ofiar przemocy przewidziane w prawie krajowym muszą przede wszystkim skutecznie działać w praktyce, co wiąże się z rozpoznawaniem spraw w rozsądnym terminie i bez zbędnej zwłoki. (§§ 150-151). </w:t>
      </w:r>
    </w:p>
    <w:p w14:paraId="25C3E3B1" w14:textId="77777777" w:rsidR="003245AC" w:rsidRDefault="003C482F" w:rsidP="003C482F">
      <w:pPr>
        <w:pStyle w:val="s30eec3f8"/>
        <w:shd w:val="clear" w:color="auto" w:fill="FFFFFF"/>
        <w:spacing w:before="0" w:beforeAutospacing="0" w:after="240" w:afterAutospacing="0" w:line="360" w:lineRule="auto"/>
        <w:contextualSpacing/>
        <w:jc w:val="both"/>
        <w:rPr>
          <w:rFonts w:ascii="Arial" w:hAnsi="Arial" w:cs="Arial"/>
          <w:sz w:val="22"/>
          <w:szCs w:val="22"/>
        </w:rPr>
      </w:pPr>
      <w:r w:rsidRPr="004458AE">
        <w:rPr>
          <w:rStyle w:val="sb8d990e2"/>
          <w:rFonts w:ascii="Arial" w:eastAsia="Verdana" w:hAnsi="Arial" w:cs="Arial"/>
          <w:b/>
          <w:bCs/>
          <w:color w:val="000000"/>
          <w:sz w:val="22"/>
          <w:szCs w:val="22"/>
        </w:rPr>
        <w:lastRenderedPageBreak/>
        <w:t xml:space="preserve">Jeśli mechanizmy takie istnieją wyłącznie w teorii, nie można uznać, że obowiązek państwa wynikający z art. 3 Konwencji został wypełniony. </w:t>
      </w:r>
      <w:r w:rsidRPr="004458AE">
        <w:rPr>
          <w:rStyle w:val="sb8d990e2"/>
          <w:rFonts w:ascii="Arial" w:eastAsia="Verdana" w:hAnsi="Arial" w:cs="Arial"/>
          <w:color w:val="000000"/>
          <w:sz w:val="22"/>
          <w:szCs w:val="22"/>
        </w:rPr>
        <w:t xml:space="preserve">Trybunał zwrócił uwagę, że istotne jest również </w:t>
      </w:r>
      <w:r w:rsidRPr="004458AE">
        <w:rPr>
          <w:rStyle w:val="sb8d990e2"/>
          <w:rFonts w:ascii="Arial" w:eastAsia="Verdana" w:hAnsi="Arial" w:cs="Arial"/>
          <w:b/>
          <w:bCs/>
          <w:color w:val="000000"/>
          <w:sz w:val="22"/>
          <w:szCs w:val="22"/>
        </w:rPr>
        <w:t xml:space="preserve">zapewnienie, aby policja wykonywała zadanie polegające na zwalczaniu i zapobieganiu przestępstwom przy użyciu zgodnych z prawem metod </w:t>
      </w:r>
      <w:r>
        <w:rPr>
          <w:rStyle w:val="sb8d990e2"/>
          <w:rFonts w:ascii="Arial" w:eastAsia="Verdana" w:hAnsi="Arial" w:cs="Arial"/>
          <w:b/>
          <w:bCs/>
          <w:color w:val="000000"/>
          <w:sz w:val="22"/>
          <w:szCs w:val="22"/>
        </w:rPr>
        <w:br/>
      </w:r>
      <w:r w:rsidRPr="004458AE">
        <w:rPr>
          <w:rStyle w:val="sb8d990e2"/>
          <w:rFonts w:ascii="Arial" w:eastAsia="Verdana" w:hAnsi="Arial" w:cs="Arial"/>
          <w:b/>
          <w:bCs/>
          <w:color w:val="000000"/>
          <w:sz w:val="22"/>
          <w:szCs w:val="22"/>
        </w:rPr>
        <w:t>i z pełnym poszanowaniem innych gwarancji</w:t>
      </w:r>
      <w:r w:rsidRPr="004458AE">
        <w:rPr>
          <w:rStyle w:val="sb8d990e2"/>
          <w:rFonts w:ascii="Arial" w:eastAsia="Verdana" w:hAnsi="Arial" w:cs="Arial"/>
          <w:color w:val="000000"/>
          <w:sz w:val="22"/>
          <w:szCs w:val="22"/>
        </w:rPr>
        <w:t>, k</w:t>
      </w:r>
      <w:r w:rsidRPr="004458AE">
        <w:rPr>
          <w:rStyle w:val="sb8d990e2"/>
          <w:rFonts w:ascii="Arial" w:eastAsia="Verdana" w:hAnsi="Arial" w:cs="Arial"/>
          <w:b/>
          <w:bCs/>
          <w:color w:val="000000"/>
          <w:sz w:val="22"/>
          <w:szCs w:val="22"/>
        </w:rPr>
        <w:t>tóre w uprawniony sposób ograniczają zakres czynności dochodzeniowych w sprawach karnych</w:t>
      </w:r>
      <w:r>
        <w:rPr>
          <w:rStyle w:val="sb8d990e2"/>
          <w:rFonts w:ascii="Arial" w:eastAsia="Verdana" w:hAnsi="Arial" w:cs="Arial"/>
          <w:b/>
          <w:bCs/>
          <w:color w:val="000000"/>
          <w:sz w:val="22"/>
          <w:szCs w:val="22"/>
        </w:rPr>
        <w:t xml:space="preserve"> oraz</w:t>
      </w:r>
      <w:r w:rsidRPr="004458AE">
        <w:rPr>
          <w:rStyle w:val="sb8d990e2"/>
          <w:rFonts w:ascii="Arial" w:eastAsia="Verdana" w:hAnsi="Arial" w:cs="Arial"/>
          <w:b/>
          <w:bCs/>
          <w:color w:val="000000"/>
          <w:sz w:val="22"/>
          <w:szCs w:val="22"/>
        </w:rPr>
        <w:t> pociąganie sprawców do odpowiedzialności karnej, w tym gwarancji określonych w art. 5 i 8 Konwencji</w:t>
      </w:r>
      <w:r w:rsidRPr="004458AE">
        <w:rPr>
          <w:rStyle w:val="sb8d990e2"/>
          <w:rFonts w:ascii="Arial" w:eastAsia="Verdana" w:hAnsi="Arial" w:cs="Arial"/>
          <w:color w:val="000000"/>
          <w:sz w:val="22"/>
          <w:szCs w:val="22"/>
        </w:rPr>
        <w:t xml:space="preserve"> (§ 129).</w:t>
      </w:r>
    </w:p>
    <w:p w14:paraId="3131132A" w14:textId="12C835C8" w:rsidR="003C482F" w:rsidRPr="003245AC" w:rsidRDefault="003C482F" w:rsidP="003C482F">
      <w:pPr>
        <w:pStyle w:val="s30eec3f8"/>
        <w:shd w:val="clear" w:color="auto" w:fill="FFFFFF"/>
        <w:spacing w:before="0" w:beforeAutospacing="0" w:after="240" w:afterAutospacing="0" w:line="360" w:lineRule="auto"/>
        <w:contextualSpacing/>
        <w:jc w:val="both"/>
        <w:rPr>
          <w:rStyle w:val="sb8d990e2"/>
          <w:rFonts w:ascii="Arial" w:hAnsi="Arial" w:cs="Arial"/>
          <w:sz w:val="22"/>
          <w:szCs w:val="22"/>
        </w:rPr>
      </w:pPr>
      <w:r w:rsidRPr="004458AE">
        <w:rPr>
          <w:rStyle w:val="sb8d990e2"/>
          <w:rFonts w:ascii="Arial" w:eastAsia="Verdana" w:hAnsi="Arial" w:cs="Arial"/>
          <w:color w:val="000000"/>
          <w:sz w:val="22"/>
          <w:szCs w:val="22"/>
        </w:rPr>
        <w:t xml:space="preserve">Równocześnie </w:t>
      </w:r>
      <w:r w:rsidRPr="004458AE">
        <w:rPr>
          <w:rStyle w:val="sb8d990e2"/>
          <w:rFonts w:ascii="Arial" w:eastAsia="Verdana" w:hAnsi="Arial" w:cs="Arial"/>
          <w:b/>
          <w:bCs/>
          <w:color w:val="000000"/>
          <w:sz w:val="22"/>
          <w:szCs w:val="22"/>
        </w:rPr>
        <w:t>Trybunał podniósł, że nie może zastępować władz krajowych w wyborze spośród szerokiej gamy środków właściwych dla zagwarantowania poszanowania obowiązków pozytywnych wynikających z art. 3 Konwencji</w:t>
      </w:r>
      <w:r w:rsidRPr="004458AE">
        <w:rPr>
          <w:rStyle w:val="sb8d990e2"/>
          <w:rFonts w:ascii="Arial" w:eastAsia="Verdana" w:hAnsi="Arial" w:cs="Arial"/>
          <w:color w:val="000000"/>
          <w:sz w:val="22"/>
          <w:szCs w:val="22"/>
        </w:rPr>
        <w:t xml:space="preserve"> (§ 165). </w:t>
      </w:r>
    </w:p>
    <w:p w14:paraId="4A9B70F6" w14:textId="77777777" w:rsidR="008978CD" w:rsidRPr="004458AE" w:rsidRDefault="008978CD" w:rsidP="008978CD">
      <w:pPr>
        <w:spacing w:line="360" w:lineRule="auto"/>
        <w:jc w:val="both"/>
        <w:rPr>
          <w:rStyle w:val="s32a37344"/>
          <w:rFonts w:ascii="Arial" w:hAnsi="Arial" w:cs="Arial"/>
          <w:b/>
          <w:bCs/>
          <w:color w:val="000000"/>
          <w:shd w:val="clear" w:color="auto" w:fill="FFFFFF"/>
        </w:rPr>
      </w:pPr>
      <w:r w:rsidRPr="004458AE">
        <w:rPr>
          <w:rStyle w:val="s32a37344"/>
          <w:rFonts w:ascii="Arial" w:hAnsi="Arial" w:cs="Arial"/>
          <w:b/>
          <w:bCs/>
          <w:color w:val="000000"/>
          <w:shd w:val="clear" w:color="auto" w:fill="FFFFFF"/>
        </w:rPr>
        <w:t>[Brak regulacji spełniających standardy ochrony ofiar przemocy domowej]</w:t>
      </w:r>
    </w:p>
    <w:p w14:paraId="484971FF" w14:textId="5D32212B" w:rsidR="008978CD" w:rsidRPr="004458AE" w:rsidRDefault="008978CD" w:rsidP="008978CD">
      <w:pPr>
        <w:spacing w:line="360" w:lineRule="auto"/>
        <w:jc w:val="both"/>
        <w:rPr>
          <w:rStyle w:val="s32a37344"/>
          <w:rFonts w:ascii="Arial" w:hAnsi="Arial" w:cs="Arial"/>
          <w:color w:val="000000"/>
          <w:shd w:val="clear" w:color="auto" w:fill="FFFFFF"/>
        </w:rPr>
      </w:pPr>
      <w:r w:rsidRPr="004458AE">
        <w:rPr>
          <w:rFonts w:ascii="Arial" w:hAnsi="Arial" w:cs="Arial"/>
        </w:rPr>
        <w:t xml:space="preserve">Aktualny przykład sprawy, w której kwestia systemu prawego została wyeksponowana </w:t>
      </w:r>
      <w:r w:rsidR="00817035">
        <w:rPr>
          <w:rFonts w:ascii="Arial" w:hAnsi="Arial" w:cs="Arial"/>
        </w:rPr>
        <w:br/>
      </w:r>
      <w:r w:rsidRPr="004458AE">
        <w:rPr>
          <w:rFonts w:ascii="Arial" w:hAnsi="Arial" w:cs="Arial"/>
        </w:rPr>
        <w:t xml:space="preserve">w orzeczeniu Trybunału stwierdzającym naruszenie przepisów Konwencji w kontekście zachowania standardów ochrony ofiar przemocy domowej - stanowi sprawa </w:t>
      </w:r>
      <w:hyperlink r:id="rId28">
        <w:r w:rsidRPr="002857D0">
          <w:rPr>
            <w:rFonts w:ascii="Arial" w:hAnsi="Arial" w:cs="Arial"/>
            <w:b/>
            <w:bCs/>
            <w:i/>
            <w:iCs/>
          </w:rPr>
          <w:t>Volodina przeciwko Rosji</w:t>
        </w:r>
      </w:hyperlink>
      <w:r w:rsidRPr="002857D0">
        <w:rPr>
          <w:rFonts w:ascii="Arial" w:hAnsi="Arial" w:cs="Arial"/>
          <w:b/>
          <w:bCs/>
          <w:i/>
          <w:iCs/>
        </w:rPr>
        <w:t xml:space="preserve"> </w:t>
      </w:r>
      <w:r w:rsidRPr="002857D0">
        <w:rPr>
          <w:rFonts w:ascii="Arial" w:hAnsi="Arial" w:cs="Arial"/>
        </w:rPr>
        <w:t xml:space="preserve">(nr  skargi </w:t>
      </w:r>
      <w:r w:rsidRPr="002857D0">
        <w:rPr>
          <w:rStyle w:val="textcolumn"/>
          <w:rFonts w:ascii="Arial" w:hAnsi="Arial" w:cs="Arial"/>
          <w:shd w:val="clear" w:color="auto" w:fill="FFFFFF"/>
        </w:rPr>
        <w:t>41261/17),</w:t>
      </w:r>
      <w:r w:rsidRPr="004458AE">
        <w:rPr>
          <w:rStyle w:val="textcolumn"/>
          <w:rFonts w:ascii="Arial" w:hAnsi="Arial" w:cs="Arial"/>
          <w:b/>
          <w:bCs/>
          <w:shd w:val="clear" w:color="auto" w:fill="FFFFFF"/>
        </w:rPr>
        <w:t xml:space="preserve"> </w:t>
      </w:r>
      <w:r w:rsidRPr="004458AE">
        <w:rPr>
          <w:rStyle w:val="textcolumn"/>
          <w:rFonts w:ascii="Arial" w:hAnsi="Arial" w:cs="Arial"/>
          <w:shd w:val="clear" w:color="auto" w:fill="FFFFFF"/>
        </w:rPr>
        <w:t>która d</w:t>
      </w:r>
      <w:r w:rsidRPr="004458AE">
        <w:rPr>
          <w:rFonts w:ascii="Arial" w:hAnsi="Arial" w:cs="Arial"/>
        </w:rPr>
        <w:t>otyczyła zarzutów skarżącej, że władze rosyjskie nie uchroniły jej przed powtarzającymi się aktami przemocy domowej, w tym napaścią, porwaniami, prześladowaniami i groźbami. Podkreśliła również, że</w:t>
      </w:r>
      <w:r w:rsidRPr="004458AE">
        <w:rPr>
          <w:rFonts w:ascii="Arial" w:hAnsi="Arial" w:cs="Arial"/>
          <w:b/>
          <w:bCs/>
        </w:rPr>
        <w:t xml:space="preserve"> </w:t>
      </w:r>
      <w:r w:rsidRPr="004458AE">
        <w:rPr>
          <w:rFonts w:ascii="Arial" w:hAnsi="Arial" w:cs="Arial"/>
        </w:rPr>
        <w:t xml:space="preserve">obecny system prawny w Rosji jest niewystarczający, aby poradzić sobie z taką przemocą i dyskryminacją wobec kobiet. W wyroku Trybunał orzekł, że doszło do naruszenia art. 3 (zakaz nieludzkiego lub poniżającego traktowania) Konwencji. Jednocześnie uznał, że skarżąca była ofiarą fizycznego i psychicznego znęcania się przez jej byłego partnera, oraz że rosyjskie władze nie wywiązały się ze swoich pozytywnych zobowiązań wynikających z Konwencji dotyczących ochrony przed przemocą. Trybunał orzekł również, że doszło do naruszenia art. 14 (zakaz dyskryminacji) Konwencji w związku z art. 3. Trybunał w ostatnim punkcie swojego wyroku stwierdził, że jego zdaniem </w:t>
      </w:r>
      <w:r w:rsidRPr="004458AE">
        <w:rPr>
          <w:rFonts w:ascii="Arial" w:hAnsi="Arial" w:cs="Arial"/>
          <w:b/>
          <w:bCs/>
        </w:rPr>
        <w:t>„utrzymujący się brak uregulowań prawnych w zakresie zwalczania przemocy domowej oraz brak jakiejkolwiek formy nakazów ograniczenia lub ochrony wyraźnie wskazują, że działania władz w niniejszej sprawie nie były zwykłym zaniechaniem lub opóźnieniem w zajmowaniu się przemocą wobec skarżącej, lecz wynikały z ich niechęci do uznania powagi i zakresu problemu przemocy domowej w Rosji oraz jego dyskryminującego wpływu na kobiety</w:t>
      </w:r>
      <w:r w:rsidRPr="004458AE">
        <w:rPr>
          <w:rFonts w:ascii="Arial" w:hAnsi="Arial" w:cs="Arial"/>
        </w:rPr>
        <w:t xml:space="preserve">. Tolerując przez wiele lat klimat sprzyjający przemocy domowej, władze rosyjskie nie stworzyły warunków dla istotnej równości płci, która umożliwiłaby kobietom życie wolne od strachu przed złym traktowaniem lub atakami na ich integralność fizyczną i korzystanie z równej ochrony prawnej”. </w:t>
      </w:r>
    </w:p>
    <w:p w14:paraId="42B907D3" w14:textId="6D98B9CA" w:rsidR="003C482F" w:rsidRPr="00740E72" w:rsidRDefault="003C482F" w:rsidP="003C482F">
      <w:pPr>
        <w:spacing w:line="360" w:lineRule="auto"/>
        <w:jc w:val="both"/>
        <w:rPr>
          <w:rFonts w:ascii="Arial" w:hAnsi="Arial" w:cs="Arial"/>
          <w:b/>
        </w:rPr>
      </w:pPr>
      <w:r w:rsidRPr="004458AE">
        <w:rPr>
          <w:rFonts w:ascii="Arial" w:hAnsi="Arial" w:cs="Arial"/>
          <w:b/>
        </w:rPr>
        <w:lastRenderedPageBreak/>
        <w:t xml:space="preserve">[Zaniechanie podejmowania przez organy ścigania wystarczających działań w celu ochrony ofiar przed przemocą domową, niedopełnienie obowiązku ochrony życia] </w:t>
      </w:r>
    </w:p>
    <w:p w14:paraId="0884797F" w14:textId="3A3D6EAB" w:rsidR="004E2677" w:rsidRPr="00740E72" w:rsidRDefault="003C482F" w:rsidP="002175F0">
      <w:pPr>
        <w:spacing w:before="240" w:line="360" w:lineRule="auto"/>
        <w:contextualSpacing/>
        <w:jc w:val="both"/>
        <w:rPr>
          <w:rFonts w:ascii="Arial" w:hAnsi="Arial" w:cs="Arial"/>
        </w:rPr>
      </w:pPr>
      <w:r w:rsidRPr="00740E72">
        <w:rPr>
          <w:rFonts w:ascii="Arial" w:hAnsi="Arial" w:cs="Arial"/>
        </w:rPr>
        <w:t>W</w:t>
      </w:r>
      <w:r w:rsidRPr="00740E72">
        <w:rPr>
          <w:rFonts w:ascii="Arial" w:hAnsi="Arial" w:cs="Arial"/>
          <w:bCs/>
        </w:rPr>
        <w:t xml:space="preserve"> wyroku z 31 maja 2007 r</w:t>
      </w:r>
      <w:r w:rsidR="000C42B3">
        <w:rPr>
          <w:rFonts w:ascii="Arial" w:hAnsi="Arial" w:cs="Arial"/>
          <w:bCs/>
        </w:rPr>
        <w:t>oku</w:t>
      </w:r>
      <w:r w:rsidRPr="00740E72">
        <w:rPr>
          <w:rFonts w:ascii="Arial" w:hAnsi="Arial" w:cs="Arial"/>
          <w:bCs/>
        </w:rPr>
        <w:t xml:space="preserve">, w </w:t>
      </w:r>
      <w:r w:rsidRPr="00740E72">
        <w:rPr>
          <w:rFonts w:ascii="Arial" w:hAnsi="Arial" w:cs="Arial"/>
        </w:rPr>
        <w:t xml:space="preserve">sprawie </w:t>
      </w:r>
      <w:r w:rsidRPr="00740E72">
        <w:rPr>
          <w:rFonts w:ascii="Arial" w:hAnsi="Arial" w:cs="Arial"/>
          <w:b/>
          <w:i/>
          <w:iCs/>
        </w:rPr>
        <w:t xml:space="preserve">Kontrovà przeciwko Słowacji </w:t>
      </w:r>
      <w:r w:rsidRPr="000C42B3">
        <w:rPr>
          <w:rFonts w:ascii="Arial" w:hAnsi="Arial" w:cs="Arial"/>
          <w:bCs/>
          <w:iCs/>
        </w:rPr>
        <w:t>(nr skargi 7510/04)</w:t>
      </w:r>
      <w:r w:rsidRPr="00740E72">
        <w:rPr>
          <w:rFonts w:ascii="Arial" w:hAnsi="Arial" w:cs="Arial"/>
        </w:rPr>
        <w:t xml:space="preserve"> Trybunał stwierdził </w:t>
      </w:r>
      <w:r w:rsidRPr="00740E72">
        <w:rPr>
          <w:rFonts w:ascii="Arial" w:hAnsi="Arial" w:cs="Arial"/>
          <w:b/>
        </w:rPr>
        <w:t>naruszenie art 2 Konwencji</w:t>
      </w:r>
      <w:r w:rsidR="000C42B3">
        <w:rPr>
          <w:rFonts w:ascii="Arial" w:hAnsi="Arial" w:cs="Arial"/>
          <w:b/>
        </w:rPr>
        <w:t xml:space="preserve"> </w:t>
      </w:r>
      <w:r w:rsidRPr="00740E72">
        <w:rPr>
          <w:rFonts w:ascii="Arial" w:hAnsi="Arial" w:cs="Arial"/>
        </w:rPr>
        <w:t xml:space="preserve">wskutek uchybienia </w:t>
      </w:r>
      <w:r w:rsidRPr="00740E72">
        <w:rPr>
          <w:rFonts w:ascii="Arial" w:hAnsi="Arial" w:cs="Arial"/>
          <w:bCs/>
        </w:rPr>
        <w:t xml:space="preserve">pozytywnym obowiązkom państwa w sferze obowiązku prawnej ochrony prawa do życia </w:t>
      </w:r>
      <w:r w:rsidRPr="00740E72">
        <w:rPr>
          <w:rFonts w:ascii="Arial" w:hAnsi="Arial" w:cs="Arial"/>
          <w:bCs/>
        </w:rPr>
        <w:br/>
        <w:t>w</w:t>
      </w:r>
      <w:r w:rsidRPr="00740E72">
        <w:rPr>
          <w:rFonts w:ascii="Arial" w:hAnsi="Arial" w:cs="Arial"/>
          <w:b/>
        </w:rPr>
        <w:t xml:space="preserve"> </w:t>
      </w:r>
      <w:r w:rsidRPr="00740E72">
        <w:rPr>
          <w:rFonts w:ascii="Arial" w:hAnsi="Arial" w:cs="Arial"/>
          <w:bCs/>
        </w:rPr>
        <w:t xml:space="preserve">kontekście przemocy domowej oraz jej tragicznych konsekwencji. </w:t>
      </w:r>
      <w:r w:rsidRPr="002175F0">
        <w:rPr>
          <w:rFonts w:ascii="Arial" w:hAnsi="Arial" w:cs="Arial"/>
          <w:b/>
        </w:rPr>
        <w:t>Uchybienie to polegało</w:t>
      </w:r>
      <w:r w:rsidRPr="00740E72">
        <w:rPr>
          <w:rFonts w:ascii="Arial" w:hAnsi="Arial" w:cs="Arial"/>
          <w:b/>
        </w:rPr>
        <w:t xml:space="preserve"> na zaniechaniu </w:t>
      </w:r>
      <w:r w:rsidRPr="002175F0">
        <w:rPr>
          <w:rFonts w:ascii="Arial" w:hAnsi="Arial" w:cs="Arial"/>
          <w:b/>
        </w:rPr>
        <w:t xml:space="preserve">przez funkcjonariuszy policji podjęcia </w:t>
      </w:r>
      <w:r w:rsidRPr="00740E72">
        <w:rPr>
          <w:rFonts w:ascii="Arial" w:hAnsi="Arial" w:cs="Arial"/>
          <w:b/>
        </w:rPr>
        <w:t xml:space="preserve">wszelkich możliwych środków celem ochrony życia dzieci skarżącej </w:t>
      </w:r>
      <w:r w:rsidRPr="000C42B3">
        <w:rPr>
          <w:rFonts w:ascii="Arial" w:hAnsi="Arial" w:cs="Arial"/>
          <w:bCs/>
        </w:rPr>
        <w:t>(</w:t>
      </w:r>
      <w:r w:rsidRPr="00740E72">
        <w:rPr>
          <w:rFonts w:ascii="Arial" w:hAnsi="Arial" w:cs="Arial"/>
        </w:rPr>
        <w:t xml:space="preserve">które </w:t>
      </w:r>
      <w:r w:rsidR="000C42B3">
        <w:rPr>
          <w:rFonts w:ascii="Arial" w:hAnsi="Arial" w:cs="Arial"/>
        </w:rPr>
        <w:t xml:space="preserve">ci </w:t>
      </w:r>
      <w:r w:rsidRPr="00740E72">
        <w:rPr>
          <w:rFonts w:ascii="Arial" w:hAnsi="Arial" w:cs="Arial"/>
        </w:rPr>
        <w:t>zobowiązani byli przedsięwziąć zgodnie z ustawodawstwem wewnętrznym) i doprowadzenie do umorzenia postępowania przeciw mężowi skarżącej. Przedmiotowa sprawa dotyczyła sytuacji, w której skarżąca w listopadzie 2002 r</w:t>
      </w:r>
      <w:r w:rsidR="000C42B3">
        <w:rPr>
          <w:rFonts w:ascii="Arial" w:hAnsi="Arial" w:cs="Arial"/>
        </w:rPr>
        <w:t>oku</w:t>
      </w:r>
      <w:r w:rsidRPr="00740E72">
        <w:rPr>
          <w:rFonts w:ascii="Arial" w:hAnsi="Arial" w:cs="Arial"/>
        </w:rPr>
        <w:t xml:space="preserve"> złożyła zawiadomienie o popełnieniu przestępstwa przez męża, które polegało na tym, że dopuścił się napaści na nią i pobił ją kablem elektrycznym. Równocześnie wskazała na długi okres fizycznego i psychicznego znęcania się nad nią. Następnie, w towarzystwie męża uzyskała od prowadzącego sprawę funkcjonariusza policji poradę co do działań, które powinna podjąć, by sprawa nie zakończyła się oskarżeniem. Później w asyście męża próbowała wycofać zawiadomienie. W konsekwencji zmieniła jego treść w taki sposób, że domniemane działania jej męża zostały potraktowane jako drobne wykroczenie, które nie wymagało podejmowania dalszych działań. Niecałe dwa miesiące po tym zdarzeniu mąż skarżącej zastrzelił ich dzieci (urodzone w 1997 r</w:t>
      </w:r>
      <w:r w:rsidR="000C42B3">
        <w:rPr>
          <w:rFonts w:ascii="Arial" w:hAnsi="Arial" w:cs="Arial"/>
        </w:rPr>
        <w:t>oku</w:t>
      </w:r>
      <w:r w:rsidRPr="00740E72">
        <w:rPr>
          <w:rFonts w:ascii="Arial" w:hAnsi="Arial" w:cs="Arial"/>
        </w:rPr>
        <w:t xml:space="preserve"> </w:t>
      </w:r>
      <w:r w:rsidR="000C42B3">
        <w:rPr>
          <w:rFonts w:ascii="Arial" w:hAnsi="Arial" w:cs="Arial"/>
        </w:rPr>
        <w:t>i</w:t>
      </w:r>
      <w:r w:rsidRPr="00740E72">
        <w:rPr>
          <w:rFonts w:ascii="Arial" w:hAnsi="Arial" w:cs="Arial"/>
        </w:rPr>
        <w:t xml:space="preserve"> 2001 r</w:t>
      </w:r>
      <w:r w:rsidR="000C42B3">
        <w:rPr>
          <w:rFonts w:ascii="Arial" w:hAnsi="Arial" w:cs="Arial"/>
        </w:rPr>
        <w:t>oku</w:t>
      </w:r>
      <w:r w:rsidRPr="00740E72">
        <w:rPr>
          <w:rFonts w:ascii="Arial" w:hAnsi="Arial" w:cs="Arial"/>
        </w:rPr>
        <w:t xml:space="preserve">). Kilka dni wcześniej członek rodziny skarżącej oraz sama skarżąca zawiadomili telefonicznie policję, że mąż ma broń i groził, że zabije siebie i dzieci. Po przybyciu patrolu okazało się, że mąż skarżącej opuścił mieszkanie.  Po tragicznym zdarzeniu skarżąca nie otrzymała żadnego zadośćuczynienia. </w:t>
      </w:r>
    </w:p>
    <w:p w14:paraId="3B37B32E" w14:textId="5405104A" w:rsidR="004E2677" w:rsidRDefault="003C482F" w:rsidP="00780FE0">
      <w:pPr>
        <w:spacing w:line="360" w:lineRule="auto"/>
        <w:contextualSpacing/>
        <w:jc w:val="both"/>
        <w:rPr>
          <w:rFonts w:ascii="Arial" w:hAnsi="Arial" w:cs="Arial"/>
          <w:b/>
        </w:rPr>
      </w:pPr>
      <w:r w:rsidRPr="00740E72">
        <w:rPr>
          <w:rFonts w:ascii="Arial" w:hAnsi="Arial" w:cs="Arial"/>
          <w:b/>
        </w:rPr>
        <w:t>Trybunał, stwierdzając naruszenie art. 2</w:t>
      </w:r>
      <w:r w:rsidRPr="00740E72">
        <w:rPr>
          <w:rFonts w:ascii="Arial" w:hAnsi="Arial" w:cs="Arial"/>
        </w:rPr>
        <w:t xml:space="preserve"> (prawo do życia)</w:t>
      </w:r>
      <w:hyperlink r:id="rId29">
        <w:r w:rsidRPr="00740E72">
          <w:rPr>
            <w:rFonts w:ascii="Arial" w:hAnsi="Arial" w:cs="Arial"/>
          </w:rPr>
          <w:t xml:space="preserve"> Konwencji</w:t>
        </w:r>
      </w:hyperlink>
      <w:r w:rsidRPr="00740E72">
        <w:rPr>
          <w:rFonts w:ascii="Arial" w:hAnsi="Arial" w:cs="Arial"/>
        </w:rPr>
        <w:t xml:space="preserve"> w zakresie braku ochrony życia dzieci skarżącej przez władze krajowe, </w:t>
      </w:r>
      <w:r w:rsidRPr="00740E72">
        <w:rPr>
          <w:rFonts w:ascii="Arial" w:hAnsi="Arial" w:cs="Arial"/>
          <w:b/>
        </w:rPr>
        <w:t xml:space="preserve">powołał się na orzeczenie w sprawie </w:t>
      </w:r>
      <w:r w:rsidRPr="00740E72">
        <w:rPr>
          <w:rFonts w:ascii="Arial" w:hAnsi="Arial" w:cs="Arial"/>
          <w:b/>
          <w:i/>
          <w:iCs/>
        </w:rPr>
        <w:t xml:space="preserve">Osman p. Turcji </w:t>
      </w:r>
      <w:r w:rsidR="009C6BD9" w:rsidRPr="00740E72">
        <w:rPr>
          <w:rFonts w:ascii="Arial" w:hAnsi="Arial" w:cs="Arial"/>
          <w:b/>
        </w:rPr>
        <w:t>i</w:t>
      </w:r>
      <w:r w:rsidRPr="00740E72">
        <w:rPr>
          <w:rFonts w:ascii="Arial" w:hAnsi="Arial" w:cs="Arial"/>
          <w:b/>
        </w:rPr>
        <w:t xml:space="preserve"> przypomniał, że państwo ma obowiązek podjęcia odpowiednich kroków, mających na celu ochronę osób podlegających jego jurysdykcji. </w:t>
      </w:r>
    </w:p>
    <w:p w14:paraId="2DC94140" w14:textId="0998851F" w:rsidR="00E04C9A" w:rsidRPr="002175F0" w:rsidRDefault="003C482F" w:rsidP="002175F0">
      <w:pPr>
        <w:spacing w:line="360" w:lineRule="auto"/>
        <w:contextualSpacing/>
        <w:jc w:val="both"/>
        <w:rPr>
          <w:rFonts w:ascii="Arial" w:hAnsi="Arial" w:cs="Arial"/>
          <w:b/>
        </w:rPr>
      </w:pPr>
      <w:r w:rsidRPr="00740E72">
        <w:rPr>
          <w:rFonts w:ascii="Arial" w:hAnsi="Arial" w:cs="Arial"/>
          <w:bCs/>
        </w:rPr>
        <w:t xml:space="preserve">Trybunał zwrócił również uwagę, że policja znała sytuację przemocy w domu skarżącej, wiedziała o groźbach jej męża i o posiadaniu przez niego broni, a mimo to nie podjęła działania ani nie reagowała na prośby skarżącej o interwencję w celu ochrony życia jej dzieci. Jak stwierdziły sądy krajowe i jak przyznał rząd słowacki, </w:t>
      </w:r>
      <w:r w:rsidRPr="002175F0">
        <w:rPr>
          <w:rFonts w:ascii="Arial" w:hAnsi="Arial" w:cs="Arial"/>
          <w:b/>
        </w:rPr>
        <w:t xml:space="preserve">policja w tej sprawie nie dopełniła swoich obowiązków, a bezpośrednią konsekwencją tych uchybień była śmierć dzieci skarżącej. </w:t>
      </w:r>
    </w:p>
    <w:p w14:paraId="4D06EDBC" w14:textId="7B124D91" w:rsidR="003C482F" w:rsidRDefault="003C482F" w:rsidP="00E04C9A">
      <w:pPr>
        <w:spacing w:before="240" w:line="360" w:lineRule="auto"/>
        <w:jc w:val="both"/>
        <w:rPr>
          <w:rFonts w:ascii="Arial" w:hAnsi="Arial" w:cs="Arial"/>
          <w:bCs/>
        </w:rPr>
      </w:pPr>
      <w:r w:rsidRPr="004458AE">
        <w:rPr>
          <w:rFonts w:ascii="Arial" w:hAnsi="Arial" w:cs="Arial"/>
          <w:bCs/>
        </w:rPr>
        <w:t xml:space="preserve">Ponadto Trybunał orzekł, że </w:t>
      </w:r>
      <w:r w:rsidRPr="004458AE">
        <w:rPr>
          <w:rFonts w:ascii="Arial" w:hAnsi="Arial" w:cs="Arial"/>
          <w:b/>
        </w:rPr>
        <w:t xml:space="preserve">doszło do naruszenia art. 13 </w:t>
      </w:r>
      <w:r w:rsidRPr="004458AE">
        <w:rPr>
          <w:rFonts w:ascii="Arial" w:hAnsi="Arial" w:cs="Arial"/>
          <w:bCs/>
        </w:rPr>
        <w:t xml:space="preserve">(prawo do skutecznego środka odwoławczego) Konwencji, </w:t>
      </w:r>
      <w:r w:rsidRPr="004458AE">
        <w:rPr>
          <w:rFonts w:ascii="Arial" w:hAnsi="Arial" w:cs="Arial"/>
          <w:b/>
        </w:rPr>
        <w:t>ponieważ skarżąca (matka) nie miała możliwości dochodzenia na szczeblu krajowym stosownego odszkodowania za szkodę niemajątkową</w:t>
      </w:r>
      <w:r w:rsidRPr="004458AE">
        <w:rPr>
          <w:rFonts w:ascii="Arial" w:hAnsi="Arial" w:cs="Arial"/>
          <w:bCs/>
        </w:rPr>
        <w:t xml:space="preserve">. </w:t>
      </w:r>
    </w:p>
    <w:p w14:paraId="6F5AED7D" w14:textId="1B57F5F5" w:rsidR="004E2677" w:rsidRDefault="00780FE0" w:rsidP="00780FE0">
      <w:pPr>
        <w:pStyle w:val="Tekstpodstawowy"/>
        <w:spacing w:before="1" w:line="360" w:lineRule="auto"/>
        <w:ind w:left="0" w:hanging="1"/>
        <w:rPr>
          <w:rFonts w:ascii="Arial" w:hAnsi="Arial" w:cs="Arial"/>
          <w:sz w:val="22"/>
          <w:szCs w:val="22"/>
        </w:rPr>
      </w:pPr>
      <w:r w:rsidRPr="004458AE">
        <w:rPr>
          <w:rFonts w:ascii="Arial" w:hAnsi="Arial" w:cs="Arial"/>
          <w:sz w:val="22"/>
          <w:szCs w:val="22"/>
        </w:rPr>
        <w:t xml:space="preserve">Kolejną sprawą, którą należy uznać za szczególnie istotną w kontekście standardów ochrony </w:t>
      </w:r>
      <w:r w:rsidRPr="004458AE">
        <w:rPr>
          <w:rFonts w:ascii="Arial" w:hAnsi="Arial" w:cs="Arial"/>
          <w:sz w:val="22"/>
          <w:szCs w:val="22"/>
        </w:rPr>
        <w:lastRenderedPageBreak/>
        <w:t xml:space="preserve">ofiar przemocy domowej jest sprawa </w:t>
      </w:r>
      <w:hyperlink r:id="rId30">
        <w:r w:rsidRPr="004458AE">
          <w:rPr>
            <w:rFonts w:ascii="Arial" w:hAnsi="Arial" w:cs="Arial"/>
            <w:b/>
            <w:bCs/>
            <w:i/>
            <w:iCs/>
            <w:sz w:val="22"/>
            <w:szCs w:val="22"/>
          </w:rPr>
          <w:t>Talpis przeciwko Włochom</w:t>
        </w:r>
      </w:hyperlink>
      <w:r w:rsidRPr="004458AE">
        <w:rPr>
          <w:rFonts w:ascii="Arial" w:hAnsi="Arial" w:cs="Arial"/>
          <w:b/>
          <w:bCs/>
          <w:i/>
          <w:iCs/>
          <w:sz w:val="22"/>
          <w:szCs w:val="22"/>
        </w:rPr>
        <w:t xml:space="preserve"> </w:t>
      </w:r>
      <w:r w:rsidRPr="000C42B3">
        <w:rPr>
          <w:rFonts w:ascii="Arial" w:hAnsi="Arial" w:cs="Arial"/>
          <w:sz w:val="22"/>
          <w:szCs w:val="22"/>
        </w:rPr>
        <w:t>(nr skargi 41237/14).</w:t>
      </w:r>
      <w:r w:rsidRPr="004458AE">
        <w:rPr>
          <w:rFonts w:ascii="Arial" w:hAnsi="Arial" w:cs="Arial"/>
          <w:b/>
          <w:bCs/>
          <w:sz w:val="22"/>
          <w:szCs w:val="22"/>
        </w:rPr>
        <w:t xml:space="preserve"> </w:t>
      </w:r>
      <w:r w:rsidRPr="008978CD">
        <w:rPr>
          <w:rFonts w:ascii="Arial" w:hAnsi="Arial" w:cs="Arial"/>
          <w:sz w:val="22"/>
          <w:szCs w:val="22"/>
        </w:rPr>
        <w:t>D</w:t>
      </w:r>
      <w:r w:rsidRPr="004458AE">
        <w:rPr>
          <w:rFonts w:ascii="Arial" w:hAnsi="Arial" w:cs="Arial"/>
          <w:sz w:val="22"/>
          <w:szCs w:val="22"/>
        </w:rPr>
        <w:t xml:space="preserve">otyczyła ona przemocy małżeńskiej, której ofiarą padła skarżąca </w:t>
      </w:r>
      <w:r w:rsidR="000C42B3">
        <w:rPr>
          <w:rFonts w:ascii="Arial" w:hAnsi="Arial" w:cs="Arial"/>
          <w:sz w:val="22"/>
          <w:szCs w:val="22"/>
        </w:rPr>
        <w:t>i</w:t>
      </w:r>
      <w:r w:rsidRPr="004458AE">
        <w:rPr>
          <w:rFonts w:ascii="Arial" w:hAnsi="Arial" w:cs="Arial"/>
          <w:sz w:val="22"/>
          <w:szCs w:val="22"/>
        </w:rPr>
        <w:t xml:space="preserve"> w wyniku której doszło do zabójstwa jej syna, a także usiłowania zabójstwa skarżącej</w:t>
      </w:r>
      <w:r>
        <w:rPr>
          <w:rFonts w:ascii="Arial" w:hAnsi="Arial" w:cs="Arial"/>
          <w:sz w:val="22"/>
          <w:szCs w:val="22"/>
        </w:rPr>
        <w:t xml:space="preserve"> po tym jak mąż opuścił szpital, do którego wcześniej został zabrany w stanie upojenia alkoholowego w wyniku interwencji domowej</w:t>
      </w:r>
      <w:r w:rsidRPr="004458AE">
        <w:rPr>
          <w:rFonts w:ascii="Arial" w:hAnsi="Arial" w:cs="Arial"/>
          <w:sz w:val="22"/>
          <w:szCs w:val="22"/>
        </w:rPr>
        <w:t xml:space="preserve">. </w:t>
      </w:r>
      <w:r w:rsidR="000C42B3">
        <w:rPr>
          <w:rFonts w:ascii="Arial" w:hAnsi="Arial" w:cs="Arial"/>
          <w:sz w:val="22"/>
          <w:szCs w:val="22"/>
        </w:rPr>
        <w:t>Skarżąca w</w:t>
      </w:r>
      <w:r w:rsidR="003449F6">
        <w:rPr>
          <w:rFonts w:ascii="Arial" w:hAnsi="Arial" w:cs="Arial"/>
          <w:sz w:val="22"/>
          <w:szCs w:val="22"/>
        </w:rPr>
        <w:t xml:space="preserve">cześniej zgłaszała się na Policję w związku z atakami męża i domagała się od władz szybkiego działania dla ochrony jej i dzieci. Okresowo przebywała ośrodku stowarzyszenia na rzecz kobiet - ofiar przemocy, </w:t>
      </w:r>
      <w:r w:rsidR="008F5AC3">
        <w:rPr>
          <w:rFonts w:ascii="Arial" w:hAnsi="Arial" w:cs="Arial"/>
          <w:sz w:val="22"/>
          <w:szCs w:val="22"/>
        </w:rPr>
        <w:t>okresowo była z</w:t>
      </w:r>
      <w:r w:rsidR="003449F6">
        <w:rPr>
          <w:rFonts w:ascii="Arial" w:hAnsi="Arial" w:cs="Arial"/>
          <w:sz w:val="22"/>
          <w:szCs w:val="22"/>
        </w:rPr>
        <w:t>atrudni</w:t>
      </w:r>
      <w:r w:rsidR="008F5AC3">
        <w:rPr>
          <w:rFonts w:ascii="Arial" w:hAnsi="Arial" w:cs="Arial"/>
          <w:sz w:val="22"/>
          <w:szCs w:val="22"/>
        </w:rPr>
        <w:t xml:space="preserve">ona </w:t>
      </w:r>
      <w:r w:rsidR="003449F6">
        <w:rPr>
          <w:rFonts w:ascii="Arial" w:hAnsi="Arial" w:cs="Arial"/>
          <w:sz w:val="22"/>
          <w:szCs w:val="22"/>
        </w:rPr>
        <w:t>jako opiekunka</w:t>
      </w:r>
      <w:r w:rsidR="00E47D1A">
        <w:rPr>
          <w:rFonts w:ascii="Arial" w:hAnsi="Arial" w:cs="Arial"/>
          <w:sz w:val="22"/>
          <w:szCs w:val="22"/>
        </w:rPr>
        <w:t>, co umożliwiło jej wynajęcie mieszkania. W tym czasie  nadal była nękana (telefonicznie) przez męża. W trakcie składania zeznań złagodziła zarzuty</w:t>
      </w:r>
      <w:r w:rsidR="004E2677">
        <w:rPr>
          <w:rFonts w:ascii="Arial" w:hAnsi="Arial" w:cs="Arial"/>
          <w:sz w:val="22"/>
          <w:szCs w:val="22"/>
        </w:rPr>
        <w:t>, a s</w:t>
      </w:r>
      <w:r w:rsidR="00E47D1A">
        <w:rPr>
          <w:rFonts w:ascii="Arial" w:hAnsi="Arial" w:cs="Arial"/>
          <w:sz w:val="22"/>
          <w:szCs w:val="22"/>
        </w:rPr>
        <w:t>prawa dotycząca złego traktowania</w:t>
      </w:r>
      <w:r w:rsidR="00E47D1A">
        <w:rPr>
          <w:rFonts w:ascii="Arial" w:hAnsi="Arial" w:cs="Arial"/>
          <w:sz w:val="22"/>
          <w:szCs w:val="22"/>
        </w:rPr>
        <w:br/>
        <w:t>i gróźb została umorzona.</w:t>
      </w:r>
      <w:r w:rsidR="008F5AC3">
        <w:rPr>
          <w:rFonts w:ascii="Arial" w:hAnsi="Arial" w:cs="Arial"/>
          <w:sz w:val="22"/>
          <w:szCs w:val="22"/>
        </w:rPr>
        <w:t xml:space="preserve"> </w:t>
      </w:r>
    </w:p>
    <w:p w14:paraId="50CE0290" w14:textId="09F6B74B" w:rsidR="004E2677" w:rsidRPr="004458AE" w:rsidRDefault="00780FE0" w:rsidP="002175F0">
      <w:pPr>
        <w:pStyle w:val="Tekstpodstawowy"/>
        <w:spacing w:line="360" w:lineRule="auto"/>
        <w:ind w:left="0" w:hanging="1"/>
        <w:rPr>
          <w:rFonts w:ascii="Arial" w:hAnsi="Arial" w:cs="Arial"/>
          <w:b/>
          <w:bCs/>
          <w:sz w:val="22"/>
          <w:szCs w:val="22"/>
        </w:rPr>
      </w:pPr>
      <w:r w:rsidRPr="004458AE">
        <w:rPr>
          <w:rFonts w:ascii="Arial" w:hAnsi="Arial" w:cs="Arial"/>
          <w:b/>
          <w:bCs/>
          <w:sz w:val="22"/>
          <w:szCs w:val="22"/>
        </w:rPr>
        <w:t>W wyroku z 2 marca 2017 r</w:t>
      </w:r>
      <w:r w:rsidR="000C42B3">
        <w:rPr>
          <w:rFonts w:ascii="Arial" w:hAnsi="Arial" w:cs="Arial"/>
          <w:b/>
          <w:bCs/>
          <w:sz w:val="22"/>
          <w:szCs w:val="22"/>
        </w:rPr>
        <w:t>oku</w:t>
      </w:r>
      <w:r w:rsidRPr="004458AE">
        <w:rPr>
          <w:rFonts w:ascii="Arial" w:hAnsi="Arial" w:cs="Arial"/>
          <w:b/>
          <w:bCs/>
          <w:sz w:val="22"/>
          <w:szCs w:val="22"/>
        </w:rPr>
        <w:t xml:space="preserve"> </w:t>
      </w:r>
      <w:r>
        <w:rPr>
          <w:rFonts w:ascii="Arial" w:hAnsi="Arial" w:cs="Arial"/>
          <w:b/>
          <w:bCs/>
          <w:sz w:val="22"/>
          <w:szCs w:val="22"/>
        </w:rPr>
        <w:t xml:space="preserve">Trybunał </w:t>
      </w:r>
      <w:r w:rsidRPr="00877781">
        <w:rPr>
          <w:rFonts w:ascii="Arial" w:hAnsi="Arial" w:cs="Arial"/>
          <w:sz w:val="22"/>
          <w:szCs w:val="22"/>
        </w:rPr>
        <w:t xml:space="preserve">orzekł, że </w:t>
      </w:r>
      <w:r w:rsidRPr="004458AE">
        <w:rPr>
          <w:rFonts w:ascii="Arial" w:hAnsi="Arial" w:cs="Arial"/>
          <w:sz w:val="22"/>
          <w:szCs w:val="22"/>
        </w:rPr>
        <w:t xml:space="preserve">ze względu na zabójstwo syna skarżącej i usiłowanie zabójstwa </w:t>
      </w:r>
      <w:r>
        <w:rPr>
          <w:rFonts w:ascii="Arial" w:hAnsi="Arial" w:cs="Arial"/>
          <w:sz w:val="22"/>
          <w:szCs w:val="22"/>
        </w:rPr>
        <w:t xml:space="preserve">samej </w:t>
      </w:r>
      <w:r w:rsidRPr="004458AE">
        <w:rPr>
          <w:rFonts w:ascii="Arial" w:hAnsi="Arial" w:cs="Arial"/>
          <w:sz w:val="22"/>
          <w:szCs w:val="22"/>
        </w:rPr>
        <w:t>skarżącej</w:t>
      </w:r>
      <w:r>
        <w:rPr>
          <w:rFonts w:ascii="Arial" w:hAnsi="Arial" w:cs="Arial"/>
          <w:sz w:val="22"/>
          <w:szCs w:val="22"/>
        </w:rPr>
        <w:t xml:space="preserve"> </w:t>
      </w:r>
      <w:r w:rsidRPr="00877781">
        <w:rPr>
          <w:rFonts w:ascii="Arial" w:hAnsi="Arial" w:cs="Arial"/>
          <w:sz w:val="22"/>
          <w:szCs w:val="22"/>
        </w:rPr>
        <w:t>doszło do naruszenia art.</w:t>
      </w:r>
      <w:r w:rsidR="000C42B3">
        <w:rPr>
          <w:rFonts w:ascii="Arial" w:hAnsi="Arial" w:cs="Arial"/>
          <w:sz w:val="22"/>
          <w:szCs w:val="22"/>
        </w:rPr>
        <w:t xml:space="preserve"> </w:t>
      </w:r>
      <w:r w:rsidRPr="00877781">
        <w:rPr>
          <w:rFonts w:ascii="Arial" w:hAnsi="Arial" w:cs="Arial"/>
          <w:sz w:val="22"/>
          <w:szCs w:val="22"/>
        </w:rPr>
        <w:t>2</w:t>
      </w:r>
      <w:r w:rsidRPr="004458AE">
        <w:rPr>
          <w:rFonts w:ascii="Arial" w:hAnsi="Arial" w:cs="Arial"/>
          <w:sz w:val="22"/>
          <w:szCs w:val="22"/>
        </w:rPr>
        <w:t xml:space="preserve"> Konwencji. Trybunał stwierdził w szczególności, że </w:t>
      </w:r>
      <w:r w:rsidR="00E47D1A" w:rsidRPr="002175F0">
        <w:rPr>
          <w:rFonts w:ascii="Arial" w:hAnsi="Arial" w:cs="Arial"/>
          <w:b/>
          <w:bCs/>
          <w:sz w:val="22"/>
          <w:szCs w:val="22"/>
        </w:rPr>
        <w:t>władze</w:t>
      </w:r>
      <w:r w:rsidRPr="00E47D1A">
        <w:rPr>
          <w:rFonts w:ascii="Arial" w:hAnsi="Arial" w:cs="Arial"/>
          <w:b/>
          <w:bCs/>
          <w:sz w:val="22"/>
          <w:szCs w:val="22"/>
        </w:rPr>
        <w:t xml:space="preserve"> </w:t>
      </w:r>
      <w:r w:rsidRPr="00877781">
        <w:rPr>
          <w:rFonts w:ascii="Arial" w:hAnsi="Arial" w:cs="Arial"/>
          <w:b/>
          <w:bCs/>
          <w:sz w:val="22"/>
          <w:szCs w:val="22"/>
        </w:rPr>
        <w:t xml:space="preserve">krajowe nie podejmując natychmiastowych działań w związku ze skargą złożoną przez skarżącą, pozbawiły ją jakiejkolwiek skuteczności, stwarzając sytuację bezkarności sprzyjającą ponownemu popełnianiu aktów przemocy, które następnie doprowadziły do usiłowania zabójstwa skarżącej i śmierci jej syna. </w:t>
      </w:r>
      <w:r w:rsidR="004E2677" w:rsidRPr="004458AE">
        <w:rPr>
          <w:rFonts w:ascii="Arial" w:hAnsi="Arial" w:cs="Arial"/>
          <w:sz w:val="22"/>
          <w:szCs w:val="22"/>
        </w:rPr>
        <w:t xml:space="preserve">Trybunał </w:t>
      </w:r>
      <w:r w:rsidR="004E2677">
        <w:rPr>
          <w:rFonts w:ascii="Arial" w:hAnsi="Arial" w:cs="Arial"/>
          <w:sz w:val="22"/>
          <w:szCs w:val="22"/>
        </w:rPr>
        <w:t>uznał</w:t>
      </w:r>
      <w:r w:rsidR="004E2677" w:rsidRPr="004458AE">
        <w:rPr>
          <w:rFonts w:ascii="Arial" w:hAnsi="Arial" w:cs="Arial"/>
          <w:sz w:val="22"/>
          <w:szCs w:val="22"/>
        </w:rPr>
        <w:t xml:space="preserve"> </w:t>
      </w:r>
      <w:r w:rsidR="004E2677" w:rsidRPr="00877781">
        <w:rPr>
          <w:rFonts w:ascii="Arial" w:hAnsi="Arial" w:cs="Arial"/>
          <w:sz w:val="22"/>
          <w:szCs w:val="22"/>
        </w:rPr>
        <w:t>również, że doszło do naruszenia</w:t>
      </w:r>
      <w:r w:rsidR="004E2677" w:rsidRPr="00877781">
        <w:rPr>
          <w:rFonts w:ascii="Arial" w:hAnsi="Arial" w:cs="Arial"/>
          <w:b/>
          <w:sz w:val="22"/>
          <w:szCs w:val="22"/>
        </w:rPr>
        <w:t xml:space="preserve"> art. 3</w:t>
      </w:r>
      <w:r w:rsidR="004E2677" w:rsidRPr="00877781">
        <w:rPr>
          <w:rFonts w:ascii="Arial" w:hAnsi="Arial" w:cs="Arial"/>
          <w:sz w:val="22"/>
          <w:szCs w:val="22"/>
        </w:rPr>
        <w:t xml:space="preserve"> Konwencji ze względu na niedopełnienie przez władze obowiązku ochrony skarżącej przed aktami przemocy domowej. </w:t>
      </w:r>
    </w:p>
    <w:p w14:paraId="581DD4AB" w14:textId="7F8239C0" w:rsidR="004E2677" w:rsidRDefault="008978CD" w:rsidP="003245AC">
      <w:pPr>
        <w:pStyle w:val="Tekstpodstawowy"/>
        <w:spacing w:after="240" w:line="360" w:lineRule="auto"/>
        <w:ind w:left="0"/>
        <w:contextualSpacing/>
        <w:rPr>
          <w:rFonts w:ascii="Arial" w:hAnsi="Arial" w:cs="Arial"/>
          <w:sz w:val="22"/>
          <w:szCs w:val="22"/>
        </w:rPr>
      </w:pPr>
      <w:r w:rsidRPr="004458AE">
        <w:rPr>
          <w:rFonts w:ascii="Arial" w:hAnsi="Arial" w:cs="Arial"/>
          <w:sz w:val="22"/>
          <w:szCs w:val="22"/>
        </w:rPr>
        <w:t xml:space="preserve">Mając na uwadze okoliczności przedmiotowej sprawy </w:t>
      </w:r>
      <w:r w:rsidR="004E2677">
        <w:rPr>
          <w:rFonts w:ascii="Arial" w:hAnsi="Arial" w:cs="Arial"/>
          <w:sz w:val="22"/>
          <w:szCs w:val="22"/>
        </w:rPr>
        <w:t xml:space="preserve">w szczególności </w:t>
      </w:r>
      <w:r w:rsidRPr="004458AE">
        <w:rPr>
          <w:rFonts w:ascii="Arial" w:hAnsi="Arial" w:cs="Arial"/>
          <w:sz w:val="22"/>
          <w:szCs w:val="22"/>
        </w:rPr>
        <w:t xml:space="preserve">warto zwrócić uwagę na rozważania </w:t>
      </w:r>
      <w:r w:rsidR="00817035">
        <w:rPr>
          <w:rFonts w:ascii="Arial" w:hAnsi="Arial" w:cs="Arial"/>
          <w:sz w:val="22"/>
          <w:szCs w:val="22"/>
        </w:rPr>
        <w:t xml:space="preserve">oraz </w:t>
      </w:r>
      <w:r w:rsidRPr="004458AE">
        <w:rPr>
          <w:rFonts w:ascii="Arial" w:hAnsi="Arial" w:cs="Arial"/>
          <w:sz w:val="22"/>
          <w:szCs w:val="22"/>
        </w:rPr>
        <w:t xml:space="preserve">na wnioski Trybunału w części dotyczącej </w:t>
      </w:r>
      <w:r w:rsidRPr="002175F0">
        <w:rPr>
          <w:rFonts w:ascii="Arial" w:hAnsi="Arial" w:cs="Arial"/>
          <w:b/>
          <w:bCs/>
          <w:sz w:val="22"/>
          <w:szCs w:val="22"/>
        </w:rPr>
        <w:t>art. 2</w:t>
      </w:r>
      <w:r w:rsidRPr="004458AE">
        <w:rPr>
          <w:rFonts w:ascii="Arial" w:hAnsi="Arial" w:cs="Arial"/>
          <w:sz w:val="22"/>
          <w:szCs w:val="22"/>
        </w:rPr>
        <w:t xml:space="preserve"> Konwencji. W pierwszej kolejności Trybunał zauważył, że niewątpliwie </w:t>
      </w:r>
      <w:r w:rsidR="00817035">
        <w:rPr>
          <w:rFonts w:ascii="Arial" w:hAnsi="Arial" w:cs="Arial"/>
          <w:sz w:val="22"/>
          <w:szCs w:val="22"/>
        </w:rPr>
        <w:t xml:space="preserve">art. 2 </w:t>
      </w:r>
      <w:r w:rsidR="00780FE0">
        <w:rPr>
          <w:rFonts w:ascii="Arial" w:hAnsi="Arial" w:cs="Arial"/>
          <w:sz w:val="22"/>
          <w:szCs w:val="22"/>
        </w:rPr>
        <w:t xml:space="preserve">Konwencji </w:t>
      </w:r>
      <w:r w:rsidRPr="004458AE">
        <w:rPr>
          <w:rFonts w:ascii="Arial" w:hAnsi="Arial" w:cs="Arial"/>
          <w:sz w:val="22"/>
          <w:szCs w:val="22"/>
        </w:rPr>
        <w:t xml:space="preserve">miał zastosowanie do śmierci syna skarżącej. </w:t>
      </w:r>
      <w:r w:rsidRPr="002175F0">
        <w:rPr>
          <w:rFonts w:ascii="Arial" w:hAnsi="Arial" w:cs="Arial"/>
          <w:b/>
          <w:bCs/>
          <w:sz w:val="22"/>
          <w:szCs w:val="22"/>
        </w:rPr>
        <w:t>Chociaż siła użyta wobec skarżącej w rezultacie nie okazała się śmiertelna, to w ocenie Trybunału skarżąca była ofiarą działania z natury zagrażającego życiu, nawet jeśli mimo poważnych obrażeń cielesnych udało jej się przeżyć.</w:t>
      </w:r>
      <w:r w:rsidRPr="004458AE">
        <w:rPr>
          <w:rFonts w:ascii="Arial" w:hAnsi="Arial" w:cs="Arial"/>
          <w:sz w:val="22"/>
          <w:szCs w:val="22"/>
        </w:rPr>
        <w:t xml:space="preserve"> </w:t>
      </w:r>
      <w:r w:rsidR="004E2677">
        <w:rPr>
          <w:rFonts w:ascii="Arial" w:hAnsi="Arial" w:cs="Arial"/>
          <w:sz w:val="22"/>
          <w:szCs w:val="22"/>
        </w:rPr>
        <w:br/>
      </w:r>
      <w:r w:rsidRPr="004458AE">
        <w:rPr>
          <w:rFonts w:ascii="Arial" w:hAnsi="Arial" w:cs="Arial"/>
          <w:sz w:val="22"/>
          <w:szCs w:val="22"/>
        </w:rPr>
        <w:t xml:space="preserve">Art. 2 </w:t>
      </w:r>
      <w:r w:rsidR="006A74BD">
        <w:rPr>
          <w:rFonts w:ascii="Arial" w:hAnsi="Arial" w:cs="Arial"/>
          <w:sz w:val="22"/>
          <w:szCs w:val="22"/>
        </w:rPr>
        <w:t xml:space="preserve">Konwencji </w:t>
      </w:r>
      <w:r w:rsidRPr="004458AE">
        <w:rPr>
          <w:rFonts w:ascii="Arial" w:hAnsi="Arial" w:cs="Arial"/>
          <w:sz w:val="22"/>
          <w:szCs w:val="22"/>
        </w:rPr>
        <w:t>miał więc w tym przypadku zastosowanie również do skarżącej.</w:t>
      </w:r>
    </w:p>
    <w:p w14:paraId="36AF797D" w14:textId="41EE7F13" w:rsidR="008978CD" w:rsidRPr="006A74BD" w:rsidRDefault="008978CD" w:rsidP="003245AC">
      <w:pPr>
        <w:pStyle w:val="Tekstpodstawowy"/>
        <w:spacing w:before="240" w:after="240" w:line="360" w:lineRule="auto"/>
        <w:ind w:left="0"/>
        <w:contextualSpacing/>
        <w:rPr>
          <w:rFonts w:ascii="Arial" w:hAnsi="Arial" w:cs="Arial"/>
          <w:b/>
          <w:bCs/>
          <w:sz w:val="22"/>
          <w:szCs w:val="22"/>
        </w:rPr>
      </w:pPr>
      <w:r w:rsidRPr="002175F0">
        <w:rPr>
          <w:rFonts w:ascii="Arial" w:hAnsi="Arial" w:cs="Arial"/>
          <w:b/>
          <w:bCs/>
          <w:sz w:val="22"/>
          <w:szCs w:val="22"/>
        </w:rPr>
        <w:t>Do organów krajowych należała ocena szczególnej niepewności I bezbronności</w:t>
      </w:r>
      <w:r w:rsidR="006A74BD">
        <w:rPr>
          <w:rFonts w:ascii="Arial" w:hAnsi="Arial" w:cs="Arial"/>
          <w:b/>
          <w:bCs/>
          <w:sz w:val="22"/>
          <w:szCs w:val="22"/>
        </w:rPr>
        <w:t>,</w:t>
      </w:r>
      <w:r w:rsidRPr="002175F0">
        <w:rPr>
          <w:rFonts w:ascii="Arial" w:hAnsi="Arial" w:cs="Arial"/>
          <w:b/>
          <w:bCs/>
          <w:sz w:val="22"/>
          <w:szCs w:val="22"/>
        </w:rPr>
        <w:t xml:space="preserve"> w jakiej znalazła się skarżąca, nie tylko fizycznej, ale także psychicznej i materialnej oraz dostosowanie do niej środków ochrony po uprzednim dokonaniu oceny ryzyka nowych ataków, co jednak w tej sprawie nie nastąpiło. </w:t>
      </w:r>
    </w:p>
    <w:p w14:paraId="363C3379" w14:textId="77777777" w:rsidR="003245AC" w:rsidRDefault="008978CD" w:rsidP="003245AC">
      <w:pPr>
        <w:pStyle w:val="Tekstpodstawowy"/>
        <w:spacing w:after="240" w:line="360" w:lineRule="auto"/>
        <w:ind w:left="0"/>
        <w:contextualSpacing/>
        <w:rPr>
          <w:rFonts w:ascii="Arial" w:hAnsi="Arial" w:cs="Arial"/>
          <w:sz w:val="22"/>
          <w:szCs w:val="22"/>
          <w:lang w:val="pl"/>
        </w:rPr>
      </w:pPr>
      <w:r w:rsidRPr="004458AE">
        <w:rPr>
          <w:rFonts w:ascii="Arial" w:hAnsi="Arial" w:cs="Arial"/>
          <w:sz w:val="22"/>
          <w:szCs w:val="22"/>
        </w:rPr>
        <w:t xml:space="preserve">W </w:t>
      </w:r>
      <w:r w:rsidR="00B30626">
        <w:rPr>
          <w:rFonts w:ascii="Arial" w:hAnsi="Arial" w:cs="Arial"/>
          <w:sz w:val="22"/>
          <w:szCs w:val="22"/>
        </w:rPr>
        <w:t xml:space="preserve">omawianym </w:t>
      </w:r>
      <w:r w:rsidRPr="004458AE">
        <w:rPr>
          <w:rFonts w:ascii="Arial" w:hAnsi="Arial" w:cs="Arial"/>
          <w:sz w:val="22"/>
          <w:szCs w:val="22"/>
        </w:rPr>
        <w:t xml:space="preserve">wyroku Trybunał </w:t>
      </w:r>
      <w:r w:rsidR="008F5AC3">
        <w:rPr>
          <w:rFonts w:ascii="Arial" w:hAnsi="Arial" w:cs="Arial"/>
          <w:sz w:val="22"/>
          <w:szCs w:val="22"/>
        </w:rPr>
        <w:t xml:space="preserve">szeroko </w:t>
      </w:r>
      <w:r w:rsidRPr="004458AE">
        <w:rPr>
          <w:rFonts w:ascii="Arial" w:hAnsi="Arial" w:cs="Arial"/>
          <w:b/>
          <w:bCs/>
          <w:sz w:val="22"/>
          <w:szCs w:val="22"/>
        </w:rPr>
        <w:t xml:space="preserve">przypomniał wypracowane w dotychczasowym orzecznictwie standardy ochrony ofiar przemocy domowej, w tym dotyczące obowiązków władz krajowych, również w sferze proceduralnej. Ponadto w zakresie interpretacji pojęcia „bezpośredniego zagrożenia” przyjął, </w:t>
      </w:r>
      <w:r w:rsidRPr="004458AE">
        <w:rPr>
          <w:rFonts w:ascii="Arial" w:hAnsi="Arial" w:cs="Arial"/>
          <w:b/>
          <w:bCs/>
          <w:sz w:val="22"/>
          <w:szCs w:val="22"/>
          <w:lang w:val="pl"/>
        </w:rPr>
        <w:t xml:space="preserve">że „ryzyko </w:t>
      </w:r>
      <w:r w:rsidRPr="004458AE">
        <w:rPr>
          <w:rStyle w:val="sb8d990e2"/>
          <w:rFonts w:ascii="Arial" w:hAnsi="Arial" w:cs="Arial"/>
          <w:b/>
          <w:bCs/>
          <w:color w:val="000000"/>
          <w:sz w:val="22"/>
          <w:szCs w:val="22"/>
          <w:shd w:val="clear" w:color="auto" w:fill="FFFFFF"/>
        </w:rPr>
        <w:t xml:space="preserve">realnego i bezpośredniego zagrożenia należy oceniać z właściwym uwzględnieniem szczególnego kontekstu przemocy domowej. W tych sytuacjach chodzi nie tylko o ciążący na władzach obowiązek zapewnienia ogólnej ochrony społeczeństwu. Władze muszą przede wszystkim uwzględnić fakt powtarzania się epizodów przemocy w konkretnej </w:t>
      </w:r>
      <w:r w:rsidRPr="004458AE">
        <w:rPr>
          <w:rStyle w:val="sb8d990e2"/>
          <w:rFonts w:ascii="Arial" w:hAnsi="Arial" w:cs="Arial"/>
          <w:b/>
          <w:bCs/>
          <w:color w:val="000000"/>
          <w:sz w:val="22"/>
          <w:szCs w:val="22"/>
          <w:shd w:val="clear" w:color="auto" w:fill="FFFFFF"/>
        </w:rPr>
        <w:lastRenderedPageBreak/>
        <w:t>rodzinie.”</w:t>
      </w:r>
      <w:r w:rsidRPr="004458AE">
        <w:rPr>
          <w:rFonts w:ascii="Arial" w:hAnsi="Arial" w:cs="Arial"/>
          <w:sz w:val="22"/>
          <w:szCs w:val="22"/>
          <w:lang w:val="pl"/>
        </w:rPr>
        <w:t xml:space="preserve"> (§ 122). </w:t>
      </w:r>
    </w:p>
    <w:p w14:paraId="68279229" w14:textId="00B837AA" w:rsidR="008978CD" w:rsidRPr="003245AC" w:rsidRDefault="008978CD" w:rsidP="003245AC">
      <w:pPr>
        <w:pStyle w:val="Tekstpodstawowy"/>
        <w:spacing w:after="240" w:line="360" w:lineRule="auto"/>
        <w:ind w:left="0"/>
        <w:contextualSpacing/>
        <w:rPr>
          <w:rStyle w:val="sb8d990e2"/>
          <w:rFonts w:ascii="Arial" w:hAnsi="Arial" w:cs="Arial"/>
          <w:sz w:val="22"/>
          <w:szCs w:val="22"/>
          <w:lang w:val="pl"/>
        </w:rPr>
      </w:pPr>
      <w:r w:rsidRPr="004458AE">
        <w:rPr>
          <w:rFonts w:ascii="Arial" w:hAnsi="Arial" w:cs="Arial"/>
          <w:sz w:val="22"/>
          <w:szCs w:val="22"/>
          <w:lang w:val="pl"/>
        </w:rPr>
        <w:t>W tej sprawie Trybunał przypomniał</w:t>
      </w:r>
      <w:r>
        <w:rPr>
          <w:rFonts w:ascii="Arial" w:hAnsi="Arial" w:cs="Arial"/>
          <w:sz w:val="22"/>
          <w:szCs w:val="22"/>
          <w:lang w:val="pl"/>
        </w:rPr>
        <w:t xml:space="preserve"> również</w:t>
      </w:r>
      <w:r w:rsidRPr="004458AE">
        <w:rPr>
          <w:rFonts w:ascii="Arial" w:hAnsi="Arial" w:cs="Arial"/>
          <w:sz w:val="22"/>
          <w:szCs w:val="22"/>
          <w:lang w:val="pl"/>
        </w:rPr>
        <w:t>, że</w:t>
      </w:r>
      <w:r w:rsidRPr="004458AE">
        <w:rPr>
          <w:rFonts w:ascii="Arial" w:hAnsi="Arial" w:cs="Arial"/>
          <w:b/>
          <w:bCs/>
          <w:sz w:val="22"/>
          <w:szCs w:val="22"/>
          <w:lang w:val="pl"/>
        </w:rPr>
        <w:t xml:space="preserve"> w sprawach dotyczących przemocy domowej prawa agresora nie mogą przeważać nad prawami ofiar do życia oraz integralności fizycznej i psychicznej. Ponadto państwo ma pozytywny obowiązek podejmowani</w:t>
      </w:r>
      <w:r w:rsidR="00E41DFD">
        <w:rPr>
          <w:rFonts w:ascii="Arial" w:hAnsi="Arial" w:cs="Arial"/>
          <w:b/>
          <w:bCs/>
          <w:sz w:val="22"/>
          <w:szCs w:val="22"/>
          <w:lang w:val="pl"/>
        </w:rPr>
        <w:t>a</w:t>
      </w:r>
      <w:r w:rsidRPr="004458AE">
        <w:rPr>
          <w:rFonts w:ascii="Arial" w:hAnsi="Arial" w:cs="Arial"/>
          <w:b/>
          <w:bCs/>
          <w:sz w:val="22"/>
          <w:szCs w:val="22"/>
          <w:lang w:val="pl"/>
        </w:rPr>
        <w:t xml:space="preserve"> prewencyjnych działań praktycznych dla ochrony jednostki, której życie zostało zagrożone </w:t>
      </w:r>
      <w:r w:rsidRPr="004458AE">
        <w:rPr>
          <w:rFonts w:ascii="Arial" w:hAnsi="Arial" w:cs="Arial"/>
          <w:sz w:val="22"/>
          <w:szCs w:val="22"/>
          <w:lang w:val="pl"/>
        </w:rPr>
        <w:t>(§ 123)</w:t>
      </w:r>
      <w:r w:rsidRPr="004458AE">
        <w:rPr>
          <w:rFonts w:ascii="Arial" w:hAnsi="Arial" w:cs="Arial"/>
          <w:b/>
          <w:bCs/>
          <w:sz w:val="22"/>
          <w:szCs w:val="22"/>
          <w:lang w:val="pl"/>
        </w:rPr>
        <w:t>.</w:t>
      </w:r>
      <w:r w:rsidRPr="004458AE">
        <w:rPr>
          <w:rStyle w:val="s32a37344"/>
          <w:rFonts w:ascii="Arial" w:hAnsi="Arial" w:cs="Arial"/>
          <w:color w:val="000000"/>
          <w:sz w:val="22"/>
          <w:szCs w:val="22"/>
          <w:shd w:val="clear" w:color="auto" w:fill="FFFFFF"/>
        </w:rPr>
        <w:t> </w:t>
      </w:r>
    </w:p>
    <w:p w14:paraId="1DDB2488" w14:textId="106B064F" w:rsidR="003C482F" w:rsidRDefault="003C482F">
      <w:pPr>
        <w:spacing w:before="240" w:line="360" w:lineRule="auto"/>
        <w:jc w:val="both"/>
        <w:rPr>
          <w:rFonts w:ascii="Arial" w:hAnsi="Arial" w:cs="Arial"/>
          <w:b/>
          <w:bCs/>
        </w:rPr>
      </w:pPr>
      <w:r w:rsidRPr="004458AE">
        <w:rPr>
          <w:rFonts w:ascii="Arial" w:hAnsi="Arial" w:cs="Arial"/>
        </w:rPr>
        <w:t>W</w:t>
      </w:r>
      <w:hyperlink r:id="rId31" w:history="1">
        <w:r w:rsidRPr="004458AE">
          <w:rPr>
            <w:rStyle w:val="Hipercze"/>
            <w:rFonts w:ascii="Arial" w:hAnsi="Arial" w:cs="Arial"/>
            <w:color w:val="auto"/>
            <w:u w:val="none"/>
          </w:rPr>
          <w:t xml:space="preserve"> </w:t>
        </w:r>
        <w:r w:rsidR="00B30626">
          <w:rPr>
            <w:rStyle w:val="Hipercze"/>
            <w:rFonts w:ascii="Arial" w:hAnsi="Arial" w:cs="Arial"/>
            <w:color w:val="auto"/>
            <w:u w:val="none"/>
          </w:rPr>
          <w:t xml:space="preserve">innej </w:t>
        </w:r>
        <w:r w:rsidRPr="004458AE">
          <w:rPr>
            <w:rStyle w:val="Hipercze"/>
            <w:rFonts w:ascii="Arial" w:hAnsi="Arial" w:cs="Arial"/>
            <w:color w:val="auto"/>
            <w:u w:val="none"/>
          </w:rPr>
          <w:t xml:space="preserve">sprawie </w:t>
        </w:r>
        <w:r w:rsidR="00B30626">
          <w:rPr>
            <w:rStyle w:val="Hipercze"/>
            <w:rFonts w:ascii="Arial" w:hAnsi="Arial" w:cs="Arial"/>
            <w:color w:val="auto"/>
            <w:u w:val="none"/>
          </w:rPr>
          <w:t xml:space="preserve">- </w:t>
        </w:r>
        <w:r w:rsidRPr="004458AE">
          <w:rPr>
            <w:rStyle w:val="Hipercze"/>
            <w:rFonts w:ascii="Arial" w:hAnsi="Arial" w:cs="Arial"/>
            <w:b/>
            <w:bCs/>
            <w:i/>
            <w:iCs/>
            <w:color w:val="auto"/>
            <w:u w:val="none"/>
          </w:rPr>
          <w:t>Halime Kılıç przeciwko Turcji</w:t>
        </w:r>
      </w:hyperlink>
      <w:r w:rsidRPr="004458AE">
        <w:rPr>
          <w:rFonts w:ascii="Arial" w:hAnsi="Arial" w:cs="Arial"/>
        </w:rPr>
        <w:t xml:space="preserve"> </w:t>
      </w:r>
      <w:r w:rsidRPr="00E41DFD">
        <w:rPr>
          <w:rFonts w:ascii="Arial" w:hAnsi="Arial" w:cs="Arial"/>
        </w:rPr>
        <w:t xml:space="preserve">(nr skargi </w:t>
      </w:r>
      <w:hyperlink r:id="rId32" w:anchor="{%22appno%22:[%2263034/11%22]}" w:tgtFrame="_blank" w:history="1">
        <w:r w:rsidRPr="00E41DFD">
          <w:rPr>
            <w:rStyle w:val="Hipercze"/>
            <w:rFonts w:ascii="Arial" w:hAnsi="Arial" w:cs="Arial"/>
            <w:color w:val="auto"/>
            <w:u w:val="none"/>
            <w:shd w:val="clear" w:color="auto" w:fill="FFFFFF"/>
          </w:rPr>
          <w:t>63034/11</w:t>
        </w:r>
      </w:hyperlink>
      <w:r w:rsidRPr="00E41DFD">
        <w:rPr>
          <w:rFonts w:ascii="Arial" w:hAnsi="Arial" w:cs="Arial"/>
        </w:rPr>
        <w:t>),</w:t>
      </w:r>
      <w:r w:rsidRPr="004458AE">
        <w:rPr>
          <w:rFonts w:ascii="Arial" w:hAnsi="Arial" w:cs="Arial"/>
        </w:rPr>
        <w:t xml:space="preserve"> która dotyczyła śmierci córki skarżącej</w:t>
      </w:r>
      <w:r w:rsidR="00E41DFD">
        <w:rPr>
          <w:rFonts w:ascii="Arial" w:hAnsi="Arial" w:cs="Arial"/>
        </w:rPr>
        <w:t xml:space="preserve"> zamordowanej</w:t>
      </w:r>
      <w:r w:rsidRPr="004458AE">
        <w:rPr>
          <w:rFonts w:ascii="Arial" w:hAnsi="Arial" w:cs="Arial"/>
        </w:rPr>
        <w:t xml:space="preserve"> przez męża skarżącej, pomimo złożenia czterech skarg i uzyskania trzech nakazów ochrony i nakazów sądowych, </w:t>
      </w:r>
      <w:r w:rsidRPr="004458AE">
        <w:rPr>
          <w:rFonts w:ascii="Arial" w:hAnsi="Arial" w:cs="Arial"/>
          <w:b/>
          <w:bCs/>
        </w:rPr>
        <w:t>w wyroku z 28 czerwca 2016 r</w:t>
      </w:r>
      <w:r w:rsidR="00E41DFD">
        <w:rPr>
          <w:rFonts w:ascii="Arial" w:hAnsi="Arial" w:cs="Arial"/>
          <w:b/>
          <w:bCs/>
        </w:rPr>
        <w:t>oku</w:t>
      </w:r>
      <w:r w:rsidRPr="004458AE">
        <w:rPr>
          <w:rFonts w:ascii="Arial" w:hAnsi="Arial" w:cs="Arial"/>
        </w:rPr>
        <w:t xml:space="preserve"> </w:t>
      </w:r>
      <w:r w:rsidRPr="004458AE">
        <w:rPr>
          <w:rFonts w:ascii="Arial" w:hAnsi="Arial" w:cs="Arial"/>
          <w:bCs/>
        </w:rPr>
        <w:t>(na skutek zaskarżenia w części dotyczącej osób uprawnionych do wypłaty zadośćuczynienia przyznanego skarżącej, która zmarła  wyrok stał się ostateczny</w:t>
      </w:r>
      <w:r w:rsidRPr="004458AE">
        <w:rPr>
          <w:rFonts w:ascii="Arial" w:hAnsi="Arial" w:cs="Arial"/>
          <w:b/>
        </w:rPr>
        <w:t xml:space="preserve"> </w:t>
      </w:r>
      <w:r w:rsidRPr="004458AE">
        <w:rPr>
          <w:rFonts w:ascii="Arial" w:hAnsi="Arial" w:cs="Arial"/>
          <w:shd w:val="clear" w:color="auto" w:fill="FFFFFF"/>
        </w:rPr>
        <w:t>25 września 2019 r</w:t>
      </w:r>
      <w:r w:rsidR="00E41DFD">
        <w:rPr>
          <w:rFonts w:ascii="Arial" w:hAnsi="Arial" w:cs="Arial"/>
          <w:shd w:val="clear" w:color="auto" w:fill="FFFFFF"/>
        </w:rPr>
        <w:t>oku</w:t>
      </w:r>
      <w:r w:rsidRPr="004458AE">
        <w:rPr>
          <w:rFonts w:ascii="Arial" w:hAnsi="Arial" w:cs="Arial"/>
          <w:shd w:val="clear" w:color="auto" w:fill="FFFFFF"/>
        </w:rPr>
        <w:t xml:space="preserve">) Trybunał </w:t>
      </w:r>
      <w:r w:rsidRPr="004458AE">
        <w:rPr>
          <w:rFonts w:ascii="Arial" w:hAnsi="Arial" w:cs="Arial"/>
        </w:rPr>
        <w:t xml:space="preserve">orzekł, że doszło do naruszenia art. 2 i art. 14 w związku z art. 2 Konwencji. Trybunał stwierdził w szczególności, że postępowanie krajowe nie spełniło wymogów art. 2 Konwencji poprzez niezapewnienie ochrony córce skarżącej. Poprzez </w:t>
      </w:r>
      <w:r w:rsidRPr="004458AE">
        <w:rPr>
          <w:rFonts w:ascii="Arial" w:hAnsi="Arial" w:cs="Arial"/>
          <w:b/>
          <w:bCs/>
        </w:rPr>
        <w:t xml:space="preserve">brak ukarania sprawcy przemocy domowej za niewykonanie nakazów wydanych przeciwko niemu, władze krajowe pozbawiły ich jakiejkolwiek skuteczności, tworząc w ten sposób kontekst bezkarności </w:t>
      </w:r>
      <w:r w:rsidRPr="004458AE">
        <w:rPr>
          <w:rFonts w:ascii="Arial" w:hAnsi="Arial" w:cs="Arial"/>
        </w:rPr>
        <w:t xml:space="preserve">umożliwiający mężczyźnie wielokrotne dopuszczanie się napaści na żonę bez pociągania go do odpowiedzialności. </w:t>
      </w:r>
      <w:r w:rsidRPr="004458AE">
        <w:rPr>
          <w:rFonts w:ascii="Arial" w:hAnsi="Arial" w:cs="Arial"/>
          <w:b/>
          <w:bCs/>
        </w:rPr>
        <w:t xml:space="preserve">Trybunał uznał </w:t>
      </w:r>
      <w:r w:rsidRPr="004458AE">
        <w:rPr>
          <w:rFonts w:ascii="Arial" w:hAnsi="Arial" w:cs="Arial"/>
        </w:rPr>
        <w:t xml:space="preserve">również za niedopuszczalne, że córka skarżącej została pozostawiona bez środków i ochrony w obliczu agresywnego zachowania męża skarżącej oraz </w:t>
      </w:r>
      <w:r w:rsidRPr="004458AE">
        <w:rPr>
          <w:rFonts w:ascii="Arial" w:hAnsi="Arial" w:cs="Arial"/>
          <w:b/>
          <w:bCs/>
        </w:rPr>
        <w:t xml:space="preserve">że władze krajowe stworzyły klimat sprzyjający przemocy domowej poprzez „przymykanie oka” na powtarzające się akty przemocy i groźby śmierci wobec ofiary. </w:t>
      </w:r>
    </w:p>
    <w:p w14:paraId="658AED40" w14:textId="40B42AE1" w:rsidR="008978CD" w:rsidRPr="004458AE" w:rsidRDefault="008978CD" w:rsidP="008978CD">
      <w:pPr>
        <w:pStyle w:val="Nagwek2"/>
        <w:spacing w:before="0" w:line="360" w:lineRule="auto"/>
        <w:ind w:left="0"/>
        <w:rPr>
          <w:rFonts w:ascii="Arial" w:hAnsi="Arial" w:cs="Arial"/>
          <w:b w:val="0"/>
          <w:bCs w:val="0"/>
          <w:sz w:val="22"/>
          <w:szCs w:val="22"/>
          <w:u w:val="none"/>
        </w:rPr>
      </w:pPr>
      <w:r w:rsidRPr="004458AE">
        <w:rPr>
          <w:rFonts w:ascii="Arial" w:hAnsi="Arial" w:cs="Arial"/>
          <w:b w:val="0"/>
          <w:bCs w:val="0"/>
          <w:sz w:val="22"/>
          <w:szCs w:val="22"/>
          <w:u w:val="none"/>
        </w:rPr>
        <w:t xml:space="preserve">W sprawie </w:t>
      </w:r>
      <w:hyperlink r:id="rId33">
        <w:r w:rsidRPr="004458AE">
          <w:rPr>
            <w:rFonts w:ascii="Arial" w:hAnsi="Arial" w:cs="Arial"/>
            <w:i/>
            <w:iCs/>
            <w:sz w:val="22"/>
            <w:szCs w:val="22"/>
            <w:u w:val="none"/>
          </w:rPr>
          <w:t>E.M. przeciwko Rumunii</w:t>
        </w:r>
        <w:r w:rsidRPr="004458AE">
          <w:rPr>
            <w:rFonts w:ascii="Arial" w:hAnsi="Arial" w:cs="Arial"/>
            <w:sz w:val="22"/>
            <w:szCs w:val="22"/>
            <w:u w:val="none"/>
          </w:rPr>
          <w:t xml:space="preserve"> </w:t>
        </w:r>
        <w:r w:rsidRPr="00E41DFD">
          <w:rPr>
            <w:rFonts w:ascii="Arial" w:hAnsi="Arial" w:cs="Arial"/>
            <w:b w:val="0"/>
            <w:bCs w:val="0"/>
            <w:sz w:val="22"/>
            <w:szCs w:val="22"/>
            <w:u w:val="none"/>
          </w:rPr>
          <w:t>(nr skargi 43994/05</w:t>
        </w:r>
      </w:hyperlink>
      <w:r w:rsidRPr="00E41DFD">
        <w:rPr>
          <w:rFonts w:ascii="Arial" w:hAnsi="Arial" w:cs="Arial"/>
          <w:b w:val="0"/>
          <w:bCs w:val="0"/>
          <w:sz w:val="22"/>
          <w:szCs w:val="22"/>
          <w:u w:val="none"/>
        </w:rPr>
        <w:t>)</w:t>
      </w:r>
      <w:r w:rsidRPr="004458AE">
        <w:rPr>
          <w:rFonts w:ascii="Arial" w:hAnsi="Arial" w:cs="Arial"/>
          <w:sz w:val="22"/>
          <w:szCs w:val="22"/>
          <w:u w:val="none"/>
        </w:rPr>
        <w:t xml:space="preserve"> </w:t>
      </w:r>
      <w:r w:rsidRPr="004458AE">
        <w:rPr>
          <w:rFonts w:ascii="Arial" w:hAnsi="Arial" w:cs="Arial"/>
          <w:b w:val="0"/>
          <w:bCs w:val="0"/>
          <w:sz w:val="22"/>
          <w:szCs w:val="22"/>
          <w:u w:val="none"/>
        </w:rPr>
        <w:t>skarżąca twierdziła, że śledztwo w sprawie jej zawiadomienia o popełnieniu przestępstwa dotyczącego przemocy domowej stosowanej w obecności jej córki, w wieku półtora roku, nie było skuteczne. Sądy rumuńskie oddaliły skargi skarżącej, ponieważ nie udowodniono podniesionych przez nią zarzutów, że była ofiarą przemocy ze strony męża.</w:t>
      </w:r>
    </w:p>
    <w:p w14:paraId="1DBCAC42" w14:textId="44BB193F" w:rsidR="008978CD" w:rsidRPr="004458AE" w:rsidRDefault="008978CD" w:rsidP="008978CD">
      <w:pPr>
        <w:spacing w:line="360" w:lineRule="auto"/>
        <w:jc w:val="both"/>
        <w:rPr>
          <w:rFonts w:ascii="Arial" w:hAnsi="Arial" w:cs="Arial"/>
          <w:b/>
          <w:bCs/>
        </w:rPr>
      </w:pPr>
      <w:r w:rsidRPr="004458AE">
        <w:rPr>
          <w:rFonts w:ascii="Arial" w:hAnsi="Arial" w:cs="Arial"/>
          <w:b/>
          <w:bCs/>
        </w:rPr>
        <w:t>W wyroku z 30 października 2012 r</w:t>
      </w:r>
      <w:r w:rsidR="00E41DFD">
        <w:rPr>
          <w:rFonts w:ascii="Arial" w:hAnsi="Arial" w:cs="Arial"/>
          <w:b/>
          <w:bCs/>
        </w:rPr>
        <w:t>oku</w:t>
      </w:r>
      <w:r w:rsidRPr="004458AE">
        <w:rPr>
          <w:rFonts w:ascii="Arial" w:hAnsi="Arial" w:cs="Arial"/>
        </w:rPr>
        <w:t xml:space="preserve"> Trybunał orzekł, że doszło do </w:t>
      </w:r>
      <w:r w:rsidRPr="004458AE">
        <w:rPr>
          <w:rFonts w:ascii="Arial" w:hAnsi="Arial" w:cs="Arial"/>
          <w:b/>
        </w:rPr>
        <w:t>naruszenia art. 3</w:t>
      </w:r>
      <w:r w:rsidRPr="004458AE">
        <w:rPr>
          <w:rFonts w:ascii="Arial" w:hAnsi="Arial" w:cs="Arial"/>
        </w:rPr>
        <w:t xml:space="preserve"> (zakaz nieludzkiego lub poniżającego traktowania) Konwencji w jego aspekcie proceduralnym, stwierdzając, że </w:t>
      </w:r>
      <w:r w:rsidRPr="004458AE">
        <w:rPr>
          <w:rFonts w:ascii="Arial" w:hAnsi="Arial" w:cs="Arial"/>
          <w:b/>
          <w:bCs/>
        </w:rPr>
        <w:t xml:space="preserve">sposób przeprowadzenia śledztwa nie zapewnił skarżącej skutecznej ochrony wymaganej przez art. 3. </w:t>
      </w:r>
      <w:r w:rsidRPr="004458AE">
        <w:rPr>
          <w:rFonts w:ascii="Arial" w:hAnsi="Arial" w:cs="Arial"/>
        </w:rPr>
        <w:t xml:space="preserve">Trybunał zauważył w szczególności, że składając pierwszą ze swoich skarg, skarżąca zwróciła się do władz o pomoc i ochronę dla siebie i swojej córki przed agresywnym zachowaniem jej męża. </w:t>
      </w:r>
      <w:r w:rsidRPr="004458AE">
        <w:rPr>
          <w:rFonts w:ascii="Arial" w:hAnsi="Arial" w:cs="Arial"/>
          <w:b/>
          <w:bCs/>
        </w:rPr>
        <w:t>Pomimo tego, że ramy ustawowe przewidywały współpracę między różnymi organami oraz środki pozasądowe mające na celu identyfikację i zapewnienie podjęcia działań w odniesieniu do przemocy domowej i </w:t>
      </w:r>
      <w:r w:rsidR="00E41DFD">
        <w:rPr>
          <w:rFonts w:ascii="Arial" w:hAnsi="Arial" w:cs="Arial"/>
          <w:b/>
          <w:bCs/>
        </w:rPr>
        <w:t xml:space="preserve">oraz </w:t>
      </w:r>
      <w:r w:rsidR="00E41DFD">
        <w:rPr>
          <w:rFonts w:ascii="Arial" w:hAnsi="Arial" w:cs="Arial"/>
          <w:b/>
          <w:bCs/>
        </w:rPr>
        <w:lastRenderedPageBreak/>
        <w:t>pomimo tego, że</w:t>
      </w:r>
      <w:r w:rsidRPr="004458AE">
        <w:rPr>
          <w:rFonts w:ascii="Arial" w:hAnsi="Arial" w:cs="Arial"/>
          <w:b/>
          <w:bCs/>
        </w:rPr>
        <w:t xml:space="preserve"> zaświadczenie lekarskie dostarczyło dowodów </w:t>
      </w:r>
      <w:r w:rsidRPr="00E41DFD">
        <w:rPr>
          <w:rFonts w:ascii="Arial" w:hAnsi="Arial" w:cs="Arial"/>
          <w:b/>
          <w:bCs/>
          <w:i/>
          <w:iCs/>
        </w:rPr>
        <w:t>prima facie</w:t>
      </w:r>
      <w:r w:rsidRPr="004458AE">
        <w:rPr>
          <w:rFonts w:ascii="Arial" w:hAnsi="Arial" w:cs="Arial"/>
          <w:b/>
          <w:bCs/>
        </w:rPr>
        <w:t xml:space="preserve"> na zarzuty skarżącej, z akt sprawy nie wynikało, że podjęto w tym celu jakiekolwiek działania.</w:t>
      </w:r>
    </w:p>
    <w:p w14:paraId="34316243" w14:textId="72D9AAC9" w:rsidR="007D04B0" w:rsidRPr="008F3CDE" w:rsidRDefault="00CC0BE9" w:rsidP="007D04B0">
      <w:pPr>
        <w:spacing w:line="360" w:lineRule="auto"/>
        <w:jc w:val="both"/>
        <w:rPr>
          <w:rFonts w:ascii="Arial" w:hAnsi="Arial" w:cs="Arial"/>
          <w:b/>
          <w:bCs/>
        </w:rPr>
      </w:pPr>
      <w:r w:rsidRPr="004458AE">
        <w:rPr>
          <w:rFonts w:ascii="Arial" w:hAnsi="Arial" w:cs="Arial"/>
          <w:b/>
        </w:rPr>
        <w:t>[Niewywiązanie się z obowiązku przeprowadzenia skutecznego śledztwa</w:t>
      </w:r>
      <w:r w:rsidR="007D04B0" w:rsidRPr="004458AE">
        <w:rPr>
          <w:rFonts w:ascii="Arial" w:hAnsi="Arial" w:cs="Arial"/>
          <w:b/>
        </w:rPr>
        <w:t xml:space="preserve">, </w:t>
      </w:r>
      <w:r w:rsidR="00E04C9A">
        <w:rPr>
          <w:rFonts w:ascii="Arial" w:hAnsi="Arial" w:cs="Arial"/>
          <w:b/>
        </w:rPr>
        <w:t>n</w:t>
      </w:r>
      <w:r w:rsidR="007D04B0" w:rsidRPr="004458AE">
        <w:rPr>
          <w:rFonts w:ascii="Arial" w:hAnsi="Arial" w:cs="Arial"/>
          <w:b/>
        </w:rPr>
        <w:t>ieodpowiedni charakter śledztw</w:t>
      </w:r>
      <w:r w:rsidR="007D04B0" w:rsidRPr="004458AE">
        <w:rPr>
          <w:rFonts w:ascii="Arial" w:hAnsi="Arial" w:cs="Arial"/>
          <w:bCs/>
        </w:rPr>
        <w:t xml:space="preserve"> </w:t>
      </w:r>
      <w:r w:rsidR="007D04B0" w:rsidRPr="004458AE">
        <w:rPr>
          <w:rFonts w:ascii="Arial" w:hAnsi="Arial" w:cs="Arial"/>
          <w:b/>
          <w:bCs/>
        </w:rPr>
        <w:t>w sprawach ze skarg dotyczących przemocy domowej</w:t>
      </w:r>
      <w:r w:rsidR="00F24ACC" w:rsidRPr="004458AE">
        <w:rPr>
          <w:rFonts w:ascii="Arial" w:hAnsi="Arial" w:cs="Arial"/>
          <w:b/>
          <w:bCs/>
        </w:rPr>
        <w:t>, brak zapewnienia przez władze odpowiedniej ochrony przed przemocą domow</w:t>
      </w:r>
      <w:r w:rsidR="00F24ACC" w:rsidRPr="008F3CDE">
        <w:rPr>
          <w:rFonts w:ascii="Arial" w:hAnsi="Arial" w:cs="Arial"/>
          <w:b/>
          <w:bCs/>
        </w:rPr>
        <w:t>ą</w:t>
      </w:r>
      <w:r w:rsidR="007D04B0" w:rsidRPr="008F3CDE">
        <w:rPr>
          <w:rFonts w:ascii="Arial" w:hAnsi="Arial" w:cs="Arial"/>
          <w:b/>
          <w:bCs/>
        </w:rPr>
        <w:t>]</w:t>
      </w:r>
    </w:p>
    <w:p w14:paraId="3D4AB1FD" w14:textId="0AC81209" w:rsidR="008F3CDE" w:rsidRDefault="008F3CDE" w:rsidP="0021670D">
      <w:pPr>
        <w:spacing w:line="360" w:lineRule="auto"/>
        <w:contextualSpacing/>
        <w:jc w:val="both"/>
        <w:rPr>
          <w:rFonts w:ascii="Arial" w:hAnsi="Arial" w:cs="Arial"/>
        </w:rPr>
      </w:pPr>
      <w:r w:rsidRPr="008F3CDE">
        <w:rPr>
          <w:rFonts w:ascii="Arial" w:hAnsi="Arial" w:cs="Arial"/>
        </w:rPr>
        <w:t>Kolejny ważny judykat</w:t>
      </w:r>
      <w:r w:rsidRPr="008F3CDE">
        <w:rPr>
          <w:rFonts w:ascii="Arial" w:hAnsi="Arial" w:cs="Arial"/>
          <w:b/>
          <w:bCs/>
        </w:rPr>
        <w:t xml:space="preserve"> </w:t>
      </w:r>
      <w:r w:rsidRPr="008F3CDE">
        <w:rPr>
          <w:rFonts w:ascii="Arial" w:hAnsi="Arial" w:cs="Arial"/>
        </w:rPr>
        <w:t>w zakresie ochrony ofiar przemocy domowej – w tym przypadku kobiet i dzieci</w:t>
      </w:r>
      <w:r>
        <w:rPr>
          <w:rFonts w:ascii="Arial" w:hAnsi="Arial" w:cs="Arial"/>
        </w:rPr>
        <w:t xml:space="preserve"> stanowi wyrok </w:t>
      </w:r>
      <w:r w:rsidRPr="004458AE">
        <w:rPr>
          <w:rFonts w:ascii="Arial" w:hAnsi="Arial" w:cs="Arial"/>
          <w:b/>
          <w:bCs/>
        </w:rPr>
        <w:t>z 28 maja 2013 r</w:t>
      </w:r>
      <w:r w:rsidR="00E41DFD">
        <w:rPr>
          <w:rFonts w:ascii="Arial" w:hAnsi="Arial" w:cs="Arial"/>
          <w:b/>
          <w:bCs/>
        </w:rPr>
        <w:t>oku</w:t>
      </w:r>
      <w:r>
        <w:rPr>
          <w:rFonts w:ascii="Arial" w:hAnsi="Arial" w:cs="Arial"/>
          <w:b/>
          <w:bCs/>
        </w:rPr>
        <w:t xml:space="preserve"> </w:t>
      </w:r>
      <w:r>
        <w:rPr>
          <w:rFonts w:ascii="Arial" w:hAnsi="Arial" w:cs="Arial"/>
        </w:rPr>
        <w:t>w sprawie</w:t>
      </w:r>
      <w:r w:rsidRPr="008F3CDE">
        <w:rPr>
          <w:rFonts w:ascii="Arial" w:hAnsi="Arial" w:cs="Arial"/>
        </w:rPr>
        <w:t xml:space="preserve"> </w:t>
      </w:r>
      <w:hyperlink r:id="rId34">
        <w:r w:rsidR="00BF10F6" w:rsidRPr="004458AE">
          <w:rPr>
            <w:rFonts w:ascii="Arial" w:hAnsi="Arial" w:cs="Arial"/>
            <w:b/>
            <w:bCs/>
            <w:i/>
            <w:iCs/>
          </w:rPr>
          <w:t>Eremia i Inni przeciwko Republice Mołdawii</w:t>
        </w:r>
      </w:hyperlink>
      <w:r w:rsidR="00753743" w:rsidRPr="004458AE">
        <w:rPr>
          <w:rFonts w:ascii="Arial" w:hAnsi="Arial" w:cs="Arial"/>
          <w:b/>
          <w:bCs/>
        </w:rPr>
        <w:t xml:space="preserve"> </w:t>
      </w:r>
      <w:r w:rsidR="00753743" w:rsidRPr="00E41DFD">
        <w:rPr>
          <w:rFonts w:ascii="Arial" w:hAnsi="Arial" w:cs="Arial"/>
        </w:rPr>
        <w:t>(</w:t>
      </w:r>
      <w:r w:rsidR="003270C6" w:rsidRPr="00E41DFD">
        <w:rPr>
          <w:rFonts w:ascii="Arial" w:hAnsi="Arial" w:cs="Arial"/>
        </w:rPr>
        <w:t>nr skargi 3564/11</w:t>
      </w:r>
      <w:r w:rsidR="00753743" w:rsidRPr="00E41DFD">
        <w:rPr>
          <w:rFonts w:ascii="Arial" w:hAnsi="Arial" w:cs="Arial"/>
        </w:rPr>
        <w:t>)</w:t>
      </w:r>
      <w:r w:rsidRPr="00E41DFD">
        <w:rPr>
          <w:rFonts w:ascii="Arial" w:hAnsi="Arial" w:cs="Arial"/>
        </w:rPr>
        <w:t>.</w:t>
      </w:r>
      <w:r>
        <w:rPr>
          <w:rFonts w:ascii="Arial" w:hAnsi="Arial" w:cs="Arial"/>
          <w:b/>
          <w:bCs/>
        </w:rPr>
        <w:t xml:space="preserve"> </w:t>
      </w:r>
      <w:r w:rsidRPr="008F3CDE">
        <w:rPr>
          <w:rFonts w:ascii="Arial" w:hAnsi="Arial" w:cs="Arial"/>
        </w:rPr>
        <w:t>W</w:t>
      </w:r>
      <w:r w:rsidR="002B6698" w:rsidRPr="008F3CDE">
        <w:rPr>
          <w:rFonts w:ascii="Arial" w:hAnsi="Arial" w:cs="Arial"/>
        </w:rPr>
        <w:t xml:space="preserve"> </w:t>
      </w:r>
      <w:r w:rsidR="003270C6" w:rsidRPr="004458AE">
        <w:rPr>
          <w:rFonts w:ascii="Arial" w:hAnsi="Arial" w:cs="Arial"/>
        </w:rPr>
        <w:t>tej sprawie</w:t>
      </w:r>
      <w:r w:rsidR="002B6698" w:rsidRPr="004458AE">
        <w:rPr>
          <w:rFonts w:ascii="Arial" w:hAnsi="Arial" w:cs="Arial"/>
        </w:rPr>
        <w:t xml:space="preserve"> p</w:t>
      </w:r>
      <w:r w:rsidR="00BF10F6" w:rsidRPr="004458AE">
        <w:rPr>
          <w:rFonts w:ascii="Arial" w:hAnsi="Arial" w:cs="Arial"/>
        </w:rPr>
        <w:t>ierwsza skarżąca i jej dwie córki skarżyły się na brak zapewnienia im ochrony władz mołdawskich przed brutalnym i agresywnym zachowaniem ich męża i ojca, funkcjonariusza policji.</w:t>
      </w:r>
      <w:r w:rsidR="00202FB8" w:rsidRPr="004458AE">
        <w:rPr>
          <w:rFonts w:ascii="Arial" w:hAnsi="Arial" w:cs="Arial"/>
        </w:rPr>
        <w:t xml:space="preserve"> </w:t>
      </w:r>
    </w:p>
    <w:p w14:paraId="18766AE9" w14:textId="4560713D" w:rsidR="007B2379" w:rsidRPr="007B2379" w:rsidRDefault="002B6698" w:rsidP="007B2379">
      <w:pPr>
        <w:spacing w:line="360" w:lineRule="auto"/>
        <w:contextualSpacing/>
        <w:jc w:val="both"/>
        <w:rPr>
          <w:rFonts w:ascii="Arial" w:hAnsi="Arial" w:cs="Arial"/>
        </w:rPr>
      </w:pPr>
      <w:r w:rsidRPr="008F3CDE">
        <w:rPr>
          <w:rFonts w:ascii="Arial" w:hAnsi="Arial" w:cs="Arial"/>
        </w:rPr>
        <w:t xml:space="preserve">W wyroku </w:t>
      </w:r>
      <w:r w:rsidR="00BF10F6" w:rsidRPr="004458AE">
        <w:rPr>
          <w:rFonts w:ascii="Arial" w:hAnsi="Arial" w:cs="Arial"/>
        </w:rPr>
        <w:t xml:space="preserve">Trybunał orzekł, że doszło do </w:t>
      </w:r>
      <w:r w:rsidR="00BF10F6" w:rsidRPr="004458AE">
        <w:rPr>
          <w:rFonts w:ascii="Arial" w:hAnsi="Arial" w:cs="Arial"/>
          <w:b/>
        </w:rPr>
        <w:t>naruszenia art. 3</w:t>
      </w:r>
      <w:r w:rsidR="00BF10F6" w:rsidRPr="004458AE">
        <w:rPr>
          <w:rFonts w:ascii="Arial" w:hAnsi="Arial" w:cs="Arial"/>
        </w:rPr>
        <w:t xml:space="preserve"> Konwencji w odniesieniu do pierwszej skarżącej, ponieważ pomimo wiedzy o przemocy władze nie podjęły skutecznych środków przeciwko jej mężowi i nie uchroniły jej przed dalszą przemocą domową. Ponadto Trybunał uznał, że doszło do </w:t>
      </w:r>
      <w:r w:rsidR="00BF10F6" w:rsidRPr="004458AE">
        <w:rPr>
          <w:rFonts w:ascii="Arial" w:hAnsi="Arial" w:cs="Arial"/>
          <w:b/>
        </w:rPr>
        <w:t>naruszenia art. 8</w:t>
      </w:r>
      <w:r w:rsidR="00BF10F6" w:rsidRPr="004458AE">
        <w:rPr>
          <w:rFonts w:ascii="Arial" w:hAnsi="Arial" w:cs="Arial"/>
        </w:rPr>
        <w:t xml:space="preserve"> Konwencji</w:t>
      </w:r>
      <w:r w:rsidR="008F3CDE">
        <w:rPr>
          <w:rFonts w:ascii="Arial" w:hAnsi="Arial" w:cs="Arial"/>
        </w:rPr>
        <w:t xml:space="preserve"> </w:t>
      </w:r>
      <w:r w:rsidR="00BF10F6" w:rsidRPr="004458AE">
        <w:rPr>
          <w:rFonts w:ascii="Arial" w:hAnsi="Arial" w:cs="Arial"/>
        </w:rPr>
        <w:t xml:space="preserve">w odniesieniu do córek, uznając, że pomimo szkodliwych skutków psychologicznych wywołanych obserwacją przemocy ojca wobec matki w domu rodzinnym, podjęto niewiele lub nie podjęto żadnych działań w celu zapobieżenia ponownemu wystąpieniu takiego zachowania. Wreszcie Trybunał orzekł, </w:t>
      </w:r>
      <w:r w:rsidR="008F3CDE">
        <w:rPr>
          <w:rFonts w:ascii="Arial" w:hAnsi="Arial" w:cs="Arial"/>
        </w:rPr>
        <w:br/>
      </w:r>
      <w:r w:rsidR="00BF10F6" w:rsidRPr="004458AE">
        <w:rPr>
          <w:rFonts w:ascii="Arial" w:hAnsi="Arial" w:cs="Arial"/>
        </w:rPr>
        <w:t xml:space="preserve">że doszło do </w:t>
      </w:r>
      <w:r w:rsidR="00BF10F6" w:rsidRPr="004458AE">
        <w:rPr>
          <w:rFonts w:ascii="Arial" w:hAnsi="Arial" w:cs="Arial"/>
          <w:b/>
        </w:rPr>
        <w:t>naruszenia art. 14</w:t>
      </w:r>
      <w:r w:rsidR="00BF10F6" w:rsidRPr="004458AE">
        <w:rPr>
          <w:rFonts w:ascii="Arial" w:hAnsi="Arial" w:cs="Arial"/>
        </w:rPr>
        <w:t xml:space="preserve"> Konwencji </w:t>
      </w:r>
      <w:r w:rsidR="00BF10F6" w:rsidRPr="004458AE">
        <w:rPr>
          <w:rFonts w:ascii="Arial" w:hAnsi="Arial" w:cs="Arial"/>
          <w:b/>
        </w:rPr>
        <w:t>w związku z art. 3</w:t>
      </w:r>
      <w:r w:rsidR="00BF10F6" w:rsidRPr="004458AE">
        <w:rPr>
          <w:rFonts w:ascii="Arial" w:hAnsi="Arial" w:cs="Arial"/>
        </w:rPr>
        <w:t xml:space="preserve"> w odniesieniu do pierwszej skarżącej, stwierdzając, że </w:t>
      </w:r>
      <w:r w:rsidR="00BF10F6" w:rsidRPr="008F3CDE">
        <w:rPr>
          <w:rFonts w:ascii="Arial" w:hAnsi="Arial" w:cs="Arial"/>
          <w:b/>
          <w:bCs/>
        </w:rPr>
        <w:t>działania władz nie stanowiły zwyczajnego niepodjęcia odpowiednich kroków w celu przeciwdziałania przemocy doświadczanej przez nią lub zwlekania z ich podjęciem, lecz polegały na wielokrotnym przyzwoleniu na taką przemoc i odzwierciedlał</w:t>
      </w:r>
      <w:r w:rsidR="00E41DFD">
        <w:rPr>
          <w:rFonts w:ascii="Arial" w:hAnsi="Arial" w:cs="Arial"/>
          <w:b/>
          <w:bCs/>
        </w:rPr>
        <w:t>y</w:t>
      </w:r>
      <w:r w:rsidR="00BF10F6" w:rsidRPr="008F3CDE">
        <w:rPr>
          <w:rFonts w:ascii="Arial" w:hAnsi="Arial" w:cs="Arial"/>
          <w:b/>
          <w:bCs/>
        </w:rPr>
        <w:t xml:space="preserve"> dyskryminujący stosunek do pierwszej </w:t>
      </w:r>
      <w:r w:rsidR="007B2379">
        <w:rPr>
          <w:rFonts w:ascii="Arial" w:hAnsi="Arial" w:cs="Arial"/>
          <w:b/>
          <w:bCs/>
        </w:rPr>
        <w:t>s</w:t>
      </w:r>
      <w:r w:rsidR="00BF10F6" w:rsidRPr="008F3CDE">
        <w:rPr>
          <w:rFonts w:ascii="Arial" w:hAnsi="Arial" w:cs="Arial"/>
          <w:b/>
          <w:bCs/>
        </w:rPr>
        <w:t>karżącej jako kobiety.</w:t>
      </w:r>
      <w:r w:rsidR="0021670D" w:rsidRPr="004458AE">
        <w:rPr>
          <w:rFonts w:ascii="Arial" w:hAnsi="Arial" w:cs="Arial"/>
        </w:rPr>
        <w:t xml:space="preserve"> </w:t>
      </w:r>
      <w:r w:rsidR="00AD27C0" w:rsidRPr="004458AE">
        <w:rPr>
          <w:rFonts w:ascii="Arial" w:hAnsi="Arial" w:cs="Arial"/>
        </w:rPr>
        <w:t>W</w:t>
      </w:r>
      <w:r w:rsidR="008F3CDE">
        <w:rPr>
          <w:rFonts w:ascii="Arial" w:hAnsi="Arial" w:cs="Arial"/>
        </w:rPr>
        <w:t xml:space="preserve"> </w:t>
      </w:r>
      <w:r w:rsidR="00AD27C0" w:rsidRPr="004458AE">
        <w:rPr>
          <w:rFonts w:ascii="Arial" w:hAnsi="Arial" w:cs="Arial"/>
        </w:rPr>
        <w:t>uzasadnieni</w:t>
      </w:r>
      <w:r w:rsidR="008F3CDE">
        <w:rPr>
          <w:rFonts w:ascii="Arial" w:hAnsi="Arial" w:cs="Arial"/>
        </w:rPr>
        <w:t>u</w:t>
      </w:r>
      <w:r w:rsidR="00AD27C0" w:rsidRPr="004458AE">
        <w:rPr>
          <w:rFonts w:ascii="Arial" w:hAnsi="Arial" w:cs="Arial"/>
        </w:rPr>
        <w:t xml:space="preserve"> wyroku Trybunał przytoczył argumenty na rzecz tezy, że władze krajowe nie dopełniły ciążących na nich pozytywnych obowiązków ochrony skarżącej przed zachowaniami za</w:t>
      </w:r>
      <w:r w:rsidR="008F3CDE">
        <w:rPr>
          <w:rFonts w:ascii="Arial" w:hAnsi="Arial" w:cs="Arial"/>
        </w:rPr>
        <w:t xml:space="preserve">bronionymi </w:t>
      </w:r>
      <w:r w:rsidR="00AD27C0" w:rsidRPr="004458AE">
        <w:rPr>
          <w:rFonts w:ascii="Arial" w:hAnsi="Arial" w:cs="Arial"/>
        </w:rPr>
        <w:t xml:space="preserve">przez art. 3 Konwencji. Trybunał przypomniał, że </w:t>
      </w:r>
      <w:r w:rsidR="00AD27C0" w:rsidRPr="008F3CDE">
        <w:rPr>
          <w:rFonts w:ascii="Arial" w:hAnsi="Arial" w:cs="Arial"/>
          <w:b/>
          <w:bCs/>
        </w:rPr>
        <w:t>władze krajowe, które są świadome realnego ryzyka nieludzkiego traktowania ofiary przez osobę indywidualną pozostającą w ich jurysdykcji, mają obowiązek podjąć odpowiednie kroki w celu ochrony ofiary przed nieludzkim traktowaniem</w:t>
      </w:r>
      <w:r w:rsidR="007B2379">
        <w:rPr>
          <w:rFonts w:ascii="Arial" w:hAnsi="Arial" w:cs="Arial"/>
          <w:b/>
          <w:bCs/>
        </w:rPr>
        <w:t>,</w:t>
      </w:r>
      <w:r w:rsidR="00AD27C0" w:rsidRPr="008F3CDE">
        <w:rPr>
          <w:rFonts w:ascii="Arial" w:hAnsi="Arial" w:cs="Arial"/>
          <w:b/>
          <w:bCs/>
        </w:rPr>
        <w:t xml:space="preserve"> a jeśli ono już nastąpiło – powinny ukarać winnych.</w:t>
      </w:r>
      <w:r w:rsidR="00AD27C0" w:rsidRPr="004458AE">
        <w:rPr>
          <w:rFonts w:ascii="Arial" w:hAnsi="Arial" w:cs="Arial"/>
        </w:rPr>
        <w:t xml:space="preserve"> Trybunał stwierdził, że prawo mołdawskie oferowało podstawy normatywne dla prawidłowego reagowania na akty przemocy domowej. Trybunał nie miał wątpliwości, że organy ścigania były świadome dokonywania przez </w:t>
      </w:r>
      <w:r w:rsidR="008F3CDE">
        <w:rPr>
          <w:rFonts w:ascii="Arial" w:hAnsi="Arial" w:cs="Arial"/>
        </w:rPr>
        <w:t xml:space="preserve">niego </w:t>
      </w:r>
      <w:r w:rsidR="00AD27C0" w:rsidRPr="004458AE">
        <w:rPr>
          <w:rFonts w:ascii="Arial" w:hAnsi="Arial" w:cs="Arial"/>
        </w:rPr>
        <w:t>aktów przemocy domowej wobec skarżących</w:t>
      </w:r>
      <w:r w:rsidR="008F3CDE">
        <w:rPr>
          <w:rFonts w:ascii="Arial" w:hAnsi="Arial" w:cs="Arial"/>
        </w:rPr>
        <w:t xml:space="preserve">, o czym </w:t>
      </w:r>
      <w:r w:rsidR="00AD27C0" w:rsidRPr="004458AE">
        <w:rPr>
          <w:rFonts w:ascii="Arial" w:hAnsi="Arial" w:cs="Arial"/>
        </w:rPr>
        <w:t>świadczy</w:t>
      </w:r>
      <w:r w:rsidR="008F3CDE">
        <w:rPr>
          <w:rFonts w:ascii="Arial" w:hAnsi="Arial" w:cs="Arial"/>
        </w:rPr>
        <w:t>ł m. in</w:t>
      </w:r>
      <w:r w:rsidR="007B2379">
        <w:rPr>
          <w:rFonts w:ascii="Arial" w:hAnsi="Arial" w:cs="Arial"/>
        </w:rPr>
        <w:t>.</w:t>
      </w:r>
      <w:r w:rsidR="00AD27C0" w:rsidRPr="004458AE">
        <w:rPr>
          <w:rFonts w:ascii="Arial" w:hAnsi="Arial" w:cs="Arial"/>
        </w:rPr>
        <w:t xml:space="preserve"> fakt wydania zakazu zbliżania się do skarżących w grudniu 2010 r</w:t>
      </w:r>
      <w:r w:rsidR="0052341F">
        <w:rPr>
          <w:rFonts w:ascii="Arial" w:hAnsi="Arial" w:cs="Arial"/>
        </w:rPr>
        <w:t>oku.</w:t>
      </w:r>
      <w:r w:rsidR="00AD27C0" w:rsidRPr="004458AE">
        <w:rPr>
          <w:rFonts w:ascii="Arial" w:hAnsi="Arial" w:cs="Arial"/>
        </w:rPr>
        <w:t xml:space="preserve"> Zdaniem Trybunału od dnia 13 stycznia 2011 r</w:t>
      </w:r>
      <w:r w:rsidR="0052341F">
        <w:rPr>
          <w:rFonts w:ascii="Arial" w:hAnsi="Arial" w:cs="Arial"/>
        </w:rPr>
        <w:t>oku</w:t>
      </w:r>
      <w:r w:rsidR="00AD27C0" w:rsidRPr="004458AE">
        <w:rPr>
          <w:rFonts w:ascii="Arial" w:hAnsi="Arial" w:cs="Arial"/>
        </w:rPr>
        <w:t xml:space="preserve">, kiedy </w:t>
      </w:r>
      <w:r w:rsidR="007B2379">
        <w:rPr>
          <w:rFonts w:ascii="Arial" w:hAnsi="Arial" w:cs="Arial"/>
        </w:rPr>
        <w:t xml:space="preserve">mąż </w:t>
      </w:r>
      <w:r w:rsidR="00AD27C0" w:rsidRPr="004458AE">
        <w:rPr>
          <w:rFonts w:ascii="Arial" w:hAnsi="Arial" w:cs="Arial"/>
        </w:rPr>
        <w:t xml:space="preserve">groził pierwszej skarżącej śmiercią, jeżeli nie wycofa wniosku o ściganie, władze krajowe dysponowały wystarczającymi dowodami na to, że pierwsza skarżąca była </w:t>
      </w:r>
      <w:r w:rsidR="007B2379">
        <w:rPr>
          <w:rFonts w:ascii="Arial" w:hAnsi="Arial" w:cs="Arial"/>
        </w:rPr>
        <w:br/>
      </w:r>
      <w:r w:rsidR="00AD27C0" w:rsidRPr="004458AE">
        <w:rPr>
          <w:rFonts w:ascii="Arial" w:hAnsi="Arial" w:cs="Arial"/>
        </w:rPr>
        <w:lastRenderedPageBreak/>
        <w:t>w</w:t>
      </w:r>
      <w:r w:rsidR="007B2379">
        <w:rPr>
          <w:rFonts w:ascii="Arial" w:hAnsi="Arial" w:cs="Arial"/>
        </w:rPr>
        <w:t xml:space="preserve"> </w:t>
      </w:r>
      <w:r w:rsidR="00AD27C0" w:rsidRPr="004458AE">
        <w:rPr>
          <w:rFonts w:ascii="Arial" w:hAnsi="Arial" w:cs="Arial"/>
        </w:rPr>
        <w:t xml:space="preserve">niebezpieczeństwie z powodu lekceważenia zakazu zbliżania się. Trybunał uznał, że pierwsza skarżąca była w szczególnie trudnej sytuacji, gdyż </w:t>
      </w:r>
      <w:r w:rsidR="007B2379">
        <w:rPr>
          <w:rFonts w:ascii="Arial" w:hAnsi="Arial" w:cs="Arial"/>
        </w:rPr>
        <w:t xml:space="preserve">mąż </w:t>
      </w:r>
      <w:r w:rsidR="00AD27C0" w:rsidRPr="004458AE">
        <w:rPr>
          <w:rFonts w:ascii="Arial" w:hAnsi="Arial" w:cs="Arial"/>
        </w:rPr>
        <w:t>był policjantem, trenowanym w przełamywaniu oporu. Wobec tego należało oczekiwać od organów procesowych zdecydowanych i szybkich działań ochronnych. Trybunał przyznał, że władze krajowe nie były całkowicie bezczynne</w:t>
      </w:r>
      <w:r w:rsidR="007B2379">
        <w:rPr>
          <w:rFonts w:ascii="Arial" w:hAnsi="Arial" w:cs="Arial"/>
        </w:rPr>
        <w:t>, j</w:t>
      </w:r>
      <w:r w:rsidR="00AD27C0" w:rsidRPr="004458AE">
        <w:rPr>
          <w:rFonts w:ascii="Arial" w:hAnsi="Arial" w:cs="Arial"/>
        </w:rPr>
        <w:t>ednak nie zareagowały prawidłowo na kolejne naruszenia zakazu zbliżania się</w:t>
      </w:r>
      <w:r w:rsidR="007B2379">
        <w:rPr>
          <w:rFonts w:ascii="Arial" w:hAnsi="Arial" w:cs="Arial"/>
        </w:rPr>
        <w:t xml:space="preserve"> przez męża skarżącej</w:t>
      </w:r>
      <w:r w:rsidR="00AD27C0" w:rsidRPr="004458AE">
        <w:rPr>
          <w:rFonts w:ascii="Arial" w:hAnsi="Arial" w:cs="Arial"/>
        </w:rPr>
        <w:t xml:space="preserve">, który przez cały ten czas pozostawał czynnym oficerem policji. Trybunał podkreślił, że </w:t>
      </w:r>
      <w:r w:rsidR="007B2379">
        <w:rPr>
          <w:rFonts w:ascii="Arial" w:hAnsi="Arial" w:cs="Arial"/>
        </w:rPr>
        <w:t xml:space="preserve">pomimo, iż </w:t>
      </w:r>
      <w:r w:rsidR="00AD27C0" w:rsidRPr="004458AE">
        <w:rPr>
          <w:rFonts w:ascii="Arial" w:hAnsi="Arial" w:cs="Arial"/>
        </w:rPr>
        <w:t>naruszenie zakazu wynikającego z orzeczenia sądu było czynem zabronionym, zagrożonym karą do 2 lat pozbawienia wolności nie wszczęto jednak postępowania karnego pomimo kilk</w:t>
      </w:r>
      <w:r w:rsidR="0052341F">
        <w:rPr>
          <w:rFonts w:ascii="Arial" w:hAnsi="Arial" w:cs="Arial"/>
        </w:rPr>
        <w:t>u</w:t>
      </w:r>
      <w:r w:rsidR="00AD27C0" w:rsidRPr="004458AE">
        <w:rPr>
          <w:rFonts w:ascii="Arial" w:hAnsi="Arial" w:cs="Arial"/>
        </w:rPr>
        <w:t xml:space="preserve">krotnego złamania zakazu zbliżania się. Nie wykorzystano też możliwości wpływania na zachowanie </w:t>
      </w:r>
      <w:r w:rsidR="007B2379">
        <w:rPr>
          <w:rFonts w:ascii="Arial" w:hAnsi="Arial" w:cs="Arial"/>
        </w:rPr>
        <w:t xml:space="preserve">męża/ojca skarżących </w:t>
      </w:r>
      <w:r w:rsidR="00AD27C0" w:rsidRPr="004458AE">
        <w:rPr>
          <w:rFonts w:ascii="Arial" w:hAnsi="Arial" w:cs="Arial"/>
        </w:rPr>
        <w:t xml:space="preserve">jako funkcjonariusza policji. Trybunał </w:t>
      </w:r>
      <w:r w:rsidR="007B2379">
        <w:rPr>
          <w:rFonts w:ascii="Arial" w:hAnsi="Arial" w:cs="Arial"/>
        </w:rPr>
        <w:t>stwierdził również</w:t>
      </w:r>
      <w:r w:rsidR="00AD27C0" w:rsidRPr="004458AE">
        <w:rPr>
          <w:rFonts w:ascii="Arial" w:hAnsi="Arial" w:cs="Arial"/>
        </w:rPr>
        <w:t xml:space="preserve">, że wobec powtarzającego się naruszania prawa przez A. niezrozumiałe jest przyjęcie przez prokuratora, iż </w:t>
      </w:r>
      <w:r w:rsidR="007B2379">
        <w:rPr>
          <w:rFonts w:ascii="Arial" w:hAnsi="Arial" w:cs="Arial"/>
        </w:rPr>
        <w:t xml:space="preserve">oskarżony </w:t>
      </w:r>
      <w:r w:rsidR="00AD27C0" w:rsidRPr="004458AE">
        <w:rPr>
          <w:rFonts w:ascii="Arial" w:hAnsi="Arial" w:cs="Arial"/>
        </w:rPr>
        <w:t>„nie stanowi zagrożenia dla społeczeństwa”. Zdaniem Trybunału taką reakcję prawnokarną na czyny zabronione popełnione przez A. należ</w:t>
      </w:r>
      <w:r w:rsidR="007B2379">
        <w:rPr>
          <w:rFonts w:ascii="Arial" w:hAnsi="Arial" w:cs="Arial"/>
        </w:rPr>
        <w:t xml:space="preserve">ało </w:t>
      </w:r>
      <w:r w:rsidR="00AD27C0" w:rsidRPr="004458AE">
        <w:rPr>
          <w:rFonts w:ascii="Arial" w:hAnsi="Arial" w:cs="Arial"/>
        </w:rPr>
        <w:t xml:space="preserve">uznać raczej za chronienie go przed odpowiedzialnością karną, skutkujące jego rzeczywistą bezkarnością niż działanie zmierzające do zapobiegnięcia dalszym aktom przemocy. W rezultacie poczynionych ustaleń </w:t>
      </w:r>
      <w:r w:rsidR="00AD27C0" w:rsidRPr="007B2379">
        <w:rPr>
          <w:rFonts w:ascii="Arial" w:hAnsi="Arial" w:cs="Arial"/>
          <w:b/>
          <w:bCs/>
        </w:rPr>
        <w:t xml:space="preserve">Trybunał jednogłośnie stwierdził naruszenie art. 3 Konwencji z powodu zaniechania podjęcia adekwatnych środków prawnych ochrony pierwszej skarżącej przed działaniami sprzecznymi z art. 3 Konwencji. </w:t>
      </w:r>
    </w:p>
    <w:p w14:paraId="59490379" w14:textId="32C74EEA" w:rsidR="007B2379" w:rsidRDefault="007B2379" w:rsidP="007B2379">
      <w:pPr>
        <w:spacing w:line="360" w:lineRule="auto"/>
        <w:contextualSpacing/>
        <w:jc w:val="both"/>
        <w:rPr>
          <w:rFonts w:ascii="Arial" w:hAnsi="Arial" w:cs="Arial"/>
        </w:rPr>
      </w:pPr>
      <w:r w:rsidRPr="007B2379">
        <w:rPr>
          <w:rFonts w:ascii="Arial" w:hAnsi="Arial" w:cs="Arial"/>
        </w:rPr>
        <w:t>W</w:t>
      </w:r>
      <w:r w:rsidR="00AD27C0" w:rsidRPr="007B2379">
        <w:rPr>
          <w:rFonts w:ascii="Arial" w:hAnsi="Arial" w:cs="Arial"/>
        </w:rPr>
        <w:t xml:space="preserve"> </w:t>
      </w:r>
      <w:r w:rsidR="00AD27C0" w:rsidRPr="004458AE">
        <w:rPr>
          <w:rFonts w:ascii="Arial" w:hAnsi="Arial" w:cs="Arial"/>
        </w:rPr>
        <w:t xml:space="preserve">odniesieniu do drugiej i trzeciej skarżącej </w:t>
      </w:r>
      <w:r>
        <w:rPr>
          <w:rFonts w:ascii="Arial" w:hAnsi="Arial" w:cs="Arial"/>
        </w:rPr>
        <w:t xml:space="preserve">- córek A. </w:t>
      </w:r>
      <w:r w:rsidR="00AD27C0" w:rsidRPr="004458AE">
        <w:rPr>
          <w:rFonts w:ascii="Arial" w:hAnsi="Arial" w:cs="Arial"/>
        </w:rPr>
        <w:t xml:space="preserve">Trybunał uznał, że ich zarzuty należy rozpoznać na gruncie art. 8 Konwencji. Córki A. nie były poddawane przemocy fizycznej, natomiast A. znieważał je i w ich obecności stosował przemoc fizyczną i psychiczną wobec ich matki, pierwszej skarżącej. </w:t>
      </w:r>
      <w:r w:rsidR="00AD27C0" w:rsidRPr="007B2379">
        <w:rPr>
          <w:rFonts w:ascii="Arial" w:hAnsi="Arial" w:cs="Arial"/>
          <w:b/>
          <w:bCs/>
        </w:rPr>
        <w:t>Trybunał przypomniał, że również z art. 8 Konwencji wynikają pozytywne obowiązki państwa. Mogą one obejmować podejmowanie środków odnoszących się do relacji między dwiema prywatnymi osobami. Prawo do prywatności obejmuje też integralność fizyczną i psychiczną jednostki, którą państwa-strony Konwencji powinny chronić nawet wówczas, gdy ataki na sferę integralności psychicznej pochodzą od innych osób niereprezentujących władzy państwowej. Obowiązkiem państwa jest zapewnienie takiego funkcjonowania systemu prawnego, aby mógł on skutecznie chronić osoby przed przemocą pochodzącą od innych osób.</w:t>
      </w:r>
      <w:r w:rsidR="00AD27C0" w:rsidRPr="004458AE">
        <w:rPr>
          <w:rFonts w:ascii="Arial" w:hAnsi="Arial" w:cs="Arial"/>
        </w:rPr>
        <w:t xml:space="preserve"> </w:t>
      </w:r>
      <w:r w:rsidR="00AD27C0" w:rsidRPr="007B2379">
        <w:rPr>
          <w:rFonts w:ascii="Arial" w:hAnsi="Arial" w:cs="Arial"/>
          <w:b/>
          <w:bCs/>
        </w:rPr>
        <w:t xml:space="preserve">Trybunał podkreślił jednocześnie, że ofiary przemocy domowej są szczególnie narażone na pokrzywdzenie </w:t>
      </w:r>
      <w:r w:rsidR="00AD27C0" w:rsidRPr="002175F0">
        <w:rPr>
          <w:rFonts w:ascii="Arial" w:hAnsi="Arial" w:cs="Arial"/>
        </w:rPr>
        <w:t>(</w:t>
      </w:r>
      <w:r w:rsidR="00AD27C0" w:rsidRPr="002175F0">
        <w:rPr>
          <w:rFonts w:ascii="Arial" w:hAnsi="Arial" w:cs="Arial"/>
          <w:i/>
          <w:iCs/>
        </w:rPr>
        <w:t>vulnerable</w:t>
      </w:r>
      <w:r w:rsidR="00AD27C0" w:rsidRPr="002175F0">
        <w:rPr>
          <w:rFonts w:ascii="Arial" w:hAnsi="Arial" w:cs="Arial"/>
        </w:rPr>
        <w:t>).</w:t>
      </w:r>
      <w:r w:rsidR="00AD27C0" w:rsidRPr="007B2379">
        <w:rPr>
          <w:rFonts w:ascii="Arial" w:hAnsi="Arial" w:cs="Arial"/>
          <w:b/>
          <w:bCs/>
        </w:rPr>
        <w:t xml:space="preserve"> Dlatego należy oczekiwać aktywnego działania państwa na rzecz ich ochrony.</w:t>
      </w:r>
      <w:r w:rsidR="00AD27C0" w:rsidRPr="004458AE">
        <w:rPr>
          <w:rFonts w:ascii="Arial" w:hAnsi="Arial" w:cs="Arial"/>
        </w:rPr>
        <w:t xml:space="preserve"> Odnosząc ten ogólny standard do okoliczności omawianej sprawy Trybunał stwierdził, że miała miejsce ingerencja w prawo do prywatności drugiej i trzeciej skarżącej przez działania A. podejmowane wobec ich matki, pierwszej skarżącej i wobec nich samych. Działania te były sprzeczne z art. 3 Konwencji, toteż nie można badać, czy były jednocześnie „przewidziane przez prawo i konieczne w społeczeństwie </w:t>
      </w:r>
      <w:r w:rsidR="00AD27C0" w:rsidRPr="004458AE">
        <w:rPr>
          <w:rFonts w:ascii="Arial" w:hAnsi="Arial" w:cs="Arial"/>
        </w:rPr>
        <w:lastRenderedPageBreak/>
        <w:t>demokratycznym”, jak tego wymaga art. 8 ust. 2 Konwencji. Trybunałowi pozostało ustalić, czy władze krajowe wiedziały o działaniach A. i czy podejmowały rozsądne kroki w celu zapobiegnięcia dalszym naruszeniom prawa skarżących do prywatności. Trybunał nie miał wątpliwości, że od końca grudnia 2010 r</w:t>
      </w:r>
      <w:r w:rsidR="0052341F">
        <w:rPr>
          <w:rFonts w:ascii="Arial" w:hAnsi="Arial" w:cs="Arial"/>
        </w:rPr>
        <w:t>oku</w:t>
      </w:r>
      <w:r w:rsidR="00AD27C0" w:rsidRPr="004458AE">
        <w:rPr>
          <w:rFonts w:ascii="Arial" w:hAnsi="Arial" w:cs="Arial"/>
        </w:rPr>
        <w:t xml:space="preserve"> organy krajowe wiedziały o naruszaniu prawa drugiej i trzeciej skarżącej do prywatności. Nie podjęły jednak wystarczająco skutecznych działań w celu zapobieżenia trwaniu stanu naruszania praw skarżących. Doszło zatem do naruszenia art. 8 Konwencji. </w:t>
      </w:r>
    </w:p>
    <w:p w14:paraId="2635EF86" w14:textId="05B00C71" w:rsidR="00AD27C0" w:rsidRPr="004458AE" w:rsidRDefault="007B2379" w:rsidP="0021670D">
      <w:pPr>
        <w:spacing w:line="360" w:lineRule="auto"/>
        <w:contextualSpacing/>
        <w:jc w:val="both"/>
        <w:rPr>
          <w:rFonts w:ascii="Arial" w:hAnsi="Arial" w:cs="Arial"/>
        </w:rPr>
      </w:pPr>
      <w:r>
        <w:rPr>
          <w:rFonts w:ascii="Arial" w:hAnsi="Arial" w:cs="Arial"/>
        </w:rPr>
        <w:t xml:space="preserve">W </w:t>
      </w:r>
      <w:r w:rsidR="00AD27C0" w:rsidRPr="004458AE">
        <w:rPr>
          <w:rFonts w:ascii="Arial" w:hAnsi="Arial" w:cs="Arial"/>
        </w:rPr>
        <w:t>odniesieniu do zarzutu dyskryminacji ze względu na płeć Trybunał wskazał na kilka okoliczności, które ocenione razem przekonały go o dyskryminacyjnym podłożu zaniechania przez władze krajowe podjęcia skutecznych środków ochrony praw skarżących.</w:t>
      </w:r>
      <w:r>
        <w:rPr>
          <w:rFonts w:ascii="Arial" w:hAnsi="Arial" w:cs="Arial"/>
        </w:rPr>
        <w:t xml:space="preserve"> </w:t>
      </w:r>
      <w:r w:rsidR="00AD27C0" w:rsidRPr="007B2379">
        <w:rPr>
          <w:rFonts w:ascii="Arial" w:hAnsi="Arial" w:cs="Arial"/>
          <w:b/>
          <w:bCs/>
        </w:rPr>
        <w:t xml:space="preserve">Zdaniem Trybunału sposób działania władz wskazywał na dyskryminowanie pierwszej skarżącej ze względu na jej płeć </w:t>
      </w:r>
      <w:r w:rsidR="00AD27C0" w:rsidRPr="004458AE">
        <w:rPr>
          <w:rFonts w:ascii="Arial" w:hAnsi="Arial" w:cs="Arial"/>
        </w:rPr>
        <w:t>(</w:t>
      </w:r>
      <w:r w:rsidR="00AD27C0" w:rsidRPr="002175F0">
        <w:rPr>
          <w:rFonts w:ascii="Arial" w:hAnsi="Arial" w:cs="Arial"/>
          <w:i/>
          <w:iCs/>
        </w:rPr>
        <w:t>gender-based discrimination).</w:t>
      </w:r>
      <w:r w:rsidR="00AD27C0" w:rsidRPr="004458AE">
        <w:rPr>
          <w:rFonts w:ascii="Arial" w:hAnsi="Arial" w:cs="Arial"/>
        </w:rPr>
        <w:t xml:space="preserve"> Trybunał wskazał m. in. na następujące przejawy tej dyskryminacji: zachęcanie pierwszej skarżącej przez policję do wycofania skargi wobec A. komentarze pracowników socjalnych, którzy lekceważyli sytuację pierwszej skarżącej i mieli oświadczyć, że „nie jest ona ani pierwszą ani też ostatnią kobietą bitą przez swego męża”; uniknięcie odpowiedzialności karnej przez A. </w:t>
      </w:r>
      <w:r w:rsidR="00AD27C0" w:rsidRPr="007B2379">
        <w:rPr>
          <w:rFonts w:ascii="Arial" w:hAnsi="Arial" w:cs="Arial"/>
          <w:b/>
          <w:bCs/>
        </w:rPr>
        <w:t>Trybunał jednogłośnie stwierdził naruszenie art. 14 w zw. z art. 3 Konwencji w odniesieniu do pierwszej skarżącej.</w:t>
      </w:r>
      <w:r w:rsidR="00AD27C0" w:rsidRPr="004458AE">
        <w:rPr>
          <w:rFonts w:ascii="Arial" w:hAnsi="Arial" w:cs="Arial"/>
        </w:rPr>
        <w:t xml:space="preserve"> Jednocześnie uznał, że nie ma potrzeby odrębnego badania czy władze zachowywały się dyskryminująco także wobec drugiej i trzeciej skarżącej. </w:t>
      </w:r>
    </w:p>
    <w:p w14:paraId="409F67A2" w14:textId="0B5831F1" w:rsidR="00F24ACC" w:rsidRPr="00AD27C0" w:rsidRDefault="009677B7" w:rsidP="005060D6">
      <w:pPr>
        <w:pStyle w:val="Tekstpodstawowy"/>
        <w:spacing w:before="2" w:line="360" w:lineRule="auto"/>
        <w:ind w:left="0" w:hanging="1"/>
        <w:rPr>
          <w:rFonts w:ascii="Arial" w:hAnsi="Arial" w:cs="Arial"/>
          <w:b/>
          <w:bCs/>
          <w:sz w:val="22"/>
          <w:szCs w:val="22"/>
          <w:u w:val="single"/>
        </w:rPr>
      </w:pPr>
      <w:r w:rsidRPr="00AD27C0">
        <w:rPr>
          <w:rFonts w:ascii="Arial" w:hAnsi="Arial" w:cs="Arial"/>
          <w:sz w:val="22"/>
          <w:szCs w:val="22"/>
        </w:rPr>
        <w:t xml:space="preserve">Sprawa </w:t>
      </w:r>
      <w:hyperlink r:id="rId35">
        <w:r w:rsidR="00F24ACC" w:rsidRPr="00AD27C0">
          <w:rPr>
            <w:rFonts w:ascii="Arial" w:hAnsi="Arial" w:cs="Arial"/>
            <w:b/>
            <w:bCs/>
            <w:i/>
            <w:iCs/>
            <w:sz w:val="22"/>
            <w:szCs w:val="22"/>
          </w:rPr>
          <w:t>Valiulienė przeciwko Litwie</w:t>
        </w:r>
      </w:hyperlink>
      <w:r w:rsidR="00F24ACC" w:rsidRPr="00AD27C0">
        <w:rPr>
          <w:rFonts w:ascii="Arial" w:hAnsi="Arial" w:cs="Arial"/>
          <w:b/>
          <w:bCs/>
          <w:i/>
          <w:iCs/>
          <w:sz w:val="22"/>
          <w:szCs w:val="22"/>
        </w:rPr>
        <w:t xml:space="preserve"> </w:t>
      </w:r>
      <w:r w:rsidRPr="0052341F">
        <w:rPr>
          <w:rFonts w:ascii="Arial" w:hAnsi="Arial" w:cs="Arial"/>
          <w:sz w:val="22"/>
          <w:szCs w:val="22"/>
        </w:rPr>
        <w:t>(</w:t>
      </w:r>
      <w:r w:rsidR="00F24ACC" w:rsidRPr="0052341F">
        <w:rPr>
          <w:rFonts w:ascii="Arial" w:hAnsi="Arial" w:cs="Arial"/>
          <w:sz w:val="22"/>
          <w:szCs w:val="22"/>
        </w:rPr>
        <w:t xml:space="preserve">nr skargi </w:t>
      </w:r>
      <w:r w:rsidR="00F24ACC" w:rsidRPr="0052341F">
        <w:rPr>
          <w:rFonts w:ascii="Arial" w:hAnsi="Arial" w:cs="Arial"/>
          <w:sz w:val="22"/>
          <w:szCs w:val="22"/>
          <w:shd w:val="clear" w:color="auto" w:fill="FFFFFF"/>
        </w:rPr>
        <w:t>33234/07</w:t>
      </w:r>
      <w:r w:rsidRPr="0052341F">
        <w:rPr>
          <w:rFonts w:ascii="Arial" w:hAnsi="Arial" w:cs="Arial"/>
          <w:sz w:val="22"/>
          <w:szCs w:val="22"/>
          <w:shd w:val="clear" w:color="auto" w:fill="FFFFFF"/>
        </w:rPr>
        <w:t xml:space="preserve">) </w:t>
      </w:r>
      <w:r w:rsidR="00F24ACC" w:rsidRPr="0052341F">
        <w:rPr>
          <w:rFonts w:ascii="Arial" w:hAnsi="Arial" w:cs="Arial"/>
          <w:sz w:val="22"/>
          <w:szCs w:val="22"/>
        </w:rPr>
        <w:t>d</w:t>
      </w:r>
      <w:r w:rsidR="00F24ACC" w:rsidRPr="00AD27C0">
        <w:rPr>
          <w:rFonts w:ascii="Arial" w:hAnsi="Arial" w:cs="Arial"/>
          <w:sz w:val="22"/>
          <w:szCs w:val="22"/>
        </w:rPr>
        <w:t>otyczyła skargi złożonej przez kobietę, która stała się ofiarą przemocy domowej, w związku z tym, że władze nie zbadały jej zarzutów dotyczących złego traktowania i nie pociągnęły jej partnera do odpowiedzialności.</w:t>
      </w:r>
      <w:r w:rsidRPr="00AD27C0">
        <w:rPr>
          <w:rFonts w:ascii="Arial" w:hAnsi="Arial" w:cs="Arial"/>
          <w:sz w:val="22"/>
          <w:szCs w:val="22"/>
        </w:rPr>
        <w:t xml:space="preserve"> </w:t>
      </w:r>
      <w:r w:rsidR="003070AB" w:rsidRPr="00AD27C0">
        <w:rPr>
          <w:rFonts w:ascii="Arial" w:hAnsi="Arial" w:cs="Arial"/>
          <w:sz w:val="22"/>
          <w:szCs w:val="22"/>
        </w:rPr>
        <w:br/>
      </w:r>
      <w:r w:rsidR="003070AB" w:rsidRPr="00AD27C0">
        <w:rPr>
          <w:rFonts w:ascii="Arial" w:hAnsi="Arial" w:cs="Arial"/>
          <w:b/>
          <w:bCs/>
          <w:sz w:val="22"/>
          <w:szCs w:val="22"/>
        </w:rPr>
        <w:t>W wyroku z 26</w:t>
      </w:r>
      <w:r w:rsidR="0049563D">
        <w:rPr>
          <w:rFonts w:ascii="Arial" w:hAnsi="Arial" w:cs="Arial"/>
          <w:b/>
          <w:bCs/>
          <w:sz w:val="22"/>
          <w:szCs w:val="22"/>
        </w:rPr>
        <w:t xml:space="preserve"> </w:t>
      </w:r>
      <w:r w:rsidR="003070AB" w:rsidRPr="00AD27C0">
        <w:rPr>
          <w:rFonts w:ascii="Arial" w:hAnsi="Arial" w:cs="Arial"/>
          <w:b/>
          <w:bCs/>
          <w:sz w:val="22"/>
          <w:szCs w:val="22"/>
        </w:rPr>
        <w:t>marca</w:t>
      </w:r>
      <w:r w:rsidR="0049563D">
        <w:rPr>
          <w:rFonts w:ascii="Arial" w:hAnsi="Arial" w:cs="Arial"/>
          <w:b/>
          <w:bCs/>
          <w:sz w:val="22"/>
          <w:szCs w:val="22"/>
        </w:rPr>
        <w:t xml:space="preserve"> </w:t>
      </w:r>
      <w:r w:rsidR="003070AB" w:rsidRPr="00AD27C0">
        <w:rPr>
          <w:rFonts w:ascii="Arial" w:hAnsi="Arial" w:cs="Arial"/>
          <w:b/>
          <w:bCs/>
          <w:sz w:val="22"/>
          <w:szCs w:val="22"/>
        </w:rPr>
        <w:t>2013</w:t>
      </w:r>
      <w:r w:rsidR="0049563D">
        <w:rPr>
          <w:rFonts w:ascii="Arial" w:hAnsi="Arial" w:cs="Arial"/>
          <w:b/>
          <w:bCs/>
          <w:sz w:val="22"/>
          <w:szCs w:val="22"/>
        </w:rPr>
        <w:t xml:space="preserve"> </w:t>
      </w:r>
      <w:r w:rsidR="003070AB" w:rsidRPr="00AD27C0">
        <w:rPr>
          <w:rFonts w:ascii="Arial" w:hAnsi="Arial" w:cs="Arial"/>
          <w:b/>
          <w:bCs/>
          <w:sz w:val="22"/>
          <w:szCs w:val="22"/>
        </w:rPr>
        <w:t>r</w:t>
      </w:r>
      <w:r w:rsidR="0052341F">
        <w:rPr>
          <w:rFonts w:ascii="Arial" w:hAnsi="Arial" w:cs="Arial"/>
          <w:b/>
          <w:bCs/>
          <w:sz w:val="22"/>
          <w:szCs w:val="22"/>
        </w:rPr>
        <w:t>oku</w:t>
      </w:r>
      <w:r w:rsidR="003070AB" w:rsidRPr="00AD27C0">
        <w:rPr>
          <w:rFonts w:ascii="Arial" w:hAnsi="Arial" w:cs="Arial"/>
          <w:sz w:val="22"/>
          <w:szCs w:val="22"/>
        </w:rPr>
        <w:t xml:space="preserve"> </w:t>
      </w:r>
      <w:r w:rsidR="00F24ACC" w:rsidRPr="00AD27C0">
        <w:rPr>
          <w:rFonts w:ascii="Arial" w:hAnsi="Arial" w:cs="Arial"/>
          <w:sz w:val="22"/>
          <w:szCs w:val="22"/>
        </w:rPr>
        <w:t>Trybunał orzekł, że doszło do naruszenia art. 3 (zakaz nieludzkiego lub poniżającego traktowania) Konwencji, stwierdzając, że</w:t>
      </w:r>
      <w:r w:rsidR="00F24ACC" w:rsidRPr="004458AE">
        <w:rPr>
          <w:rFonts w:ascii="Arial" w:hAnsi="Arial" w:cs="Arial"/>
          <w:b/>
          <w:bCs/>
          <w:sz w:val="22"/>
          <w:szCs w:val="22"/>
        </w:rPr>
        <w:t xml:space="preserve"> </w:t>
      </w:r>
      <w:r w:rsidR="00F24ACC" w:rsidRPr="00AD27C0">
        <w:rPr>
          <w:rFonts w:ascii="Arial" w:hAnsi="Arial" w:cs="Arial"/>
          <w:b/>
          <w:bCs/>
          <w:sz w:val="22"/>
          <w:szCs w:val="22"/>
        </w:rPr>
        <w:t xml:space="preserve">sporne praktyki </w:t>
      </w:r>
      <w:r w:rsidR="003070AB" w:rsidRPr="00AD27C0">
        <w:rPr>
          <w:rFonts w:ascii="Arial" w:hAnsi="Arial" w:cs="Arial"/>
          <w:b/>
          <w:bCs/>
          <w:sz w:val="22"/>
          <w:szCs w:val="22"/>
        </w:rPr>
        <w:br/>
      </w:r>
      <w:r w:rsidR="00F24ACC" w:rsidRPr="00AD27C0">
        <w:rPr>
          <w:rFonts w:ascii="Arial" w:hAnsi="Arial" w:cs="Arial"/>
          <w:b/>
          <w:bCs/>
          <w:sz w:val="22"/>
          <w:szCs w:val="22"/>
        </w:rPr>
        <w:t xml:space="preserve">w niniejszej sprawie oraz sposób wdrożenia mechanizmów prawa karnego nie zapewniły skarżącej odpowiedniej ochrony przed aktami przemocy domowej. </w:t>
      </w:r>
      <w:r w:rsidR="00AD27C0">
        <w:rPr>
          <w:rFonts w:ascii="Arial" w:hAnsi="Arial" w:cs="Arial"/>
          <w:b/>
          <w:bCs/>
          <w:sz w:val="22"/>
          <w:szCs w:val="22"/>
        </w:rPr>
        <w:br/>
      </w:r>
      <w:r w:rsidR="00F24ACC" w:rsidRPr="00AD27C0">
        <w:rPr>
          <w:rFonts w:ascii="Arial" w:hAnsi="Arial" w:cs="Arial"/>
          <w:b/>
          <w:bCs/>
          <w:sz w:val="22"/>
          <w:szCs w:val="22"/>
        </w:rPr>
        <w:t>W szczególności wystąpiły opóźnienia w śledztwie, a prokurator podjął decyzję o jego umorzeniu.</w:t>
      </w:r>
    </w:p>
    <w:p w14:paraId="0FB1716C" w14:textId="05AE3283" w:rsidR="003070AB" w:rsidRPr="004458AE" w:rsidRDefault="003070AB" w:rsidP="00230019">
      <w:pPr>
        <w:pStyle w:val="Nagwek2"/>
        <w:spacing w:before="118" w:after="240" w:line="360" w:lineRule="auto"/>
        <w:ind w:left="0"/>
        <w:rPr>
          <w:rFonts w:ascii="Arial" w:hAnsi="Arial" w:cs="Arial"/>
          <w:b w:val="0"/>
          <w:bCs w:val="0"/>
          <w:sz w:val="22"/>
          <w:szCs w:val="22"/>
          <w:u w:val="none"/>
        </w:rPr>
      </w:pPr>
      <w:r w:rsidRPr="004458AE">
        <w:rPr>
          <w:rFonts w:ascii="Arial" w:hAnsi="Arial" w:cs="Arial"/>
          <w:b w:val="0"/>
          <w:bCs w:val="0"/>
          <w:sz w:val="22"/>
          <w:szCs w:val="22"/>
          <w:u w:val="none"/>
        </w:rPr>
        <w:t xml:space="preserve">W </w:t>
      </w:r>
      <w:r w:rsidR="00230019" w:rsidRPr="004458AE">
        <w:rPr>
          <w:rFonts w:ascii="Arial" w:hAnsi="Arial" w:cs="Arial"/>
          <w:b w:val="0"/>
          <w:bCs w:val="0"/>
          <w:sz w:val="22"/>
          <w:szCs w:val="22"/>
          <w:u w:val="none"/>
        </w:rPr>
        <w:t xml:space="preserve">kolejnej </w:t>
      </w:r>
      <w:r w:rsidRPr="004458AE">
        <w:rPr>
          <w:rFonts w:ascii="Arial" w:hAnsi="Arial" w:cs="Arial"/>
          <w:b w:val="0"/>
          <w:bCs w:val="0"/>
          <w:sz w:val="22"/>
          <w:szCs w:val="22"/>
          <w:u w:val="none"/>
        </w:rPr>
        <w:t xml:space="preserve">sprawie </w:t>
      </w:r>
      <w:hyperlink r:id="rId36">
        <w:r w:rsidR="00F24ACC" w:rsidRPr="004458AE">
          <w:rPr>
            <w:rFonts w:ascii="Arial" w:hAnsi="Arial" w:cs="Arial"/>
            <w:i/>
            <w:iCs/>
            <w:sz w:val="22"/>
            <w:szCs w:val="22"/>
            <w:u w:val="none"/>
          </w:rPr>
          <w:t>D.P. przeciwko Litwie</w:t>
        </w:r>
        <w:r w:rsidR="00F24ACC" w:rsidRPr="004458AE">
          <w:rPr>
            <w:rFonts w:ascii="Arial" w:hAnsi="Arial" w:cs="Arial"/>
            <w:sz w:val="22"/>
            <w:szCs w:val="22"/>
            <w:u w:val="none"/>
          </w:rPr>
          <w:t xml:space="preserve"> </w:t>
        </w:r>
        <w:r w:rsidR="00F24ACC" w:rsidRPr="0052341F">
          <w:rPr>
            <w:rFonts w:ascii="Arial" w:hAnsi="Arial" w:cs="Arial"/>
            <w:b w:val="0"/>
            <w:bCs w:val="0"/>
            <w:sz w:val="22"/>
            <w:szCs w:val="22"/>
            <w:u w:val="none"/>
          </w:rPr>
          <w:t>(skarga nr</w:t>
        </w:r>
        <w:r w:rsidR="0049563D" w:rsidRPr="0052341F">
          <w:rPr>
            <w:rFonts w:ascii="Arial" w:hAnsi="Arial" w:cs="Arial"/>
            <w:b w:val="0"/>
            <w:bCs w:val="0"/>
            <w:sz w:val="22"/>
            <w:szCs w:val="22"/>
            <w:u w:val="none"/>
          </w:rPr>
          <w:t xml:space="preserve"> </w:t>
        </w:r>
        <w:r w:rsidR="00F24ACC" w:rsidRPr="0052341F">
          <w:rPr>
            <w:rFonts w:ascii="Arial" w:hAnsi="Arial" w:cs="Arial"/>
            <w:b w:val="0"/>
            <w:bCs w:val="0"/>
            <w:sz w:val="22"/>
            <w:szCs w:val="22"/>
            <w:u w:val="none"/>
          </w:rPr>
          <w:t>27920/08)</w:t>
        </w:r>
      </w:hyperlink>
      <w:r w:rsidR="00F24ACC" w:rsidRPr="004458AE">
        <w:rPr>
          <w:rFonts w:ascii="Arial" w:hAnsi="Arial" w:cs="Arial"/>
          <w:sz w:val="22"/>
          <w:szCs w:val="22"/>
          <w:u w:val="none"/>
        </w:rPr>
        <w:t xml:space="preserve"> </w:t>
      </w:r>
      <w:r w:rsidR="00BC7F6D" w:rsidRPr="004458AE">
        <w:rPr>
          <w:rFonts w:ascii="Arial" w:hAnsi="Arial" w:cs="Arial"/>
          <w:b w:val="0"/>
          <w:bCs w:val="0"/>
          <w:sz w:val="22"/>
          <w:szCs w:val="22"/>
          <w:u w:val="none"/>
        </w:rPr>
        <w:t>s</w:t>
      </w:r>
      <w:r w:rsidR="00F24ACC" w:rsidRPr="004458AE">
        <w:rPr>
          <w:rFonts w:ascii="Arial" w:hAnsi="Arial" w:cs="Arial"/>
          <w:b w:val="0"/>
          <w:bCs w:val="0"/>
          <w:sz w:val="22"/>
          <w:szCs w:val="22"/>
          <w:u w:val="none"/>
        </w:rPr>
        <w:t xml:space="preserve">karżąca zarzuciła w szczególności, że postępowanie karne w sprawie jej byłego męża </w:t>
      </w:r>
      <w:r w:rsidR="00BC7F6D" w:rsidRPr="004458AE">
        <w:rPr>
          <w:rFonts w:ascii="Arial" w:hAnsi="Arial" w:cs="Arial"/>
          <w:b w:val="0"/>
          <w:bCs w:val="0"/>
          <w:sz w:val="22"/>
          <w:szCs w:val="22"/>
          <w:u w:val="none"/>
        </w:rPr>
        <w:t>(rozwód orzeczono w 2001 r</w:t>
      </w:r>
      <w:r w:rsidR="0052341F">
        <w:rPr>
          <w:rFonts w:ascii="Arial" w:hAnsi="Arial" w:cs="Arial"/>
          <w:b w:val="0"/>
          <w:bCs w:val="0"/>
          <w:sz w:val="22"/>
          <w:szCs w:val="22"/>
          <w:u w:val="none"/>
        </w:rPr>
        <w:t>oku</w:t>
      </w:r>
      <w:r w:rsidR="00BC7F6D" w:rsidRPr="004458AE">
        <w:rPr>
          <w:rFonts w:ascii="Arial" w:hAnsi="Arial" w:cs="Arial"/>
          <w:b w:val="0"/>
          <w:bCs w:val="0"/>
          <w:sz w:val="22"/>
          <w:szCs w:val="22"/>
          <w:u w:val="none"/>
        </w:rPr>
        <w:t xml:space="preserve">) </w:t>
      </w:r>
      <w:r w:rsidR="00F24ACC" w:rsidRPr="004458AE">
        <w:rPr>
          <w:rFonts w:ascii="Arial" w:hAnsi="Arial" w:cs="Arial"/>
          <w:b w:val="0"/>
          <w:bCs w:val="0"/>
          <w:sz w:val="22"/>
          <w:szCs w:val="22"/>
          <w:u w:val="none"/>
        </w:rPr>
        <w:t>w</w:t>
      </w:r>
      <w:r w:rsidR="00BC7F6D" w:rsidRPr="004458AE">
        <w:rPr>
          <w:rFonts w:ascii="Arial" w:hAnsi="Arial" w:cs="Arial"/>
          <w:b w:val="0"/>
          <w:bCs w:val="0"/>
          <w:sz w:val="22"/>
          <w:szCs w:val="22"/>
          <w:u w:val="none"/>
        </w:rPr>
        <w:t xml:space="preserve"> </w:t>
      </w:r>
      <w:r w:rsidR="00F24ACC" w:rsidRPr="004458AE">
        <w:rPr>
          <w:rFonts w:ascii="Arial" w:hAnsi="Arial" w:cs="Arial"/>
          <w:b w:val="0"/>
          <w:bCs w:val="0"/>
          <w:sz w:val="22"/>
          <w:szCs w:val="22"/>
          <w:u w:val="none"/>
        </w:rPr>
        <w:t xml:space="preserve">związku z celowym i regularnym biciem jej i ich trójki starszych dzieci </w:t>
      </w:r>
      <w:r w:rsidR="00BC7F6D" w:rsidRPr="004458AE">
        <w:rPr>
          <w:rFonts w:ascii="Arial" w:hAnsi="Arial" w:cs="Arial"/>
          <w:b w:val="0"/>
          <w:bCs w:val="0"/>
          <w:sz w:val="22"/>
          <w:szCs w:val="22"/>
          <w:u w:val="none"/>
        </w:rPr>
        <w:t>(urodzonych odpowiednio w 1988 r</w:t>
      </w:r>
      <w:r w:rsidR="0052341F">
        <w:rPr>
          <w:rFonts w:ascii="Arial" w:hAnsi="Arial" w:cs="Arial"/>
          <w:b w:val="0"/>
          <w:bCs w:val="0"/>
          <w:sz w:val="22"/>
          <w:szCs w:val="22"/>
          <w:u w:val="none"/>
        </w:rPr>
        <w:t>oku</w:t>
      </w:r>
      <w:r w:rsidR="00BC7F6D" w:rsidRPr="004458AE">
        <w:rPr>
          <w:rFonts w:ascii="Arial" w:hAnsi="Arial" w:cs="Arial"/>
          <w:b w:val="0"/>
          <w:bCs w:val="0"/>
          <w:sz w:val="22"/>
          <w:szCs w:val="22"/>
          <w:u w:val="none"/>
        </w:rPr>
        <w:t>, 1990 r</w:t>
      </w:r>
      <w:r w:rsidR="0052341F">
        <w:rPr>
          <w:rFonts w:ascii="Arial" w:hAnsi="Arial" w:cs="Arial"/>
          <w:b w:val="0"/>
          <w:bCs w:val="0"/>
          <w:sz w:val="22"/>
          <w:szCs w:val="22"/>
          <w:u w:val="none"/>
        </w:rPr>
        <w:t>oku</w:t>
      </w:r>
      <w:r w:rsidR="00BC7F6D" w:rsidRPr="004458AE">
        <w:rPr>
          <w:rFonts w:ascii="Arial" w:hAnsi="Arial" w:cs="Arial"/>
          <w:b w:val="0"/>
          <w:bCs w:val="0"/>
          <w:sz w:val="22"/>
          <w:szCs w:val="22"/>
          <w:u w:val="none"/>
        </w:rPr>
        <w:t>, 1992 r</w:t>
      </w:r>
      <w:r w:rsidR="0052341F">
        <w:rPr>
          <w:rFonts w:ascii="Arial" w:hAnsi="Arial" w:cs="Arial"/>
          <w:b w:val="0"/>
          <w:bCs w:val="0"/>
          <w:sz w:val="22"/>
          <w:szCs w:val="22"/>
          <w:u w:val="none"/>
        </w:rPr>
        <w:t>oku</w:t>
      </w:r>
      <w:r w:rsidR="00BC7F6D" w:rsidRPr="004458AE">
        <w:rPr>
          <w:rFonts w:ascii="Arial" w:hAnsi="Arial" w:cs="Arial"/>
          <w:b w:val="0"/>
          <w:bCs w:val="0"/>
          <w:sz w:val="22"/>
          <w:szCs w:val="22"/>
          <w:u w:val="none"/>
        </w:rPr>
        <w:t xml:space="preserve">) </w:t>
      </w:r>
      <w:r w:rsidR="00F24ACC" w:rsidRPr="004458AE">
        <w:rPr>
          <w:rFonts w:ascii="Arial" w:hAnsi="Arial" w:cs="Arial"/>
          <w:b w:val="0"/>
          <w:bCs w:val="0"/>
          <w:sz w:val="22"/>
          <w:szCs w:val="22"/>
          <w:u w:val="none"/>
        </w:rPr>
        <w:t xml:space="preserve">trwało długo i że sprawa nie została rozpatrzona w rozsądnym terminie. W rezultacie, jak twierdzi, </w:t>
      </w:r>
      <w:r w:rsidR="00F24ACC" w:rsidRPr="004458AE">
        <w:rPr>
          <w:rFonts w:ascii="Arial" w:hAnsi="Arial" w:cs="Arial"/>
          <w:sz w:val="22"/>
          <w:szCs w:val="22"/>
          <w:u w:val="none"/>
        </w:rPr>
        <w:t>oskarżenie uległo przedawnieniu,</w:t>
      </w:r>
      <w:r w:rsidR="00F24ACC" w:rsidRPr="004458AE">
        <w:rPr>
          <w:rFonts w:ascii="Arial" w:hAnsi="Arial" w:cs="Arial"/>
          <w:b w:val="0"/>
          <w:bCs w:val="0"/>
          <w:sz w:val="22"/>
          <w:szCs w:val="22"/>
          <w:u w:val="none"/>
        </w:rPr>
        <w:t xml:space="preserve"> a jej były mąż nie został ukarany przez sąd.</w:t>
      </w:r>
      <w:r w:rsidRPr="004458AE">
        <w:rPr>
          <w:rFonts w:ascii="Arial" w:hAnsi="Arial" w:cs="Arial"/>
          <w:b w:val="0"/>
          <w:bCs w:val="0"/>
          <w:sz w:val="22"/>
          <w:szCs w:val="22"/>
          <w:u w:val="none"/>
        </w:rPr>
        <w:t xml:space="preserve"> </w:t>
      </w:r>
      <w:r w:rsidR="00F24ACC" w:rsidRPr="004458AE">
        <w:rPr>
          <w:rFonts w:ascii="Arial" w:hAnsi="Arial" w:cs="Arial"/>
          <w:b w:val="0"/>
          <w:bCs w:val="0"/>
          <w:sz w:val="22"/>
          <w:szCs w:val="22"/>
          <w:u w:val="none"/>
        </w:rPr>
        <w:t xml:space="preserve">Po nieudanych próbach zawarcia ugody </w:t>
      </w:r>
      <w:r w:rsidR="00F24ACC" w:rsidRPr="004458AE">
        <w:rPr>
          <w:rFonts w:ascii="Arial" w:hAnsi="Arial" w:cs="Arial"/>
          <w:sz w:val="22"/>
          <w:szCs w:val="22"/>
          <w:u w:val="none"/>
        </w:rPr>
        <w:t xml:space="preserve">rząd litewski poinformował </w:t>
      </w:r>
      <w:r w:rsidR="00F24ACC" w:rsidRPr="004458AE">
        <w:rPr>
          <w:rFonts w:ascii="Arial" w:hAnsi="Arial" w:cs="Arial"/>
          <w:b w:val="0"/>
          <w:bCs w:val="0"/>
          <w:sz w:val="22"/>
          <w:szCs w:val="22"/>
          <w:u w:val="none"/>
        </w:rPr>
        <w:t>Trybunał we wrześniu 2012 r</w:t>
      </w:r>
      <w:r w:rsidR="0052341F">
        <w:rPr>
          <w:rFonts w:ascii="Arial" w:hAnsi="Arial" w:cs="Arial"/>
          <w:b w:val="0"/>
          <w:bCs w:val="0"/>
          <w:sz w:val="22"/>
          <w:szCs w:val="22"/>
          <w:u w:val="none"/>
        </w:rPr>
        <w:t>oku</w:t>
      </w:r>
      <w:r w:rsidR="00F24ACC" w:rsidRPr="004458AE">
        <w:rPr>
          <w:rFonts w:ascii="Arial" w:hAnsi="Arial" w:cs="Arial"/>
          <w:b w:val="0"/>
          <w:bCs w:val="0"/>
          <w:sz w:val="22"/>
          <w:szCs w:val="22"/>
          <w:u w:val="none"/>
        </w:rPr>
        <w:t xml:space="preserve">, </w:t>
      </w:r>
      <w:r w:rsidR="00F24ACC" w:rsidRPr="004458AE">
        <w:rPr>
          <w:rFonts w:ascii="Arial" w:hAnsi="Arial" w:cs="Arial"/>
          <w:sz w:val="22"/>
          <w:szCs w:val="22"/>
          <w:u w:val="none"/>
        </w:rPr>
        <w:t xml:space="preserve">że zaproponował złożenie jednostronnej deklaracji w celu rozwiązania kwestii odpowiedzialności </w:t>
      </w:r>
      <w:r w:rsidR="00F24ACC" w:rsidRPr="004458AE">
        <w:rPr>
          <w:rFonts w:ascii="Arial" w:hAnsi="Arial" w:cs="Arial"/>
          <w:sz w:val="22"/>
          <w:szCs w:val="22"/>
          <w:u w:val="none"/>
        </w:rPr>
        <w:lastRenderedPageBreak/>
        <w:t>państwa za brak zapobiegania przemocy domowej, podniesionej w skardze.</w:t>
      </w:r>
      <w:r w:rsidR="00F24ACC" w:rsidRPr="004458AE">
        <w:rPr>
          <w:rFonts w:ascii="Arial" w:hAnsi="Arial" w:cs="Arial"/>
          <w:b w:val="0"/>
          <w:bCs w:val="0"/>
          <w:sz w:val="22"/>
          <w:szCs w:val="22"/>
          <w:u w:val="none"/>
        </w:rPr>
        <w:t xml:space="preserve"> W świetle orzecznictwa Trybunału i okoliczności niniejszej sprawy Rząd uznał w szczególności, że sposób, w jaki mechanizmy prawa karnego zostały wdrożone w niniejszej sprawie, był wadliwy w odniesieniu do postępowania do tego stopnia, że stanowił naruszenie pozytywnych zobowiązań państwa wynikających z art. 3 Konwencji. Mając na względzie warunki deklaracji rządu oraz sposoby zapewnienia zgodności z zobowiązaniami, o których mowa w deklaracji, Trybunał </w:t>
      </w:r>
      <w:r w:rsidRPr="004458AE">
        <w:rPr>
          <w:rFonts w:ascii="Arial" w:hAnsi="Arial" w:cs="Arial"/>
          <w:sz w:val="22"/>
          <w:szCs w:val="22"/>
          <w:u w:val="none"/>
        </w:rPr>
        <w:t>decyzją z 22 października 2013 r</w:t>
      </w:r>
      <w:r w:rsidR="0052341F">
        <w:rPr>
          <w:rFonts w:ascii="Arial" w:hAnsi="Arial" w:cs="Arial"/>
          <w:sz w:val="22"/>
          <w:szCs w:val="22"/>
          <w:u w:val="none"/>
        </w:rPr>
        <w:t>oku</w:t>
      </w:r>
      <w:r w:rsidRPr="004458AE">
        <w:rPr>
          <w:rFonts w:ascii="Arial" w:hAnsi="Arial" w:cs="Arial"/>
          <w:sz w:val="22"/>
          <w:szCs w:val="22"/>
          <w:u w:val="none"/>
        </w:rPr>
        <w:t xml:space="preserve"> </w:t>
      </w:r>
      <w:r w:rsidR="00F24ACC" w:rsidRPr="004458AE">
        <w:rPr>
          <w:rFonts w:ascii="Arial" w:hAnsi="Arial" w:cs="Arial"/>
          <w:sz w:val="22"/>
          <w:szCs w:val="22"/>
          <w:u w:val="none"/>
        </w:rPr>
        <w:t xml:space="preserve">postanowił skreślić skargę ze swojej listy spraw </w:t>
      </w:r>
      <w:r w:rsidR="00F24ACC" w:rsidRPr="004458AE">
        <w:rPr>
          <w:rFonts w:ascii="Arial" w:hAnsi="Arial" w:cs="Arial"/>
          <w:b w:val="0"/>
          <w:bCs w:val="0"/>
          <w:sz w:val="22"/>
          <w:szCs w:val="22"/>
          <w:u w:val="none"/>
        </w:rPr>
        <w:t>zgodnie z art. 37 Konwencji.</w:t>
      </w:r>
    </w:p>
    <w:p w14:paraId="7A93A99E" w14:textId="65E5F04E" w:rsidR="00F00CA0" w:rsidRPr="004458AE" w:rsidRDefault="00CB4F2C" w:rsidP="00F00CA0">
      <w:pPr>
        <w:pStyle w:val="s30eec3f8"/>
        <w:shd w:val="clear" w:color="auto" w:fill="FFFFFF"/>
        <w:spacing w:before="0" w:beforeAutospacing="0" w:after="0" w:afterAutospacing="0" w:line="360" w:lineRule="auto"/>
        <w:jc w:val="both"/>
        <w:rPr>
          <w:rFonts w:ascii="Arial" w:hAnsi="Arial" w:cs="Arial"/>
          <w:sz w:val="22"/>
          <w:szCs w:val="22"/>
        </w:rPr>
      </w:pPr>
      <w:r w:rsidRPr="004458AE">
        <w:rPr>
          <w:rFonts w:ascii="Arial" w:hAnsi="Arial" w:cs="Arial"/>
          <w:sz w:val="22"/>
          <w:szCs w:val="22"/>
        </w:rPr>
        <w:t xml:space="preserve">Sprawa </w:t>
      </w:r>
      <w:hyperlink r:id="rId37">
        <w:r w:rsidRPr="004458AE">
          <w:rPr>
            <w:rFonts w:ascii="Arial" w:hAnsi="Arial" w:cs="Arial"/>
            <w:b/>
            <w:bCs/>
            <w:i/>
            <w:iCs/>
            <w:sz w:val="22"/>
            <w:szCs w:val="22"/>
          </w:rPr>
          <w:t>M.G. przeciwko Turcji</w:t>
        </w:r>
        <w:r w:rsidRPr="004458AE">
          <w:rPr>
            <w:rFonts w:ascii="Arial" w:hAnsi="Arial" w:cs="Arial"/>
            <w:b/>
            <w:bCs/>
            <w:sz w:val="22"/>
            <w:szCs w:val="22"/>
          </w:rPr>
          <w:t xml:space="preserve"> </w:t>
        </w:r>
        <w:r w:rsidRPr="0052341F">
          <w:rPr>
            <w:rFonts w:ascii="Arial" w:hAnsi="Arial" w:cs="Arial"/>
            <w:sz w:val="22"/>
            <w:szCs w:val="22"/>
          </w:rPr>
          <w:t>(nr skargi 646/10</w:t>
        </w:r>
      </w:hyperlink>
      <w:r w:rsidRPr="0052341F">
        <w:rPr>
          <w:rFonts w:ascii="Arial" w:hAnsi="Arial" w:cs="Arial"/>
          <w:sz w:val="22"/>
          <w:szCs w:val="22"/>
        </w:rPr>
        <w:t>)</w:t>
      </w:r>
      <w:r w:rsidRPr="004458AE">
        <w:rPr>
          <w:rFonts w:ascii="Arial" w:hAnsi="Arial" w:cs="Arial"/>
          <w:sz w:val="22"/>
          <w:szCs w:val="22"/>
        </w:rPr>
        <w:t xml:space="preserve"> dotyczyła przemocy domowej, jakiej doświadczyła skarżąca w trakcie trwania małżeństwa, gróźb pod adresem skarżącej po rozwodzie oraz następującego postępowania. </w:t>
      </w:r>
      <w:r w:rsidR="004827B4">
        <w:rPr>
          <w:rFonts w:ascii="Arial" w:hAnsi="Arial" w:cs="Arial"/>
          <w:sz w:val="22"/>
          <w:szCs w:val="22"/>
        </w:rPr>
        <w:t>S</w:t>
      </w:r>
      <w:r w:rsidRPr="004458AE">
        <w:rPr>
          <w:rFonts w:ascii="Arial" w:hAnsi="Arial" w:cs="Arial"/>
          <w:sz w:val="22"/>
          <w:szCs w:val="22"/>
        </w:rPr>
        <w:t>karżąca skrytykowała władze krajowe za to, że nie zapobiegły przemocy, której doświadczała</w:t>
      </w:r>
      <w:r w:rsidR="004827B4">
        <w:rPr>
          <w:rFonts w:ascii="Arial" w:hAnsi="Arial" w:cs="Arial"/>
          <w:sz w:val="22"/>
          <w:szCs w:val="22"/>
        </w:rPr>
        <w:t xml:space="preserve"> podnosząc jednocześnie zarzut </w:t>
      </w:r>
      <w:r w:rsidRPr="004458AE">
        <w:rPr>
          <w:rFonts w:ascii="Arial" w:hAnsi="Arial" w:cs="Arial"/>
          <w:sz w:val="22"/>
          <w:szCs w:val="22"/>
        </w:rPr>
        <w:t>stał</w:t>
      </w:r>
      <w:r w:rsidR="004827B4">
        <w:rPr>
          <w:rFonts w:ascii="Arial" w:hAnsi="Arial" w:cs="Arial"/>
          <w:sz w:val="22"/>
          <w:szCs w:val="22"/>
        </w:rPr>
        <w:t>ej</w:t>
      </w:r>
      <w:r w:rsidRPr="004458AE">
        <w:rPr>
          <w:rFonts w:ascii="Arial" w:hAnsi="Arial" w:cs="Arial"/>
          <w:sz w:val="22"/>
          <w:szCs w:val="22"/>
        </w:rPr>
        <w:t xml:space="preserve"> i systematyczn</w:t>
      </w:r>
      <w:r w:rsidR="004827B4">
        <w:rPr>
          <w:rFonts w:ascii="Arial" w:hAnsi="Arial" w:cs="Arial"/>
          <w:sz w:val="22"/>
          <w:szCs w:val="22"/>
        </w:rPr>
        <w:t>ej</w:t>
      </w:r>
      <w:r w:rsidRPr="004458AE">
        <w:rPr>
          <w:rFonts w:ascii="Arial" w:hAnsi="Arial" w:cs="Arial"/>
          <w:sz w:val="22"/>
          <w:szCs w:val="22"/>
        </w:rPr>
        <w:t xml:space="preserve"> dyskryminacj</w:t>
      </w:r>
      <w:r w:rsidR="004827B4">
        <w:rPr>
          <w:rFonts w:ascii="Arial" w:hAnsi="Arial" w:cs="Arial"/>
          <w:sz w:val="22"/>
          <w:szCs w:val="22"/>
        </w:rPr>
        <w:t>i</w:t>
      </w:r>
      <w:r w:rsidRPr="004458AE">
        <w:rPr>
          <w:rFonts w:ascii="Arial" w:hAnsi="Arial" w:cs="Arial"/>
          <w:sz w:val="22"/>
          <w:szCs w:val="22"/>
        </w:rPr>
        <w:t xml:space="preserve"> w odniesieniu do przemocy wobec kobiet w Turcji.</w:t>
      </w:r>
      <w:r w:rsidRPr="004458AE">
        <w:rPr>
          <w:rFonts w:ascii="Arial" w:hAnsi="Arial" w:cs="Arial"/>
          <w:b/>
          <w:bCs/>
          <w:sz w:val="22"/>
          <w:szCs w:val="22"/>
        </w:rPr>
        <w:t xml:space="preserve"> Wyrokiem z 22 marca 2016 r</w:t>
      </w:r>
      <w:r w:rsidR="004827B4">
        <w:rPr>
          <w:rFonts w:ascii="Arial" w:hAnsi="Arial" w:cs="Arial"/>
          <w:b/>
          <w:bCs/>
          <w:sz w:val="22"/>
          <w:szCs w:val="22"/>
        </w:rPr>
        <w:t>oku</w:t>
      </w:r>
      <w:r w:rsidRPr="004458AE">
        <w:rPr>
          <w:rFonts w:ascii="Arial" w:hAnsi="Arial" w:cs="Arial"/>
          <w:sz w:val="22"/>
          <w:szCs w:val="22"/>
        </w:rPr>
        <w:t xml:space="preserve"> Trybunał orzekł, że doszło do naruszenia art. 3 (zakaz nieludzkiego lub poniżającego traktowania) Konwencji, stwierdzając, że </w:t>
      </w:r>
      <w:r w:rsidRPr="004458AE">
        <w:rPr>
          <w:rFonts w:ascii="Arial" w:hAnsi="Arial" w:cs="Arial"/>
          <w:b/>
          <w:bCs/>
          <w:sz w:val="22"/>
          <w:szCs w:val="22"/>
        </w:rPr>
        <w:t xml:space="preserve">sposób, w jaki władze tureckie prowadziły postępowanie karne, nie może być uznany za spełniający wymogi art. 3. </w:t>
      </w:r>
      <w:r w:rsidRPr="004458AE">
        <w:rPr>
          <w:rFonts w:ascii="Arial" w:hAnsi="Arial" w:cs="Arial"/>
          <w:sz w:val="22"/>
          <w:szCs w:val="22"/>
        </w:rPr>
        <w:t>Trybunał zauważy</w:t>
      </w:r>
      <w:r w:rsidR="004827B4">
        <w:rPr>
          <w:rFonts w:ascii="Arial" w:hAnsi="Arial" w:cs="Arial"/>
          <w:sz w:val="22"/>
          <w:szCs w:val="22"/>
        </w:rPr>
        <w:t>ł</w:t>
      </w:r>
      <w:r w:rsidRPr="004458AE">
        <w:rPr>
          <w:rFonts w:ascii="Arial" w:hAnsi="Arial" w:cs="Arial"/>
          <w:sz w:val="22"/>
          <w:szCs w:val="22"/>
        </w:rPr>
        <w:t xml:space="preserve">, że władze przyjęły bierną postawę, ponieważ postępowanie karne zostało wszczęte ponad pięć lat i sześć miesięcy po tym, jak skarżąca złożyła skargę przeciwko mężowi i najwyraźniej nadal było w toku. </w:t>
      </w:r>
      <w:r w:rsidRPr="004458AE">
        <w:rPr>
          <w:rFonts w:ascii="Arial" w:hAnsi="Arial" w:cs="Arial"/>
          <w:b/>
          <w:bCs/>
          <w:sz w:val="22"/>
          <w:szCs w:val="22"/>
        </w:rPr>
        <w:t xml:space="preserve">W tej sprawie Trybunał orzekł również, że doszło do naruszenia </w:t>
      </w:r>
      <w:r w:rsidRPr="004827B4">
        <w:rPr>
          <w:rFonts w:ascii="Arial" w:hAnsi="Arial" w:cs="Arial"/>
          <w:b/>
          <w:bCs/>
          <w:sz w:val="22"/>
          <w:szCs w:val="22"/>
        </w:rPr>
        <w:t>art. 14</w:t>
      </w:r>
      <w:r w:rsidRPr="004458AE">
        <w:rPr>
          <w:rFonts w:ascii="Arial" w:hAnsi="Arial" w:cs="Arial"/>
          <w:sz w:val="22"/>
          <w:szCs w:val="22"/>
        </w:rPr>
        <w:t xml:space="preserve"> </w:t>
      </w:r>
      <w:r w:rsidRPr="004458AE">
        <w:rPr>
          <w:rFonts w:ascii="Arial" w:hAnsi="Arial" w:cs="Arial"/>
          <w:b/>
          <w:bCs/>
          <w:sz w:val="22"/>
          <w:szCs w:val="22"/>
        </w:rPr>
        <w:t xml:space="preserve">Konwencji w związku z art. 3, stwierdzając, że po wydaniu wyroku rozwodowego (w dniu 24 września 2007 roku) i do czasu wejścia w życie nowej ustawy (nr 6284) w dniu 20 marca 2012 roku obowiązujące ramy prawne nie gwarantowały, że skarżąca, osoba rozwiedziona, może korzystać ze środków ochronnych. Ponadto </w:t>
      </w:r>
      <w:r w:rsidRPr="004458AE">
        <w:rPr>
          <w:rFonts w:ascii="Arial" w:hAnsi="Arial" w:cs="Arial"/>
          <w:sz w:val="22"/>
          <w:szCs w:val="22"/>
        </w:rPr>
        <w:t>Trybunał stwierdził, że przez wiele lat po złożeniu wniosku do sądów krajowych, skarżąca była zmuszona żyć w obawie przed zachowaniem swojego byłego męża.</w:t>
      </w:r>
      <w:r w:rsidR="00F00CA0" w:rsidRPr="004458AE">
        <w:rPr>
          <w:rFonts w:ascii="Arial" w:hAnsi="Arial" w:cs="Arial"/>
          <w:sz w:val="22"/>
          <w:szCs w:val="22"/>
        </w:rPr>
        <w:t xml:space="preserve"> </w:t>
      </w:r>
    </w:p>
    <w:p w14:paraId="7C61F5EE" w14:textId="5577B9D5" w:rsidR="00F00CA0" w:rsidRPr="004458AE" w:rsidRDefault="00F00CA0" w:rsidP="00F00CA0">
      <w:pPr>
        <w:pStyle w:val="s30eec3f8"/>
        <w:shd w:val="clear" w:color="auto" w:fill="FFFFFF"/>
        <w:spacing w:before="0" w:beforeAutospacing="0" w:after="0" w:afterAutospacing="0" w:line="360" w:lineRule="auto"/>
        <w:jc w:val="both"/>
        <w:rPr>
          <w:rFonts w:ascii="Arial" w:hAnsi="Arial" w:cs="Arial"/>
          <w:b/>
          <w:bCs/>
          <w:color w:val="000000"/>
          <w:sz w:val="22"/>
          <w:szCs w:val="22"/>
        </w:rPr>
      </w:pPr>
      <w:r w:rsidRPr="004458AE">
        <w:rPr>
          <w:rFonts w:ascii="Arial" w:hAnsi="Arial" w:cs="Arial"/>
          <w:sz w:val="22"/>
          <w:szCs w:val="22"/>
        </w:rPr>
        <w:t>W tej sprawie</w:t>
      </w:r>
      <w:r w:rsidRPr="004458AE">
        <w:rPr>
          <w:rFonts w:ascii="Arial" w:hAnsi="Arial" w:cs="Arial"/>
          <w:b/>
          <w:bCs/>
          <w:sz w:val="22"/>
          <w:szCs w:val="22"/>
        </w:rPr>
        <w:t xml:space="preserve"> Trybunał zwrócił uwagę, że zapewnienie ochrony praw ofiar pr</w:t>
      </w:r>
      <w:r w:rsidR="004A4505" w:rsidRPr="004458AE">
        <w:rPr>
          <w:rFonts w:ascii="Arial" w:hAnsi="Arial" w:cs="Arial"/>
          <w:b/>
          <w:bCs/>
          <w:sz w:val="22"/>
          <w:szCs w:val="22"/>
        </w:rPr>
        <w:t>z</w:t>
      </w:r>
      <w:r w:rsidRPr="004458AE">
        <w:rPr>
          <w:rFonts w:ascii="Arial" w:hAnsi="Arial" w:cs="Arial"/>
          <w:b/>
          <w:bCs/>
          <w:sz w:val="22"/>
          <w:szCs w:val="22"/>
        </w:rPr>
        <w:t xml:space="preserve">emocy zagwarantowanych w art. 3 Konwencji </w:t>
      </w:r>
      <w:r w:rsidR="004A4505" w:rsidRPr="004458AE">
        <w:rPr>
          <w:rFonts w:ascii="Arial" w:hAnsi="Arial" w:cs="Arial"/>
          <w:sz w:val="22"/>
          <w:szCs w:val="22"/>
        </w:rPr>
        <w:t xml:space="preserve">(w aspekcie pozytywnego obowiązku </w:t>
      </w:r>
      <w:r w:rsidRPr="004458AE">
        <w:rPr>
          <w:rStyle w:val="sb8d990e2"/>
          <w:rFonts w:ascii="Arial" w:eastAsia="Verdana" w:hAnsi="Arial" w:cs="Arial"/>
          <w:color w:val="000000"/>
          <w:sz w:val="22"/>
          <w:szCs w:val="22"/>
        </w:rPr>
        <w:t>ochrony integral</w:t>
      </w:r>
      <w:r w:rsidR="004A4505" w:rsidRPr="004458AE">
        <w:rPr>
          <w:rStyle w:val="sb8d990e2"/>
          <w:rFonts w:ascii="Arial" w:eastAsia="Verdana" w:hAnsi="Arial" w:cs="Arial"/>
          <w:color w:val="000000"/>
          <w:sz w:val="22"/>
          <w:szCs w:val="22"/>
        </w:rPr>
        <w:t xml:space="preserve">ności </w:t>
      </w:r>
      <w:r w:rsidRPr="004458AE">
        <w:rPr>
          <w:rStyle w:val="sb8d990e2"/>
          <w:rFonts w:ascii="Arial" w:eastAsia="Verdana" w:hAnsi="Arial" w:cs="Arial"/>
          <w:color w:val="000000"/>
          <w:sz w:val="22"/>
          <w:szCs w:val="22"/>
        </w:rPr>
        <w:t>cielesnej jednostki</w:t>
      </w:r>
      <w:r w:rsidR="004A4505" w:rsidRPr="004458AE">
        <w:rPr>
          <w:rStyle w:val="sb8d990e2"/>
          <w:rFonts w:ascii="Arial" w:eastAsia="Verdana" w:hAnsi="Arial" w:cs="Arial"/>
          <w:color w:val="000000"/>
          <w:sz w:val="22"/>
          <w:szCs w:val="22"/>
        </w:rPr>
        <w:t>)</w:t>
      </w:r>
      <w:r w:rsidRPr="004458AE">
        <w:rPr>
          <w:rStyle w:val="sb8d990e2"/>
          <w:rFonts w:ascii="Arial" w:eastAsia="Verdana" w:hAnsi="Arial" w:cs="Arial"/>
          <w:color w:val="000000"/>
          <w:sz w:val="22"/>
          <w:szCs w:val="22"/>
        </w:rPr>
        <w:t> </w:t>
      </w:r>
      <w:r w:rsidRPr="004458AE">
        <w:rPr>
          <w:rStyle w:val="sb8d990e2"/>
          <w:rFonts w:ascii="Arial" w:eastAsia="Verdana" w:hAnsi="Arial" w:cs="Arial"/>
          <w:b/>
          <w:bCs/>
          <w:color w:val="000000"/>
          <w:sz w:val="22"/>
          <w:szCs w:val="22"/>
        </w:rPr>
        <w:t>nie wymaga skazania, lecz skutecznego stosowania przepisów, w szczególności przepisów karnych § 80).</w:t>
      </w:r>
    </w:p>
    <w:p w14:paraId="1B0B9232" w14:textId="729A183C" w:rsidR="000940CD" w:rsidRPr="004458AE" w:rsidRDefault="0003189F" w:rsidP="000940CD">
      <w:pPr>
        <w:pStyle w:val="Tekstpodstawowy"/>
        <w:spacing w:before="100" w:beforeAutospacing="1" w:line="360" w:lineRule="auto"/>
        <w:ind w:left="0"/>
        <w:rPr>
          <w:rFonts w:ascii="Arial" w:eastAsiaTheme="minorEastAsia" w:hAnsi="Arial" w:cs="Arial"/>
          <w:b/>
          <w:bCs/>
          <w:sz w:val="22"/>
          <w:szCs w:val="22"/>
          <w:shd w:val="clear" w:color="auto" w:fill="EEEEEE"/>
          <w:lang w:bidi="ar-SA"/>
        </w:rPr>
      </w:pPr>
      <w:r w:rsidRPr="004458AE">
        <w:rPr>
          <w:rFonts w:ascii="Arial" w:hAnsi="Arial" w:cs="Arial"/>
          <w:b/>
          <w:sz w:val="22"/>
          <w:szCs w:val="22"/>
        </w:rPr>
        <w:t>Natomiast w</w:t>
      </w:r>
      <w:r w:rsidR="000940CD" w:rsidRPr="004458AE">
        <w:rPr>
          <w:rFonts w:ascii="Arial" w:hAnsi="Arial" w:cs="Arial"/>
          <w:b/>
          <w:sz w:val="22"/>
          <w:szCs w:val="22"/>
        </w:rPr>
        <w:t xml:space="preserve">yrok </w:t>
      </w:r>
      <w:r w:rsidR="000940CD" w:rsidRPr="004458AE">
        <w:rPr>
          <w:rFonts w:ascii="Arial" w:hAnsi="Arial" w:cs="Arial"/>
          <w:bCs/>
          <w:sz w:val="22"/>
          <w:szCs w:val="22"/>
        </w:rPr>
        <w:t xml:space="preserve">Trybunału z </w:t>
      </w:r>
      <w:r w:rsidR="000940CD" w:rsidRPr="004458AE">
        <w:rPr>
          <w:rFonts w:ascii="Arial" w:hAnsi="Arial" w:cs="Arial"/>
          <w:b/>
          <w:sz w:val="22"/>
          <w:szCs w:val="22"/>
        </w:rPr>
        <w:t>13 listopada 2016 r</w:t>
      </w:r>
      <w:r w:rsidR="004827B4">
        <w:rPr>
          <w:rFonts w:ascii="Arial" w:hAnsi="Arial" w:cs="Arial"/>
          <w:b/>
          <w:sz w:val="22"/>
          <w:szCs w:val="22"/>
        </w:rPr>
        <w:t>oku</w:t>
      </w:r>
      <w:r w:rsidR="000940CD" w:rsidRPr="004458AE">
        <w:rPr>
          <w:rFonts w:ascii="Arial" w:hAnsi="Arial" w:cs="Arial"/>
          <w:b/>
          <w:sz w:val="22"/>
          <w:szCs w:val="22"/>
        </w:rPr>
        <w:t xml:space="preserve"> w sprawie </w:t>
      </w:r>
      <w:hyperlink r:id="rId38">
        <w:r w:rsidR="000940CD" w:rsidRPr="004458AE">
          <w:rPr>
            <w:rFonts w:ascii="Arial" w:hAnsi="Arial" w:cs="Arial"/>
            <w:b/>
            <w:i/>
            <w:iCs/>
            <w:sz w:val="22"/>
            <w:szCs w:val="22"/>
          </w:rPr>
          <w:t>Durmaz przeciwko Turcji</w:t>
        </w:r>
      </w:hyperlink>
      <w:r w:rsidR="000940CD" w:rsidRPr="004458AE">
        <w:rPr>
          <w:rFonts w:ascii="Arial" w:hAnsi="Arial" w:cs="Arial"/>
          <w:b/>
          <w:i/>
          <w:iCs/>
          <w:sz w:val="22"/>
          <w:szCs w:val="22"/>
        </w:rPr>
        <w:t xml:space="preserve"> </w:t>
      </w:r>
      <w:r w:rsidR="000940CD" w:rsidRPr="004458AE">
        <w:rPr>
          <w:rFonts w:ascii="Arial" w:hAnsi="Arial" w:cs="Arial"/>
          <w:b/>
          <w:sz w:val="22"/>
          <w:szCs w:val="22"/>
        </w:rPr>
        <w:t xml:space="preserve"> </w:t>
      </w:r>
      <w:r w:rsidR="000940CD" w:rsidRPr="004827B4">
        <w:rPr>
          <w:rFonts w:ascii="Arial" w:hAnsi="Arial" w:cs="Arial"/>
          <w:bCs/>
          <w:sz w:val="22"/>
          <w:szCs w:val="22"/>
        </w:rPr>
        <w:t>(nr skargi 3621/07)</w:t>
      </w:r>
      <w:r w:rsidR="000940CD" w:rsidRPr="004458AE">
        <w:rPr>
          <w:rFonts w:ascii="Arial" w:hAnsi="Arial" w:cs="Arial"/>
          <w:b/>
          <w:sz w:val="22"/>
          <w:szCs w:val="22"/>
        </w:rPr>
        <w:t xml:space="preserve"> </w:t>
      </w:r>
      <w:r w:rsidR="000940CD" w:rsidRPr="004458AE">
        <w:rPr>
          <w:rFonts w:ascii="Arial" w:hAnsi="Arial" w:cs="Arial"/>
          <w:bCs/>
          <w:sz w:val="22"/>
          <w:szCs w:val="22"/>
        </w:rPr>
        <w:t>dotyczył sytuacji, w której c</w:t>
      </w:r>
      <w:r w:rsidR="000940CD" w:rsidRPr="004458AE">
        <w:rPr>
          <w:rFonts w:ascii="Arial" w:hAnsi="Arial" w:cs="Arial"/>
          <w:sz w:val="22"/>
          <w:szCs w:val="22"/>
        </w:rPr>
        <w:t xml:space="preserve">órka skarżącej zmarła w szpitalu po tym, jak jej mąż przywiózł ją na oddział ratunkowy, informując lekarzy i pielęgniarki, że przedawkowała leki, których nazwy podał. Córka skarżącej była pielęgniarką, a jej mąż pracował w aptece </w:t>
      </w:r>
      <w:r w:rsidR="00287ACC" w:rsidRPr="004458AE">
        <w:rPr>
          <w:rFonts w:ascii="Arial" w:hAnsi="Arial" w:cs="Arial"/>
          <w:sz w:val="22"/>
          <w:szCs w:val="22"/>
        </w:rPr>
        <w:br/>
      </w:r>
      <w:r w:rsidR="000940CD" w:rsidRPr="004458AE">
        <w:rPr>
          <w:rFonts w:ascii="Arial" w:hAnsi="Arial" w:cs="Arial"/>
          <w:sz w:val="22"/>
          <w:szCs w:val="22"/>
        </w:rPr>
        <w:t xml:space="preserve">w tym samym szpitalu. Podczas przesłuchania przez policję mąż zmarłej stwierdził również, że pokłócili się tego dnia z żoną, ona go zaatakowała i on ją uderzył. Następnie ojciec zmarłej </w:t>
      </w:r>
      <w:r w:rsidR="000940CD" w:rsidRPr="004458AE">
        <w:rPr>
          <w:rFonts w:ascii="Arial" w:hAnsi="Arial" w:cs="Arial"/>
          <w:sz w:val="22"/>
          <w:szCs w:val="22"/>
        </w:rPr>
        <w:lastRenderedPageBreak/>
        <w:t>złożył do prokuratora skargę stwierdzając, że córka nie miała skłonności samobójczych  zarzucając jej mężowi odpowiedzialność za jej śmierć. Twierdził, że córka chciała się rozwieść z mężem, ale odstąpiła od tego zamiaru, kiedy ją przeprosił i obiecał, że nie będzie więcej stosował przemocy. W dniu zdarzenia córka rozmawiała z siostrą i nic nie wskazywało na to, że chce popełnić samobójstwo. Jej mąż po jej śmierci z nikim się nie kontaktował i nie był na pogrzebie. Badanie pośmiertne nie wykazało w ciele zmarłej śladów leków (w tym wskazanych przez męża zmarłej), ani substancji, które mogłyby wywołać jej zgon. Opinię tę potwierdził Instytut Medycyny Sądowej, który w odpowiedzi na zapytanie prokuratora dodatkowo stwierdził, że jeżeli organy sądowe doszłyby do wniosku, że zmarła popełniła samobójstwo przez przedawkowanie, wówczas powinny również stwierdzić, że stosowane przez nią leki były takiego rodzaju, że nie można było ich wykryć w badaniach kryminalistycznych próbek pobranych z organów wewnętrznych. Następnie prokurator podjął decyzję o zamknięciu dochodzenia, w uzasadnieniu której napisał, że „w raporcie pośmiertnym z dnia […] stwierdza się, że […] zmarła w wyniku powikłań płucnych spowodowanych leczniczym zatruciem". Zdaniem prokuratora kobieta popełniła samobójstwo, ponieważ pokłóciła</w:t>
      </w:r>
      <w:r w:rsidR="004827B4">
        <w:rPr>
          <w:rFonts w:ascii="Arial" w:hAnsi="Arial" w:cs="Arial"/>
          <w:sz w:val="22"/>
          <w:szCs w:val="22"/>
        </w:rPr>
        <w:t xml:space="preserve"> </w:t>
      </w:r>
      <w:r w:rsidR="000940CD" w:rsidRPr="004458AE">
        <w:rPr>
          <w:rFonts w:ascii="Arial" w:hAnsi="Arial" w:cs="Arial"/>
          <w:sz w:val="22"/>
          <w:szCs w:val="22"/>
        </w:rPr>
        <w:t xml:space="preserve">się </w:t>
      </w:r>
      <w:r w:rsidR="000940CD" w:rsidRPr="004458AE">
        <w:rPr>
          <w:rFonts w:ascii="Arial" w:hAnsi="Arial" w:cs="Arial"/>
          <w:sz w:val="22"/>
          <w:szCs w:val="22"/>
        </w:rPr>
        <w:br/>
        <w:t xml:space="preserve">z mężem. Skarżąca (matka zmarłej) od decyzji prokuratora złożyła sprzeciw, który jednak został oddalony przez sądy krajowe. Przed Trybunałem skarżąca zarzuciła, że śledztwo </w:t>
      </w:r>
      <w:r w:rsidR="000940CD" w:rsidRPr="004458AE">
        <w:rPr>
          <w:rFonts w:ascii="Arial" w:hAnsi="Arial" w:cs="Arial"/>
          <w:sz w:val="22"/>
          <w:szCs w:val="22"/>
        </w:rPr>
        <w:br/>
        <w:t xml:space="preserve">w sprawie śmierci jej córki było nieskuteczne. Trybunał po zapoznaniu się z przedstawionymi dokumentami zauważył, że </w:t>
      </w:r>
      <w:r w:rsidR="000940CD" w:rsidRPr="004458AE">
        <w:rPr>
          <w:rFonts w:ascii="Arial" w:hAnsi="Arial" w:cs="Arial"/>
          <w:bCs/>
          <w:sz w:val="22"/>
          <w:szCs w:val="22"/>
        </w:rPr>
        <w:t xml:space="preserve">ani prokurator, ani policjanci </w:t>
      </w:r>
      <w:r w:rsidR="004827B4" w:rsidRPr="004458AE">
        <w:rPr>
          <w:rFonts w:ascii="Arial" w:hAnsi="Arial" w:cs="Arial"/>
          <w:bCs/>
          <w:sz w:val="22"/>
          <w:szCs w:val="22"/>
        </w:rPr>
        <w:t xml:space="preserve">nie zachowali otwartego umysłu </w:t>
      </w:r>
      <w:r w:rsidR="000940CD" w:rsidRPr="004458AE">
        <w:rPr>
          <w:rFonts w:ascii="Arial" w:hAnsi="Arial" w:cs="Arial"/>
          <w:bCs/>
          <w:sz w:val="22"/>
          <w:szCs w:val="22"/>
        </w:rPr>
        <w:t xml:space="preserve">w trakcie dochodzenia co do przyczyny śmierci córki skarżącej. Zdaniem Trybunału zarówno prokurator, jak i policjanci od samego początku zaakceptowali fakt, że zmarła popełniła samobójstwo, nawet jeśli nie mieli żadnych dowodów na poparcie takiego wniosku. W korespondencji - jeszcze przed zakończeniem dochodzenia - władze te stwierdziły, że zmarła przedawkowała leki i popełniła samobójstwo. </w:t>
      </w:r>
      <w:r w:rsidR="000940CD" w:rsidRPr="004458AE">
        <w:rPr>
          <w:rFonts w:ascii="Arial" w:hAnsi="Arial" w:cs="Arial"/>
          <w:sz w:val="22"/>
          <w:szCs w:val="22"/>
        </w:rPr>
        <w:t xml:space="preserve">Trybunał orzekł, że </w:t>
      </w:r>
      <w:r w:rsidR="000940CD" w:rsidRPr="00AD27C0">
        <w:rPr>
          <w:rFonts w:ascii="Arial" w:hAnsi="Arial" w:cs="Arial"/>
          <w:b/>
          <w:bCs/>
          <w:sz w:val="22"/>
          <w:szCs w:val="22"/>
        </w:rPr>
        <w:t>doszło do</w:t>
      </w:r>
      <w:r w:rsidR="000940CD" w:rsidRPr="004458AE">
        <w:rPr>
          <w:rFonts w:ascii="Arial" w:hAnsi="Arial" w:cs="Arial"/>
          <w:sz w:val="22"/>
          <w:szCs w:val="22"/>
        </w:rPr>
        <w:t xml:space="preserve"> </w:t>
      </w:r>
      <w:r w:rsidR="000940CD" w:rsidRPr="004458AE">
        <w:rPr>
          <w:rFonts w:ascii="Arial" w:hAnsi="Arial" w:cs="Arial"/>
          <w:b/>
          <w:sz w:val="22"/>
          <w:szCs w:val="22"/>
        </w:rPr>
        <w:t>naruszenia art. 2</w:t>
      </w:r>
      <w:r w:rsidR="000940CD" w:rsidRPr="004458AE">
        <w:rPr>
          <w:rFonts w:ascii="Arial" w:hAnsi="Arial" w:cs="Arial"/>
          <w:sz w:val="22"/>
          <w:szCs w:val="22"/>
        </w:rPr>
        <w:t xml:space="preserve"> (prawo do życia) Konwencji </w:t>
      </w:r>
      <w:r w:rsidR="000940CD" w:rsidRPr="004458AE">
        <w:rPr>
          <w:rFonts w:ascii="Arial" w:hAnsi="Arial" w:cs="Arial"/>
          <w:b/>
          <w:bCs/>
          <w:sz w:val="22"/>
          <w:szCs w:val="22"/>
        </w:rPr>
        <w:t xml:space="preserve">w aspekcie proceduralnym ze względu na nieprzeprowadzenie przez władze tureckie skutecznego śledztwa w sprawie śmierci córki skarżącej. </w:t>
      </w:r>
      <w:r w:rsidR="000940CD" w:rsidRPr="004458AE">
        <w:rPr>
          <w:rFonts w:ascii="Arial" w:hAnsi="Arial" w:cs="Arial"/>
          <w:sz w:val="22"/>
          <w:szCs w:val="22"/>
        </w:rPr>
        <w:t xml:space="preserve">Podobnie jak w sprawie </w:t>
      </w:r>
      <w:r w:rsidR="000940CD" w:rsidRPr="004458AE">
        <w:rPr>
          <w:rFonts w:ascii="Arial" w:hAnsi="Arial" w:cs="Arial"/>
          <w:i/>
          <w:sz w:val="22"/>
          <w:szCs w:val="22"/>
        </w:rPr>
        <w:t>Opuz</w:t>
      </w:r>
      <w:r w:rsidR="000940CD" w:rsidRPr="004458AE">
        <w:rPr>
          <w:rFonts w:ascii="Arial" w:hAnsi="Arial" w:cs="Arial"/>
          <w:sz w:val="22"/>
          <w:szCs w:val="22"/>
        </w:rPr>
        <w:t xml:space="preserve"> </w:t>
      </w:r>
      <w:r w:rsidR="000940CD" w:rsidRPr="004458AE">
        <w:rPr>
          <w:rFonts w:ascii="Arial" w:hAnsi="Arial" w:cs="Arial"/>
          <w:i/>
          <w:iCs/>
          <w:sz w:val="22"/>
          <w:szCs w:val="22"/>
        </w:rPr>
        <w:t xml:space="preserve">p. Turcji </w:t>
      </w:r>
      <w:r w:rsidR="000940CD" w:rsidRPr="004458AE">
        <w:rPr>
          <w:rFonts w:ascii="Arial" w:hAnsi="Arial" w:cs="Arial"/>
          <w:sz w:val="22"/>
          <w:szCs w:val="22"/>
        </w:rPr>
        <w:t xml:space="preserve">(cyt. powyżej, § 198), Trybunał </w:t>
      </w:r>
      <w:r w:rsidR="000940CD" w:rsidRPr="004458AE">
        <w:rPr>
          <w:rFonts w:ascii="Arial" w:hAnsi="Arial" w:cs="Arial"/>
          <w:sz w:val="22"/>
          <w:szCs w:val="22"/>
        </w:rPr>
        <w:br/>
        <w:t xml:space="preserve">w </w:t>
      </w:r>
      <w:r w:rsidR="003070AB" w:rsidRPr="004458AE">
        <w:rPr>
          <w:rFonts w:ascii="Arial" w:hAnsi="Arial" w:cs="Arial"/>
          <w:sz w:val="22"/>
          <w:szCs w:val="22"/>
        </w:rPr>
        <w:t>tej sprawie powtórzył</w:t>
      </w:r>
      <w:r w:rsidR="000940CD" w:rsidRPr="004458AE">
        <w:rPr>
          <w:rFonts w:ascii="Arial" w:hAnsi="Arial" w:cs="Arial"/>
          <w:sz w:val="22"/>
          <w:szCs w:val="22"/>
        </w:rPr>
        <w:t xml:space="preserve">, że istnieją przesłanki </w:t>
      </w:r>
      <w:r w:rsidR="000940CD" w:rsidRPr="004458AE">
        <w:rPr>
          <w:rFonts w:ascii="Arial" w:hAnsi="Arial" w:cs="Arial"/>
          <w:i/>
          <w:iCs/>
          <w:sz w:val="22"/>
          <w:szCs w:val="22"/>
        </w:rPr>
        <w:t xml:space="preserve">prima facie </w:t>
      </w:r>
      <w:r w:rsidR="000940CD" w:rsidRPr="004458AE">
        <w:rPr>
          <w:rFonts w:ascii="Arial" w:hAnsi="Arial" w:cs="Arial"/>
          <w:sz w:val="22"/>
          <w:szCs w:val="22"/>
        </w:rPr>
        <w:t xml:space="preserve">świadczące o tym, że </w:t>
      </w:r>
      <w:r w:rsidR="000940CD" w:rsidRPr="00AD27C0">
        <w:rPr>
          <w:rFonts w:ascii="Arial" w:hAnsi="Arial" w:cs="Arial"/>
          <w:b/>
          <w:bCs/>
          <w:sz w:val="22"/>
          <w:szCs w:val="22"/>
        </w:rPr>
        <w:t xml:space="preserve">przemoc domowa </w:t>
      </w:r>
      <w:r w:rsidR="00AD27C0">
        <w:rPr>
          <w:rFonts w:ascii="Arial" w:hAnsi="Arial" w:cs="Arial"/>
          <w:b/>
          <w:bCs/>
          <w:sz w:val="22"/>
          <w:szCs w:val="22"/>
        </w:rPr>
        <w:t xml:space="preserve">w Turcji </w:t>
      </w:r>
      <w:r w:rsidR="000940CD" w:rsidRPr="00AD27C0">
        <w:rPr>
          <w:rFonts w:ascii="Arial" w:hAnsi="Arial" w:cs="Arial"/>
          <w:b/>
          <w:bCs/>
          <w:sz w:val="22"/>
          <w:szCs w:val="22"/>
        </w:rPr>
        <w:t>dotyczy głównie kobiet, oraz że ogólna i dyskryminująca bierność sądownictwa stworzyła sprzyjający jej klimat.</w:t>
      </w:r>
      <w:r w:rsidR="000940CD" w:rsidRPr="00AD27C0">
        <w:rPr>
          <w:rFonts w:ascii="Arial" w:hAnsi="Arial" w:cs="Arial"/>
          <w:b/>
          <w:bCs/>
          <w:color w:val="0071BB"/>
          <w:sz w:val="22"/>
          <w:szCs w:val="22"/>
        </w:rPr>
        <w:t xml:space="preserve"> </w:t>
      </w:r>
      <w:r w:rsidR="000940CD" w:rsidRPr="00AD27C0">
        <w:rPr>
          <w:rFonts w:ascii="Arial" w:hAnsi="Arial" w:cs="Arial"/>
          <w:b/>
          <w:bCs/>
          <w:sz w:val="22"/>
          <w:szCs w:val="22"/>
        </w:rPr>
        <w:t xml:space="preserve">Trybunał uznał, że </w:t>
      </w:r>
      <w:r w:rsidR="000940CD" w:rsidRPr="004458AE">
        <w:rPr>
          <w:rFonts w:ascii="Arial" w:hAnsi="Arial" w:cs="Arial"/>
          <w:b/>
          <w:bCs/>
          <w:sz w:val="22"/>
          <w:szCs w:val="22"/>
        </w:rPr>
        <w:t>poważne uchybienia prokuratora w niniejszej sprawie stanowią część tego schematu</w:t>
      </w:r>
      <w:r w:rsidR="000940CD" w:rsidRPr="004458AE">
        <w:rPr>
          <w:rFonts w:ascii="Arial" w:eastAsiaTheme="minorEastAsia" w:hAnsi="Arial" w:cs="Arial"/>
          <w:b/>
          <w:bCs/>
          <w:sz w:val="22"/>
          <w:szCs w:val="22"/>
          <w:shd w:val="clear" w:color="auto" w:fill="EEEEEE"/>
          <w:lang w:bidi="ar-SA"/>
        </w:rPr>
        <w:t>.</w:t>
      </w:r>
    </w:p>
    <w:p w14:paraId="3CC859AD" w14:textId="5CAD3738" w:rsidR="007A70BD" w:rsidRPr="004458AE" w:rsidRDefault="007A70BD" w:rsidP="007A70BD">
      <w:pPr>
        <w:pStyle w:val="Nagwek2"/>
        <w:spacing w:before="119" w:line="360" w:lineRule="auto"/>
        <w:ind w:left="0"/>
        <w:rPr>
          <w:rFonts w:ascii="Arial" w:hAnsi="Arial" w:cs="Arial"/>
          <w:b w:val="0"/>
          <w:bCs w:val="0"/>
          <w:sz w:val="22"/>
          <w:szCs w:val="22"/>
          <w:u w:val="none"/>
        </w:rPr>
      </w:pPr>
      <w:r w:rsidRPr="004458AE">
        <w:rPr>
          <w:rFonts w:ascii="Arial" w:hAnsi="Arial" w:cs="Arial"/>
          <w:b w:val="0"/>
          <w:bCs w:val="0"/>
          <w:sz w:val="22"/>
          <w:szCs w:val="22"/>
          <w:u w:val="none"/>
        </w:rPr>
        <w:t xml:space="preserve">W sprawie </w:t>
      </w:r>
      <w:hyperlink r:id="rId39">
        <w:r w:rsidRPr="004458AE">
          <w:rPr>
            <w:rFonts w:ascii="Arial" w:hAnsi="Arial" w:cs="Arial"/>
            <w:i/>
            <w:iCs/>
            <w:sz w:val="22"/>
            <w:szCs w:val="22"/>
            <w:u w:val="none"/>
          </w:rPr>
          <w:t>Bălşan przeciwko Rumunii</w:t>
        </w:r>
      </w:hyperlink>
      <w:r w:rsidRPr="004458AE">
        <w:rPr>
          <w:rFonts w:ascii="Arial" w:hAnsi="Arial" w:cs="Arial"/>
          <w:sz w:val="22"/>
          <w:szCs w:val="22"/>
          <w:u w:val="none"/>
        </w:rPr>
        <w:t xml:space="preserve"> </w:t>
      </w:r>
      <w:r w:rsidR="00287ACC" w:rsidRPr="004827B4">
        <w:rPr>
          <w:rFonts w:ascii="Arial" w:hAnsi="Arial" w:cs="Arial"/>
          <w:b w:val="0"/>
          <w:bCs w:val="0"/>
          <w:sz w:val="22"/>
          <w:szCs w:val="22"/>
          <w:u w:val="none"/>
        </w:rPr>
        <w:t>(</w:t>
      </w:r>
      <w:r w:rsidRPr="004827B4">
        <w:rPr>
          <w:rFonts w:ascii="Arial" w:hAnsi="Arial" w:cs="Arial"/>
          <w:b w:val="0"/>
          <w:bCs w:val="0"/>
          <w:sz w:val="22"/>
          <w:szCs w:val="22"/>
          <w:u w:val="none"/>
        </w:rPr>
        <w:t xml:space="preserve">nr skargi </w:t>
      </w:r>
      <w:r w:rsidR="002B6698" w:rsidRPr="004827B4">
        <w:rPr>
          <w:rStyle w:val="textcolumn"/>
          <w:rFonts w:ascii="Arial" w:hAnsi="Arial" w:cs="Arial"/>
          <w:b w:val="0"/>
          <w:bCs w:val="0"/>
          <w:color w:val="000000"/>
          <w:sz w:val="22"/>
          <w:szCs w:val="22"/>
          <w:u w:val="none"/>
          <w:shd w:val="clear" w:color="auto" w:fill="FFFFFF"/>
        </w:rPr>
        <w:t>49645/09</w:t>
      </w:r>
      <w:r w:rsidR="00287ACC" w:rsidRPr="004827B4">
        <w:rPr>
          <w:rStyle w:val="textcolumn"/>
          <w:rFonts w:ascii="Arial" w:hAnsi="Arial" w:cs="Arial"/>
          <w:b w:val="0"/>
          <w:bCs w:val="0"/>
          <w:color w:val="000000"/>
          <w:sz w:val="22"/>
          <w:szCs w:val="22"/>
          <w:u w:val="none"/>
          <w:shd w:val="clear" w:color="auto" w:fill="FFFFFF"/>
        </w:rPr>
        <w:t>)</w:t>
      </w:r>
      <w:r w:rsidRPr="004458AE">
        <w:rPr>
          <w:rFonts w:ascii="Arial" w:hAnsi="Arial" w:cs="Arial"/>
          <w:b w:val="0"/>
          <w:bCs w:val="0"/>
          <w:sz w:val="22"/>
          <w:szCs w:val="22"/>
          <w:u w:val="none"/>
          <w:shd w:val="clear" w:color="auto" w:fill="FFFFFF"/>
        </w:rPr>
        <w:t xml:space="preserve"> s</w:t>
      </w:r>
      <w:r w:rsidRPr="004458AE">
        <w:rPr>
          <w:rFonts w:ascii="Arial" w:hAnsi="Arial" w:cs="Arial"/>
          <w:b w:val="0"/>
          <w:bCs w:val="0"/>
          <w:sz w:val="22"/>
          <w:szCs w:val="22"/>
          <w:u w:val="none"/>
        </w:rPr>
        <w:t>karżąca twierdziła, że władze nie zapewniły jej ochrony przed powtarzającą się przemocą domową i nie pociągnęły jej męża do odpowiedzialności, pomimo jej licznych skarg. Podkreśliła również, że tolerancja władz dla takich aktów przemocy sprawiła, że czuła się poniżona i bezradna.</w:t>
      </w:r>
    </w:p>
    <w:p w14:paraId="6D252982" w14:textId="31D98135" w:rsidR="007A70BD" w:rsidRPr="004458AE" w:rsidRDefault="007A70BD" w:rsidP="007A70BD">
      <w:pPr>
        <w:pStyle w:val="Tekstpodstawowy"/>
        <w:spacing w:line="360" w:lineRule="auto"/>
        <w:ind w:left="0"/>
        <w:rPr>
          <w:rFonts w:ascii="Arial" w:hAnsi="Arial" w:cs="Arial"/>
          <w:b/>
          <w:bCs/>
          <w:sz w:val="22"/>
          <w:szCs w:val="22"/>
        </w:rPr>
      </w:pPr>
      <w:r w:rsidRPr="004458AE">
        <w:rPr>
          <w:rFonts w:ascii="Arial" w:hAnsi="Arial" w:cs="Arial"/>
          <w:b/>
          <w:bCs/>
          <w:sz w:val="22"/>
          <w:szCs w:val="22"/>
        </w:rPr>
        <w:t>W wyroku z 23 maja 2017 r</w:t>
      </w:r>
      <w:r w:rsidR="004827B4">
        <w:rPr>
          <w:rFonts w:ascii="Arial" w:hAnsi="Arial" w:cs="Arial"/>
          <w:b/>
          <w:bCs/>
          <w:sz w:val="22"/>
          <w:szCs w:val="22"/>
        </w:rPr>
        <w:t>oku</w:t>
      </w:r>
      <w:r w:rsidRPr="004458AE">
        <w:rPr>
          <w:rFonts w:ascii="Arial" w:hAnsi="Arial" w:cs="Arial"/>
          <w:sz w:val="22"/>
          <w:szCs w:val="22"/>
        </w:rPr>
        <w:t xml:space="preserve"> Trybunał orzekł, że doszło do naruszenia art. 3 (zakaz </w:t>
      </w:r>
      <w:r w:rsidRPr="004458AE">
        <w:rPr>
          <w:rFonts w:ascii="Arial" w:hAnsi="Arial" w:cs="Arial"/>
          <w:sz w:val="22"/>
          <w:szCs w:val="22"/>
        </w:rPr>
        <w:lastRenderedPageBreak/>
        <w:t xml:space="preserve">nieludzkiego lub poniżającego traktowania) Konwencji z powodu braku odpowiedniej ochrony skarżącej przed przemocą ze strony męża oraz naruszenia art. 14 (zakaz dyskryminacji) Konwencji w związku z art. 3, ponieważ przemoc była związana z płcią ofiary. Trybunał zauważył w szczególności, że mąż skarżącej stosował wobec niej przemoc, i że władze musiały być w pełni świadome tego procederu, biorąc pod uwagę wielokrotne apele o pomoc zarówno do policji, jak i sądów. Ponadto, mimo że w Rumunii istniały ramy prawne umożliwiające wnoszenie skarg na przemoc domową i domaganie się ochrony ze strony władz, z których skarżąca w pełni skorzystała, władze nie zastosowały odpowiednich przepisów prawnych w jej sprawie. </w:t>
      </w:r>
      <w:r w:rsidRPr="004458AE">
        <w:rPr>
          <w:rFonts w:ascii="Arial" w:hAnsi="Arial" w:cs="Arial"/>
          <w:b/>
          <w:bCs/>
          <w:sz w:val="22"/>
          <w:szCs w:val="22"/>
        </w:rPr>
        <w:t>Władze stwierdziły nawet, że skarżąca sprowokowała przemoc domową wobec niej i uznały, że sprawa nie jest wystarczająco poważna, aby wchodzić w zakres stosowania prawa karnego.</w:t>
      </w:r>
      <w:r w:rsidRPr="004458AE">
        <w:rPr>
          <w:rFonts w:ascii="Arial" w:hAnsi="Arial" w:cs="Arial"/>
          <w:sz w:val="22"/>
          <w:szCs w:val="22"/>
        </w:rPr>
        <w:t xml:space="preserve"> Takie podejście pozbawiło krajowe ramy prawne celu i było niezgodne z międzynarodowymi normami dotyczącymi przemocy wobec kobiet.</w:t>
      </w:r>
      <w:r w:rsidRPr="00AD27C0">
        <w:rPr>
          <w:rFonts w:ascii="Arial" w:hAnsi="Arial" w:cs="Arial"/>
          <w:b/>
          <w:bCs/>
          <w:sz w:val="22"/>
          <w:szCs w:val="22"/>
        </w:rPr>
        <w:t xml:space="preserve"> Bierność władz w niniejszej sprawie odzwierciedlała bowiem dyskryminujące podejście do skarżącej jako kobiety i wykazała </w:t>
      </w:r>
      <w:r w:rsidRPr="004458AE">
        <w:rPr>
          <w:rFonts w:ascii="Arial" w:hAnsi="Arial" w:cs="Arial"/>
          <w:b/>
          <w:bCs/>
          <w:sz w:val="22"/>
          <w:szCs w:val="22"/>
        </w:rPr>
        <w:t>brak zaangażowania w rozwiązanie problemu przemocy domowej jako takiego w Rumunii.</w:t>
      </w:r>
    </w:p>
    <w:p w14:paraId="226AC824" w14:textId="77777777" w:rsidR="00BC0268" w:rsidRPr="004458AE" w:rsidRDefault="00BC0268" w:rsidP="00BC0268">
      <w:pPr>
        <w:pStyle w:val="Tekstpodstawowy"/>
        <w:spacing w:line="360" w:lineRule="auto"/>
        <w:ind w:left="0"/>
        <w:rPr>
          <w:rFonts w:ascii="Arial" w:hAnsi="Arial" w:cs="Arial"/>
          <w:color w:val="0071BB"/>
          <w:sz w:val="22"/>
          <w:szCs w:val="22"/>
        </w:rPr>
      </w:pPr>
    </w:p>
    <w:p w14:paraId="4DD7EBAE" w14:textId="21E334CA" w:rsidR="00BC0268" w:rsidRPr="004458AE" w:rsidRDefault="00BC0268" w:rsidP="00055E33">
      <w:pPr>
        <w:pStyle w:val="Tekstpodstawowy"/>
        <w:spacing w:line="360" w:lineRule="auto"/>
        <w:ind w:left="0"/>
        <w:rPr>
          <w:rFonts w:ascii="Arial" w:hAnsi="Arial" w:cs="Arial"/>
          <w:sz w:val="22"/>
          <w:szCs w:val="22"/>
        </w:rPr>
      </w:pPr>
      <w:r w:rsidRPr="004458AE">
        <w:rPr>
          <w:rFonts w:ascii="Arial" w:hAnsi="Arial" w:cs="Arial"/>
          <w:b/>
          <w:sz w:val="22"/>
          <w:szCs w:val="22"/>
        </w:rPr>
        <w:t>W wyroku z 26 maja 2020 r</w:t>
      </w:r>
      <w:r w:rsidR="004827B4">
        <w:rPr>
          <w:rFonts w:ascii="Arial" w:hAnsi="Arial" w:cs="Arial"/>
          <w:b/>
          <w:sz w:val="22"/>
          <w:szCs w:val="22"/>
        </w:rPr>
        <w:t>oku</w:t>
      </w:r>
      <w:r w:rsidRPr="004458AE">
        <w:rPr>
          <w:rFonts w:ascii="Arial" w:hAnsi="Arial" w:cs="Arial"/>
          <w:b/>
          <w:sz w:val="22"/>
          <w:szCs w:val="22"/>
        </w:rPr>
        <w:t xml:space="preserve"> </w:t>
      </w:r>
      <w:r w:rsidRPr="004458AE">
        <w:rPr>
          <w:rFonts w:ascii="Arial" w:hAnsi="Arial" w:cs="Arial"/>
          <w:bCs/>
          <w:sz w:val="22"/>
          <w:szCs w:val="22"/>
        </w:rPr>
        <w:t>w sprawie</w:t>
      </w:r>
      <w:r w:rsidRPr="004458AE">
        <w:rPr>
          <w:rFonts w:ascii="Arial" w:hAnsi="Arial" w:cs="Arial"/>
          <w:b/>
          <w:sz w:val="22"/>
          <w:szCs w:val="22"/>
        </w:rPr>
        <w:t xml:space="preserve"> </w:t>
      </w:r>
      <w:hyperlink r:id="rId40">
        <w:r w:rsidRPr="004458AE">
          <w:rPr>
            <w:rFonts w:ascii="Arial" w:hAnsi="Arial" w:cs="Arial"/>
            <w:b/>
            <w:i/>
            <w:iCs/>
            <w:sz w:val="22"/>
            <w:szCs w:val="22"/>
          </w:rPr>
          <w:t xml:space="preserve">Munteanu przeciwko Republice Mołdawii </w:t>
        </w:r>
        <w:r w:rsidRPr="004458AE">
          <w:rPr>
            <w:rFonts w:ascii="Arial" w:hAnsi="Arial" w:cs="Arial"/>
            <w:b/>
            <w:sz w:val="22"/>
            <w:szCs w:val="22"/>
          </w:rPr>
          <w:br/>
        </w:r>
        <w:r w:rsidRPr="004827B4">
          <w:rPr>
            <w:rFonts w:ascii="Arial" w:hAnsi="Arial" w:cs="Arial"/>
            <w:bCs/>
            <w:sz w:val="22"/>
            <w:szCs w:val="22"/>
          </w:rPr>
          <w:t>(skarga nr 34168/11)</w:t>
        </w:r>
      </w:hyperlink>
      <w:r w:rsidRPr="004458AE">
        <w:rPr>
          <w:rFonts w:ascii="Arial" w:hAnsi="Arial" w:cs="Arial"/>
          <w:b/>
          <w:sz w:val="22"/>
          <w:szCs w:val="22"/>
        </w:rPr>
        <w:t xml:space="preserve"> </w:t>
      </w:r>
      <w:r w:rsidRPr="004458AE">
        <w:rPr>
          <w:rFonts w:ascii="Arial" w:hAnsi="Arial" w:cs="Arial"/>
          <w:bCs/>
          <w:sz w:val="22"/>
          <w:szCs w:val="22"/>
        </w:rPr>
        <w:t>Trybunał obszernie i kompleksowo odwoł</w:t>
      </w:r>
      <w:r w:rsidR="00EA2A12" w:rsidRPr="004458AE">
        <w:rPr>
          <w:rFonts w:ascii="Arial" w:hAnsi="Arial" w:cs="Arial"/>
          <w:bCs/>
          <w:sz w:val="22"/>
          <w:szCs w:val="22"/>
        </w:rPr>
        <w:t xml:space="preserve">ał </w:t>
      </w:r>
      <w:r w:rsidRPr="004458AE">
        <w:rPr>
          <w:rFonts w:ascii="Arial" w:hAnsi="Arial" w:cs="Arial"/>
          <w:bCs/>
          <w:sz w:val="22"/>
          <w:szCs w:val="22"/>
        </w:rPr>
        <w:t xml:space="preserve">się wypracowanych standardów orzecznictwa w odniesieniu do pozytywnych obowiązków państwa </w:t>
      </w:r>
      <w:r w:rsidR="001E1B5C" w:rsidRPr="004458AE">
        <w:rPr>
          <w:rFonts w:ascii="Arial" w:hAnsi="Arial" w:cs="Arial"/>
          <w:bCs/>
          <w:sz w:val="22"/>
          <w:szCs w:val="22"/>
        </w:rPr>
        <w:t xml:space="preserve">(które są ze sobą powiązane) </w:t>
      </w:r>
      <w:r w:rsidRPr="004458AE">
        <w:rPr>
          <w:rFonts w:ascii="Arial" w:hAnsi="Arial" w:cs="Arial"/>
          <w:bCs/>
          <w:sz w:val="22"/>
          <w:szCs w:val="22"/>
        </w:rPr>
        <w:t>wobec ofiar przemocy domowej</w:t>
      </w:r>
      <w:r w:rsidR="007859DC" w:rsidRPr="004458AE">
        <w:rPr>
          <w:rFonts w:ascii="Arial" w:hAnsi="Arial" w:cs="Arial"/>
          <w:bCs/>
          <w:sz w:val="22"/>
          <w:szCs w:val="22"/>
        </w:rPr>
        <w:t xml:space="preserve">. Zgodnie z ustalonym </w:t>
      </w:r>
      <w:r w:rsidR="00663462" w:rsidRPr="004458AE">
        <w:rPr>
          <w:rFonts w:ascii="Arial" w:hAnsi="Arial" w:cs="Arial"/>
          <w:bCs/>
          <w:sz w:val="22"/>
          <w:szCs w:val="22"/>
        </w:rPr>
        <w:t>przez Trybunał s</w:t>
      </w:r>
      <w:r w:rsidR="007859DC" w:rsidRPr="004458AE">
        <w:rPr>
          <w:rFonts w:ascii="Arial" w:hAnsi="Arial" w:cs="Arial"/>
          <w:bCs/>
          <w:sz w:val="22"/>
          <w:szCs w:val="22"/>
        </w:rPr>
        <w:t>tanem faktycznym s</w:t>
      </w:r>
      <w:r w:rsidRPr="004458AE">
        <w:rPr>
          <w:rFonts w:ascii="Arial" w:hAnsi="Arial" w:cs="Arial"/>
          <w:sz w:val="22"/>
          <w:szCs w:val="22"/>
        </w:rPr>
        <w:t>karżąc</w:t>
      </w:r>
      <w:r w:rsidR="007859DC" w:rsidRPr="004458AE">
        <w:rPr>
          <w:rFonts w:ascii="Arial" w:hAnsi="Arial" w:cs="Arial"/>
          <w:sz w:val="22"/>
          <w:szCs w:val="22"/>
        </w:rPr>
        <w:t>ymi w tej sp</w:t>
      </w:r>
      <w:r w:rsidR="00B14BC3">
        <w:rPr>
          <w:rFonts w:ascii="Arial" w:hAnsi="Arial" w:cs="Arial"/>
          <w:sz w:val="22"/>
          <w:szCs w:val="22"/>
        </w:rPr>
        <w:t>r</w:t>
      </w:r>
      <w:r w:rsidR="007859DC" w:rsidRPr="004458AE">
        <w:rPr>
          <w:rFonts w:ascii="Arial" w:hAnsi="Arial" w:cs="Arial"/>
          <w:sz w:val="22"/>
          <w:szCs w:val="22"/>
        </w:rPr>
        <w:t xml:space="preserve">awie </w:t>
      </w:r>
      <w:r w:rsidR="00663462" w:rsidRPr="004458AE">
        <w:rPr>
          <w:rFonts w:ascii="Arial" w:hAnsi="Arial" w:cs="Arial"/>
          <w:sz w:val="22"/>
          <w:szCs w:val="22"/>
        </w:rPr>
        <w:t xml:space="preserve">byli </w:t>
      </w:r>
      <w:r w:rsidRPr="004458AE">
        <w:rPr>
          <w:rFonts w:ascii="Arial" w:hAnsi="Arial" w:cs="Arial"/>
          <w:sz w:val="22"/>
          <w:szCs w:val="22"/>
        </w:rPr>
        <w:t>kobiet</w:t>
      </w:r>
      <w:r w:rsidR="00663462" w:rsidRPr="004458AE">
        <w:rPr>
          <w:rFonts w:ascii="Arial" w:hAnsi="Arial" w:cs="Arial"/>
          <w:sz w:val="22"/>
          <w:szCs w:val="22"/>
        </w:rPr>
        <w:t>a</w:t>
      </w:r>
      <w:r w:rsidR="007859DC" w:rsidRPr="004458AE">
        <w:rPr>
          <w:rFonts w:ascii="Arial" w:hAnsi="Arial" w:cs="Arial"/>
          <w:sz w:val="22"/>
          <w:szCs w:val="22"/>
        </w:rPr>
        <w:t xml:space="preserve"> </w:t>
      </w:r>
      <w:r w:rsidRPr="004458AE">
        <w:rPr>
          <w:rFonts w:ascii="Arial" w:hAnsi="Arial" w:cs="Arial"/>
          <w:sz w:val="22"/>
          <w:szCs w:val="22"/>
        </w:rPr>
        <w:t>i jej syn. Wkrótce po tym, jak mąż skarżącej stracił pracę, zaczął znacznie nadużywać alkoholu, stał się agresywny wobec skarżących i wyprzedawał przedmioty z domu w celu zakupu alkoholu. W 2007 r</w:t>
      </w:r>
      <w:r w:rsidR="00B14BC3">
        <w:rPr>
          <w:rFonts w:ascii="Arial" w:hAnsi="Arial" w:cs="Arial"/>
          <w:sz w:val="22"/>
          <w:szCs w:val="22"/>
        </w:rPr>
        <w:t>oku</w:t>
      </w:r>
      <w:r w:rsidRPr="004458AE">
        <w:rPr>
          <w:rFonts w:ascii="Arial" w:hAnsi="Arial" w:cs="Arial"/>
          <w:sz w:val="22"/>
          <w:szCs w:val="22"/>
        </w:rPr>
        <w:t xml:space="preserve"> dopuścił się poważnego pobicia skarżącej</w:t>
      </w:r>
      <w:r w:rsidR="00B14BC3">
        <w:rPr>
          <w:rFonts w:ascii="Arial" w:hAnsi="Arial" w:cs="Arial"/>
          <w:sz w:val="22"/>
          <w:szCs w:val="22"/>
        </w:rPr>
        <w:t>,</w:t>
      </w:r>
      <w:r w:rsidRPr="004458AE">
        <w:rPr>
          <w:rFonts w:ascii="Arial" w:hAnsi="Arial" w:cs="Arial"/>
          <w:sz w:val="22"/>
          <w:szCs w:val="22"/>
        </w:rPr>
        <w:t xml:space="preserve"> </w:t>
      </w:r>
      <w:r w:rsidR="00EA2A12" w:rsidRPr="004458AE">
        <w:rPr>
          <w:rFonts w:ascii="Arial" w:hAnsi="Arial" w:cs="Arial"/>
          <w:sz w:val="22"/>
          <w:szCs w:val="22"/>
        </w:rPr>
        <w:t xml:space="preserve">w wyniku którego przez </w:t>
      </w:r>
      <w:r w:rsidRPr="004458AE">
        <w:rPr>
          <w:rFonts w:ascii="Arial" w:hAnsi="Arial" w:cs="Arial"/>
          <w:sz w:val="22"/>
          <w:szCs w:val="22"/>
        </w:rPr>
        <w:t>trzy tygodnie była ona leczona w szpitalu. Przemoc, zarówno werbalna</w:t>
      </w:r>
      <w:r w:rsidR="00B14BC3">
        <w:rPr>
          <w:rFonts w:ascii="Arial" w:hAnsi="Arial" w:cs="Arial"/>
          <w:sz w:val="22"/>
          <w:szCs w:val="22"/>
        </w:rPr>
        <w:t>,</w:t>
      </w:r>
      <w:r w:rsidRPr="004458AE">
        <w:rPr>
          <w:rFonts w:ascii="Arial" w:hAnsi="Arial" w:cs="Arial"/>
          <w:sz w:val="22"/>
          <w:szCs w:val="22"/>
        </w:rPr>
        <w:t xml:space="preserve"> jak i fizyczna, trwała dalej. Skarżący był również regularnie bity i obrażany, często chodził do domów swoich przyjaciół, aby przygotować się do szkoły lub po prostu odpocząć od awantur w domu i uniknąć stosowanej wobec niego dalszej przemocy. Oboje skarżący zarzuca</w:t>
      </w:r>
      <w:r w:rsidR="00055E33" w:rsidRPr="004458AE">
        <w:rPr>
          <w:rFonts w:ascii="Arial" w:hAnsi="Arial" w:cs="Arial"/>
          <w:sz w:val="22"/>
          <w:szCs w:val="22"/>
        </w:rPr>
        <w:t>li</w:t>
      </w:r>
      <w:r w:rsidRPr="004458AE">
        <w:rPr>
          <w:rFonts w:ascii="Arial" w:hAnsi="Arial" w:cs="Arial"/>
          <w:sz w:val="22"/>
          <w:szCs w:val="22"/>
        </w:rPr>
        <w:t xml:space="preserve">, że władze tolerowały nadużycia ze strony męża skarżącej oraz że sprzyjały jego poczuciu bezkarności poprzez niewykonanie nakazu ochrony. </w:t>
      </w:r>
      <w:r w:rsidR="00055E33" w:rsidRPr="004458AE">
        <w:rPr>
          <w:rFonts w:ascii="Arial" w:hAnsi="Arial" w:cs="Arial"/>
          <w:sz w:val="22"/>
          <w:szCs w:val="22"/>
        </w:rPr>
        <w:t>Po</w:t>
      </w:r>
      <w:r w:rsidRPr="004458AE">
        <w:rPr>
          <w:rFonts w:ascii="Arial" w:hAnsi="Arial" w:cs="Arial"/>
          <w:sz w:val="22"/>
          <w:szCs w:val="22"/>
        </w:rPr>
        <w:t xml:space="preserve">nadto </w:t>
      </w:r>
      <w:r w:rsidR="00055E33" w:rsidRPr="004458AE">
        <w:rPr>
          <w:rFonts w:ascii="Arial" w:hAnsi="Arial" w:cs="Arial"/>
          <w:sz w:val="22"/>
          <w:szCs w:val="22"/>
        </w:rPr>
        <w:t xml:space="preserve">skarżyli się </w:t>
      </w:r>
      <w:r w:rsidRPr="004458AE">
        <w:rPr>
          <w:rFonts w:ascii="Arial" w:hAnsi="Arial" w:cs="Arial"/>
          <w:sz w:val="22"/>
          <w:szCs w:val="22"/>
        </w:rPr>
        <w:t xml:space="preserve">na dyskryminację kobiet ze strony władz. </w:t>
      </w:r>
      <w:r w:rsidR="00055E33" w:rsidRPr="004458AE">
        <w:rPr>
          <w:rFonts w:ascii="Arial" w:hAnsi="Arial" w:cs="Arial"/>
          <w:sz w:val="22"/>
          <w:szCs w:val="22"/>
        </w:rPr>
        <w:t>Trybunał jednogłośnie uznał, że doszło do naruszenia art. 3 Konwencji w odniesieniu do obu skarżących, a w odniesieniu do skarżącej kobiety także do naruszenia art. 14 Konwencji w związku z art. 3</w:t>
      </w:r>
      <w:r w:rsidR="00DE46DC">
        <w:rPr>
          <w:rFonts w:ascii="Arial" w:hAnsi="Arial" w:cs="Arial"/>
          <w:sz w:val="22"/>
          <w:szCs w:val="22"/>
        </w:rPr>
        <w:t xml:space="preserve"> Konwencji</w:t>
      </w:r>
      <w:r w:rsidR="00055E33" w:rsidRPr="004458AE">
        <w:rPr>
          <w:rFonts w:ascii="Arial" w:hAnsi="Arial" w:cs="Arial"/>
          <w:sz w:val="22"/>
          <w:szCs w:val="22"/>
        </w:rPr>
        <w:t xml:space="preserve">. </w:t>
      </w:r>
    </w:p>
    <w:p w14:paraId="461855C3" w14:textId="3D04D824" w:rsidR="00BC0268" w:rsidRPr="004458AE" w:rsidRDefault="001E1B5C" w:rsidP="00055E33">
      <w:pPr>
        <w:pStyle w:val="NormalnyWeb"/>
        <w:spacing w:before="0" w:beforeAutospacing="0" w:after="240" w:afterAutospacing="0" w:line="360" w:lineRule="auto"/>
        <w:jc w:val="both"/>
        <w:textAlignment w:val="baseline"/>
        <w:rPr>
          <w:rFonts w:ascii="Arial" w:hAnsi="Arial" w:cs="Arial"/>
          <w:b/>
          <w:bCs/>
          <w:sz w:val="22"/>
          <w:szCs w:val="22"/>
          <w:lang w:val="pl-PL"/>
        </w:rPr>
      </w:pPr>
      <w:r w:rsidRPr="004458AE">
        <w:rPr>
          <w:rFonts w:ascii="Arial" w:hAnsi="Arial" w:cs="Arial"/>
          <w:sz w:val="22"/>
          <w:szCs w:val="22"/>
          <w:lang w:val="pl-PL"/>
        </w:rPr>
        <w:t xml:space="preserve">W tej sprawie </w:t>
      </w:r>
      <w:r w:rsidR="00BC0268" w:rsidRPr="004458AE">
        <w:rPr>
          <w:rFonts w:ascii="Arial" w:hAnsi="Arial" w:cs="Arial"/>
          <w:sz w:val="22"/>
          <w:szCs w:val="22"/>
          <w:lang w:val="pl-PL"/>
        </w:rPr>
        <w:t>Trybunał przypom</w:t>
      </w:r>
      <w:r w:rsidRPr="004458AE">
        <w:rPr>
          <w:rFonts w:ascii="Arial" w:hAnsi="Arial" w:cs="Arial"/>
          <w:sz w:val="22"/>
          <w:szCs w:val="22"/>
          <w:lang w:val="pl-PL"/>
        </w:rPr>
        <w:t>niał</w:t>
      </w:r>
      <w:r w:rsidR="003E03B9" w:rsidRPr="004458AE">
        <w:rPr>
          <w:rFonts w:ascii="Arial" w:hAnsi="Arial" w:cs="Arial"/>
          <w:sz w:val="22"/>
          <w:szCs w:val="22"/>
          <w:lang w:val="pl-PL"/>
        </w:rPr>
        <w:t xml:space="preserve"> m. in.</w:t>
      </w:r>
      <w:r w:rsidR="00BC0268" w:rsidRPr="004458AE">
        <w:rPr>
          <w:rFonts w:ascii="Arial" w:hAnsi="Arial" w:cs="Arial"/>
          <w:sz w:val="22"/>
          <w:szCs w:val="22"/>
          <w:lang w:val="pl-PL"/>
        </w:rPr>
        <w:t xml:space="preserve">, że </w:t>
      </w:r>
      <w:r w:rsidR="00BC0268" w:rsidRPr="004458AE">
        <w:rPr>
          <w:rFonts w:ascii="Arial" w:hAnsi="Arial" w:cs="Arial"/>
          <w:b/>
          <w:bCs/>
          <w:sz w:val="22"/>
          <w:szCs w:val="22"/>
          <w:lang w:val="pl-PL"/>
        </w:rPr>
        <w:t>​​złe traktowanie musi osiągnąć minimalny poziom surowości, jeśli ma być objęte zakresem art. 3</w:t>
      </w:r>
      <w:r w:rsidR="00DE46DC">
        <w:rPr>
          <w:rFonts w:ascii="Arial" w:hAnsi="Arial" w:cs="Arial"/>
          <w:b/>
          <w:bCs/>
          <w:sz w:val="22"/>
          <w:szCs w:val="22"/>
          <w:lang w:val="pl-PL"/>
        </w:rPr>
        <w:t xml:space="preserve"> Konwencji</w:t>
      </w:r>
      <w:r w:rsidR="00BC0268" w:rsidRPr="004458AE">
        <w:rPr>
          <w:rFonts w:ascii="Arial" w:hAnsi="Arial" w:cs="Arial"/>
          <w:b/>
          <w:bCs/>
          <w:sz w:val="22"/>
          <w:szCs w:val="22"/>
          <w:lang w:val="pl-PL"/>
        </w:rPr>
        <w:t>. Ocena tego minimum jest względna: zależy od wszystkich okoliczności sprawy, takich jak charakter oraz kontekst leczenia, czas jego trwania, jego skutki fizyczne i psychiczne,</w:t>
      </w:r>
      <w:r w:rsidRPr="004458AE">
        <w:rPr>
          <w:rFonts w:ascii="Arial" w:hAnsi="Arial" w:cs="Arial"/>
          <w:b/>
          <w:bCs/>
          <w:sz w:val="22"/>
          <w:szCs w:val="22"/>
          <w:lang w:val="pl-PL"/>
        </w:rPr>
        <w:t xml:space="preserve"> </w:t>
      </w:r>
      <w:r w:rsidR="00EA2A12" w:rsidRPr="004458AE">
        <w:rPr>
          <w:rFonts w:ascii="Arial" w:hAnsi="Arial" w:cs="Arial"/>
          <w:b/>
          <w:bCs/>
          <w:sz w:val="22"/>
          <w:szCs w:val="22"/>
          <w:lang w:val="pl-PL"/>
        </w:rPr>
        <w:t xml:space="preserve">a </w:t>
      </w:r>
      <w:r w:rsidR="00BC0268" w:rsidRPr="004458AE">
        <w:rPr>
          <w:rFonts w:ascii="Arial" w:hAnsi="Arial" w:cs="Arial"/>
          <w:b/>
          <w:bCs/>
          <w:sz w:val="22"/>
          <w:szCs w:val="22"/>
          <w:lang w:val="pl-PL"/>
        </w:rPr>
        <w:t>w niektórych przypadkach, płeć, wiek i stan zdrowia ofiary</w:t>
      </w:r>
      <w:r w:rsidRPr="004458AE">
        <w:rPr>
          <w:rFonts w:ascii="Arial" w:hAnsi="Arial" w:cs="Arial"/>
          <w:b/>
          <w:bCs/>
          <w:sz w:val="22"/>
          <w:szCs w:val="22"/>
          <w:lang w:val="pl-PL"/>
        </w:rPr>
        <w:t xml:space="preserve">. </w:t>
      </w:r>
      <w:r w:rsidR="00BC0268" w:rsidRPr="004458AE">
        <w:rPr>
          <w:rFonts w:ascii="Arial" w:hAnsi="Arial" w:cs="Arial"/>
          <w:sz w:val="22"/>
          <w:szCs w:val="22"/>
          <w:lang w:val="pl-PL"/>
        </w:rPr>
        <w:t xml:space="preserve">Po wykazaniu, że leczenie osiągnęło próg </w:t>
      </w:r>
      <w:r w:rsidR="00BC0268" w:rsidRPr="004458AE">
        <w:rPr>
          <w:rFonts w:ascii="Arial" w:hAnsi="Arial" w:cs="Arial"/>
          <w:sz w:val="22"/>
          <w:szCs w:val="22"/>
          <w:lang w:val="pl-PL"/>
        </w:rPr>
        <w:lastRenderedPageBreak/>
        <w:t xml:space="preserve">dotkliwości, </w:t>
      </w:r>
      <w:r w:rsidRPr="004458AE">
        <w:rPr>
          <w:rFonts w:ascii="Arial" w:hAnsi="Arial" w:cs="Arial"/>
          <w:sz w:val="22"/>
          <w:szCs w:val="22"/>
          <w:lang w:val="pl-PL"/>
        </w:rPr>
        <w:t xml:space="preserve">który </w:t>
      </w:r>
      <w:r w:rsidR="00BC0268" w:rsidRPr="004458AE">
        <w:rPr>
          <w:rFonts w:ascii="Arial" w:hAnsi="Arial" w:cs="Arial"/>
          <w:sz w:val="22"/>
          <w:szCs w:val="22"/>
          <w:lang w:val="pl-PL"/>
        </w:rPr>
        <w:t>prowadzi do ochrony art. 3 Konwencji, Trybunał musi zbadać, czy władze państwowe wywiązały się ze swoich pozytywnych obowiązków wynikających z art. 1 Konwencji w związku z art. 3, w celu zapewnienia ochrony osób podlegających ich jurysdykcji przed wszelkimi formami złego traktowania</w:t>
      </w:r>
      <w:r w:rsidR="002D56C4" w:rsidRPr="004458AE">
        <w:rPr>
          <w:rFonts w:ascii="Arial" w:hAnsi="Arial" w:cs="Arial"/>
          <w:sz w:val="22"/>
          <w:szCs w:val="22"/>
          <w:lang w:val="pl-PL"/>
        </w:rPr>
        <w:t xml:space="preserve">. </w:t>
      </w:r>
      <w:r w:rsidR="00BC0268" w:rsidRPr="004458AE">
        <w:rPr>
          <w:rFonts w:ascii="Arial" w:hAnsi="Arial" w:cs="Arial"/>
          <w:sz w:val="22"/>
          <w:szCs w:val="22"/>
          <w:lang w:val="pl-PL"/>
        </w:rPr>
        <w:t>Ingerencja władz w życie prywatne i rodzinne może okazać się konieczna w celu ochrony zdrowia i praw osoby lub zapobiegania przestępstwom w pewnych okolicznościach (</w:t>
      </w:r>
      <w:r w:rsidR="002D56C4" w:rsidRPr="004458AE">
        <w:rPr>
          <w:rFonts w:ascii="Arial" w:hAnsi="Arial" w:cs="Arial"/>
          <w:sz w:val="22"/>
          <w:szCs w:val="22"/>
          <w:lang w:val="pl-PL"/>
        </w:rPr>
        <w:t xml:space="preserve">zob. </w:t>
      </w:r>
      <w:r w:rsidR="00BC0268" w:rsidRPr="004458AE">
        <w:rPr>
          <w:rFonts w:ascii="Arial" w:hAnsi="Arial" w:cs="Arial"/>
          <w:i/>
          <w:iCs/>
          <w:sz w:val="22"/>
          <w:szCs w:val="22"/>
          <w:lang w:val="pl-PL"/>
        </w:rPr>
        <w:t>Opuz</w:t>
      </w:r>
      <w:r w:rsidR="00BC0268" w:rsidRPr="004458AE">
        <w:rPr>
          <w:rFonts w:ascii="Arial" w:hAnsi="Arial" w:cs="Arial"/>
          <w:sz w:val="22"/>
          <w:szCs w:val="22"/>
          <w:lang w:val="pl-PL"/>
        </w:rPr>
        <w:t>, cytowany powyżej, § 144). Wymaga to od państw u</w:t>
      </w:r>
      <w:r w:rsidR="002D56C4" w:rsidRPr="004458AE">
        <w:rPr>
          <w:rFonts w:ascii="Arial" w:hAnsi="Arial" w:cs="Arial"/>
          <w:sz w:val="22"/>
          <w:szCs w:val="22"/>
          <w:lang w:val="pl-PL"/>
        </w:rPr>
        <w:t xml:space="preserve">stanowienia </w:t>
      </w:r>
      <w:r w:rsidR="00BC0268" w:rsidRPr="004458AE">
        <w:rPr>
          <w:rFonts w:ascii="Arial" w:hAnsi="Arial" w:cs="Arial"/>
          <w:sz w:val="22"/>
          <w:szCs w:val="22"/>
          <w:lang w:val="pl-PL"/>
        </w:rPr>
        <w:t xml:space="preserve">i stosowania w praktyce odpowiednich ram prawnych zapewniających ochronę przed aktami przemocy ze strony osób </w:t>
      </w:r>
      <w:r w:rsidR="002D56C4" w:rsidRPr="004458AE">
        <w:rPr>
          <w:rFonts w:ascii="Arial" w:hAnsi="Arial" w:cs="Arial"/>
          <w:sz w:val="22"/>
          <w:szCs w:val="22"/>
          <w:lang w:val="pl-PL"/>
        </w:rPr>
        <w:t>fizycznych</w:t>
      </w:r>
      <w:r w:rsidR="00E855B6" w:rsidRPr="004458AE">
        <w:rPr>
          <w:rFonts w:ascii="Arial" w:hAnsi="Arial" w:cs="Arial"/>
          <w:sz w:val="22"/>
          <w:szCs w:val="22"/>
          <w:lang w:val="pl-PL"/>
        </w:rPr>
        <w:t xml:space="preserve">. </w:t>
      </w:r>
    </w:p>
    <w:p w14:paraId="3BB518B0" w14:textId="05588FCF" w:rsidR="009C5D36" w:rsidRPr="004458AE" w:rsidRDefault="009C5D36" w:rsidP="00B14BC3">
      <w:pPr>
        <w:spacing w:before="147" w:line="360" w:lineRule="auto"/>
        <w:jc w:val="both"/>
        <w:rPr>
          <w:rFonts w:ascii="Arial" w:hAnsi="Arial" w:cs="Arial"/>
          <w:b/>
          <w:bCs/>
        </w:rPr>
      </w:pPr>
      <w:r w:rsidRPr="004458AE">
        <w:rPr>
          <w:rFonts w:ascii="Arial" w:hAnsi="Arial" w:cs="Arial"/>
          <w:b/>
          <w:bCs/>
        </w:rPr>
        <w:t xml:space="preserve">[Niewywiązanie się z obowiązku prowadzenia postępowania kontekście konkretnego problemu przemocy domowej (cyberprzemoc uznawaną formą przemocy domowej)] </w:t>
      </w:r>
    </w:p>
    <w:p w14:paraId="090B4D20" w14:textId="0DAFFF6E" w:rsidR="009C5D36" w:rsidRPr="004458AE" w:rsidRDefault="009C5D36" w:rsidP="00EB71BA">
      <w:pPr>
        <w:spacing w:before="147" w:line="360" w:lineRule="auto"/>
        <w:jc w:val="both"/>
        <w:rPr>
          <w:rFonts w:ascii="Arial" w:hAnsi="Arial" w:cs="Arial"/>
        </w:rPr>
      </w:pPr>
      <w:r w:rsidRPr="004458AE">
        <w:rPr>
          <w:rFonts w:ascii="Arial" w:hAnsi="Arial" w:cs="Arial"/>
        </w:rPr>
        <w:t xml:space="preserve">W dniu </w:t>
      </w:r>
      <w:r w:rsidRPr="004458AE">
        <w:rPr>
          <w:rFonts w:ascii="Arial" w:hAnsi="Arial" w:cs="Arial"/>
          <w:b/>
          <w:bCs/>
        </w:rPr>
        <w:t>11 lutego 2020 r</w:t>
      </w:r>
      <w:r w:rsidR="00B14BC3">
        <w:rPr>
          <w:rFonts w:ascii="Arial" w:hAnsi="Arial" w:cs="Arial"/>
          <w:b/>
          <w:bCs/>
        </w:rPr>
        <w:t>oku</w:t>
      </w:r>
      <w:r w:rsidRPr="004458AE">
        <w:rPr>
          <w:rFonts w:ascii="Arial" w:hAnsi="Arial" w:cs="Arial"/>
        </w:rPr>
        <w:t xml:space="preserve"> </w:t>
      </w:r>
      <w:r w:rsidRPr="003245AC">
        <w:rPr>
          <w:rFonts w:ascii="Arial" w:hAnsi="Arial" w:cs="Arial"/>
          <w:b/>
          <w:bCs/>
        </w:rPr>
        <w:t>Trybunał wydał</w:t>
      </w:r>
      <w:r w:rsidRPr="004458AE">
        <w:rPr>
          <w:rFonts w:ascii="Arial" w:hAnsi="Arial" w:cs="Arial"/>
        </w:rPr>
        <w:t xml:space="preserve"> </w:t>
      </w:r>
      <w:r w:rsidRPr="004458AE">
        <w:rPr>
          <w:rFonts w:ascii="Arial" w:hAnsi="Arial" w:cs="Arial"/>
          <w:b/>
          <w:bCs/>
        </w:rPr>
        <w:t xml:space="preserve">wyrok </w:t>
      </w:r>
      <w:r w:rsidRPr="00B14BC3">
        <w:rPr>
          <w:rFonts w:ascii="Arial" w:hAnsi="Arial" w:cs="Arial"/>
          <w:b/>
          <w:bCs/>
        </w:rPr>
        <w:t>w sprawie</w:t>
      </w:r>
      <w:r w:rsidRPr="004458AE">
        <w:rPr>
          <w:rFonts w:ascii="Arial" w:hAnsi="Arial" w:cs="Arial"/>
        </w:rPr>
        <w:t xml:space="preserve"> </w:t>
      </w:r>
      <w:r w:rsidRPr="004458AE">
        <w:rPr>
          <w:rFonts w:ascii="Arial" w:hAnsi="Arial" w:cs="Arial"/>
          <w:b/>
          <w:bCs/>
          <w:i/>
          <w:iCs/>
        </w:rPr>
        <w:t>Buturugă p</w:t>
      </w:r>
      <w:r w:rsidR="00DE46DC">
        <w:rPr>
          <w:rFonts w:ascii="Arial" w:hAnsi="Arial" w:cs="Arial"/>
          <w:b/>
          <w:bCs/>
          <w:i/>
          <w:iCs/>
        </w:rPr>
        <w:t>rzeciwko</w:t>
      </w:r>
      <w:r w:rsidRPr="004458AE">
        <w:rPr>
          <w:rFonts w:ascii="Arial" w:hAnsi="Arial" w:cs="Arial"/>
          <w:b/>
          <w:bCs/>
          <w:i/>
          <w:iCs/>
        </w:rPr>
        <w:t xml:space="preserve"> Rumunii</w:t>
      </w:r>
      <w:r w:rsidRPr="004458AE">
        <w:rPr>
          <w:rFonts w:ascii="Arial" w:hAnsi="Arial" w:cs="Arial"/>
          <w:i/>
          <w:iCs/>
        </w:rPr>
        <w:t xml:space="preserve"> </w:t>
      </w:r>
      <w:r w:rsidR="005D0CA5" w:rsidRPr="00B14BC3">
        <w:rPr>
          <w:rFonts w:ascii="Arial" w:hAnsi="Arial" w:cs="Arial"/>
        </w:rPr>
        <w:t>(</w:t>
      </w:r>
      <w:r w:rsidRPr="00B14BC3">
        <w:rPr>
          <w:rFonts w:ascii="Arial" w:hAnsi="Arial" w:cs="Arial"/>
        </w:rPr>
        <w:t xml:space="preserve">nr skargi </w:t>
      </w:r>
      <w:r w:rsidRPr="00B14BC3">
        <w:rPr>
          <w:rStyle w:val="textcolumn"/>
          <w:rFonts w:ascii="Arial" w:hAnsi="Arial" w:cs="Arial"/>
          <w:color w:val="000000"/>
          <w:shd w:val="clear" w:color="auto" w:fill="FFFFFF"/>
        </w:rPr>
        <w:t>56867/15</w:t>
      </w:r>
      <w:r w:rsidR="005D0CA5" w:rsidRPr="00B14BC3">
        <w:rPr>
          <w:rStyle w:val="textcolumn"/>
          <w:rFonts w:ascii="Arial" w:hAnsi="Arial" w:cs="Arial"/>
          <w:color w:val="000000"/>
          <w:shd w:val="clear" w:color="auto" w:fill="FFFFFF"/>
        </w:rPr>
        <w:t>)</w:t>
      </w:r>
      <w:r w:rsidRPr="00B14BC3">
        <w:rPr>
          <w:rStyle w:val="textcolumn"/>
          <w:rFonts w:ascii="Arial" w:hAnsi="Arial" w:cs="Arial"/>
          <w:color w:val="000000"/>
          <w:shd w:val="clear" w:color="auto" w:fill="FFFFFF"/>
        </w:rPr>
        <w:t>.</w:t>
      </w:r>
      <w:r w:rsidRPr="004458AE">
        <w:rPr>
          <w:rStyle w:val="textcolumn"/>
          <w:rFonts w:ascii="Arial" w:hAnsi="Arial" w:cs="Arial"/>
          <w:color w:val="000000"/>
          <w:shd w:val="clear" w:color="auto" w:fill="FFFFFF"/>
        </w:rPr>
        <w:t xml:space="preserve"> </w:t>
      </w:r>
      <w:r w:rsidRPr="004458AE">
        <w:rPr>
          <w:rFonts w:ascii="Arial" w:hAnsi="Arial" w:cs="Arial"/>
        </w:rPr>
        <w:t>Sprawa dotyczyła zarzutów przemocy domowej i naruszenia poufności korespondencji elektronicznej przez byłego męża skarżącej, która skarżyła się na uchybienia w systemie ochrony ofiar tego rodzaju przemocy. Skarżąca zarzuciła w szczególności nieskuteczność dochodzenia w sprawie zarzucanej przemocy domowej. Skarżyła się również, że jej bezpieczeństwo osobiste nie zostało odpowiednio zapewnione</w:t>
      </w:r>
      <w:r w:rsidR="00B14BC3">
        <w:rPr>
          <w:rFonts w:ascii="Arial" w:hAnsi="Arial" w:cs="Arial"/>
        </w:rPr>
        <w:t xml:space="preserve"> oraz </w:t>
      </w:r>
      <w:r w:rsidRPr="004458AE">
        <w:rPr>
          <w:rFonts w:ascii="Arial" w:hAnsi="Arial" w:cs="Arial"/>
        </w:rPr>
        <w:t xml:space="preserve">krytykowała odmowę władz dotyczącą rozpatrzenia jej skargi na naruszenie przez jej byłego męża poufności korespondencji. </w:t>
      </w:r>
      <w:r w:rsidR="00EB71BA" w:rsidRPr="004458AE">
        <w:rPr>
          <w:rFonts w:ascii="Arial" w:hAnsi="Arial" w:cs="Arial"/>
        </w:rPr>
        <w:t xml:space="preserve">W ustalonym stanie faktycznym </w:t>
      </w:r>
      <w:r w:rsidRPr="004458AE">
        <w:rPr>
          <w:rFonts w:ascii="Arial" w:hAnsi="Arial" w:cs="Arial"/>
        </w:rPr>
        <w:t xml:space="preserve">Trybunał uznał, że doszło do naruszenia </w:t>
      </w:r>
      <w:r w:rsidRPr="004458AE">
        <w:rPr>
          <w:rFonts w:ascii="Arial" w:hAnsi="Arial" w:cs="Arial"/>
          <w:b/>
          <w:bCs/>
        </w:rPr>
        <w:t xml:space="preserve">art. 3 </w:t>
      </w:r>
      <w:r w:rsidRPr="004458AE">
        <w:rPr>
          <w:rFonts w:ascii="Arial" w:hAnsi="Arial" w:cs="Arial"/>
        </w:rPr>
        <w:t xml:space="preserve">(zakaz nieludzkiego lub poniżającego traktowania) i </w:t>
      </w:r>
      <w:r w:rsidRPr="004458AE">
        <w:rPr>
          <w:rFonts w:ascii="Arial" w:hAnsi="Arial" w:cs="Arial"/>
          <w:b/>
          <w:bCs/>
        </w:rPr>
        <w:t>art. 8</w:t>
      </w:r>
      <w:r w:rsidRPr="004458AE">
        <w:rPr>
          <w:rFonts w:ascii="Arial" w:hAnsi="Arial" w:cs="Arial"/>
        </w:rPr>
        <w:t xml:space="preserve"> (prawo do poszanowania życia prywatnego i korespondencji) Konwencji</w:t>
      </w:r>
      <w:r w:rsidRPr="004458AE">
        <w:rPr>
          <w:rFonts w:ascii="Arial" w:hAnsi="Arial" w:cs="Arial"/>
          <w:b/>
          <w:bCs/>
        </w:rPr>
        <w:t xml:space="preserve"> z powodu niewypełnienia przez państwo jego pozytywnych obowiązków</w:t>
      </w:r>
      <w:r w:rsidRPr="004458AE">
        <w:rPr>
          <w:rFonts w:ascii="Arial" w:hAnsi="Arial" w:cs="Arial"/>
        </w:rPr>
        <w:t xml:space="preserve"> wynikających z tych przepisów</w:t>
      </w:r>
      <w:r w:rsidR="00EB71BA" w:rsidRPr="004458AE">
        <w:rPr>
          <w:rFonts w:ascii="Arial" w:hAnsi="Arial" w:cs="Arial"/>
        </w:rPr>
        <w:t xml:space="preserve"> oraz </w:t>
      </w:r>
      <w:r w:rsidRPr="004458AE">
        <w:rPr>
          <w:rFonts w:ascii="Arial" w:hAnsi="Arial" w:cs="Arial"/>
        </w:rPr>
        <w:t>w szczególności</w:t>
      </w:r>
      <w:r w:rsidR="00EB71BA" w:rsidRPr="004458AE">
        <w:rPr>
          <w:rFonts w:ascii="Arial" w:hAnsi="Arial" w:cs="Arial"/>
        </w:rPr>
        <w:t xml:space="preserve"> stwierdził</w:t>
      </w:r>
      <w:r w:rsidRPr="004458AE">
        <w:rPr>
          <w:rFonts w:ascii="Arial" w:hAnsi="Arial" w:cs="Arial"/>
        </w:rPr>
        <w:t>, że władze krajowe nie odniosły się do dochodzenia karnego w świetle konkretnego problemu przemocy domowej</w:t>
      </w:r>
      <w:r w:rsidR="00EB71BA" w:rsidRPr="004458AE">
        <w:rPr>
          <w:rFonts w:ascii="Arial" w:hAnsi="Arial" w:cs="Arial"/>
        </w:rPr>
        <w:t>. T</w:t>
      </w:r>
      <w:r w:rsidRPr="004458AE">
        <w:rPr>
          <w:rFonts w:ascii="Arial" w:hAnsi="Arial" w:cs="Arial"/>
        </w:rPr>
        <w:t>ym samym nie odpowiedziały w</w:t>
      </w:r>
      <w:r w:rsidR="00EB71BA" w:rsidRPr="004458AE">
        <w:rPr>
          <w:rFonts w:ascii="Arial" w:hAnsi="Arial" w:cs="Arial"/>
        </w:rPr>
        <w:t>e</w:t>
      </w:r>
      <w:r w:rsidRPr="004458AE">
        <w:rPr>
          <w:rFonts w:ascii="Arial" w:hAnsi="Arial" w:cs="Arial"/>
        </w:rPr>
        <w:t xml:space="preserve"> właściwy </w:t>
      </w:r>
      <w:r w:rsidR="00EB71BA" w:rsidRPr="004458AE">
        <w:rPr>
          <w:rFonts w:ascii="Arial" w:hAnsi="Arial" w:cs="Arial"/>
        </w:rPr>
        <w:t xml:space="preserve">sposób </w:t>
      </w:r>
      <w:r w:rsidRPr="004458AE">
        <w:rPr>
          <w:rFonts w:ascii="Arial" w:hAnsi="Arial" w:cs="Arial"/>
        </w:rPr>
        <w:t xml:space="preserve">na powagę stanu faktycznego, podnoszonego przez skarżącą. </w:t>
      </w:r>
      <w:r w:rsidRPr="004458AE">
        <w:rPr>
          <w:rFonts w:ascii="Arial" w:hAnsi="Arial" w:cs="Arial"/>
          <w:b/>
          <w:bCs/>
        </w:rPr>
        <w:t>Dochodzenie w sprawie aktów przemocy było wadliwe i w jego ramach nie rozpatrzono zasadności skargi dotyczącej naruszenia poufności korespondencji, która była ściśle powiązana z zarzutem przemocy.</w:t>
      </w:r>
      <w:r w:rsidRPr="004458AE">
        <w:rPr>
          <w:rFonts w:ascii="Arial" w:hAnsi="Arial" w:cs="Arial"/>
        </w:rPr>
        <w:t xml:space="preserve"> Przy tej okazji Trybunał wskazał, że cyberprzemoc jest uznawana za formę przemocy wobec kobiet i dziewcząt oraz że może przybierać różne formy</w:t>
      </w:r>
      <w:r w:rsidR="00EB71BA" w:rsidRPr="004458AE">
        <w:rPr>
          <w:rFonts w:ascii="Arial" w:hAnsi="Arial" w:cs="Arial"/>
        </w:rPr>
        <w:t xml:space="preserve">, w tym </w:t>
      </w:r>
      <w:r w:rsidRPr="004458AE">
        <w:rPr>
          <w:rFonts w:ascii="Arial" w:hAnsi="Arial" w:cs="Arial"/>
        </w:rPr>
        <w:t xml:space="preserve">naruszenia prywatności, włamania do komputera ofiary </w:t>
      </w:r>
      <w:r w:rsidR="00EB71BA" w:rsidRPr="004458AE">
        <w:rPr>
          <w:rFonts w:ascii="Arial" w:hAnsi="Arial" w:cs="Arial"/>
        </w:rPr>
        <w:t xml:space="preserve">i </w:t>
      </w:r>
      <w:r w:rsidRPr="004458AE">
        <w:rPr>
          <w:rFonts w:ascii="Arial" w:hAnsi="Arial" w:cs="Arial"/>
        </w:rPr>
        <w:t>przechwytywania, udostępniania oraz manipulowania danymi i obrazami, także o charakterze prywatnym.</w:t>
      </w:r>
    </w:p>
    <w:p w14:paraId="10D7176E" w14:textId="3EF37503" w:rsidR="00F52CF6" w:rsidRPr="004458AE" w:rsidRDefault="00255663" w:rsidP="00D44BEE">
      <w:pPr>
        <w:spacing w:line="360" w:lineRule="auto"/>
        <w:jc w:val="both"/>
        <w:rPr>
          <w:rFonts w:ascii="Arial" w:hAnsi="Arial" w:cs="Arial"/>
          <w:b/>
        </w:rPr>
      </w:pPr>
      <w:r w:rsidRPr="004458AE">
        <w:rPr>
          <w:rFonts w:ascii="Arial" w:hAnsi="Arial" w:cs="Arial"/>
          <w:b/>
        </w:rPr>
        <w:t>|</w:t>
      </w:r>
      <w:r w:rsidR="00F52CF6" w:rsidRPr="004458AE">
        <w:rPr>
          <w:rFonts w:ascii="Arial" w:hAnsi="Arial" w:cs="Arial"/>
          <w:b/>
        </w:rPr>
        <w:t xml:space="preserve">Zaniechanie </w:t>
      </w:r>
      <w:r w:rsidR="00274F1C" w:rsidRPr="004458AE">
        <w:rPr>
          <w:rFonts w:ascii="Arial" w:hAnsi="Arial" w:cs="Arial"/>
          <w:b/>
        </w:rPr>
        <w:t xml:space="preserve">działań zmierzających do podjęcia/kontynuowania </w:t>
      </w:r>
      <w:r w:rsidR="00F52CF6" w:rsidRPr="004458AE">
        <w:rPr>
          <w:rFonts w:ascii="Arial" w:hAnsi="Arial" w:cs="Arial"/>
          <w:b/>
        </w:rPr>
        <w:t xml:space="preserve">terapii </w:t>
      </w:r>
      <w:r w:rsidR="00F062E2" w:rsidRPr="004458AE">
        <w:rPr>
          <w:rFonts w:ascii="Arial" w:hAnsi="Arial" w:cs="Arial"/>
          <w:b/>
        </w:rPr>
        <w:t xml:space="preserve">sprawcy </w:t>
      </w:r>
      <w:r w:rsidR="00274F1C" w:rsidRPr="004458AE">
        <w:rPr>
          <w:rFonts w:ascii="Arial" w:hAnsi="Arial" w:cs="Arial"/>
          <w:b/>
        </w:rPr>
        <w:br/>
      </w:r>
      <w:r w:rsidR="00F062E2" w:rsidRPr="004458AE">
        <w:rPr>
          <w:rFonts w:ascii="Arial" w:hAnsi="Arial" w:cs="Arial"/>
          <w:b/>
        </w:rPr>
        <w:t xml:space="preserve">z zaburzeniami psychicznymi, niepodejmowanie środków w celu ochrony ofiary </w:t>
      </w:r>
      <w:r w:rsidR="00274F1C" w:rsidRPr="004458AE">
        <w:rPr>
          <w:rFonts w:ascii="Arial" w:hAnsi="Arial" w:cs="Arial"/>
          <w:b/>
        </w:rPr>
        <w:t>p</w:t>
      </w:r>
      <w:r w:rsidR="00F062E2" w:rsidRPr="004458AE">
        <w:rPr>
          <w:rFonts w:ascii="Arial" w:hAnsi="Arial" w:cs="Arial"/>
          <w:b/>
        </w:rPr>
        <w:t>rzemocy domowej</w:t>
      </w:r>
      <w:r w:rsidR="00274F1C" w:rsidRPr="004458AE">
        <w:rPr>
          <w:rFonts w:ascii="Arial" w:hAnsi="Arial" w:cs="Arial"/>
          <w:b/>
        </w:rPr>
        <w:t xml:space="preserve"> ze strony sprawcy z zaburzeniami psychicznymi</w:t>
      </w:r>
      <w:r w:rsidR="00F52CF6" w:rsidRPr="004458AE">
        <w:rPr>
          <w:rFonts w:ascii="Arial" w:hAnsi="Arial" w:cs="Arial"/>
          <w:b/>
        </w:rPr>
        <w:t>]</w:t>
      </w:r>
    </w:p>
    <w:p w14:paraId="21F23135" w14:textId="088B7082" w:rsidR="00D44BEE" w:rsidRPr="004458AE" w:rsidRDefault="00C26718" w:rsidP="00D44BEE">
      <w:pPr>
        <w:spacing w:after="0" w:line="360" w:lineRule="auto"/>
        <w:jc w:val="both"/>
        <w:rPr>
          <w:rFonts w:ascii="Arial" w:hAnsi="Arial" w:cs="Arial"/>
        </w:rPr>
      </w:pPr>
      <w:r w:rsidRPr="004458AE">
        <w:rPr>
          <w:rFonts w:ascii="Arial" w:hAnsi="Arial" w:cs="Arial"/>
        </w:rPr>
        <w:t>S</w:t>
      </w:r>
      <w:r w:rsidR="00F52CF6" w:rsidRPr="004458AE">
        <w:rPr>
          <w:rFonts w:ascii="Arial" w:hAnsi="Arial" w:cs="Arial"/>
        </w:rPr>
        <w:t xml:space="preserve">prawa </w:t>
      </w:r>
      <w:r w:rsidR="00F52CF6" w:rsidRPr="004458AE">
        <w:rPr>
          <w:rFonts w:ascii="Arial" w:hAnsi="Arial" w:cs="Arial"/>
          <w:b/>
          <w:i/>
          <w:iCs/>
        </w:rPr>
        <w:t xml:space="preserve">Branko Tomasić i inni przeciwko Chorwacji </w:t>
      </w:r>
      <w:r w:rsidR="00F52CF6" w:rsidRPr="00B14BC3">
        <w:rPr>
          <w:rFonts w:ascii="Arial" w:hAnsi="Arial" w:cs="Arial"/>
          <w:bCs/>
          <w:iCs/>
        </w:rPr>
        <w:t>(</w:t>
      </w:r>
      <w:r w:rsidR="00221A32" w:rsidRPr="00B14BC3">
        <w:rPr>
          <w:rFonts w:ascii="Arial" w:hAnsi="Arial" w:cs="Arial"/>
          <w:bCs/>
          <w:iCs/>
        </w:rPr>
        <w:t xml:space="preserve">nr </w:t>
      </w:r>
      <w:r w:rsidR="00F52CF6" w:rsidRPr="00B14BC3">
        <w:rPr>
          <w:rFonts w:ascii="Arial" w:hAnsi="Arial" w:cs="Arial"/>
          <w:bCs/>
          <w:iCs/>
        </w:rPr>
        <w:t>skarg</w:t>
      </w:r>
      <w:r w:rsidR="00221A32" w:rsidRPr="00B14BC3">
        <w:rPr>
          <w:rFonts w:ascii="Arial" w:hAnsi="Arial" w:cs="Arial"/>
          <w:bCs/>
          <w:iCs/>
        </w:rPr>
        <w:t>i</w:t>
      </w:r>
      <w:r w:rsidR="00F52CF6" w:rsidRPr="00B14BC3">
        <w:rPr>
          <w:rFonts w:ascii="Arial" w:hAnsi="Arial" w:cs="Arial"/>
          <w:bCs/>
          <w:iCs/>
        </w:rPr>
        <w:t xml:space="preserve"> 46598/06</w:t>
      </w:r>
      <w:r w:rsidR="00221A32" w:rsidRPr="00B14BC3">
        <w:rPr>
          <w:rFonts w:ascii="Arial" w:hAnsi="Arial" w:cs="Arial"/>
          <w:bCs/>
          <w:iCs/>
        </w:rPr>
        <w:t>)</w:t>
      </w:r>
      <w:r w:rsidR="00F52CF6" w:rsidRPr="00B14BC3">
        <w:rPr>
          <w:rFonts w:ascii="Arial" w:hAnsi="Arial" w:cs="Arial"/>
          <w:bCs/>
          <w:iCs/>
        </w:rPr>
        <w:t>,</w:t>
      </w:r>
      <w:r w:rsidR="00F52CF6" w:rsidRPr="004458AE">
        <w:rPr>
          <w:rFonts w:ascii="Arial" w:hAnsi="Arial" w:cs="Arial"/>
          <w:b/>
          <w:iCs/>
        </w:rPr>
        <w:t xml:space="preserve"> </w:t>
      </w:r>
      <w:r w:rsidR="00521DFB" w:rsidRPr="004458AE">
        <w:rPr>
          <w:rFonts w:ascii="Arial" w:hAnsi="Arial" w:cs="Arial"/>
          <w:b/>
          <w:iCs/>
        </w:rPr>
        <w:br/>
      </w:r>
      <w:r w:rsidR="00221A32" w:rsidRPr="004458AE">
        <w:rPr>
          <w:rFonts w:ascii="Arial" w:hAnsi="Arial" w:cs="Arial"/>
          <w:b/>
          <w:iCs/>
        </w:rPr>
        <w:t>w któ</w:t>
      </w:r>
      <w:r w:rsidR="00521DFB" w:rsidRPr="004458AE">
        <w:rPr>
          <w:rFonts w:ascii="Arial" w:hAnsi="Arial" w:cs="Arial"/>
          <w:b/>
          <w:iCs/>
        </w:rPr>
        <w:t xml:space="preserve">rej </w:t>
      </w:r>
      <w:r w:rsidR="00F52CF6" w:rsidRPr="004458AE">
        <w:rPr>
          <w:rFonts w:ascii="Arial" w:hAnsi="Arial" w:cs="Arial"/>
          <w:b/>
          <w:iCs/>
        </w:rPr>
        <w:t xml:space="preserve">wyrok </w:t>
      </w:r>
      <w:r w:rsidR="00521DFB" w:rsidRPr="004458AE">
        <w:rPr>
          <w:rFonts w:ascii="Arial" w:hAnsi="Arial" w:cs="Arial"/>
          <w:b/>
          <w:iCs/>
        </w:rPr>
        <w:t xml:space="preserve">Trybunału </w:t>
      </w:r>
      <w:r w:rsidR="00F52CF6" w:rsidRPr="004458AE">
        <w:rPr>
          <w:rFonts w:ascii="Arial" w:hAnsi="Arial" w:cs="Arial"/>
          <w:b/>
          <w:iCs/>
        </w:rPr>
        <w:t>z</w:t>
      </w:r>
      <w:r w:rsidR="00521DFB" w:rsidRPr="004458AE">
        <w:rPr>
          <w:rFonts w:ascii="Arial" w:hAnsi="Arial" w:cs="Arial"/>
          <w:b/>
          <w:iCs/>
        </w:rPr>
        <w:t xml:space="preserve">apadł w </w:t>
      </w:r>
      <w:r w:rsidR="00F52CF6" w:rsidRPr="004458AE">
        <w:rPr>
          <w:rFonts w:ascii="Arial" w:hAnsi="Arial" w:cs="Arial"/>
          <w:b/>
          <w:iCs/>
        </w:rPr>
        <w:t>dni</w:t>
      </w:r>
      <w:r w:rsidR="00521DFB" w:rsidRPr="004458AE">
        <w:rPr>
          <w:rFonts w:ascii="Arial" w:hAnsi="Arial" w:cs="Arial"/>
          <w:b/>
          <w:iCs/>
        </w:rPr>
        <w:t xml:space="preserve">u </w:t>
      </w:r>
      <w:r w:rsidR="00F52CF6" w:rsidRPr="004458AE">
        <w:rPr>
          <w:rFonts w:ascii="Arial" w:hAnsi="Arial" w:cs="Arial"/>
          <w:b/>
          <w:iCs/>
        </w:rPr>
        <w:t>15 stycznia 2009 r</w:t>
      </w:r>
      <w:r w:rsidR="00B14BC3">
        <w:rPr>
          <w:rFonts w:ascii="Arial" w:hAnsi="Arial" w:cs="Arial"/>
          <w:b/>
          <w:iCs/>
        </w:rPr>
        <w:t>oku</w:t>
      </w:r>
      <w:r w:rsidR="00F52CF6" w:rsidRPr="004458AE">
        <w:rPr>
          <w:rFonts w:ascii="Arial" w:hAnsi="Arial" w:cs="Arial"/>
        </w:rPr>
        <w:t xml:space="preserve">, dotyczyła przypadku </w:t>
      </w:r>
      <w:r w:rsidR="00F52CF6" w:rsidRPr="004458AE">
        <w:rPr>
          <w:rFonts w:ascii="Arial" w:hAnsi="Arial" w:cs="Arial"/>
        </w:rPr>
        <w:lastRenderedPageBreak/>
        <w:t xml:space="preserve">dokonania zabójstwa </w:t>
      </w:r>
      <w:r w:rsidR="00E731B5" w:rsidRPr="004458AE">
        <w:rPr>
          <w:rFonts w:ascii="Arial" w:hAnsi="Arial" w:cs="Arial"/>
        </w:rPr>
        <w:t xml:space="preserve">dziecka i jego matki </w:t>
      </w:r>
      <w:r w:rsidR="00F52CF6" w:rsidRPr="004458AE">
        <w:rPr>
          <w:rFonts w:ascii="Arial" w:hAnsi="Arial" w:cs="Arial"/>
        </w:rPr>
        <w:t>przez mężczyznę, któ</w:t>
      </w:r>
      <w:r w:rsidR="00B846C4" w:rsidRPr="004458AE">
        <w:rPr>
          <w:rFonts w:ascii="Arial" w:hAnsi="Arial" w:cs="Arial"/>
        </w:rPr>
        <w:t xml:space="preserve">ry </w:t>
      </w:r>
      <w:r w:rsidR="00F52CF6" w:rsidRPr="004458AE">
        <w:rPr>
          <w:rFonts w:ascii="Arial" w:hAnsi="Arial" w:cs="Arial"/>
        </w:rPr>
        <w:t xml:space="preserve">miesiąc wcześniej </w:t>
      </w:r>
      <w:r w:rsidR="00E731B5" w:rsidRPr="004458AE">
        <w:rPr>
          <w:rFonts w:ascii="Arial" w:hAnsi="Arial" w:cs="Arial"/>
        </w:rPr>
        <w:t xml:space="preserve">został zwolniony z </w:t>
      </w:r>
      <w:r w:rsidR="00F52CF6" w:rsidRPr="004458AE">
        <w:rPr>
          <w:rFonts w:ascii="Arial" w:hAnsi="Arial" w:cs="Arial"/>
        </w:rPr>
        <w:t>zakład</w:t>
      </w:r>
      <w:r w:rsidR="00E731B5" w:rsidRPr="004458AE">
        <w:rPr>
          <w:rFonts w:ascii="Arial" w:hAnsi="Arial" w:cs="Arial"/>
        </w:rPr>
        <w:t>u</w:t>
      </w:r>
      <w:r w:rsidR="00F52CF6" w:rsidRPr="004458AE">
        <w:rPr>
          <w:rFonts w:ascii="Arial" w:hAnsi="Arial" w:cs="Arial"/>
        </w:rPr>
        <w:t xml:space="preserve"> karn</w:t>
      </w:r>
      <w:r w:rsidR="00E731B5" w:rsidRPr="004458AE">
        <w:rPr>
          <w:rFonts w:ascii="Arial" w:hAnsi="Arial" w:cs="Arial"/>
        </w:rPr>
        <w:t xml:space="preserve">ego, gdzie przebywał </w:t>
      </w:r>
      <w:r w:rsidR="00F52CF6" w:rsidRPr="004458AE">
        <w:rPr>
          <w:rFonts w:ascii="Arial" w:hAnsi="Arial" w:cs="Arial"/>
        </w:rPr>
        <w:t xml:space="preserve">w związku z </w:t>
      </w:r>
      <w:r w:rsidR="00521DFB" w:rsidRPr="004458AE">
        <w:rPr>
          <w:rFonts w:ascii="Arial" w:hAnsi="Arial" w:cs="Arial"/>
        </w:rPr>
        <w:t xml:space="preserve">kierowaniem </w:t>
      </w:r>
      <w:r w:rsidR="00E731B5" w:rsidRPr="004458AE">
        <w:rPr>
          <w:rFonts w:ascii="Arial" w:hAnsi="Arial" w:cs="Arial"/>
        </w:rPr>
        <w:t xml:space="preserve">pod ich adresem </w:t>
      </w:r>
      <w:r w:rsidR="00F52CF6" w:rsidRPr="004458AE">
        <w:rPr>
          <w:rFonts w:ascii="Arial" w:hAnsi="Arial" w:cs="Arial"/>
        </w:rPr>
        <w:t>gr</w:t>
      </w:r>
      <w:r w:rsidR="00521DFB" w:rsidRPr="004458AE">
        <w:rPr>
          <w:rFonts w:ascii="Arial" w:hAnsi="Arial" w:cs="Arial"/>
        </w:rPr>
        <w:t>ó</w:t>
      </w:r>
      <w:r w:rsidR="00F52CF6" w:rsidRPr="004458AE">
        <w:rPr>
          <w:rFonts w:ascii="Arial" w:hAnsi="Arial" w:cs="Arial"/>
        </w:rPr>
        <w:t>źb</w:t>
      </w:r>
      <w:r w:rsidR="00521DFB" w:rsidRPr="004458AE">
        <w:rPr>
          <w:rFonts w:ascii="Arial" w:hAnsi="Arial" w:cs="Arial"/>
        </w:rPr>
        <w:t xml:space="preserve"> śmierci. </w:t>
      </w:r>
      <w:r w:rsidR="00E731B5" w:rsidRPr="004458AE">
        <w:rPr>
          <w:rFonts w:ascii="Arial" w:hAnsi="Arial" w:cs="Arial"/>
        </w:rPr>
        <w:t>Pierwotnie nakazano mu poddanie się przymusowe</w:t>
      </w:r>
      <w:r w:rsidR="00D44BEE" w:rsidRPr="004458AE">
        <w:rPr>
          <w:rFonts w:ascii="Arial" w:hAnsi="Arial" w:cs="Arial"/>
        </w:rPr>
        <w:t xml:space="preserve">j terapii psychiatrycznej </w:t>
      </w:r>
      <w:r w:rsidR="00E731B5" w:rsidRPr="004458AE">
        <w:rPr>
          <w:rFonts w:ascii="Arial" w:hAnsi="Arial" w:cs="Arial"/>
        </w:rPr>
        <w:t>podczas pobytu w więzieniu,</w:t>
      </w:r>
      <w:r w:rsidR="00D44BEE" w:rsidRPr="004458AE">
        <w:rPr>
          <w:rFonts w:ascii="Arial" w:hAnsi="Arial" w:cs="Arial"/>
        </w:rPr>
        <w:t xml:space="preserve"> która winna być kontynuowana po jego opuszczeniu. Sąd apelacyjny orzekł jednak o zakończeniu terapii wraz z momentem zwolnienia z zakładu karnego.</w:t>
      </w:r>
      <w:r w:rsidR="00E731B5" w:rsidRPr="004458AE">
        <w:rPr>
          <w:rFonts w:ascii="Arial" w:hAnsi="Arial" w:cs="Arial"/>
        </w:rPr>
        <w:t xml:space="preserve"> </w:t>
      </w:r>
      <w:r w:rsidR="00D44BEE" w:rsidRPr="004458AE">
        <w:rPr>
          <w:rFonts w:ascii="Arial" w:hAnsi="Arial" w:cs="Arial"/>
        </w:rPr>
        <w:t>Po dokonaniu zabójstwa mężczyzna popełnił samobójstwo.</w:t>
      </w:r>
      <w:r w:rsidR="00F746D1" w:rsidRPr="004458AE">
        <w:rPr>
          <w:rFonts w:ascii="Arial" w:hAnsi="Arial" w:cs="Arial"/>
        </w:rPr>
        <w:t xml:space="preserve"> </w:t>
      </w:r>
      <w:r w:rsidR="00E731B5" w:rsidRPr="004458AE">
        <w:rPr>
          <w:rFonts w:ascii="Arial" w:hAnsi="Arial" w:cs="Arial"/>
        </w:rPr>
        <w:t xml:space="preserve">Skarżący, którzy byli krewnymi dziecka </w:t>
      </w:r>
      <w:r w:rsidR="00736395">
        <w:rPr>
          <w:rFonts w:ascii="Arial" w:hAnsi="Arial" w:cs="Arial"/>
        </w:rPr>
        <w:t>i</w:t>
      </w:r>
      <w:r w:rsidR="00E731B5" w:rsidRPr="004458AE">
        <w:rPr>
          <w:rFonts w:ascii="Arial" w:hAnsi="Arial" w:cs="Arial"/>
        </w:rPr>
        <w:t xml:space="preserve"> jego matki zamordowanych przez ojca/męża zarzucali w szczególności, że państwo chorwackie nie podjęło odpowiednich środków w celu ochrony dziecka i jego matki oraz nie przeprowadziło skutecznego śledztwa w sprawie ewentualnej odpowiedzialności państwa za ich śmierć</w:t>
      </w:r>
      <w:r w:rsidR="00D44BEE" w:rsidRPr="004458AE">
        <w:rPr>
          <w:rFonts w:ascii="Arial" w:hAnsi="Arial" w:cs="Arial"/>
        </w:rPr>
        <w:t xml:space="preserve">. </w:t>
      </w:r>
    </w:p>
    <w:p w14:paraId="46BDA3BC" w14:textId="50893CC1" w:rsidR="00E731B5" w:rsidRPr="004458AE" w:rsidRDefault="00D44BEE" w:rsidP="00D44BEE">
      <w:pPr>
        <w:spacing w:line="360" w:lineRule="auto"/>
        <w:jc w:val="both"/>
        <w:rPr>
          <w:rFonts w:ascii="Arial" w:hAnsi="Arial" w:cs="Arial"/>
          <w:b/>
          <w:bCs/>
        </w:rPr>
      </w:pPr>
      <w:r w:rsidRPr="004458AE">
        <w:rPr>
          <w:rFonts w:ascii="Arial" w:hAnsi="Arial" w:cs="Arial"/>
        </w:rPr>
        <w:t xml:space="preserve">W tej sprawie </w:t>
      </w:r>
      <w:r w:rsidR="00E731B5" w:rsidRPr="004458AE">
        <w:rPr>
          <w:rFonts w:ascii="Arial" w:hAnsi="Arial" w:cs="Arial"/>
        </w:rPr>
        <w:t xml:space="preserve">Trybunał orzekł, że doszło do </w:t>
      </w:r>
      <w:r w:rsidR="00E731B5" w:rsidRPr="004458AE">
        <w:rPr>
          <w:rFonts w:ascii="Arial" w:hAnsi="Arial" w:cs="Arial"/>
          <w:b/>
        </w:rPr>
        <w:t>naruszenia art. 2</w:t>
      </w:r>
      <w:r w:rsidR="00E731B5" w:rsidRPr="004458AE">
        <w:rPr>
          <w:rFonts w:ascii="Arial" w:hAnsi="Arial" w:cs="Arial"/>
        </w:rPr>
        <w:t xml:space="preserve"> (prawo do życia) Konwencji, ze względu na </w:t>
      </w:r>
      <w:r w:rsidR="00E731B5" w:rsidRPr="004458AE">
        <w:rPr>
          <w:rFonts w:ascii="Arial" w:hAnsi="Arial" w:cs="Arial"/>
          <w:b/>
          <w:bCs/>
        </w:rPr>
        <w:t xml:space="preserve">brak odpowiednich działań władz chorwackich w celu zapobieżenia śmierci dziecka i jego matki. </w:t>
      </w:r>
      <w:r w:rsidR="00E731B5" w:rsidRPr="004458AE">
        <w:rPr>
          <w:rFonts w:ascii="Arial" w:hAnsi="Arial" w:cs="Arial"/>
        </w:rPr>
        <w:t xml:space="preserve">Trybunał zauważył w szczególności, że ustalenia sądów krajowych </w:t>
      </w:r>
      <w:r w:rsidR="002B3B61" w:rsidRPr="004458AE">
        <w:rPr>
          <w:rFonts w:ascii="Arial" w:hAnsi="Arial" w:cs="Arial"/>
        </w:rPr>
        <w:br/>
      </w:r>
      <w:r w:rsidR="00E731B5" w:rsidRPr="004458AE">
        <w:rPr>
          <w:rFonts w:ascii="Arial" w:hAnsi="Arial" w:cs="Arial"/>
        </w:rPr>
        <w:t xml:space="preserve">i wnioski z badania psychiatrycznego niewątpliwie wskazywały, że władze były świadome powagi gróźb śmierci w stosunku do matki i dziecka, i że należało podjąć wszelkie rozsądne kroki, aby te osoby ochronić. Trybunał zwrócił również uwagę na szereg </w:t>
      </w:r>
      <w:r w:rsidRPr="004458AE">
        <w:rPr>
          <w:rFonts w:ascii="Arial" w:hAnsi="Arial" w:cs="Arial"/>
        </w:rPr>
        <w:t>uc</w:t>
      </w:r>
      <w:r w:rsidR="00E731B5" w:rsidRPr="004458AE">
        <w:rPr>
          <w:rFonts w:ascii="Arial" w:hAnsi="Arial" w:cs="Arial"/>
        </w:rPr>
        <w:t xml:space="preserve">hybień </w:t>
      </w:r>
      <w:r w:rsidR="002B3B61" w:rsidRPr="004458AE">
        <w:rPr>
          <w:rFonts w:ascii="Arial" w:hAnsi="Arial" w:cs="Arial"/>
        </w:rPr>
        <w:br/>
      </w:r>
      <w:r w:rsidR="00E731B5" w:rsidRPr="004458AE">
        <w:rPr>
          <w:rFonts w:ascii="Arial" w:hAnsi="Arial" w:cs="Arial"/>
        </w:rPr>
        <w:t>w postępowaniu władz</w:t>
      </w:r>
      <w:r w:rsidRPr="004458AE">
        <w:rPr>
          <w:rFonts w:ascii="Arial" w:hAnsi="Arial" w:cs="Arial"/>
        </w:rPr>
        <w:t xml:space="preserve">. </w:t>
      </w:r>
      <w:r w:rsidR="002B3B61" w:rsidRPr="004458AE">
        <w:rPr>
          <w:rFonts w:ascii="Arial" w:hAnsi="Arial" w:cs="Arial"/>
        </w:rPr>
        <w:t>C</w:t>
      </w:r>
      <w:r w:rsidR="00E731B5" w:rsidRPr="004458AE">
        <w:rPr>
          <w:rFonts w:ascii="Arial" w:hAnsi="Arial" w:cs="Arial"/>
        </w:rPr>
        <w:t>hociaż w opinii psychiatrycznej sporządzonej na potrzeby postępowania karnego podkreślono potrzebę dalszego leczenia psychiatrycznego męża, rząd chorwacki nie udowodnił, że takie leczenie było rzeczywiście i prawidłowo przeprowadzone</w:t>
      </w:r>
      <w:r w:rsidR="002B3B61" w:rsidRPr="004458AE">
        <w:rPr>
          <w:rFonts w:ascii="Arial" w:hAnsi="Arial" w:cs="Arial"/>
        </w:rPr>
        <w:t xml:space="preserve">. </w:t>
      </w:r>
      <w:r w:rsidR="00E731B5" w:rsidRPr="004458AE">
        <w:rPr>
          <w:rFonts w:ascii="Arial" w:hAnsi="Arial" w:cs="Arial"/>
        </w:rPr>
        <w:t xml:space="preserve"> </w:t>
      </w:r>
      <w:r w:rsidR="002B3B61" w:rsidRPr="004458AE">
        <w:rPr>
          <w:rFonts w:ascii="Arial" w:hAnsi="Arial" w:cs="Arial"/>
        </w:rPr>
        <w:t>P</w:t>
      </w:r>
      <w:r w:rsidR="00E731B5" w:rsidRPr="004458AE">
        <w:rPr>
          <w:rFonts w:ascii="Arial" w:hAnsi="Arial" w:cs="Arial"/>
        </w:rPr>
        <w:t xml:space="preserve">rzedłożone dokumenty wykazały, że leczenie męża w więzieniu polegało na rozmowach </w:t>
      </w:r>
      <w:r w:rsidR="002B3B61" w:rsidRPr="004458AE">
        <w:rPr>
          <w:rFonts w:ascii="Arial" w:hAnsi="Arial" w:cs="Arial"/>
        </w:rPr>
        <w:br/>
      </w:r>
      <w:r w:rsidR="00E731B5" w:rsidRPr="004458AE">
        <w:rPr>
          <w:rFonts w:ascii="Arial" w:hAnsi="Arial" w:cs="Arial"/>
        </w:rPr>
        <w:t>z funkcjonariuszami służby więziennej, z których żaden nie był psychiatrą</w:t>
      </w:r>
      <w:r w:rsidRPr="004458AE">
        <w:rPr>
          <w:rFonts w:ascii="Arial" w:hAnsi="Arial" w:cs="Arial"/>
        </w:rPr>
        <w:t>. A</w:t>
      </w:r>
      <w:r w:rsidR="00E731B5" w:rsidRPr="004458AE">
        <w:rPr>
          <w:rFonts w:ascii="Arial" w:hAnsi="Arial" w:cs="Arial"/>
        </w:rPr>
        <w:t>ni odpowiednie przepisy, ani wyrok sądu nakazujący przymusowe leczenie psychiatryczne nie zawierały wystarczających informacji na temat sposobu przeprowadzenia leczenia, a ponadto przed zwolnieniem</w:t>
      </w:r>
      <w:r w:rsidRPr="004458AE">
        <w:rPr>
          <w:rFonts w:ascii="Arial" w:hAnsi="Arial" w:cs="Arial"/>
        </w:rPr>
        <w:t xml:space="preserve"> </w:t>
      </w:r>
      <w:r w:rsidR="00E731B5" w:rsidRPr="004458AE">
        <w:rPr>
          <w:rFonts w:ascii="Arial" w:hAnsi="Arial" w:cs="Arial"/>
        </w:rPr>
        <w:t xml:space="preserve">z </w:t>
      </w:r>
      <w:r w:rsidRPr="004458AE">
        <w:rPr>
          <w:rFonts w:ascii="Arial" w:hAnsi="Arial" w:cs="Arial"/>
        </w:rPr>
        <w:t xml:space="preserve">zakładu karnego mąż nie został zbadany </w:t>
      </w:r>
      <w:r w:rsidR="00E731B5" w:rsidRPr="004458AE">
        <w:rPr>
          <w:rFonts w:ascii="Arial" w:hAnsi="Arial" w:cs="Arial"/>
        </w:rPr>
        <w:t xml:space="preserve">w celu oceny, czy nadal stanowi zagrożenie dla dziecka i jego matki. Trybunał stwierdził zatem, że </w:t>
      </w:r>
      <w:r w:rsidR="00E731B5" w:rsidRPr="004458AE">
        <w:rPr>
          <w:rFonts w:ascii="Arial" w:hAnsi="Arial" w:cs="Arial"/>
          <w:b/>
          <w:bCs/>
        </w:rPr>
        <w:t xml:space="preserve">właściwe władze krajowe nie podjęły odpowiednich środków w celu ochrony ich życia. </w:t>
      </w:r>
    </w:p>
    <w:p w14:paraId="7A6EA721" w14:textId="20992480" w:rsidR="00255383" w:rsidRPr="004458AE" w:rsidRDefault="00F52CF6" w:rsidP="00255383">
      <w:pPr>
        <w:pStyle w:val="Tekstpodstawowy"/>
        <w:spacing w:after="240" w:line="360" w:lineRule="auto"/>
        <w:ind w:left="0"/>
        <w:rPr>
          <w:rFonts w:ascii="Arial" w:hAnsi="Arial" w:cs="Arial"/>
          <w:b/>
          <w:sz w:val="22"/>
          <w:szCs w:val="22"/>
        </w:rPr>
      </w:pPr>
      <w:r w:rsidRPr="004458AE">
        <w:rPr>
          <w:rFonts w:ascii="Arial" w:hAnsi="Arial" w:cs="Arial"/>
          <w:sz w:val="22"/>
          <w:szCs w:val="22"/>
        </w:rPr>
        <w:t>W</w:t>
      </w:r>
      <w:r w:rsidR="002B3B61" w:rsidRPr="004458AE">
        <w:rPr>
          <w:rFonts w:ascii="Arial" w:hAnsi="Arial" w:cs="Arial"/>
          <w:sz w:val="22"/>
          <w:szCs w:val="22"/>
        </w:rPr>
        <w:t xml:space="preserve"> innej </w:t>
      </w:r>
      <w:r w:rsidRPr="004458AE">
        <w:rPr>
          <w:rFonts w:ascii="Arial" w:hAnsi="Arial" w:cs="Arial"/>
          <w:sz w:val="22"/>
          <w:szCs w:val="22"/>
        </w:rPr>
        <w:t xml:space="preserve">sprawie </w:t>
      </w:r>
      <w:r w:rsidR="002B3B61" w:rsidRPr="004458AE">
        <w:rPr>
          <w:rFonts w:ascii="Arial" w:hAnsi="Arial" w:cs="Arial"/>
          <w:sz w:val="22"/>
          <w:szCs w:val="22"/>
        </w:rPr>
        <w:t xml:space="preserve">- </w:t>
      </w:r>
      <w:r w:rsidRPr="004458AE">
        <w:rPr>
          <w:rFonts w:ascii="Arial" w:hAnsi="Arial" w:cs="Arial"/>
          <w:b/>
          <w:i/>
          <w:iCs/>
          <w:sz w:val="22"/>
          <w:szCs w:val="22"/>
        </w:rPr>
        <w:t>Hajduovà przeciwko Słowacji</w:t>
      </w:r>
      <w:r w:rsidRPr="004458AE">
        <w:rPr>
          <w:rFonts w:ascii="Arial" w:hAnsi="Arial" w:cs="Arial"/>
          <w:sz w:val="22"/>
          <w:szCs w:val="22"/>
        </w:rPr>
        <w:t xml:space="preserve"> </w:t>
      </w:r>
      <w:r w:rsidRPr="00736395">
        <w:rPr>
          <w:rFonts w:ascii="Arial" w:hAnsi="Arial" w:cs="Arial"/>
          <w:bCs/>
          <w:sz w:val="22"/>
          <w:szCs w:val="22"/>
        </w:rPr>
        <w:t>(</w:t>
      </w:r>
      <w:r w:rsidR="002B3B61" w:rsidRPr="00736395">
        <w:rPr>
          <w:rFonts w:ascii="Arial" w:hAnsi="Arial" w:cs="Arial"/>
          <w:bCs/>
          <w:sz w:val="22"/>
          <w:szCs w:val="22"/>
        </w:rPr>
        <w:t xml:space="preserve">nr </w:t>
      </w:r>
      <w:r w:rsidRPr="00736395">
        <w:rPr>
          <w:rFonts w:ascii="Arial" w:hAnsi="Arial" w:cs="Arial"/>
          <w:bCs/>
          <w:sz w:val="22"/>
          <w:szCs w:val="22"/>
        </w:rPr>
        <w:t>skarg</w:t>
      </w:r>
      <w:r w:rsidR="002B3B61" w:rsidRPr="00736395">
        <w:rPr>
          <w:rFonts w:ascii="Arial" w:hAnsi="Arial" w:cs="Arial"/>
          <w:bCs/>
          <w:sz w:val="22"/>
          <w:szCs w:val="22"/>
        </w:rPr>
        <w:t>i</w:t>
      </w:r>
      <w:r w:rsidRPr="00736395">
        <w:rPr>
          <w:rFonts w:ascii="Arial" w:hAnsi="Arial" w:cs="Arial"/>
          <w:bCs/>
          <w:sz w:val="22"/>
          <w:szCs w:val="22"/>
        </w:rPr>
        <w:t xml:space="preserve"> nr 2660/03</w:t>
      </w:r>
      <w:r w:rsidR="002B3B61" w:rsidRPr="00736395">
        <w:rPr>
          <w:rFonts w:ascii="Arial" w:hAnsi="Arial" w:cs="Arial"/>
          <w:bCs/>
          <w:sz w:val="22"/>
          <w:szCs w:val="22"/>
        </w:rPr>
        <w:t>)</w:t>
      </w:r>
      <w:r w:rsidR="002B3B61" w:rsidRPr="004458AE">
        <w:rPr>
          <w:rFonts w:ascii="Arial" w:hAnsi="Arial" w:cs="Arial"/>
          <w:b/>
          <w:sz w:val="22"/>
          <w:szCs w:val="22"/>
        </w:rPr>
        <w:t xml:space="preserve"> w</w:t>
      </w:r>
      <w:r w:rsidRPr="004458AE">
        <w:rPr>
          <w:rFonts w:ascii="Arial" w:hAnsi="Arial" w:cs="Arial"/>
          <w:b/>
          <w:sz w:val="22"/>
          <w:szCs w:val="22"/>
        </w:rPr>
        <w:t xml:space="preserve"> wyrok</w:t>
      </w:r>
      <w:r w:rsidR="002B3B61" w:rsidRPr="004458AE">
        <w:rPr>
          <w:rFonts w:ascii="Arial" w:hAnsi="Arial" w:cs="Arial"/>
          <w:b/>
          <w:sz w:val="22"/>
          <w:szCs w:val="22"/>
        </w:rPr>
        <w:t>u</w:t>
      </w:r>
      <w:r w:rsidRPr="004458AE">
        <w:rPr>
          <w:rFonts w:ascii="Arial" w:hAnsi="Arial" w:cs="Arial"/>
          <w:b/>
          <w:sz w:val="22"/>
          <w:szCs w:val="22"/>
        </w:rPr>
        <w:t xml:space="preserve"> </w:t>
      </w:r>
      <w:r w:rsidR="0064709D" w:rsidRPr="004458AE">
        <w:rPr>
          <w:rFonts w:ascii="Arial" w:hAnsi="Arial" w:cs="Arial"/>
          <w:b/>
          <w:sz w:val="22"/>
          <w:szCs w:val="22"/>
        </w:rPr>
        <w:br/>
      </w:r>
      <w:r w:rsidRPr="004458AE">
        <w:rPr>
          <w:rFonts w:ascii="Arial" w:hAnsi="Arial" w:cs="Arial"/>
          <w:b/>
          <w:sz w:val="22"/>
          <w:szCs w:val="22"/>
        </w:rPr>
        <w:t>z</w:t>
      </w:r>
      <w:r w:rsidR="0064709D" w:rsidRPr="004458AE">
        <w:rPr>
          <w:rFonts w:ascii="Arial" w:hAnsi="Arial" w:cs="Arial"/>
          <w:b/>
          <w:sz w:val="22"/>
          <w:szCs w:val="22"/>
        </w:rPr>
        <w:t xml:space="preserve"> </w:t>
      </w:r>
      <w:r w:rsidRPr="004458AE">
        <w:rPr>
          <w:rFonts w:ascii="Arial" w:hAnsi="Arial" w:cs="Arial"/>
          <w:b/>
          <w:sz w:val="22"/>
          <w:szCs w:val="22"/>
        </w:rPr>
        <w:t>13 listopada 2010 r</w:t>
      </w:r>
      <w:r w:rsidR="00736395">
        <w:rPr>
          <w:rFonts w:ascii="Arial" w:hAnsi="Arial" w:cs="Arial"/>
          <w:b/>
          <w:sz w:val="22"/>
          <w:szCs w:val="22"/>
        </w:rPr>
        <w:t>oku</w:t>
      </w:r>
      <w:r w:rsidR="002B3B61" w:rsidRPr="004458AE">
        <w:rPr>
          <w:rFonts w:ascii="Arial" w:hAnsi="Arial" w:cs="Arial"/>
          <w:bCs/>
          <w:sz w:val="22"/>
          <w:szCs w:val="22"/>
        </w:rPr>
        <w:t>, w której s</w:t>
      </w:r>
      <w:r w:rsidR="002B3B61" w:rsidRPr="004458AE">
        <w:rPr>
          <w:rFonts w:ascii="Arial" w:hAnsi="Arial" w:cs="Arial"/>
          <w:sz w:val="22"/>
          <w:szCs w:val="22"/>
        </w:rPr>
        <w:t xml:space="preserve">karżąca zarzucała w szczególności, że władze krajowe nie dopełniły ciążącego na nich ustawowego obowiązku nakazania, aby jej </w:t>
      </w:r>
      <w:r w:rsidR="008C407A" w:rsidRPr="004458AE">
        <w:rPr>
          <w:rFonts w:ascii="Arial" w:hAnsi="Arial" w:cs="Arial"/>
          <w:sz w:val="22"/>
          <w:szCs w:val="22"/>
        </w:rPr>
        <w:t xml:space="preserve">(obecnie </w:t>
      </w:r>
      <w:r w:rsidR="002B3B61" w:rsidRPr="004458AE">
        <w:rPr>
          <w:rFonts w:ascii="Arial" w:hAnsi="Arial" w:cs="Arial"/>
          <w:sz w:val="22"/>
          <w:szCs w:val="22"/>
        </w:rPr>
        <w:t>były</w:t>
      </w:r>
      <w:r w:rsidR="008C407A" w:rsidRPr="004458AE">
        <w:rPr>
          <w:rFonts w:ascii="Arial" w:hAnsi="Arial" w:cs="Arial"/>
          <w:sz w:val="22"/>
          <w:szCs w:val="22"/>
        </w:rPr>
        <w:t>)</w:t>
      </w:r>
      <w:r w:rsidR="002B3B61" w:rsidRPr="004458AE">
        <w:rPr>
          <w:rFonts w:ascii="Arial" w:hAnsi="Arial" w:cs="Arial"/>
          <w:sz w:val="22"/>
          <w:szCs w:val="22"/>
        </w:rPr>
        <w:t xml:space="preserve"> mąż został zatrzymany w zakładzie psychiatrycznym w następstwie wyroku skazującego za znęcanie i groźby wobec niej</w:t>
      </w:r>
      <w:r w:rsidR="00F60C6E" w:rsidRPr="004458AE">
        <w:rPr>
          <w:rFonts w:ascii="Arial" w:hAnsi="Arial" w:cs="Arial"/>
          <w:sz w:val="22"/>
          <w:szCs w:val="22"/>
        </w:rPr>
        <w:t xml:space="preserve">. </w:t>
      </w:r>
      <w:r w:rsidR="00951109" w:rsidRPr="004458AE">
        <w:rPr>
          <w:rFonts w:ascii="Arial" w:hAnsi="Arial" w:cs="Arial"/>
          <w:sz w:val="22"/>
          <w:szCs w:val="22"/>
        </w:rPr>
        <w:t xml:space="preserve">Sąd krajowy po przeprowadzeniu postępowania karnego w toku, którego biegli zalecili jego leczenie na oddziale szpitala psychiatrycznego, uznał, że oskarżony powinien poddać się </w:t>
      </w:r>
      <w:r w:rsidR="0064709D" w:rsidRPr="004458AE">
        <w:rPr>
          <w:rFonts w:ascii="Arial" w:hAnsi="Arial" w:cs="Arial"/>
          <w:sz w:val="22"/>
          <w:szCs w:val="22"/>
        </w:rPr>
        <w:t xml:space="preserve">takiemu </w:t>
      </w:r>
      <w:r w:rsidR="00951109" w:rsidRPr="004458AE">
        <w:rPr>
          <w:rFonts w:ascii="Arial" w:hAnsi="Arial" w:cs="Arial"/>
          <w:sz w:val="22"/>
          <w:szCs w:val="22"/>
        </w:rPr>
        <w:t xml:space="preserve">leczeniu. </w:t>
      </w:r>
      <w:r w:rsidR="0064709D" w:rsidRPr="004458AE">
        <w:rPr>
          <w:rFonts w:ascii="Arial" w:hAnsi="Arial" w:cs="Arial"/>
          <w:sz w:val="22"/>
          <w:szCs w:val="22"/>
        </w:rPr>
        <w:t xml:space="preserve">Jednocześnie </w:t>
      </w:r>
      <w:r w:rsidR="00951109" w:rsidRPr="004458AE">
        <w:rPr>
          <w:rFonts w:ascii="Arial" w:hAnsi="Arial" w:cs="Arial"/>
          <w:sz w:val="22"/>
          <w:szCs w:val="22"/>
        </w:rPr>
        <w:t xml:space="preserve">sąd zwolnił go z aresztu śledczego. </w:t>
      </w:r>
      <w:r w:rsidR="0064709D" w:rsidRPr="004458AE">
        <w:rPr>
          <w:rFonts w:ascii="Arial" w:hAnsi="Arial" w:cs="Arial"/>
          <w:sz w:val="22"/>
          <w:szCs w:val="22"/>
        </w:rPr>
        <w:t>Na</w:t>
      </w:r>
      <w:r w:rsidR="00951109" w:rsidRPr="004458AE">
        <w:rPr>
          <w:rFonts w:ascii="Arial" w:hAnsi="Arial" w:cs="Arial"/>
          <w:sz w:val="22"/>
          <w:szCs w:val="22"/>
        </w:rPr>
        <w:t xml:space="preserve">stępnie </w:t>
      </w:r>
      <w:r w:rsidR="0064709D" w:rsidRPr="004458AE">
        <w:rPr>
          <w:rFonts w:ascii="Arial" w:hAnsi="Arial" w:cs="Arial"/>
          <w:sz w:val="22"/>
          <w:szCs w:val="22"/>
        </w:rPr>
        <w:t xml:space="preserve">mąż skarżącej został </w:t>
      </w:r>
      <w:r w:rsidR="00951109" w:rsidRPr="004458AE">
        <w:rPr>
          <w:rFonts w:ascii="Arial" w:hAnsi="Arial" w:cs="Arial"/>
          <w:sz w:val="22"/>
          <w:szCs w:val="22"/>
        </w:rPr>
        <w:t xml:space="preserve">przewieziony do szpitala </w:t>
      </w:r>
      <w:r w:rsidR="00FD6622" w:rsidRPr="004458AE">
        <w:rPr>
          <w:rFonts w:ascii="Arial" w:hAnsi="Arial" w:cs="Arial"/>
          <w:sz w:val="22"/>
          <w:szCs w:val="22"/>
        </w:rPr>
        <w:t>psychiatrycznego</w:t>
      </w:r>
      <w:r w:rsidR="0064709D" w:rsidRPr="004458AE">
        <w:rPr>
          <w:rFonts w:ascii="Arial" w:hAnsi="Arial" w:cs="Arial"/>
          <w:sz w:val="22"/>
          <w:szCs w:val="22"/>
        </w:rPr>
        <w:t xml:space="preserve">, </w:t>
      </w:r>
      <w:r w:rsidR="00FD6622" w:rsidRPr="004458AE">
        <w:rPr>
          <w:rFonts w:ascii="Arial" w:hAnsi="Arial" w:cs="Arial"/>
          <w:sz w:val="22"/>
          <w:szCs w:val="22"/>
        </w:rPr>
        <w:t xml:space="preserve">który </w:t>
      </w:r>
      <w:r w:rsidR="0064709D" w:rsidRPr="004458AE">
        <w:rPr>
          <w:rFonts w:ascii="Arial" w:hAnsi="Arial" w:cs="Arial"/>
          <w:sz w:val="22"/>
          <w:szCs w:val="22"/>
        </w:rPr>
        <w:t>jednak</w:t>
      </w:r>
      <w:r w:rsidR="00951109" w:rsidRPr="004458AE">
        <w:rPr>
          <w:rFonts w:ascii="Arial" w:hAnsi="Arial" w:cs="Arial"/>
          <w:sz w:val="22"/>
          <w:szCs w:val="22"/>
        </w:rPr>
        <w:t xml:space="preserve"> nie przeprowadził </w:t>
      </w:r>
      <w:r w:rsidR="00FD6622" w:rsidRPr="004458AE">
        <w:rPr>
          <w:rFonts w:ascii="Arial" w:hAnsi="Arial" w:cs="Arial"/>
          <w:sz w:val="22"/>
          <w:szCs w:val="22"/>
        </w:rPr>
        <w:t xml:space="preserve">wymaganego </w:t>
      </w:r>
      <w:r w:rsidR="00951109" w:rsidRPr="004458AE">
        <w:rPr>
          <w:rFonts w:ascii="Arial" w:hAnsi="Arial" w:cs="Arial"/>
          <w:sz w:val="22"/>
          <w:szCs w:val="22"/>
        </w:rPr>
        <w:t>leczenia</w:t>
      </w:r>
      <w:r w:rsidR="00FD6622" w:rsidRPr="004458AE">
        <w:rPr>
          <w:rFonts w:ascii="Arial" w:hAnsi="Arial" w:cs="Arial"/>
          <w:sz w:val="22"/>
          <w:szCs w:val="22"/>
        </w:rPr>
        <w:t xml:space="preserve">, a </w:t>
      </w:r>
      <w:r w:rsidR="00736395">
        <w:rPr>
          <w:rFonts w:ascii="Arial" w:hAnsi="Arial" w:cs="Arial"/>
          <w:sz w:val="22"/>
          <w:szCs w:val="22"/>
        </w:rPr>
        <w:t>s</w:t>
      </w:r>
      <w:r w:rsidR="00951109" w:rsidRPr="004458AE">
        <w:rPr>
          <w:rFonts w:ascii="Arial" w:hAnsi="Arial" w:cs="Arial"/>
          <w:sz w:val="22"/>
          <w:szCs w:val="22"/>
        </w:rPr>
        <w:t xml:space="preserve">ąd </w:t>
      </w:r>
      <w:r w:rsidR="00736395">
        <w:rPr>
          <w:rFonts w:ascii="Arial" w:hAnsi="Arial" w:cs="Arial"/>
          <w:sz w:val="22"/>
          <w:szCs w:val="22"/>
        </w:rPr>
        <w:t>o</w:t>
      </w:r>
      <w:r w:rsidR="00951109" w:rsidRPr="004458AE">
        <w:rPr>
          <w:rFonts w:ascii="Arial" w:hAnsi="Arial" w:cs="Arial"/>
          <w:sz w:val="22"/>
          <w:szCs w:val="22"/>
        </w:rPr>
        <w:t xml:space="preserve">kręgowy nie nakazał </w:t>
      </w:r>
      <w:r w:rsidR="00FD6622" w:rsidRPr="004458AE">
        <w:rPr>
          <w:rFonts w:ascii="Arial" w:hAnsi="Arial" w:cs="Arial"/>
          <w:sz w:val="22"/>
          <w:szCs w:val="22"/>
        </w:rPr>
        <w:t xml:space="preserve">szpitalowi </w:t>
      </w:r>
      <w:r w:rsidR="00951109" w:rsidRPr="004458AE">
        <w:rPr>
          <w:rFonts w:ascii="Arial" w:hAnsi="Arial" w:cs="Arial"/>
          <w:sz w:val="22"/>
          <w:szCs w:val="22"/>
        </w:rPr>
        <w:t xml:space="preserve">przeprowadzenia takiego leczenia. </w:t>
      </w:r>
      <w:r w:rsidR="0064709D" w:rsidRPr="004458AE">
        <w:rPr>
          <w:rFonts w:ascii="Arial" w:hAnsi="Arial" w:cs="Arial"/>
          <w:sz w:val="22"/>
          <w:szCs w:val="22"/>
        </w:rPr>
        <w:t xml:space="preserve">Kiedy </w:t>
      </w:r>
      <w:r w:rsidR="00F60C6E" w:rsidRPr="004458AE">
        <w:rPr>
          <w:rFonts w:ascii="Arial" w:hAnsi="Arial" w:cs="Arial"/>
          <w:sz w:val="22"/>
          <w:szCs w:val="22"/>
        </w:rPr>
        <w:t>po opuszczeniu szpitala</w:t>
      </w:r>
      <w:r w:rsidR="00FD6622" w:rsidRPr="004458AE">
        <w:rPr>
          <w:rFonts w:ascii="Arial" w:hAnsi="Arial" w:cs="Arial"/>
          <w:sz w:val="22"/>
          <w:szCs w:val="22"/>
        </w:rPr>
        <w:t>,</w:t>
      </w:r>
      <w:r w:rsidR="00F60C6E" w:rsidRPr="004458AE">
        <w:rPr>
          <w:rFonts w:ascii="Arial" w:hAnsi="Arial" w:cs="Arial"/>
          <w:sz w:val="22"/>
          <w:szCs w:val="22"/>
        </w:rPr>
        <w:t xml:space="preserve"> bez zastosowania stosownej terapii</w:t>
      </w:r>
      <w:r w:rsidR="00FD6622" w:rsidRPr="004458AE">
        <w:rPr>
          <w:rFonts w:ascii="Arial" w:hAnsi="Arial" w:cs="Arial"/>
          <w:sz w:val="22"/>
          <w:szCs w:val="22"/>
        </w:rPr>
        <w:t>,</w:t>
      </w:r>
      <w:r w:rsidR="0064709D" w:rsidRPr="004458AE">
        <w:rPr>
          <w:rFonts w:ascii="Arial" w:hAnsi="Arial" w:cs="Arial"/>
          <w:sz w:val="22"/>
          <w:szCs w:val="22"/>
        </w:rPr>
        <w:t xml:space="preserve"> </w:t>
      </w:r>
      <w:r w:rsidR="008C407A" w:rsidRPr="004458AE">
        <w:rPr>
          <w:rFonts w:ascii="Arial" w:hAnsi="Arial" w:cs="Arial"/>
          <w:sz w:val="22"/>
          <w:szCs w:val="22"/>
        </w:rPr>
        <w:t xml:space="preserve">były </w:t>
      </w:r>
      <w:r w:rsidR="0064709D" w:rsidRPr="004458AE">
        <w:rPr>
          <w:rFonts w:ascii="Arial" w:hAnsi="Arial" w:cs="Arial"/>
          <w:sz w:val="22"/>
          <w:szCs w:val="22"/>
        </w:rPr>
        <w:t>mąż</w:t>
      </w:r>
      <w:r w:rsidR="00F60C6E" w:rsidRPr="004458AE">
        <w:rPr>
          <w:rFonts w:ascii="Arial" w:hAnsi="Arial" w:cs="Arial"/>
          <w:sz w:val="22"/>
          <w:szCs w:val="22"/>
        </w:rPr>
        <w:t xml:space="preserve"> </w:t>
      </w:r>
      <w:r w:rsidR="00F60C6E" w:rsidRPr="004458AE">
        <w:rPr>
          <w:rFonts w:ascii="Arial" w:hAnsi="Arial" w:cs="Arial"/>
          <w:sz w:val="22"/>
          <w:szCs w:val="22"/>
        </w:rPr>
        <w:lastRenderedPageBreak/>
        <w:t>ponowił groźby wobec skarżącej, złożyła skargę na zaniechanie jego leczenia, która nie została jednak uwzględniona.</w:t>
      </w:r>
      <w:r w:rsidR="005651DE" w:rsidRPr="004458AE">
        <w:rPr>
          <w:rFonts w:ascii="Arial" w:hAnsi="Arial" w:cs="Arial"/>
          <w:sz w:val="22"/>
          <w:szCs w:val="22"/>
        </w:rPr>
        <w:t xml:space="preserve"> </w:t>
      </w:r>
      <w:r w:rsidR="0064709D" w:rsidRPr="004458AE">
        <w:rPr>
          <w:rFonts w:ascii="Arial" w:hAnsi="Arial" w:cs="Arial"/>
          <w:sz w:val="22"/>
          <w:szCs w:val="22"/>
        </w:rPr>
        <w:t xml:space="preserve">W </w:t>
      </w:r>
      <w:r w:rsidR="00FD6622" w:rsidRPr="004458AE">
        <w:rPr>
          <w:rFonts w:ascii="Arial" w:hAnsi="Arial" w:cs="Arial"/>
          <w:sz w:val="22"/>
          <w:szCs w:val="22"/>
        </w:rPr>
        <w:t xml:space="preserve">tym </w:t>
      </w:r>
      <w:r w:rsidR="0064709D" w:rsidRPr="004458AE">
        <w:rPr>
          <w:rFonts w:ascii="Arial" w:hAnsi="Arial" w:cs="Arial"/>
          <w:sz w:val="22"/>
          <w:szCs w:val="22"/>
        </w:rPr>
        <w:t xml:space="preserve">stanie faktycznym </w:t>
      </w:r>
      <w:r w:rsidR="002B3B61" w:rsidRPr="004458AE">
        <w:rPr>
          <w:rFonts w:ascii="Arial" w:hAnsi="Arial" w:cs="Arial"/>
          <w:sz w:val="22"/>
          <w:szCs w:val="22"/>
        </w:rPr>
        <w:t xml:space="preserve">Trybunał orzekł, że brak wystarczających środków w odpowiedzi na zachowanie byłego męża skarżącej, a w szczególności niezastosowanie przez sądy krajowe środka detencyjnego w celu leczenia psychiatrycznego po wydaniu wyroku skazującego, stanowi </w:t>
      </w:r>
      <w:r w:rsidR="002B3B61" w:rsidRPr="004458AE">
        <w:rPr>
          <w:rFonts w:ascii="Arial" w:hAnsi="Arial" w:cs="Arial"/>
          <w:b/>
          <w:sz w:val="22"/>
          <w:szCs w:val="22"/>
        </w:rPr>
        <w:t>naruszenie pozytywnych zobowiązań państwa wynikających</w:t>
      </w:r>
      <w:r w:rsidR="00FD6622" w:rsidRPr="004458AE">
        <w:rPr>
          <w:rFonts w:ascii="Arial" w:hAnsi="Arial" w:cs="Arial"/>
          <w:b/>
          <w:sz w:val="22"/>
          <w:szCs w:val="22"/>
        </w:rPr>
        <w:t xml:space="preserve"> </w:t>
      </w:r>
      <w:r w:rsidR="002B3B61" w:rsidRPr="004458AE">
        <w:rPr>
          <w:rFonts w:ascii="Arial" w:hAnsi="Arial" w:cs="Arial"/>
          <w:b/>
          <w:sz w:val="22"/>
          <w:szCs w:val="22"/>
        </w:rPr>
        <w:t>z art. 8</w:t>
      </w:r>
      <w:r w:rsidR="002B3B61" w:rsidRPr="004458AE">
        <w:rPr>
          <w:rFonts w:ascii="Arial" w:hAnsi="Arial" w:cs="Arial"/>
          <w:sz w:val="22"/>
          <w:szCs w:val="22"/>
        </w:rPr>
        <w:t xml:space="preserve"> (prawo do poszanowania życia prywatnego i rodzinnego) Konwencji</w:t>
      </w:r>
      <w:r w:rsidR="0064709D" w:rsidRPr="004458AE">
        <w:rPr>
          <w:rFonts w:ascii="Arial" w:hAnsi="Arial" w:cs="Arial"/>
          <w:sz w:val="22"/>
          <w:szCs w:val="22"/>
        </w:rPr>
        <w:t xml:space="preserve"> i wskazał, że państwo </w:t>
      </w:r>
      <w:r w:rsidR="0064709D" w:rsidRPr="004458AE">
        <w:rPr>
          <w:rFonts w:ascii="Arial" w:hAnsi="Arial" w:cs="Arial"/>
          <w:b/>
          <w:sz w:val="22"/>
          <w:szCs w:val="22"/>
        </w:rPr>
        <w:t>było zobowiązane do ochrony integralności jednostki, w szczególności ofiary przemocy domowej, zarówno w aspekcie fizycznym, jak i psychicznym</w:t>
      </w:r>
      <w:r w:rsidR="002B3B61" w:rsidRPr="004458AE">
        <w:rPr>
          <w:rFonts w:ascii="Arial" w:hAnsi="Arial" w:cs="Arial"/>
          <w:sz w:val="22"/>
          <w:szCs w:val="22"/>
        </w:rPr>
        <w:t xml:space="preserve">. Trybunał zauważył w szczególności, że chociaż powtarzające się groźby  męża </w:t>
      </w:r>
      <w:r w:rsidR="0064709D" w:rsidRPr="004458AE">
        <w:rPr>
          <w:rFonts w:ascii="Arial" w:hAnsi="Arial" w:cs="Arial"/>
          <w:sz w:val="22"/>
          <w:szCs w:val="22"/>
        </w:rPr>
        <w:t xml:space="preserve">skarżącej po opuszczeniu szpitala psychiatrycznego </w:t>
      </w:r>
      <w:r w:rsidR="002B3B61" w:rsidRPr="004458AE">
        <w:rPr>
          <w:rFonts w:ascii="Arial" w:hAnsi="Arial" w:cs="Arial"/>
          <w:sz w:val="22"/>
          <w:szCs w:val="22"/>
        </w:rPr>
        <w:t>nigdy nie urzeczywistniły</w:t>
      </w:r>
      <w:r w:rsidR="0064709D" w:rsidRPr="004458AE">
        <w:rPr>
          <w:rFonts w:ascii="Arial" w:hAnsi="Arial" w:cs="Arial"/>
          <w:sz w:val="22"/>
          <w:szCs w:val="22"/>
        </w:rPr>
        <w:t xml:space="preserve"> się, </w:t>
      </w:r>
      <w:r w:rsidR="002B3B61" w:rsidRPr="004458AE">
        <w:rPr>
          <w:rFonts w:ascii="Arial" w:hAnsi="Arial" w:cs="Arial"/>
          <w:sz w:val="22"/>
          <w:szCs w:val="22"/>
        </w:rPr>
        <w:t xml:space="preserve">to jednak </w:t>
      </w:r>
      <w:r w:rsidR="00736395">
        <w:rPr>
          <w:rFonts w:ascii="Arial" w:hAnsi="Arial" w:cs="Arial"/>
          <w:sz w:val="22"/>
          <w:szCs w:val="22"/>
        </w:rPr>
        <w:t xml:space="preserve">ich </w:t>
      </w:r>
      <w:r w:rsidR="00CE4DAC" w:rsidRPr="004458AE">
        <w:rPr>
          <w:rFonts w:ascii="Arial" w:hAnsi="Arial" w:cs="Arial"/>
          <w:sz w:val="22"/>
          <w:szCs w:val="22"/>
        </w:rPr>
        <w:t>formułowan</w:t>
      </w:r>
      <w:r w:rsidR="00736395">
        <w:rPr>
          <w:rFonts w:ascii="Arial" w:hAnsi="Arial" w:cs="Arial"/>
          <w:sz w:val="22"/>
          <w:szCs w:val="22"/>
        </w:rPr>
        <w:t>i</w:t>
      </w:r>
      <w:r w:rsidR="00CE4DAC" w:rsidRPr="004458AE">
        <w:rPr>
          <w:rFonts w:ascii="Arial" w:hAnsi="Arial" w:cs="Arial"/>
          <w:sz w:val="22"/>
          <w:szCs w:val="22"/>
        </w:rPr>
        <w:t>e uzasadnia</w:t>
      </w:r>
      <w:r w:rsidR="00736395">
        <w:rPr>
          <w:rFonts w:ascii="Arial" w:hAnsi="Arial" w:cs="Arial"/>
          <w:sz w:val="22"/>
          <w:szCs w:val="22"/>
        </w:rPr>
        <w:t>ło</w:t>
      </w:r>
      <w:r w:rsidR="00CE4DAC" w:rsidRPr="004458AE">
        <w:rPr>
          <w:rFonts w:ascii="Arial" w:hAnsi="Arial" w:cs="Arial"/>
          <w:sz w:val="22"/>
          <w:szCs w:val="22"/>
        </w:rPr>
        <w:t xml:space="preserve"> obawy skarżącej co do tego, że mogą być zrealizowane </w:t>
      </w:r>
      <w:r w:rsidR="00736395">
        <w:rPr>
          <w:rFonts w:ascii="Arial" w:hAnsi="Arial" w:cs="Arial"/>
          <w:sz w:val="22"/>
          <w:szCs w:val="22"/>
        </w:rPr>
        <w:t xml:space="preserve">i </w:t>
      </w:r>
      <w:r w:rsidR="002B3B61" w:rsidRPr="004458AE">
        <w:rPr>
          <w:rFonts w:ascii="Arial" w:hAnsi="Arial" w:cs="Arial"/>
          <w:sz w:val="22"/>
          <w:szCs w:val="22"/>
        </w:rPr>
        <w:t>wystarczył</w:t>
      </w:r>
      <w:r w:rsidR="00736395">
        <w:rPr>
          <w:rFonts w:ascii="Arial" w:hAnsi="Arial" w:cs="Arial"/>
          <w:sz w:val="22"/>
          <w:szCs w:val="22"/>
        </w:rPr>
        <w:t>o</w:t>
      </w:r>
      <w:r w:rsidR="00CE4DAC" w:rsidRPr="004458AE">
        <w:rPr>
          <w:rFonts w:ascii="Arial" w:hAnsi="Arial" w:cs="Arial"/>
          <w:sz w:val="22"/>
          <w:szCs w:val="22"/>
        </w:rPr>
        <w:t>,</w:t>
      </w:r>
      <w:r w:rsidR="002B3B61" w:rsidRPr="004458AE">
        <w:rPr>
          <w:rFonts w:ascii="Arial" w:hAnsi="Arial" w:cs="Arial"/>
          <w:sz w:val="22"/>
          <w:szCs w:val="22"/>
        </w:rPr>
        <w:t xml:space="preserve"> </w:t>
      </w:r>
      <w:r w:rsidR="0064709D" w:rsidRPr="004458AE">
        <w:rPr>
          <w:rFonts w:ascii="Arial" w:hAnsi="Arial" w:cs="Arial"/>
          <w:sz w:val="22"/>
          <w:szCs w:val="22"/>
        </w:rPr>
        <w:t>że</w:t>
      </w:r>
      <w:r w:rsidR="002B3B61" w:rsidRPr="004458AE">
        <w:rPr>
          <w:rFonts w:ascii="Arial" w:hAnsi="Arial" w:cs="Arial"/>
          <w:sz w:val="22"/>
          <w:szCs w:val="22"/>
        </w:rPr>
        <w:t>by wpłynąć na integralność psychiczną i dobrostan skarżącej</w:t>
      </w:r>
      <w:r w:rsidR="00EB4A4C" w:rsidRPr="004458AE">
        <w:rPr>
          <w:rFonts w:ascii="Arial" w:hAnsi="Arial" w:cs="Arial"/>
          <w:sz w:val="22"/>
          <w:szCs w:val="22"/>
        </w:rPr>
        <w:t xml:space="preserve">, co </w:t>
      </w:r>
      <w:r w:rsidR="002B3B61" w:rsidRPr="004458AE">
        <w:rPr>
          <w:rFonts w:ascii="Arial" w:hAnsi="Arial" w:cs="Arial"/>
          <w:sz w:val="22"/>
          <w:szCs w:val="22"/>
        </w:rPr>
        <w:t>z kolei doprowadziło do powstania pozytywnych obowiązków państwa wynikających z art. 8</w:t>
      </w:r>
      <w:r w:rsidR="00CE4DAC" w:rsidRPr="004458AE">
        <w:rPr>
          <w:rFonts w:ascii="Arial" w:hAnsi="Arial" w:cs="Arial"/>
          <w:sz w:val="22"/>
          <w:szCs w:val="22"/>
        </w:rPr>
        <w:t xml:space="preserve"> Konwencji</w:t>
      </w:r>
      <w:r w:rsidR="002B3B61" w:rsidRPr="004458AE">
        <w:rPr>
          <w:rFonts w:ascii="Arial" w:hAnsi="Arial" w:cs="Arial"/>
          <w:sz w:val="22"/>
          <w:szCs w:val="22"/>
        </w:rPr>
        <w:t xml:space="preserve">. </w:t>
      </w:r>
      <w:r w:rsidR="0064709D" w:rsidRPr="004458AE">
        <w:rPr>
          <w:rFonts w:ascii="Arial" w:hAnsi="Arial" w:cs="Arial"/>
          <w:b/>
          <w:sz w:val="22"/>
          <w:szCs w:val="22"/>
        </w:rPr>
        <w:t xml:space="preserve"> </w:t>
      </w:r>
    </w:p>
    <w:p w14:paraId="6A10A574" w14:textId="734FB913" w:rsidR="00A13958" w:rsidRPr="004458AE" w:rsidRDefault="00C26718" w:rsidP="00255383">
      <w:pPr>
        <w:pStyle w:val="Tekstpodstawowy"/>
        <w:spacing w:after="240" w:line="360" w:lineRule="auto"/>
        <w:ind w:left="0"/>
        <w:rPr>
          <w:rFonts w:ascii="Arial" w:hAnsi="Arial" w:cs="Arial"/>
          <w:sz w:val="22"/>
          <w:szCs w:val="22"/>
        </w:rPr>
      </w:pPr>
      <w:r w:rsidRPr="004458AE">
        <w:rPr>
          <w:rFonts w:ascii="Arial" w:hAnsi="Arial" w:cs="Arial"/>
          <w:sz w:val="22"/>
          <w:szCs w:val="22"/>
        </w:rPr>
        <w:t xml:space="preserve">Natomiast w sprawie </w:t>
      </w:r>
      <w:hyperlink r:id="rId41">
        <w:r w:rsidR="00A13958" w:rsidRPr="004458AE">
          <w:rPr>
            <w:rFonts w:ascii="Arial" w:hAnsi="Arial" w:cs="Arial"/>
            <w:b/>
            <w:bCs/>
            <w:i/>
            <w:iCs/>
            <w:sz w:val="22"/>
            <w:szCs w:val="22"/>
          </w:rPr>
          <w:t xml:space="preserve">A. przeciwko Chorwacji </w:t>
        </w:r>
        <w:r w:rsidR="00A13958" w:rsidRPr="00736395">
          <w:rPr>
            <w:rFonts w:ascii="Arial" w:hAnsi="Arial" w:cs="Arial"/>
            <w:sz w:val="22"/>
            <w:szCs w:val="22"/>
          </w:rPr>
          <w:t>(</w:t>
        </w:r>
        <w:r w:rsidRPr="00736395">
          <w:rPr>
            <w:rFonts w:ascii="Arial" w:hAnsi="Arial" w:cs="Arial"/>
            <w:sz w:val="22"/>
            <w:szCs w:val="22"/>
          </w:rPr>
          <w:t xml:space="preserve">nr </w:t>
        </w:r>
        <w:r w:rsidR="00A13958" w:rsidRPr="00736395">
          <w:rPr>
            <w:rFonts w:ascii="Arial" w:hAnsi="Arial" w:cs="Arial"/>
            <w:sz w:val="22"/>
            <w:szCs w:val="22"/>
          </w:rPr>
          <w:t>skarg</w:t>
        </w:r>
        <w:r w:rsidRPr="00736395">
          <w:rPr>
            <w:rFonts w:ascii="Arial" w:hAnsi="Arial" w:cs="Arial"/>
            <w:sz w:val="22"/>
            <w:szCs w:val="22"/>
          </w:rPr>
          <w:t xml:space="preserve">i </w:t>
        </w:r>
        <w:r w:rsidR="00A13958" w:rsidRPr="00736395">
          <w:rPr>
            <w:rFonts w:ascii="Arial" w:hAnsi="Arial" w:cs="Arial"/>
            <w:sz w:val="22"/>
            <w:szCs w:val="22"/>
          </w:rPr>
          <w:t>55164/08)</w:t>
        </w:r>
      </w:hyperlink>
      <w:r w:rsidRPr="004458AE">
        <w:rPr>
          <w:rFonts w:ascii="Arial" w:hAnsi="Arial" w:cs="Arial"/>
          <w:sz w:val="22"/>
          <w:szCs w:val="22"/>
        </w:rPr>
        <w:t xml:space="preserve">, </w:t>
      </w:r>
      <w:r w:rsidRPr="004458AE">
        <w:rPr>
          <w:rFonts w:ascii="Arial" w:hAnsi="Arial" w:cs="Arial"/>
          <w:b/>
          <w:bCs/>
          <w:sz w:val="22"/>
          <w:szCs w:val="22"/>
        </w:rPr>
        <w:t xml:space="preserve">w wyroku </w:t>
      </w:r>
      <w:r w:rsidR="00A82851" w:rsidRPr="004458AE">
        <w:rPr>
          <w:rFonts w:ascii="Arial" w:hAnsi="Arial" w:cs="Arial"/>
          <w:b/>
          <w:bCs/>
          <w:sz w:val="22"/>
          <w:szCs w:val="22"/>
        </w:rPr>
        <w:br/>
      </w:r>
      <w:r w:rsidRPr="004458AE">
        <w:rPr>
          <w:rFonts w:ascii="Arial" w:hAnsi="Arial" w:cs="Arial"/>
          <w:b/>
          <w:bCs/>
          <w:sz w:val="22"/>
          <w:szCs w:val="22"/>
        </w:rPr>
        <w:t>z 14 października 2010 r</w:t>
      </w:r>
      <w:r w:rsidR="00736395">
        <w:rPr>
          <w:rFonts w:ascii="Arial" w:hAnsi="Arial" w:cs="Arial"/>
          <w:b/>
          <w:bCs/>
          <w:sz w:val="22"/>
          <w:szCs w:val="22"/>
        </w:rPr>
        <w:t>oku</w:t>
      </w:r>
      <w:r w:rsidRPr="004458AE">
        <w:rPr>
          <w:rFonts w:ascii="Arial" w:hAnsi="Arial" w:cs="Arial"/>
          <w:sz w:val="22"/>
          <w:szCs w:val="22"/>
        </w:rPr>
        <w:t>, Trybunał orzekł o naruszeniu art. 8 Konwencji (prawo do poszanowania życia prywatnego i rodzinnego), po ustaleniu następującego stanu faktycznego:</w:t>
      </w:r>
      <w:r w:rsidR="00BF10F6" w:rsidRPr="004458AE">
        <w:rPr>
          <w:rFonts w:ascii="Arial" w:hAnsi="Arial" w:cs="Arial"/>
          <w:sz w:val="22"/>
          <w:szCs w:val="22"/>
        </w:rPr>
        <w:t xml:space="preserve"> </w:t>
      </w:r>
      <w:r w:rsidR="00A13958" w:rsidRPr="004458AE">
        <w:rPr>
          <w:rFonts w:ascii="Arial" w:hAnsi="Arial" w:cs="Arial"/>
          <w:sz w:val="22"/>
          <w:szCs w:val="22"/>
        </w:rPr>
        <w:t>Były mąż skarżącej</w:t>
      </w:r>
      <w:r w:rsidRPr="004458AE">
        <w:rPr>
          <w:rFonts w:ascii="Arial" w:hAnsi="Arial" w:cs="Arial"/>
          <w:sz w:val="22"/>
          <w:szCs w:val="22"/>
        </w:rPr>
        <w:t xml:space="preserve">, który </w:t>
      </w:r>
      <w:r w:rsidR="00A13958" w:rsidRPr="004458AE">
        <w:rPr>
          <w:rFonts w:ascii="Arial" w:hAnsi="Arial" w:cs="Arial"/>
          <w:sz w:val="22"/>
          <w:szCs w:val="22"/>
        </w:rPr>
        <w:t>cierpi</w:t>
      </w:r>
      <w:r w:rsidRPr="004458AE">
        <w:rPr>
          <w:rFonts w:ascii="Arial" w:hAnsi="Arial" w:cs="Arial"/>
          <w:sz w:val="22"/>
          <w:szCs w:val="22"/>
        </w:rPr>
        <w:t xml:space="preserve">ał </w:t>
      </w:r>
      <w:r w:rsidR="00A13958" w:rsidRPr="004458AE">
        <w:rPr>
          <w:rFonts w:ascii="Arial" w:hAnsi="Arial" w:cs="Arial"/>
          <w:sz w:val="22"/>
          <w:szCs w:val="22"/>
        </w:rPr>
        <w:t>na zespół stresu pourazowego, paranoję, zaburzenia lękowe i epilepsję</w:t>
      </w:r>
      <w:r w:rsidRPr="004458AE">
        <w:rPr>
          <w:rFonts w:ascii="Arial" w:hAnsi="Arial" w:cs="Arial"/>
          <w:sz w:val="22"/>
          <w:szCs w:val="22"/>
        </w:rPr>
        <w:t>,</w:t>
      </w:r>
      <w:r w:rsidR="00A13958" w:rsidRPr="004458AE">
        <w:rPr>
          <w:rFonts w:ascii="Arial" w:hAnsi="Arial" w:cs="Arial"/>
          <w:sz w:val="22"/>
          <w:szCs w:val="22"/>
        </w:rPr>
        <w:t xml:space="preserve"> rzekomo przez wiele lat regularnie dopuszczał się wobec niej przemocy fizycznej, powodując obrażenia ciała </w:t>
      </w:r>
      <w:r w:rsidRPr="004458AE">
        <w:rPr>
          <w:rFonts w:ascii="Arial" w:hAnsi="Arial" w:cs="Arial"/>
          <w:sz w:val="22"/>
          <w:szCs w:val="22"/>
        </w:rPr>
        <w:t xml:space="preserve">oraz </w:t>
      </w:r>
      <w:r w:rsidR="00A13958" w:rsidRPr="004458AE">
        <w:rPr>
          <w:rFonts w:ascii="Arial" w:hAnsi="Arial" w:cs="Arial"/>
          <w:sz w:val="22"/>
          <w:szCs w:val="22"/>
        </w:rPr>
        <w:t>kierował groźby śmierci,</w:t>
      </w:r>
      <w:r w:rsidR="00A45DEC" w:rsidRPr="004458AE">
        <w:rPr>
          <w:rFonts w:ascii="Arial" w:hAnsi="Arial" w:cs="Arial"/>
          <w:sz w:val="22"/>
          <w:szCs w:val="22"/>
        </w:rPr>
        <w:t xml:space="preserve"> </w:t>
      </w:r>
      <w:r w:rsidR="00A13958" w:rsidRPr="004458AE">
        <w:rPr>
          <w:rFonts w:ascii="Arial" w:hAnsi="Arial" w:cs="Arial"/>
          <w:sz w:val="22"/>
          <w:szCs w:val="22"/>
        </w:rPr>
        <w:t xml:space="preserve">a także regularnie znęcał się nad nią na oczach ich małoletniej córki. Po okresie ukrywania się, skarżąca wystąpiła </w:t>
      </w:r>
      <w:r w:rsidR="00A13958" w:rsidRPr="004458AE">
        <w:rPr>
          <w:rFonts w:ascii="Arial" w:hAnsi="Arial" w:cs="Arial"/>
          <w:b/>
          <w:bCs/>
          <w:sz w:val="22"/>
          <w:szCs w:val="22"/>
        </w:rPr>
        <w:t>o nakaz sądowy uniemożliwiający byłemu mężowi prześladowanie lub nękanie jej. Odmówiono przyjęcia wniosku</w:t>
      </w:r>
      <w:r w:rsidR="00A13958" w:rsidRPr="004458AE">
        <w:rPr>
          <w:rFonts w:ascii="Arial" w:hAnsi="Arial" w:cs="Arial"/>
          <w:sz w:val="22"/>
          <w:szCs w:val="22"/>
        </w:rPr>
        <w:t xml:space="preserve"> z tego powodu, że </w:t>
      </w:r>
      <w:r w:rsidR="00A13958" w:rsidRPr="004458AE">
        <w:rPr>
          <w:rFonts w:ascii="Arial" w:hAnsi="Arial" w:cs="Arial"/>
          <w:b/>
          <w:bCs/>
          <w:sz w:val="22"/>
          <w:szCs w:val="22"/>
        </w:rPr>
        <w:t>nie wykazała bezpośredniego zagrożenia życia.</w:t>
      </w:r>
      <w:r w:rsidR="00A45DEC" w:rsidRPr="004458AE">
        <w:rPr>
          <w:rFonts w:ascii="Arial" w:hAnsi="Arial" w:cs="Arial"/>
          <w:sz w:val="22"/>
          <w:szCs w:val="22"/>
        </w:rPr>
        <w:t xml:space="preserve"> W ustalonych okolicznościach. </w:t>
      </w:r>
      <w:r w:rsidR="00A13958" w:rsidRPr="004458AE">
        <w:rPr>
          <w:rFonts w:ascii="Arial" w:hAnsi="Arial" w:cs="Arial"/>
          <w:sz w:val="22"/>
          <w:szCs w:val="22"/>
        </w:rPr>
        <w:t xml:space="preserve">Trybunał </w:t>
      </w:r>
      <w:r w:rsidR="00FF000D" w:rsidRPr="004458AE">
        <w:rPr>
          <w:rFonts w:ascii="Arial" w:hAnsi="Arial" w:cs="Arial"/>
          <w:sz w:val="22"/>
          <w:szCs w:val="22"/>
        </w:rPr>
        <w:t>stwierdził</w:t>
      </w:r>
      <w:r w:rsidR="00A13958" w:rsidRPr="004458AE">
        <w:rPr>
          <w:rFonts w:ascii="Arial" w:hAnsi="Arial" w:cs="Arial"/>
          <w:sz w:val="22"/>
          <w:szCs w:val="22"/>
        </w:rPr>
        <w:t xml:space="preserve">, że </w:t>
      </w:r>
      <w:r w:rsidR="00A13958" w:rsidRPr="004458AE">
        <w:rPr>
          <w:rFonts w:ascii="Arial" w:hAnsi="Arial" w:cs="Arial"/>
          <w:b/>
          <w:bCs/>
          <w:sz w:val="22"/>
          <w:szCs w:val="22"/>
        </w:rPr>
        <w:t xml:space="preserve">doszło do </w:t>
      </w:r>
      <w:r w:rsidR="00A45DEC" w:rsidRPr="004458AE">
        <w:rPr>
          <w:rFonts w:ascii="Arial" w:hAnsi="Arial" w:cs="Arial"/>
          <w:b/>
          <w:bCs/>
          <w:sz w:val="22"/>
          <w:szCs w:val="22"/>
        </w:rPr>
        <w:t xml:space="preserve">naruszenia art. 8 Konwencji, </w:t>
      </w:r>
      <w:r w:rsidR="00A13958" w:rsidRPr="004458AE">
        <w:rPr>
          <w:rFonts w:ascii="Arial" w:hAnsi="Arial" w:cs="Arial"/>
          <w:b/>
          <w:bCs/>
          <w:sz w:val="22"/>
          <w:szCs w:val="22"/>
        </w:rPr>
        <w:t xml:space="preserve">ponieważ </w:t>
      </w:r>
      <w:r w:rsidR="00FF000D" w:rsidRPr="004458AE">
        <w:rPr>
          <w:rFonts w:ascii="Arial" w:hAnsi="Arial" w:cs="Arial"/>
          <w:b/>
          <w:bCs/>
          <w:sz w:val="22"/>
          <w:szCs w:val="22"/>
        </w:rPr>
        <w:t xml:space="preserve">w tej sprawie </w:t>
      </w:r>
      <w:r w:rsidR="00A13958" w:rsidRPr="004458AE">
        <w:rPr>
          <w:rFonts w:ascii="Arial" w:hAnsi="Arial" w:cs="Arial"/>
          <w:b/>
          <w:bCs/>
          <w:sz w:val="22"/>
          <w:szCs w:val="22"/>
        </w:rPr>
        <w:t xml:space="preserve">władze chorwackie nie wdrożyły licznych środków nakazanych przez sądy w celu ochrony skarżącej lub rozwiązania problemów psychiatrycznych byłego męża, które wydawały się być przyczyną jego agresywnego zachowania. </w:t>
      </w:r>
      <w:r w:rsidR="00A13958" w:rsidRPr="004458AE">
        <w:rPr>
          <w:rFonts w:ascii="Arial" w:hAnsi="Arial" w:cs="Arial"/>
          <w:sz w:val="22"/>
          <w:szCs w:val="22"/>
        </w:rPr>
        <w:t xml:space="preserve">Nie było również jasne, czy został on poddany leczeniu psychiatrycznemu. </w:t>
      </w:r>
      <w:r w:rsidR="00A45DEC" w:rsidRPr="004458AE">
        <w:rPr>
          <w:rFonts w:ascii="Arial" w:hAnsi="Arial" w:cs="Arial"/>
          <w:sz w:val="22"/>
          <w:szCs w:val="22"/>
        </w:rPr>
        <w:t xml:space="preserve">Natomiast </w:t>
      </w:r>
      <w:r w:rsidR="00A13958" w:rsidRPr="004458AE">
        <w:rPr>
          <w:rFonts w:ascii="Arial" w:hAnsi="Arial" w:cs="Arial"/>
          <w:sz w:val="22"/>
          <w:szCs w:val="22"/>
        </w:rPr>
        <w:t>Trybunał uznał</w:t>
      </w:r>
      <w:r w:rsidR="00A45DEC" w:rsidRPr="004458AE">
        <w:rPr>
          <w:rFonts w:ascii="Arial" w:hAnsi="Arial" w:cs="Arial"/>
          <w:sz w:val="22"/>
          <w:szCs w:val="22"/>
        </w:rPr>
        <w:t>,</w:t>
      </w:r>
      <w:r w:rsidR="00A13958" w:rsidRPr="004458AE">
        <w:rPr>
          <w:rFonts w:ascii="Arial" w:hAnsi="Arial" w:cs="Arial"/>
          <w:sz w:val="22"/>
          <w:szCs w:val="22"/>
        </w:rPr>
        <w:t xml:space="preserve"> że </w:t>
      </w:r>
      <w:r w:rsidR="00A13958" w:rsidRPr="004458AE">
        <w:rPr>
          <w:rFonts w:ascii="Arial" w:hAnsi="Arial" w:cs="Arial"/>
          <w:b/>
          <w:bCs/>
          <w:sz w:val="22"/>
          <w:szCs w:val="22"/>
        </w:rPr>
        <w:t>złożona przez skarżącą skarga na podstawie art. 14 (zakaz dyskryminacji) Konwencji jest niedopuszczalna, w szczególności ze względu na to, że nie przedstawiła ona wystarczających dowodów</w:t>
      </w:r>
      <w:r w:rsidR="00A13958" w:rsidRPr="004458AE">
        <w:rPr>
          <w:rFonts w:ascii="Arial" w:hAnsi="Arial" w:cs="Arial"/>
          <w:sz w:val="22"/>
          <w:szCs w:val="22"/>
        </w:rPr>
        <w:t xml:space="preserve"> (takich jak sprawozdania lub statystyki), aby udowodnić, że środki lub praktyki przyjęte w Chorwacji przeciwko przemocy domowej lub skutki takich środków lub praktyk były dyskryminujące.</w:t>
      </w:r>
    </w:p>
    <w:p w14:paraId="7235AB31" w14:textId="38404883" w:rsidR="00FB263F" w:rsidRPr="004458AE" w:rsidRDefault="00FB263F" w:rsidP="00D44BEE">
      <w:pPr>
        <w:spacing w:line="360" w:lineRule="auto"/>
        <w:jc w:val="both"/>
        <w:rPr>
          <w:rFonts w:ascii="Arial" w:hAnsi="Arial" w:cs="Arial"/>
          <w:b/>
        </w:rPr>
      </w:pPr>
      <w:r w:rsidRPr="004458AE">
        <w:rPr>
          <w:rFonts w:ascii="Arial" w:hAnsi="Arial" w:cs="Arial"/>
          <w:b/>
        </w:rPr>
        <w:t>[Błędy i zaniechania ze strony służb socjalnych]</w:t>
      </w:r>
    </w:p>
    <w:p w14:paraId="7B114F16" w14:textId="1A20E90E" w:rsidR="00FB263F" w:rsidRPr="004458AE" w:rsidRDefault="00FB263F" w:rsidP="00B732EB">
      <w:pPr>
        <w:spacing w:line="360" w:lineRule="auto"/>
        <w:jc w:val="both"/>
        <w:rPr>
          <w:rFonts w:ascii="Arial" w:hAnsi="Arial" w:cs="Arial"/>
        </w:rPr>
      </w:pPr>
      <w:r w:rsidRPr="004458AE">
        <w:rPr>
          <w:rFonts w:ascii="Arial" w:hAnsi="Arial" w:cs="Arial"/>
        </w:rPr>
        <w:lastRenderedPageBreak/>
        <w:t xml:space="preserve">Z kolei w sprawie </w:t>
      </w:r>
      <w:r w:rsidRPr="004458AE">
        <w:rPr>
          <w:rFonts w:ascii="Arial" w:hAnsi="Arial" w:cs="Arial"/>
          <w:b/>
          <w:i/>
        </w:rPr>
        <w:t xml:space="preserve">E. i Inni przeciwko Wielkiej Brytanii </w:t>
      </w:r>
      <w:r w:rsidR="009C5D36" w:rsidRPr="00736395">
        <w:rPr>
          <w:rFonts w:ascii="Arial" w:hAnsi="Arial" w:cs="Arial"/>
          <w:bCs/>
          <w:iCs/>
        </w:rPr>
        <w:t>(</w:t>
      </w:r>
      <w:r w:rsidRPr="00736395">
        <w:rPr>
          <w:rFonts w:ascii="Arial" w:hAnsi="Arial" w:cs="Arial"/>
          <w:bCs/>
        </w:rPr>
        <w:t xml:space="preserve">nr </w:t>
      </w:r>
      <w:r w:rsidR="009C5D36" w:rsidRPr="00736395">
        <w:rPr>
          <w:rFonts w:ascii="Arial" w:hAnsi="Arial" w:cs="Arial"/>
          <w:bCs/>
        </w:rPr>
        <w:t xml:space="preserve">skargi </w:t>
      </w:r>
      <w:r w:rsidRPr="00736395">
        <w:rPr>
          <w:rFonts w:ascii="Arial" w:hAnsi="Arial" w:cs="Arial"/>
          <w:bCs/>
        </w:rPr>
        <w:t>33218/96</w:t>
      </w:r>
      <w:r w:rsidR="009C5D36" w:rsidRPr="00736395">
        <w:rPr>
          <w:rFonts w:ascii="Arial" w:hAnsi="Arial" w:cs="Arial"/>
          <w:bCs/>
        </w:rPr>
        <w:t>)</w:t>
      </w:r>
      <w:r w:rsidRPr="004458AE">
        <w:rPr>
          <w:rFonts w:ascii="Arial" w:hAnsi="Arial" w:cs="Arial"/>
          <w:i/>
        </w:rPr>
        <w:t xml:space="preserve"> </w:t>
      </w:r>
      <w:r w:rsidRPr="004458AE">
        <w:rPr>
          <w:rFonts w:ascii="Arial" w:hAnsi="Arial" w:cs="Arial"/>
        </w:rPr>
        <w:t>Trybunał zajmował się skargą trzech sióstr i brata, mieszkających w Szkocji, którzy zarzucili, że władze lokalne nie zapewniły im ochrony przed nadużyciami ze strony ich ojczyma. Czwórka skarżących zarzuciła, że przez długi okres byli oni ofiarami przemocy fizycznej i seksualnej</w:t>
      </w:r>
      <w:r w:rsidR="00B27618" w:rsidRPr="004458AE">
        <w:rPr>
          <w:rFonts w:ascii="Arial" w:hAnsi="Arial" w:cs="Arial"/>
        </w:rPr>
        <w:t xml:space="preserve">. W wyroku </w:t>
      </w:r>
      <w:r w:rsidR="00B27618" w:rsidRPr="004458AE">
        <w:rPr>
          <w:rFonts w:ascii="Arial" w:hAnsi="Arial" w:cs="Arial"/>
          <w:b/>
        </w:rPr>
        <w:t>z 26 listopada 2002 r</w:t>
      </w:r>
      <w:r w:rsidR="00736395">
        <w:rPr>
          <w:rFonts w:ascii="Arial" w:hAnsi="Arial" w:cs="Arial"/>
          <w:b/>
        </w:rPr>
        <w:t>oku</w:t>
      </w:r>
      <w:r w:rsidR="00B27618" w:rsidRPr="004458AE">
        <w:rPr>
          <w:rFonts w:ascii="Arial" w:hAnsi="Arial" w:cs="Arial"/>
          <w:b/>
        </w:rPr>
        <w:t xml:space="preserve"> uznał, że </w:t>
      </w:r>
      <w:r w:rsidRPr="004458AE">
        <w:rPr>
          <w:rFonts w:ascii="Arial" w:hAnsi="Arial" w:cs="Arial"/>
        </w:rPr>
        <w:t>zachowanie</w:t>
      </w:r>
      <w:r w:rsidR="00B27618" w:rsidRPr="004458AE">
        <w:rPr>
          <w:rFonts w:ascii="Arial" w:hAnsi="Arial" w:cs="Arial"/>
        </w:rPr>
        <w:t xml:space="preserve"> to </w:t>
      </w:r>
      <w:r w:rsidRPr="004458AE">
        <w:rPr>
          <w:rFonts w:ascii="Arial" w:hAnsi="Arial" w:cs="Arial"/>
        </w:rPr>
        <w:t xml:space="preserve">mieściło się w zakresie stosowania </w:t>
      </w:r>
      <w:r w:rsidRPr="004458AE">
        <w:rPr>
          <w:rFonts w:ascii="Arial" w:hAnsi="Arial" w:cs="Arial"/>
          <w:b/>
          <w:bCs/>
        </w:rPr>
        <w:t xml:space="preserve">art. 3 </w:t>
      </w:r>
      <w:r w:rsidRPr="004458AE">
        <w:rPr>
          <w:rFonts w:ascii="Arial" w:hAnsi="Arial" w:cs="Arial"/>
        </w:rPr>
        <w:t>Konwencji, jako traktowanie nieludzkie i poniżające. Niektóre z</w:t>
      </w:r>
      <w:r w:rsidR="00B27618" w:rsidRPr="004458AE">
        <w:rPr>
          <w:rFonts w:ascii="Arial" w:hAnsi="Arial" w:cs="Arial"/>
        </w:rPr>
        <w:t xml:space="preserve"> </w:t>
      </w:r>
      <w:r w:rsidRPr="004458AE">
        <w:rPr>
          <w:rFonts w:ascii="Arial" w:hAnsi="Arial" w:cs="Arial"/>
        </w:rPr>
        <w:t>zachow</w:t>
      </w:r>
      <w:r w:rsidR="00B27618" w:rsidRPr="004458AE">
        <w:rPr>
          <w:rFonts w:ascii="Arial" w:hAnsi="Arial" w:cs="Arial"/>
        </w:rPr>
        <w:t>a</w:t>
      </w:r>
      <w:r w:rsidRPr="004458AE">
        <w:rPr>
          <w:rFonts w:ascii="Arial" w:hAnsi="Arial" w:cs="Arial"/>
        </w:rPr>
        <w:t>ń</w:t>
      </w:r>
      <w:r w:rsidR="00B27618" w:rsidRPr="004458AE">
        <w:rPr>
          <w:rFonts w:ascii="Arial" w:hAnsi="Arial" w:cs="Arial"/>
        </w:rPr>
        <w:t xml:space="preserve"> </w:t>
      </w:r>
      <w:r w:rsidRPr="004458AE">
        <w:rPr>
          <w:rFonts w:ascii="Arial" w:hAnsi="Arial" w:cs="Arial"/>
        </w:rPr>
        <w:t xml:space="preserve">ojczyma skarżących stanowiły przedmiot postępowań karnych, zaś on sam został uznany dwukrotnie winnym popełnienia wielu przestępstw. </w:t>
      </w:r>
      <w:r w:rsidR="009C5D36" w:rsidRPr="004458AE">
        <w:rPr>
          <w:rFonts w:ascii="Arial" w:hAnsi="Arial" w:cs="Arial"/>
        </w:rPr>
        <w:t xml:space="preserve">Na podstawie zaprezentowanych materiałów Trybunał </w:t>
      </w:r>
      <w:r w:rsidRPr="004458AE">
        <w:rPr>
          <w:rFonts w:ascii="Arial" w:hAnsi="Arial" w:cs="Arial"/>
        </w:rPr>
        <w:t>nie miał wątpliwości</w:t>
      </w:r>
      <w:r w:rsidR="009C5D36" w:rsidRPr="004458AE">
        <w:rPr>
          <w:rFonts w:ascii="Arial" w:hAnsi="Arial" w:cs="Arial"/>
        </w:rPr>
        <w:t xml:space="preserve">, </w:t>
      </w:r>
      <w:r w:rsidRPr="004458AE">
        <w:rPr>
          <w:rFonts w:ascii="Arial" w:hAnsi="Arial" w:cs="Arial"/>
        </w:rPr>
        <w:t>że skarżący zostali poddani tego rodzaju traktowaniu. Kwestią problematyczną było natomiast to, czy władze lokalne, działające poprzez swe służby socjalne, były, czy też powinny być świadome tego, że skarżący byli poddawani nadużyciom, a jeśli tak</w:t>
      </w:r>
      <w:r w:rsidR="009C5D36" w:rsidRPr="004458AE">
        <w:rPr>
          <w:rFonts w:ascii="Arial" w:hAnsi="Arial" w:cs="Arial"/>
        </w:rPr>
        <w:t xml:space="preserve">, </w:t>
      </w:r>
      <w:r w:rsidRPr="004458AE">
        <w:rPr>
          <w:rFonts w:ascii="Arial" w:hAnsi="Arial" w:cs="Arial"/>
        </w:rPr>
        <w:t xml:space="preserve">czy podjęły dostępne im środki celem ochrony </w:t>
      </w:r>
      <w:r w:rsidR="009C5D36" w:rsidRPr="004458AE">
        <w:rPr>
          <w:rFonts w:ascii="Arial" w:hAnsi="Arial" w:cs="Arial"/>
        </w:rPr>
        <w:t xml:space="preserve">skarżących </w:t>
      </w:r>
      <w:r w:rsidRPr="004458AE">
        <w:rPr>
          <w:rFonts w:ascii="Arial" w:hAnsi="Arial" w:cs="Arial"/>
        </w:rPr>
        <w:t>przed tego rodzaju zachowaniem. Odwołując się do okoliczności sprawy Trybunał stwierdził, że służby socjalne powinny były mieć świadomość, że sytuacja panująca w rodzinie skarżących wskazywała na nadużycia seksualne i fizyczne ze strony ojczyma, który pomimo skazania i zastosowanego wobec niego środka probacyjnego, utrzymywał w dalszym ciągu bliskie kontakty z rodziną. Nawet jeśli służby socjalne nie wiedziały, że w tym czasie również dopuszczał się on nadużyć, powinny być świadome, że dzieci były potencjalnie narażone na tego rodzaju ryzyko</w:t>
      </w:r>
      <w:r w:rsidR="009C5D36" w:rsidRPr="004458AE">
        <w:rPr>
          <w:rFonts w:ascii="Arial" w:hAnsi="Arial" w:cs="Arial"/>
        </w:rPr>
        <w:t>, skoro</w:t>
      </w:r>
      <w:r w:rsidR="009C5D36" w:rsidRPr="004458AE">
        <w:rPr>
          <w:rFonts w:ascii="Arial" w:hAnsi="Arial" w:cs="Arial"/>
          <w:u w:val="single"/>
        </w:rPr>
        <w:t xml:space="preserve"> </w:t>
      </w:r>
      <w:r w:rsidRPr="004458AE">
        <w:rPr>
          <w:rFonts w:ascii="Arial" w:hAnsi="Arial" w:cs="Arial"/>
        </w:rPr>
        <w:t>wiedziały, że w rodzinie skarżących wystąpiły przypadki nadużyć</w:t>
      </w:r>
      <w:r w:rsidR="00BF4F4F">
        <w:rPr>
          <w:rFonts w:ascii="Arial" w:hAnsi="Arial" w:cs="Arial"/>
        </w:rPr>
        <w:t xml:space="preserve"> </w:t>
      </w:r>
      <w:r w:rsidRPr="004458AE">
        <w:rPr>
          <w:rFonts w:ascii="Arial" w:hAnsi="Arial" w:cs="Arial"/>
        </w:rPr>
        <w:t>skutkujące skazaniem</w:t>
      </w:r>
      <w:r w:rsidR="009C5D36" w:rsidRPr="004458AE">
        <w:rPr>
          <w:rFonts w:ascii="Arial" w:hAnsi="Arial" w:cs="Arial"/>
        </w:rPr>
        <w:t>. M</w:t>
      </w:r>
      <w:r w:rsidRPr="004458AE">
        <w:rPr>
          <w:rFonts w:ascii="Arial" w:hAnsi="Arial" w:cs="Arial"/>
        </w:rPr>
        <w:t xml:space="preserve">iały </w:t>
      </w:r>
      <w:r w:rsidR="009C5D36" w:rsidRPr="004458AE">
        <w:rPr>
          <w:rFonts w:ascii="Arial" w:hAnsi="Arial" w:cs="Arial"/>
        </w:rPr>
        <w:t xml:space="preserve">zatem </w:t>
      </w:r>
      <w:r w:rsidRPr="004458AE">
        <w:rPr>
          <w:rFonts w:ascii="Arial" w:hAnsi="Arial" w:cs="Arial"/>
        </w:rPr>
        <w:t xml:space="preserve">obowiązek monitorowania sposobu postępowania sprawcy również po skazaniu. </w:t>
      </w:r>
      <w:r w:rsidR="009C5D36" w:rsidRPr="004458AE">
        <w:rPr>
          <w:rFonts w:ascii="Arial" w:hAnsi="Arial" w:cs="Arial"/>
        </w:rPr>
        <w:t>W konsekwencji</w:t>
      </w:r>
      <w:r w:rsidR="009C5D36" w:rsidRPr="004458AE">
        <w:rPr>
          <w:rFonts w:ascii="Arial" w:hAnsi="Arial" w:cs="Arial"/>
          <w:b/>
        </w:rPr>
        <w:t xml:space="preserve"> </w:t>
      </w:r>
      <w:r w:rsidRPr="004458AE">
        <w:rPr>
          <w:rFonts w:ascii="Arial" w:hAnsi="Arial" w:cs="Arial"/>
          <w:b/>
        </w:rPr>
        <w:t>Trybunał uznał</w:t>
      </w:r>
      <w:r w:rsidRPr="004458AE">
        <w:rPr>
          <w:rFonts w:ascii="Arial" w:hAnsi="Arial" w:cs="Arial"/>
        </w:rPr>
        <w:t xml:space="preserve">, </w:t>
      </w:r>
      <w:r w:rsidRPr="004458AE">
        <w:rPr>
          <w:rFonts w:ascii="Arial" w:hAnsi="Arial" w:cs="Arial"/>
          <w:b/>
        </w:rPr>
        <w:t xml:space="preserve">że brak dochodzenia, komunikacji i współpracy ze strony stosownych władz ujawniony w tej sprawie musiał być uznany za mający poważny wpływ na bieg wydarzeń i że odpowiednie i wystarczające zarządzanie kompetencjami mogło doprowadzić do uniknięcia, względnie minimalizacji, ryzyka wystąpienia szkody. </w:t>
      </w:r>
      <w:r w:rsidRPr="004458AE">
        <w:rPr>
          <w:rFonts w:ascii="Arial" w:hAnsi="Arial" w:cs="Arial"/>
          <w:bCs/>
        </w:rPr>
        <w:t xml:space="preserve">W konsekwencji </w:t>
      </w:r>
      <w:r w:rsidR="00B732EB" w:rsidRPr="004458AE">
        <w:rPr>
          <w:rFonts w:ascii="Arial" w:hAnsi="Arial" w:cs="Arial"/>
          <w:bCs/>
        </w:rPr>
        <w:t xml:space="preserve">Trybunał </w:t>
      </w:r>
      <w:r w:rsidR="00B27618" w:rsidRPr="004458AE">
        <w:rPr>
          <w:rFonts w:ascii="Arial" w:hAnsi="Arial" w:cs="Arial"/>
          <w:bCs/>
        </w:rPr>
        <w:t xml:space="preserve">stwierdził </w:t>
      </w:r>
      <w:r w:rsidRPr="004458AE">
        <w:rPr>
          <w:rFonts w:ascii="Arial" w:hAnsi="Arial" w:cs="Arial"/>
          <w:bCs/>
        </w:rPr>
        <w:t>naruszeni</w:t>
      </w:r>
      <w:r w:rsidR="00B27618" w:rsidRPr="004458AE">
        <w:rPr>
          <w:rFonts w:ascii="Arial" w:hAnsi="Arial" w:cs="Arial"/>
          <w:bCs/>
        </w:rPr>
        <w:t>e</w:t>
      </w:r>
      <w:r w:rsidRPr="004458AE">
        <w:rPr>
          <w:rFonts w:ascii="Arial" w:hAnsi="Arial" w:cs="Arial"/>
          <w:bCs/>
        </w:rPr>
        <w:t xml:space="preserve"> art. 3 Konwencji.</w:t>
      </w:r>
      <w:r w:rsidR="00737522" w:rsidRPr="004458AE">
        <w:rPr>
          <w:rFonts w:ascii="Arial" w:hAnsi="Arial" w:cs="Arial"/>
        </w:rPr>
        <w:t xml:space="preserve"> </w:t>
      </w:r>
    </w:p>
    <w:p w14:paraId="6213E75E" w14:textId="579A0A5A" w:rsidR="00FB263F" w:rsidRPr="004458AE" w:rsidRDefault="00FB263F" w:rsidP="00F746D1">
      <w:pPr>
        <w:spacing w:line="360" w:lineRule="auto"/>
        <w:jc w:val="both"/>
        <w:rPr>
          <w:rFonts w:ascii="Arial" w:hAnsi="Arial" w:cs="Arial"/>
          <w:b/>
        </w:rPr>
      </w:pPr>
      <w:r w:rsidRPr="004458AE">
        <w:rPr>
          <w:rFonts w:ascii="Arial" w:hAnsi="Arial" w:cs="Arial"/>
        </w:rPr>
        <w:t>W innej spraw</w:t>
      </w:r>
      <w:r w:rsidR="00B732EB" w:rsidRPr="004458AE">
        <w:rPr>
          <w:rFonts w:ascii="Arial" w:hAnsi="Arial" w:cs="Arial"/>
        </w:rPr>
        <w:t>ie -</w:t>
      </w:r>
      <w:r w:rsidRPr="004458AE">
        <w:rPr>
          <w:rFonts w:ascii="Arial" w:hAnsi="Arial" w:cs="Arial"/>
        </w:rPr>
        <w:t xml:space="preserve"> </w:t>
      </w:r>
      <w:r w:rsidRPr="004458AE">
        <w:rPr>
          <w:rFonts w:ascii="Arial" w:hAnsi="Arial" w:cs="Arial"/>
          <w:b/>
          <w:i/>
        </w:rPr>
        <w:t>Z</w:t>
      </w:r>
      <w:r w:rsidR="009C5D36" w:rsidRPr="004458AE">
        <w:rPr>
          <w:rFonts w:ascii="Arial" w:hAnsi="Arial" w:cs="Arial"/>
          <w:b/>
          <w:i/>
        </w:rPr>
        <w:t>.</w:t>
      </w:r>
      <w:r w:rsidRPr="004458AE">
        <w:rPr>
          <w:rFonts w:ascii="Arial" w:hAnsi="Arial" w:cs="Arial"/>
          <w:b/>
          <w:i/>
        </w:rPr>
        <w:t xml:space="preserve"> i Inni przeciwko Wielkiej Brytanii </w:t>
      </w:r>
      <w:r w:rsidRPr="004458AE">
        <w:rPr>
          <w:rFonts w:ascii="Arial" w:hAnsi="Arial" w:cs="Arial"/>
          <w:b/>
        </w:rPr>
        <w:t>(</w:t>
      </w:r>
      <w:r w:rsidR="00735C33" w:rsidRPr="004458AE">
        <w:rPr>
          <w:rFonts w:ascii="Arial" w:hAnsi="Arial" w:cs="Arial"/>
          <w:b/>
        </w:rPr>
        <w:t xml:space="preserve">nr </w:t>
      </w:r>
      <w:r w:rsidRPr="004458AE">
        <w:rPr>
          <w:rFonts w:ascii="Arial" w:hAnsi="Arial" w:cs="Arial"/>
          <w:b/>
        </w:rPr>
        <w:t>skarg</w:t>
      </w:r>
      <w:r w:rsidR="00735C33" w:rsidRPr="004458AE">
        <w:rPr>
          <w:rFonts w:ascii="Arial" w:hAnsi="Arial" w:cs="Arial"/>
          <w:b/>
        </w:rPr>
        <w:t xml:space="preserve">i </w:t>
      </w:r>
      <w:r w:rsidRPr="004458AE">
        <w:rPr>
          <w:rFonts w:ascii="Arial" w:hAnsi="Arial" w:cs="Arial"/>
          <w:b/>
        </w:rPr>
        <w:t>29392/95</w:t>
      </w:r>
      <w:r w:rsidR="00735C33" w:rsidRPr="004458AE">
        <w:rPr>
          <w:rFonts w:ascii="Arial" w:hAnsi="Arial" w:cs="Arial"/>
          <w:b/>
        </w:rPr>
        <w:t xml:space="preserve">) </w:t>
      </w:r>
      <w:r w:rsidRPr="004458AE">
        <w:rPr>
          <w:rFonts w:ascii="Arial" w:hAnsi="Arial" w:cs="Arial"/>
        </w:rPr>
        <w:t xml:space="preserve">- pięcioro rodzeństwa także zarzuciło zaniechanie ze strony władz lokalnych przedsięwzięcia odpowiednich środków ochronnych w sytuacji poważnych zaniedbań i nadużyć, których doświadczali w związku z ich złym traktowaniem przez rodziców. W </w:t>
      </w:r>
      <w:r w:rsidR="00274CD2" w:rsidRPr="004458AE">
        <w:rPr>
          <w:rFonts w:ascii="Arial" w:hAnsi="Arial" w:cs="Arial"/>
        </w:rPr>
        <w:t xml:space="preserve">tej </w:t>
      </w:r>
      <w:r w:rsidRPr="004458AE">
        <w:rPr>
          <w:rFonts w:ascii="Arial" w:hAnsi="Arial" w:cs="Arial"/>
        </w:rPr>
        <w:t xml:space="preserve">sprawie, w </w:t>
      </w:r>
      <w:r w:rsidR="00804A74" w:rsidRPr="004458AE">
        <w:rPr>
          <w:rFonts w:ascii="Arial" w:hAnsi="Arial" w:cs="Arial"/>
        </w:rPr>
        <w:t xml:space="preserve">świetle </w:t>
      </w:r>
      <w:r w:rsidRPr="004458AE">
        <w:rPr>
          <w:rFonts w:ascii="Arial" w:hAnsi="Arial" w:cs="Arial"/>
        </w:rPr>
        <w:t>drastycznych okoliczności sprawy</w:t>
      </w:r>
      <w:r w:rsidR="00274CD2" w:rsidRPr="004458AE">
        <w:rPr>
          <w:rFonts w:ascii="Arial" w:hAnsi="Arial" w:cs="Arial"/>
        </w:rPr>
        <w:t xml:space="preserve"> oraz </w:t>
      </w:r>
      <w:r w:rsidRPr="004458AE">
        <w:rPr>
          <w:rFonts w:ascii="Arial" w:hAnsi="Arial" w:cs="Arial"/>
        </w:rPr>
        <w:t>wieloletnich zaniedbań i nadużyć</w:t>
      </w:r>
      <w:r w:rsidR="00274CD2" w:rsidRPr="004458AE">
        <w:rPr>
          <w:rFonts w:ascii="Arial" w:hAnsi="Arial" w:cs="Arial"/>
        </w:rPr>
        <w:t xml:space="preserve"> Wielka Izba </w:t>
      </w:r>
      <w:r w:rsidR="00274CD2" w:rsidRPr="004458AE">
        <w:rPr>
          <w:rFonts w:ascii="Arial" w:hAnsi="Arial" w:cs="Arial"/>
        </w:rPr>
        <w:br/>
      </w:r>
      <w:r w:rsidR="00274CD2" w:rsidRPr="004458AE">
        <w:rPr>
          <w:rFonts w:ascii="Arial" w:hAnsi="Arial" w:cs="Arial"/>
          <w:b/>
        </w:rPr>
        <w:t>w wyroku z 10 maja 2001 r</w:t>
      </w:r>
      <w:r w:rsidR="00BF4F4F">
        <w:rPr>
          <w:rFonts w:ascii="Arial" w:hAnsi="Arial" w:cs="Arial"/>
          <w:b/>
        </w:rPr>
        <w:t>oku</w:t>
      </w:r>
      <w:r w:rsidRPr="004458AE">
        <w:rPr>
          <w:rFonts w:ascii="Arial" w:hAnsi="Arial" w:cs="Arial"/>
        </w:rPr>
        <w:t xml:space="preserve"> </w:t>
      </w:r>
      <w:r w:rsidR="00804A74" w:rsidRPr="004458AE">
        <w:rPr>
          <w:rFonts w:ascii="Arial" w:hAnsi="Arial" w:cs="Arial"/>
        </w:rPr>
        <w:t xml:space="preserve">uznała, że </w:t>
      </w:r>
      <w:r w:rsidR="00274CD2" w:rsidRPr="004458AE">
        <w:rPr>
          <w:rFonts w:ascii="Arial" w:hAnsi="Arial" w:cs="Arial"/>
        </w:rPr>
        <w:t>osiągnęł</w:t>
      </w:r>
      <w:r w:rsidR="00FD6622" w:rsidRPr="004458AE">
        <w:rPr>
          <w:rFonts w:ascii="Arial" w:hAnsi="Arial" w:cs="Arial"/>
        </w:rPr>
        <w:t xml:space="preserve">y one </w:t>
      </w:r>
      <w:r w:rsidR="00274CD2" w:rsidRPr="004458AE">
        <w:rPr>
          <w:rFonts w:ascii="Arial" w:hAnsi="Arial" w:cs="Arial"/>
        </w:rPr>
        <w:t xml:space="preserve">poziom </w:t>
      </w:r>
      <w:r w:rsidRPr="004458AE">
        <w:rPr>
          <w:rFonts w:ascii="Arial" w:hAnsi="Arial" w:cs="Arial"/>
        </w:rPr>
        <w:t>nieludzkie</w:t>
      </w:r>
      <w:r w:rsidR="00274CD2" w:rsidRPr="004458AE">
        <w:rPr>
          <w:rFonts w:ascii="Arial" w:hAnsi="Arial" w:cs="Arial"/>
        </w:rPr>
        <w:t>go</w:t>
      </w:r>
      <w:r w:rsidRPr="004458AE">
        <w:rPr>
          <w:rFonts w:ascii="Arial" w:hAnsi="Arial" w:cs="Arial"/>
        </w:rPr>
        <w:t xml:space="preserve"> </w:t>
      </w:r>
      <w:r w:rsidR="00804A74" w:rsidRPr="004458AE">
        <w:rPr>
          <w:rFonts w:ascii="Arial" w:hAnsi="Arial" w:cs="Arial"/>
        </w:rPr>
        <w:br/>
      </w:r>
      <w:r w:rsidRPr="004458AE">
        <w:rPr>
          <w:rFonts w:ascii="Arial" w:hAnsi="Arial" w:cs="Arial"/>
        </w:rPr>
        <w:t>i poniżające</w:t>
      </w:r>
      <w:r w:rsidR="00274CD2" w:rsidRPr="004458AE">
        <w:rPr>
          <w:rFonts w:ascii="Arial" w:hAnsi="Arial" w:cs="Arial"/>
        </w:rPr>
        <w:t>go</w:t>
      </w:r>
      <w:r w:rsidRPr="004458AE">
        <w:rPr>
          <w:rFonts w:ascii="Arial" w:hAnsi="Arial" w:cs="Arial"/>
        </w:rPr>
        <w:t xml:space="preserve"> traktowani</w:t>
      </w:r>
      <w:r w:rsidR="00274CD2" w:rsidRPr="004458AE">
        <w:rPr>
          <w:rFonts w:ascii="Arial" w:hAnsi="Arial" w:cs="Arial"/>
        </w:rPr>
        <w:t>a</w:t>
      </w:r>
      <w:r w:rsidRPr="004458AE">
        <w:rPr>
          <w:rFonts w:ascii="Arial" w:hAnsi="Arial" w:cs="Arial"/>
        </w:rPr>
        <w:t xml:space="preserve">. O sposobie traktowania skarżących </w:t>
      </w:r>
      <w:r w:rsidR="00804A74" w:rsidRPr="004458AE">
        <w:rPr>
          <w:rFonts w:ascii="Arial" w:hAnsi="Arial" w:cs="Arial"/>
        </w:rPr>
        <w:t xml:space="preserve">przez rodziców </w:t>
      </w:r>
      <w:r w:rsidRPr="004458AE">
        <w:rPr>
          <w:rFonts w:ascii="Arial" w:hAnsi="Arial" w:cs="Arial"/>
        </w:rPr>
        <w:t>władze lokalne zostały powiadomione już w październiku 1987 r</w:t>
      </w:r>
      <w:r w:rsidR="00BF4F4F">
        <w:rPr>
          <w:rFonts w:ascii="Arial" w:hAnsi="Arial" w:cs="Arial"/>
        </w:rPr>
        <w:t>oku</w:t>
      </w:r>
      <w:r w:rsidR="00804A74" w:rsidRPr="004458AE">
        <w:rPr>
          <w:rFonts w:ascii="Arial" w:hAnsi="Arial" w:cs="Arial"/>
        </w:rPr>
        <w:t>.</w:t>
      </w:r>
      <w:r w:rsidRPr="004458AE">
        <w:rPr>
          <w:rFonts w:ascii="Arial" w:hAnsi="Arial" w:cs="Arial"/>
        </w:rPr>
        <w:t xml:space="preserve"> Ich obowiązkiem ustawowym była ochrona dzieci</w:t>
      </w:r>
      <w:r w:rsidR="00804A74" w:rsidRPr="004458AE">
        <w:rPr>
          <w:rFonts w:ascii="Arial" w:hAnsi="Arial" w:cs="Arial"/>
        </w:rPr>
        <w:t xml:space="preserve">. Ponadto </w:t>
      </w:r>
      <w:r w:rsidRPr="004458AE">
        <w:rPr>
          <w:rFonts w:ascii="Arial" w:hAnsi="Arial" w:cs="Arial"/>
        </w:rPr>
        <w:t xml:space="preserve">dysponowały szeregiem dostępnych im środków, m.in. </w:t>
      </w:r>
      <w:r w:rsidR="00804A74" w:rsidRPr="004458AE">
        <w:rPr>
          <w:rFonts w:ascii="Arial" w:hAnsi="Arial" w:cs="Arial"/>
        </w:rPr>
        <w:t xml:space="preserve">miały </w:t>
      </w:r>
      <w:r w:rsidRPr="004458AE">
        <w:rPr>
          <w:rFonts w:ascii="Arial" w:hAnsi="Arial" w:cs="Arial"/>
        </w:rPr>
        <w:t>możliwoś</w:t>
      </w:r>
      <w:r w:rsidR="00804A74" w:rsidRPr="004458AE">
        <w:rPr>
          <w:rFonts w:ascii="Arial" w:hAnsi="Arial" w:cs="Arial"/>
        </w:rPr>
        <w:t xml:space="preserve">ć odebrania </w:t>
      </w:r>
      <w:r w:rsidRPr="004458AE">
        <w:rPr>
          <w:rFonts w:ascii="Arial" w:hAnsi="Arial" w:cs="Arial"/>
        </w:rPr>
        <w:t xml:space="preserve">dzieci z domu rodzinnego. Środki te, zostały przedsięwzięte ze znacznym opóźnieniem, w </w:t>
      </w:r>
      <w:r w:rsidR="00804A74" w:rsidRPr="004458AE">
        <w:rPr>
          <w:rFonts w:ascii="Arial" w:hAnsi="Arial" w:cs="Arial"/>
        </w:rPr>
        <w:t xml:space="preserve">wyniku </w:t>
      </w:r>
      <w:r w:rsidRPr="004458AE">
        <w:rPr>
          <w:rFonts w:ascii="Arial" w:hAnsi="Arial" w:cs="Arial"/>
        </w:rPr>
        <w:t xml:space="preserve">czego, przez 4 i pół roku skarżący w swoim domu rodzinnym </w:t>
      </w:r>
      <w:r w:rsidR="00FD6622" w:rsidRPr="004458AE">
        <w:rPr>
          <w:rFonts w:ascii="Arial" w:hAnsi="Arial" w:cs="Arial"/>
        </w:rPr>
        <w:lastRenderedPageBreak/>
        <w:t xml:space="preserve">byli poddani </w:t>
      </w:r>
      <w:r w:rsidRPr="004458AE">
        <w:rPr>
          <w:rFonts w:ascii="Arial" w:hAnsi="Arial" w:cs="Arial"/>
        </w:rPr>
        <w:t xml:space="preserve">traktowaniu, które psychiatra dziecięcy określił jako „okropne doświadczenie”. </w:t>
      </w:r>
      <w:r w:rsidR="00804A74" w:rsidRPr="004458AE">
        <w:rPr>
          <w:rFonts w:ascii="Arial" w:hAnsi="Arial" w:cs="Arial"/>
        </w:rPr>
        <w:br/>
      </w:r>
      <w:r w:rsidRPr="004458AE">
        <w:rPr>
          <w:rFonts w:ascii="Arial" w:hAnsi="Arial" w:cs="Arial"/>
        </w:rPr>
        <w:t xml:space="preserve">W innym postępowaniu uznano, że dzieci przez dłuższy czas były poddane oczywistym zaniedbaniom </w:t>
      </w:r>
      <w:r w:rsidR="00804A74" w:rsidRPr="004458AE">
        <w:rPr>
          <w:rFonts w:ascii="Arial" w:hAnsi="Arial" w:cs="Arial"/>
        </w:rPr>
        <w:t xml:space="preserve">oraz </w:t>
      </w:r>
      <w:r w:rsidRPr="004458AE">
        <w:rPr>
          <w:rFonts w:ascii="Arial" w:hAnsi="Arial" w:cs="Arial"/>
        </w:rPr>
        <w:t xml:space="preserve">cierpiały fizycznie i psychicznie, co wyczerpywało znamiona przestępstwa przemocy. Trybunał </w:t>
      </w:r>
      <w:r w:rsidR="00804A74" w:rsidRPr="004458AE">
        <w:rPr>
          <w:rFonts w:ascii="Arial" w:hAnsi="Arial" w:cs="Arial"/>
        </w:rPr>
        <w:t xml:space="preserve">dostrzegł </w:t>
      </w:r>
      <w:r w:rsidRPr="004458AE">
        <w:rPr>
          <w:rFonts w:ascii="Arial" w:hAnsi="Arial" w:cs="Arial"/>
        </w:rPr>
        <w:t xml:space="preserve">trudny i delikatny charakter decyzji, które muszą podejmować służby socjalne </w:t>
      </w:r>
      <w:r w:rsidR="00804A74" w:rsidRPr="004458AE">
        <w:rPr>
          <w:rFonts w:ascii="Arial" w:hAnsi="Arial" w:cs="Arial"/>
        </w:rPr>
        <w:t xml:space="preserve">oraz </w:t>
      </w:r>
      <w:r w:rsidRPr="004458AE">
        <w:rPr>
          <w:rFonts w:ascii="Arial" w:hAnsi="Arial" w:cs="Arial"/>
        </w:rPr>
        <w:t>istotną</w:t>
      </w:r>
      <w:r w:rsidR="00804A74" w:rsidRPr="004458AE">
        <w:rPr>
          <w:rFonts w:ascii="Arial" w:hAnsi="Arial" w:cs="Arial"/>
        </w:rPr>
        <w:t>,</w:t>
      </w:r>
      <w:r w:rsidRPr="004458AE">
        <w:rPr>
          <w:rFonts w:ascii="Arial" w:hAnsi="Arial" w:cs="Arial"/>
        </w:rPr>
        <w:t xml:space="preserve"> przeciwstawną zasadę poszanowania i ochrony życia rodzinnego. </w:t>
      </w:r>
      <w:r w:rsidRPr="004458AE">
        <w:rPr>
          <w:rFonts w:ascii="Arial" w:hAnsi="Arial" w:cs="Arial"/>
          <w:b/>
        </w:rPr>
        <w:t xml:space="preserve">Sprawa ta </w:t>
      </w:r>
      <w:r w:rsidR="00804A74" w:rsidRPr="004458AE">
        <w:rPr>
          <w:rFonts w:ascii="Arial" w:hAnsi="Arial" w:cs="Arial"/>
          <w:b/>
        </w:rPr>
        <w:t xml:space="preserve">w ocenie Trybunału </w:t>
      </w:r>
      <w:r w:rsidRPr="004458AE">
        <w:rPr>
          <w:rFonts w:ascii="Arial" w:hAnsi="Arial" w:cs="Arial"/>
          <w:b/>
        </w:rPr>
        <w:t>nie pozostawiała jednak wątpliwości co do błędnego funkcjonowania systemu, mającego na celu ochronę skarżących przed poważnym, długotrwałym zaniedbaniem i nadużyciem. W konsekwencji Trybunał doszedł do wniosku,</w:t>
      </w:r>
      <w:r w:rsidRPr="004458AE">
        <w:rPr>
          <w:rFonts w:ascii="Arial" w:hAnsi="Arial" w:cs="Arial"/>
        </w:rPr>
        <w:t xml:space="preserve"> że </w:t>
      </w:r>
      <w:r w:rsidRPr="004458AE">
        <w:rPr>
          <w:rFonts w:ascii="Arial" w:hAnsi="Arial" w:cs="Arial"/>
          <w:b/>
        </w:rPr>
        <w:t xml:space="preserve">w sprawie doszło do naruszenia art. 3 Konwencji. </w:t>
      </w:r>
    </w:p>
    <w:p w14:paraId="394AC6A7" w14:textId="40F128B5" w:rsidR="000B214C" w:rsidRPr="004458AE" w:rsidRDefault="000B214C" w:rsidP="00D44BEE">
      <w:pPr>
        <w:spacing w:line="360" w:lineRule="auto"/>
        <w:jc w:val="both"/>
        <w:rPr>
          <w:rFonts w:ascii="Arial" w:hAnsi="Arial" w:cs="Arial"/>
          <w:b/>
        </w:rPr>
      </w:pPr>
      <w:r w:rsidRPr="004458AE">
        <w:rPr>
          <w:rFonts w:ascii="Arial" w:hAnsi="Arial" w:cs="Arial"/>
          <w:b/>
        </w:rPr>
        <w:t>[Tolerowanie przemocy wobec dziecka jako środka wychowawczego]</w:t>
      </w:r>
    </w:p>
    <w:p w14:paraId="37A7D536" w14:textId="3E7F020E" w:rsidR="00137353" w:rsidRPr="004458AE" w:rsidRDefault="000B214C" w:rsidP="003B3DD3">
      <w:pPr>
        <w:spacing w:line="360" w:lineRule="auto"/>
        <w:jc w:val="both"/>
        <w:rPr>
          <w:rFonts w:ascii="Arial" w:hAnsi="Arial" w:cs="Arial"/>
          <w:color w:val="0071BB"/>
        </w:rPr>
      </w:pPr>
      <w:r w:rsidRPr="004458AE">
        <w:rPr>
          <w:rFonts w:ascii="Arial" w:hAnsi="Arial" w:cs="Arial"/>
        </w:rPr>
        <w:t xml:space="preserve">W sprawie </w:t>
      </w:r>
      <w:r w:rsidRPr="004458AE">
        <w:rPr>
          <w:rFonts w:ascii="Arial" w:hAnsi="Arial" w:cs="Arial"/>
          <w:b/>
          <w:i/>
        </w:rPr>
        <w:t>A. przeciwko Wielkiej Brytanii</w:t>
      </w:r>
      <w:r w:rsidRPr="004458AE">
        <w:rPr>
          <w:rFonts w:ascii="Arial" w:hAnsi="Arial" w:cs="Arial"/>
          <w:b/>
        </w:rPr>
        <w:t xml:space="preserve"> (skarga nr 25599/94, wyrok z dnia 23 września 1998 roku) </w:t>
      </w:r>
      <w:r w:rsidRPr="004458AE">
        <w:rPr>
          <w:rFonts w:ascii="Arial" w:hAnsi="Arial" w:cs="Arial"/>
        </w:rPr>
        <w:t xml:space="preserve">Trybunał badał </w:t>
      </w:r>
      <w:r w:rsidR="00DE46DC">
        <w:rPr>
          <w:rFonts w:ascii="Arial" w:hAnsi="Arial" w:cs="Arial"/>
        </w:rPr>
        <w:t xml:space="preserve">kwestię </w:t>
      </w:r>
      <w:r w:rsidRPr="004458AE">
        <w:rPr>
          <w:rFonts w:ascii="Arial" w:hAnsi="Arial" w:cs="Arial"/>
        </w:rPr>
        <w:t>rzekomego bicia dziecka przez jego ojczyma, z punktu widzenia zarzucanych naruszeń art. 3 oraz art. 8 Konwencji. W sprawie tej</w:t>
      </w:r>
      <w:r w:rsidR="00F52CF6" w:rsidRPr="004458AE">
        <w:rPr>
          <w:rFonts w:ascii="Arial" w:hAnsi="Arial" w:cs="Arial"/>
        </w:rPr>
        <w:t xml:space="preserve"> skarżący </w:t>
      </w:r>
      <w:r w:rsidR="0029384A" w:rsidRPr="004458AE">
        <w:rPr>
          <w:rFonts w:ascii="Arial" w:hAnsi="Arial" w:cs="Arial"/>
        </w:rPr>
        <w:t xml:space="preserve">jako </w:t>
      </w:r>
      <w:r w:rsidR="00DE46DC">
        <w:rPr>
          <w:rFonts w:ascii="Arial" w:hAnsi="Arial" w:cs="Arial"/>
        </w:rPr>
        <w:br/>
      </w:r>
      <w:r w:rsidR="0029384A" w:rsidRPr="004458AE">
        <w:rPr>
          <w:rFonts w:ascii="Arial" w:hAnsi="Arial" w:cs="Arial"/>
        </w:rPr>
        <w:t>6</w:t>
      </w:r>
      <w:r w:rsidR="00DE46DC">
        <w:rPr>
          <w:rFonts w:ascii="Arial" w:hAnsi="Arial" w:cs="Arial"/>
        </w:rPr>
        <w:t xml:space="preserve"> -</w:t>
      </w:r>
      <w:r w:rsidR="0029384A" w:rsidRPr="004458AE">
        <w:rPr>
          <w:rFonts w:ascii="Arial" w:hAnsi="Arial" w:cs="Arial"/>
        </w:rPr>
        <w:t xml:space="preserve"> letni chłopiec</w:t>
      </w:r>
      <w:r w:rsidR="00F52CF6" w:rsidRPr="004458AE">
        <w:rPr>
          <w:rFonts w:ascii="Arial" w:hAnsi="Arial" w:cs="Arial"/>
        </w:rPr>
        <w:t xml:space="preserve">, </w:t>
      </w:r>
      <w:r w:rsidRPr="004458AE">
        <w:rPr>
          <w:rFonts w:ascii="Arial" w:hAnsi="Arial" w:cs="Arial"/>
        </w:rPr>
        <w:t xml:space="preserve">wspólnie ze swoim bratem, został zarejestrowany w lokalnym rejestrze ochrony dzieci, z uwagi na fakt nadużyć o charakterze fizycznym. Partner ich matki otrzymał bowiem ze strony Policji ostrzeżenie, po tym, jak przyznał, że uderzył skarżącego rózgą. Obaj chłopcy zostali jednak usunięci z rejestru </w:t>
      </w:r>
      <w:r w:rsidR="0029384A" w:rsidRPr="004458AE">
        <w:rPr>
          <w:rFonts w:ascii="Arial" w:hAnsi="Arial" w:cs="Arial"/>
        </w:rPr>
        <w:t>w następnym roku (</w:t>
      </w:r>
      <w:r w:rsidRPr="004458AE">
        <w:rPr>
          <w:rFonts w:ascii="Arial" w:hAnsi="Arial" w:cs="Arial"/>
        </w:rPr>
        <w:t>1991</w:t>
      </w:r>
      <w:r w:rsidR="00F52CF6" w:rsidRPr="004458AE">
        <w:rPr>
          <w:rFonts w:ascii="Arial" w:hAnsi="Arial" w:cs="Arial"/>
        </w:rPr>
        <w:t xml:space="preserve"> r</w:t>
      </w:r>
      <w:r w:rsidR="00BF4F4F">
        <w:rPr>
          <w:rFonts w:ascii="Arial" w:hAnsi="Arial" w:cs="Arial"/>
        </w:rPr>
        <w:t>oku</w:t>
      </w:r>
      <w:r w:rsidR="0029384A" w:rsidRPr="004458AE">
        <w:rPr>
          <w:rFonts w:ascii="Arial" w:hAnsi="Arial" w:cs="Arial"/>
        </w:rPr>
        <w:t>)</w:t>
      </w:r>
      <w:r w:rsidRPr="004458AE">
        <w:rPr>
          <w:rFonts w:ascii="Arial" w:hAnsi="Arial" w:cs="Arial"/>
        </w:rPr>
        <w:t xml:space="preserve">, a partner matki, po jej poślubieniu, stał się ich ojczymem. W lutym 1993 </w:t>
      </w:r>
      <w:r w:rsidR="00F52CF6" w:rsidRPr="004458AE">
        <w:rPr>
          <w:rFonts w:ascii="Arial" w:hAnsi="Arial" w:cs="Arial"/>
        </w:rPr>
        <w:t>r</w:t>
      </w:r>
      <w:r w:rsidR="00BF4F4F">
        <w:rPr>
          <w:rFonts w:ascii="Arial" w:hAnsi="Arial" w:cs="Arial"/>
        </w:rPr>
        <w:t>oku</w:t>
      </w:r>
      <w:r w:rsidR="00F52CF6" w:rsidRPr="004458AE">
        <w:rPr>
          <w:rFonts w:ascii="Arial" w:hAnsi="Arial" w:cs="Arial"/>
        </w:rPr>
        <w:t xml:space="preserve"> </w:t>
      </w:r>
      <w:r w:rsidRPr="004458AE">
        <w:rPr>
          <w:rFonts w:ascii="Arial" w:hAnsi="Arial" w:cs="Arial"/>
        </w:rPr>
        <w:t xml:space="preserve">szkoła zawiadomiła odpowiednie służby socjalne o tym, iż brat skarżącego ujawnił, że skarżący został uderzony przez ojczyma kijem. Ojczym został zatrzymany, a następnie uwolniony za kaucją. Badanie dziecka przez pediatrę ujawniło szereg obrażeń ciała, powstałych nie tylko w konsekwencji </w:t>
      </w:r>
      <w:r w:rsidR="00F52CF6" w:rsidRPr="004458AE">
        <w:rPr>
          <w:rFonts w:ascii="Arial" w:hAnsi="Arial" w:cs="Arial"/>
        </w:rPr>
        <w:t xml:space="preserve">tego </w:t>
      </w:r>
      <w:r w:rsidRPr="004458AE">
        <w:rPr>
          <w:rFonts w:ascii="Arial" w:hAnsi="Arial" w:cs="Arial"/>
        </w:rPr>
        <w:t xml:space="preserve">jednorazowego zdarzenia. Ojczym skarżącego został oskarżony o spowodowanie </w:t>
      </w:r>
      <w:r w:rsidR="0029384A" w:rsidRPr="004458AE">
        <w:rPr>
          <w:rFonts w:ascii="Arial" w:hAnsi="Arial" w:cs="Arial"/>
        </w:rPr>
        <w:t xml:space="preserve">tych </w:t>
      </w:r>
      <w:r w:rsidRPr="004458AE">
        <w:rPr>
          <w:rFonts w:ascii="Arial" w:hAnsi="Arial" w:cs="Arial"/>
        </w:rPr>
        <w:t>obrażeń</w:t>
      </w:r>
      <w:r w:rsidR="00F52CF6" w:rsidRPr="004458AE">
        <w:rPr>
          <w:rFonts w:ascii="Arial" w:hAnsi="Arial" w:cs="Arial"/>
        </w:rPr>
        <w:t>, jednak</w:t>
      </w:r>
      <w:r w:rsidR="00FD6622" w:rsidRPr="004458AE">
        <w:rPr>
          <w:rFonts w:ascii="Arial" w:hAnsi="Arial" w:cs="Arial"/>
        </w:rPr>
        <w:t>że</w:t>
      </w:r>
      <w:r w:rsidR="00F52CF6" w:rsidRPr="004458AE">
        <w:rPr>
          <w:rFonts w:ascii="Arial" w:hAnsi="Arial" w:cs="Arial"/>
        </w:rPr>
        <w:t xml:space="preserve"> </w:t>
      </w:r>
      <w:r w:rsidR="00FD6622" w:rsidRPr="004458AE">
        <w:rPr>
          <w:rFonts w:ascii="Arial" w:hAnsi="Arial" w:cs="Arial"/>
        </w:rPr>
        <w:t xml:space="preserve">został </w:t>
      </w:r>
      <w:r w:rsidRPr="004458AE">
        <w:rPr>
          <w:rFonts w:ascii="Arial" w:hAnsi="Arial" w:cs="Arial"/>
        </w:rPr>
        <w:t>uniewinni</w:t>
      </w:r>
      <w:r w:rsidR="00FD6622" w:rsidRPr="004458AE">
        <w:rPr>
          <w:rFonts w:ascii="Arial" w:hAnsi="Arial" w:cs="Arial"/>
        </w:rPr>
        <w:t>ony</w:t>
      </w:r>
      <w:r w:rsidRPr="004458AE">
        <w:rPr>
          <w:rFonts w:ascii="Arial" w:hAnsi="Arial" w:cs="Arial"/>
        </w:rPr>
        <w:t xml:space="preserve">, </w:t>
      </w:r>
      <w:r w:rsidR="00F52CF6" w:rsidRPr="004458AE">
        <w:rPr>
          <w:rFonts w:ascii="Arial" w:hAnsi="Arial" w:cs="Arial"/>
        </w:rPr>
        <w:t xml:space="preserve">ponieważ </w:t>
      </w:r>
      <w:r w:rsidRPr="004458AE">
        <w:rPr>
          <w:rFonts w:ascii="Arial" w:hAnsi="Arial" w:cs="Arial"/>
        </w:rPr>
        <w:t>ława przysięgłych uznała, że oskarżenie nie dowiodło, że sposób postępowani</w:t>
      </w:r>
      <w:r w:rsidR="00FD6622" w:rsidRPr="004458AE">
        <w:rPr>
          <w:rFonts w:ascii="Arial" w:hAnsi="Arial" w:cs="Arial"/>
        </w:rPr>
        <w:t xml:space="preserve">a </w:t>
      </w:r>
      <w:r w:rsidRPr="004458AE">
        <w:rPr>
          <w:rFonts w:ascii="Arial" w:hAnsi="Arial" w:cs="Arial"/>
        </w:rPr>
        <w:t>ojczyma nie stanowił zgodnego z prawem środka wychowawczego, stosowanego wobec chłopca sprawiającego poważne problemy wychowawcze.</w:t>
      </w:r>
      <w:r w:rsidR="0029384A" w:rsidRPr="004458AE">
        <w:rPr>
          <w:rFonts w:ascii="Arial" w:hAnsi="Arial" w:cs="Arial"/>
        </w:rPr>
        <w:t xml:space="preserve"> </w:t>
      </w:r>
      <w:r w:rsidRPr="004458AE">
        <w:rPr>
          <w:rFonts w:ascii="Arial" w:hAnsi="Arial" w:cs="Arial"/>
        </w:rPr>
        <w:t xml:space="preserve">Trybunał, </w:t>
      </w:r>
      <w:r w:rsidR="00F746D1" w:rsidRPr="004458AE">
        <w:rPr>
          <w:rFonts w:ascii="Arial" w:hAnsi="Arial" w:cs="Arial"/>
        </w:rPr>
        <w:t xml:space="preserve">po </w:t>
      </w:r>
      <w:r w:rsidRPr="004458AE">
        <w:rPr>
          <w:rFonts w:ascii="Arial" w:hAnsi="Arial" w:cs="Arial"/>
        </w:rPr>
        <w:t>rozpozna</w:t>
      </w:r>
      <w:r w:rsidR="00F746D1" w:rsidRPr="004458AE">
        <w:rPr>
          <w:rFonts w:ascii="Arial" w:hAnsi="Arial" w:cs="Arial"/>
        </w:rPr>
        <w:t xml:space="preserve">niu </w:t>
      </w:r>
      <w:r w:rsidRPr="004458AE">
        <w:rPr>
          <w:rFonts w:ascii="Arial" w:hAnsi="Arial" w:cs="Arial"/>
        </w:rPr>
        <w:t>t</w:t>
      </w:r>
      <w:r w:rsidR="00F746D1" w:rsidRPr="004458AE">
        <w:rPr>
          <w:rFonts w:ascii="Arial" w:hAnsi="Arial" w:cs="Arial"/>
        </w:rPr>
        <w:t xml:space="preserve">ej </w:t>
      </w:r>
      <w:r w:rsidRPr="004458AE">
        <w:rPr>
          <w:rFonts w:ascii="Arial" w:hAnsi="Arial" w:cs="Arial"/>
        </w:rPr>
        <w:t>spraw</w:t>
      </w:r>
      <w:r w:rsidR="00F746D1" w:rsidRPr="004458AE">
        <w:rPr>
          <w:rFonts w:ascii="Arial" w:hAnsi="Arial" w:cs="Arial"/>
        </w:rPr>
        <w:t>y</w:t>
      </w:r>
      <w:r w:rsidRPr="004458AE">
        <w:rPr>
          <w:rFonts w:ascii="Arial" w:hAnsi="Arial" w:cs="Arial"/>
        </w:rPr>
        <w:t>, uznał w pierwszej kolejności, że zachowanie polegające na biciu dziewięcioletniego chłopca kijem ogrodowym ze</w:t>
      </w:r>
      <w:r w:rsidR="0029384A" w:rsidRPr="004458AE">
        <w:rPr>
          <w:rFonts w:ascii="Arial" w:hAnsi="Arial" w:cs="Arial"/>
        </w:rPr>
        <w:t xml:space="preserve"> </w:t>
      </w:r>
      <w:r w:rsidRPr="004458AE">
        <w:rPr>
          <w:rFonts w:ascii="Arial" w:hAnsi="Arial" w:cs="Arial"/>
        </w:rPr>
        <w:t xml:space="preserve">znaczną siłą, przy więcej niż jednej okazji, osiągnęło poziom natężenia mieszczący się w zakresie stosowania art. 3 Konwencji. Następnie stanął przed wyzwaniem dokonania oceny, czy za bicie skarżącego przez jego ojczyma można pociągnąć do odpowiedzialności państwo. Trybunał zaznaczył, że ówczesne prawo angielskie przewidywało możliwość powołania się przez sprawcę na element karcenia małoletniego, a to na oskarżycielu spoczywał wówczas ciężar udowodnienia ponad uzasadnioną wątpliwość, że określone zachowanie wykraczało poza jego granice. W </w:t>
      </w:r>
      <w:r w:rsidR="00F746D1" w:rsidRPr="004458AE">
        <w:rPr>
          <w:rFonts w:ascii="Arial" w:hAnsi="Arial" w:cs="Arial"/>
        </w:rPr>
        <w:t>postępowaniu krajowym</w:t>
      </w:r>
      <w:r w:rsidRPr="004458AE">
        <w:rPr>
          <w:rFonts w:ascii="Arial" w:hAnsi="Arial" w:cs="Arial"/>
        </w:rPr>
        <w:t>, pomimo tego, iż skarżący został poddany traktowaniu na tyle poważnemu, by mogło być uznan</w:t>
      </w:r>
      <w:r w:rsidR="00F746D1" w:rsidRPr="004458AE">
        <w:rPr>
          <w:rFonts w:ascii="Arial" w:hAnsi="Arial" w:cs="Arial"/>
        </w:rPr>
        <w:t>e</w:t>
      </w:r>
      <w:r w:rsidRPr="004458AE">
        <w:rPr>
          <w:rFonts w:ascii="Arial" w:hAnsi="Arial" w:cs="Arial"/>
        </w:rPr>
        <w:t xml:space="preserve"> za mieszczące się w zakresie art. 3 Konwencji, ława przysięgłych uniewinniła jego ojczyma. </w:t>
      </w:r>
      <w:r w:rsidR="0029384A" w:rsidRPr="004458AE">
        <w:rPr>
          <w:rFonts w:ascii="Arial" w:hAnsi="Arial" w:cs="Arial"/>
        </w:rPr>
        <w:t xml:space="preserve">W tej sprawie </w:t>
      </w:r>
      <w:r w:rsidR="008E574F" w:rsidRPr="004458AE">
        <w:rPr>
          <w:rFonts w:ascii="Arial" w:hAnsi="Arial" w:cs="Arial"/>
          <w:b/>
        </w:rPr>
        <w:t>T</w:t>
      </w:r>
      <w:r w:rsidRPr="004458AE">
        <w:rPr>
          <w:rFonts w:ascii="Arial" w:hAnsi="Arial" w:cs="Arial"/>
          <w:b/>
        </w:rPr>
        <w:t>rybunał</w:t>
      </w:r>
      <w:r w:rsidR="0029384A" w:rsidRPr="004458AE">
        <w:rPr>
          <w:rFonts w:ascii="Arial" w:hAnsi="Arial" w:cs="Arial"/>
          <w:b/>
        </w:rPr>
        <w:t xml:space="preserve"> uznał, że </w:t>
      </w:r>
      <w:r w:rsidRPr="004458AE">
        <w:rPr>
          <w:rFonts w:ascii="Arial" w:hAnsi="Arial" w:cs="Arial"/>
          <w:b/>
        </w:rPr>
        <w:lastRenderedPageBreak/>
        <w:t xml:space="preserve">skoro prawo nie zapewnia skarżącemu adekwatnej ochrony przeciwko traktowaniu czy karaniu sprzecznemu z art. 3 Konwencji, </w:t>
      </w:r>
      <w:r w:rsidR="00F746D1" w:rsidRPr="004458AE">
        <w:rPr>
          <w:rFonts w:ascii="Arial" w:hAnsi="Arial" w:cs="Arial"/>
          <w:b/>
        </w:rPr>
        <w:t xml:space="preserve">to </w:t>
      </w:r>
      <w:r w:rsidRPr="004458AE">
        <w:rPr>
          <w:rFonts w:ascii="Arial" w:hAnsi="Arial" w:cs="Arial"/>
          <w:b/>
        </w:rPr>
        <w:t>w konsekwencji doszło do naruszenia</w:t>
      </w:r>
      <w:r w:rsidR="00F746D1" w:rsidRPr="004458AE">
        <w:rPr>
          <w:rFonts w:ascii="Arial" w:hAnsi="Arial" w:cs="Arial"/>
          <w:b/>
        </w:rPr>
        <w:t xml:space="preserve"> tego przepisu</w:t>
      </w:r>
      <w:r w:rsidRPr="004458AE">
        <w:rPr>
          <w:rFonts w:ascii="Arial" w:hAnsi="Arial" w:cs="Arial"/>
          <w:b/>
        </w:rPr>
        <w:t xml:space="preserve">. </w:t>
      </w:r>
    </w:p>
    <w:p w14:paraId="0A4F4F2B" w14:textId="4016C44E" w:rsidR="003B3DD3" w:rsidRDefault="003B3DD3" w:rsidP="003B3DD3">
      <w:pPr>
        <w:pStyle w:val="Tekstpodstawowy"/>
        <w:spacing w:line="360" w:lineRule="auto"/>
        <w:ind w:left="0"/>
        <w:rPr>
          <w:rFonts w:ascii="Arial" w:hAnsi="Arial" w:cs="Arial"/>
          <w:b/>
          <w:bCs/>
          <w:sz w:val="22"/>
          <w:szCs w:val="22"/>
        </w:rPr>
      </w:pPr>
      <w:r>
        <w:rPr>
          <w:rFonts w:ascii="Arial" w:hAnsi="Arial" w:cs="Arial"/>
        </w:rPr>
        <w:t xml:space="preserve">W </w:t>
      </w:r>
      <w:r w:rsidR="00432340" w:rsidRPr="0077732A">
        <w:rPr>
          <w:rFonts w:ascii="Arial" w:hAnsi="Arial" w:cs="Arial"/>
          <w:sz w:val="22"/>
          <w:szCs w:val="22"/>
        </w:rPr>
        <w:t xml:space="preserve">wyroku z dnia </w:t>
      </w:r>
      <w:r w:rsidR="00432340" w:rsidRPr="0077732A">
        <w:rPr>
          <w:rFonts w:ascii="Arial" w:hAnsi="Arial" w:cs="Arial"/>
          <w:b/>
          <w:bCs/>
          <w:sz w:val="22"/>
          <w:szCs w:val="22"/>
        </w:rPr>
        <w:t>3 października 2017 r</w:t>
      </w:r>
      <w:r w:rsidR="00BF4F4F">
        <w:rPr>
          <w:rFonts w:ascii="Arial" w:hAnsi="Arial" w:cs="Arial"/>
          <w:b/>
          <w:bCs/>
          <w:sz w:val="22"/>
          <w:szCs w:val="22"/>
        </w:rPr>
        <w:t>oku</w:t>
      </w:r>
      <w:r w:rsidR="00432340" w:rsidRPr="0077732A">
        <w:rPr>
          <w:rFonts w:ascii="Arial" w:hAnsi="Arial" w:cs="Arial"/>
          <w:sz w:val="22"/>
          <w:szCs w:val="22"/>
        </w:rPr>
        <w:t xml:space="preserve"> w sprawie </w:t>
      </w:r>
      <w:hyperlink r:id="rId42">
        <w:r w:rsidR="00137353" w:rsidRPr="00BF4F4F">
          <w:rPr>
            <w:rFonts w:ascii="Arial" w:hAnsi="Arial" w:cs="Arial"/>
            <w:i/>
            <w:iCs/>
            <w:sz w:val="22"/>
            <w:szCs w:val="22"/>
          </w:rPr>
          <w:t>D.M.D. przeciwko Rumunii</w:t>
        </w:r>
        <w:r w:rsidR="00137353" w:rsidRPr="00BF4F4F">
          <w:rPr>
            <w:rFonts w:ascii="Arial" w:hAnsi="Arial" w:cs="Arial"/>
            <w:sz w:val="22"/>
            <w:szCs w:val="22"/>
          </w:rPr>
          <w:t xml:space="preserve"> (skarga nr 23022/13)</w:t>
        </w:r>
      </w:hyperlink>
      <w:r w:rsidR="0077732A" w:rsidRPr="0077732A">
        <w:rPr>
          <w:rFonts w:ascii="Arial" w:hAnsi="Arial" w:cs="Arial"/>
          <w:b/>
          <w:bCs/>
          <w:sz w:val="22"/>
          <w:szCs w:val="22"/>
        </w:rPr>
        <w:t xml:space="preserve"> </w:t>
      </w:r>
      <w:r w:rsidR="0077732A" w:rsidRPr="0077732A">
        <w:rPr>
          <w:rFonts w:ascii="Arial" w:hAnsi="Arial" w:cs="Arial"/>
          <w:sz w:val="22"/>
          <w:szCs w:val="22"/>
        </w:rPr>
        <w:t xml:space="preserve">- omówionym powyżej w zarówno w kontekście standardu pozytywnego obowiązku państwa zapewnienia niezwłocznej I aktywnej ochrony ofiarom przemocy (w tym dzieciom) oraz prawa do odszkodowania przysługującego ofiarom przemocy </w:t>
      </w:r>
      <w:r w:rsidR="0077732A">
        <w:rPr>
          <w:rFonts w:ascii="Arial" w:hAnsi="Arial" w:cs="Arial"/>
        </w:rPr>
        <w:t>–</w:t>
      </w:r>
      <w:r w:rsidR="0077732A" w:rsidRPr="0077732A">
        <w:rPr>
          <w:rFonts w:ascii="Arial" w:hAnsi="Arial" w:cs="Arial"/>
          <w:sz w:val="22"/>
          <w:szCs w:val="22"/>
        </w:rPr>
        <w:t xml:space="preserve"> </w:t>
      </w:r>
      <w:r w:rsidR="0077732A" w:rsidRPr="003B3DD3">
        <w:rPr>
          <w:rFonts w:ascii="Arial" w:hAnsi="Arial" w:cs="Arial"/>
          <w:b/>
          <w:bCs/>
        </w:rPr>
        <w:t xml:space="preserve">z negatywnym stanowiskiem </w:t>
      </w:r>
      <w:r w:rsidR="0077732A" w:rsidRPr="003B3DD3">
        <w:rPr>
          <w:rFonts w:ascii="Arial" w:hAnsi="Arial" w:cs="Arial"/>
          <w:b/>
          <w:bCs/>
          <w:sz w:val="22"/>
          <w:szCs w:val="22"/>
        </w:rPr>
        <w:t xml:space="preserve">Trybunału spotkało się stanowisko sądów krajowych, które zbagatelizowały cierpienie dziecka twierdząc, że "odizolowane i okazjonalne" akty przemocy w rodzinie mogą być tolerowane. Stanowisko to Trybunał uznał za oczywiście sprzeczne z Konwencją, zabraniającą w art. 3 nieludzkiego i poniżającego traktowania, do którego Trybunał zalicza kary cielesne wymierzane dzieciom jako kary naruszające </w:t>
      </w:r>
      <w:r w:rsidR="0077732A" w:rsidRPr="003B3DD3">
        <w:rPr>
          <w:rFonts w:ascii="Arial" w:hAnsi="Arial" w:cs="Arial"/>
          <w:b/>
          <w:bCs/>
        </w:rPr>
        <w:t xml:space="preserve">ich </w:t>
      </w:r>
      <w:r w:rsidR="0077732A" w:rsidRPr="003B3DD3">
        <w:rPr>
          <w:rFonts w:ascii="Arial" w:hAnsi="Arial" w:cs="Arial"/>
          <w:b/>
          <w:bCs/>
          <w:sz w:val="22"/>
          <w:szCs w:val="22"/>
        </w:rPr>
        <w:t xml:space="preserve">godność. </w:t>
      </w:r>
    </w:p>
    <w:p w14:paraId="678D4F8C" w14:textId="3D3F843A" w:rsidR="0077732A" w:rsidRPr="003B3DD3" w:rsidRDefault="003B3DD3" w:rsidP="003B3DD3">
      <w:pPr>
        <w:pStyle w:val="Tekstpodstawowy"/>
        <w:spacing w:after="240" w:line="360" w:lineRule="auto"/>
        <w:ind w:left="0"/>
        <w:rPr>
          <w:rFonts w:ascii="Arial" w:hAnsi="Arial" w:cs="Arial"/>
          <w:b/>
          <w:bCs/>
          <w:sz w:val="22"/>
          <w:szCs w:val="22"/>
        </w:rPr>
      </w:pPr>
      <w:r w:rsidRPr="003B3DD3">
        <w:rPr>
          <w:rFonts w:ascii="Arial" w:hAnsi="Arial" w:cs="Arial"/>
          <w:sz w:val="22"/>
          <w:szCs w:val="22"/>
        </w:rPr>
        <w:t xml:space="preserve">Trybunał orzekł obok naruszenia art. 6 (omówionego powyżej), </w:t>
      </w:r>
      <w:r w:rsidRPr="003B3DD3">
        <w:rPr>
          <w:rFonts w:ascii="Arial" w:hAnsi="Arial" w:cs="Arial"/>
          <w:b/>
          <w:bCs/>
          <w:sz w:val="22"/>
          <w:szCs w:val="22"/>
        </w:rPr>
        <w:t>że doszło do naruszenia art. 3 (zakaz nieludzkiego lub poniżającego traktowania) Konwencji, ponieważ dochodzenie w sprawie zarzutów dotyczących znęcania trwało zbyt długo i było obarczone innymi poważnymi uchybieniami. W tym względzie Trybunał przypomniał, że Układające się Państwa powinny dążyć do ochrony godności dzieci i że w praktyce wymaga to odpowiednich ram prawnych służących ochronie dzieci przed przemocą domową.</w:t>
      </w:r>
      <w:r w:rsidRPr="003B3DD3">
        <w:rPr>
          <w:rFonts w:ascii="Arial" w:hAnsi="Arial" w:cs="Arial"/>
          <w:sz w:val="22"/>
          <w:szCs w:val="22"/>
        </w:rPr>
        <w:t xml:space="preserve"> </w:t>
      </w:r>
      <w:r w:rsidRPr="004458AE">
        <w:rPr>
          <w:rFonts w:ascii="Arial" w:hAnsi="Arial" w:cs="Arial"/>
          <w:sz w:val="22"/>
          <w:szCs w:val="22"/>
        </w:rPr>
        <w:t>Z wyroku tego wynika</w:t>
      </w:r>
      <w:r>
        <w:rPr>
          <w:rFonts w:ascii="Arial" w:hAnsi="Arial" w:cs="Arial"/>
          <w:sz w:val="22"/>
          <w:szCs w:val="22"/>
        </w:rPr>
        <w:t xml:space="preserve"> również, że n</w:t>
      </w:r>
      <w:r w:rsidRPr="004458AE">
        <w:rPr>
          <w:rFonts w:ascii="Arial" w:hAnsi="Arial" w:cs="Arial"/>
          <w:sz w:val="22"/>
          <w:szCs w:val="22"/>
        </w:rPr>
        <w:t xml:space="preserve">a państwie-stronie Konwencji </w:t>
      </w:r>
      <w:r>
        <w:rPr>
          <w:rFonts w:ascii="Arial" w:hAnsi="Arial" w:cs="Arial"/>
          <w:sz w:val="22"/>
          <w:szCs w:val="22"/>
        </w:rPr>
        <w:br/>
      </w:r>
      <w:r w:rsidRPr="004458AE">
        <w:rPr>
          <w:rFonts w:ascii="Arial" w:hAnsi="Arial" w:cs="Arial"/>
          <w:sz w:val="22"/>
          <w:szCs w:val="22"/>
        </w:rPr>
        <w:t>spoczywa pozytywny obowiązek aktywnej ochrony osób narażonych na przemoc domową,</w:t>
      </w:r>
      <w:r>
        <w:rPr>
          <w:rFonts w:ascii="Arial" w:hAnsi="Arial" w:cs="Arial"/>
          <w:sz w:val="22"/>
          <w:szCs w:val="22"/>
        </w:rPr>
        <w:t xml:space="preserve"> a</w:t>
      </w:r>
      <w:r w:rsidRPr="004458AE">
        <w:rPr>
          <w:rFonts w:ascii="Arial" w:hAnsi="Arial" w:cs="Arial"/>
          <w:sz w:val="22"/>
          <w:szCs w:val="22"/>
        </w:rPr>
        <w:t xml:space="preserve"> każdy akt przemocy fizycznej lub psychicznej w rodzinie stanowi naruszenie godności</w:t>
      </w:r>
      <w:r>
        <w:rPr>
          <w:rFonts w:ascii="Arial" w:hAnsi="Arial" w:cs="Arial"/>
          <w:sz w:val="22"/>
          <w:szCs w:val="22"/>
        </w:rPr>
        <w:t>.</w:t>
      </w:r>
    </w:p>
    <w:p w14:paraId="69EB2B4B" w14:textId="6778DF1A" w:rsidR="00A152DC" w:rsidRPr="004458AE" w:rsidRDefault="00A152DC" w:rsidP="003C482F">
      <w:pPr>
        <w:spacing w:line="360" w:lineRule="auto"/>
        <w:jc w:val="both"/>
        <w:rPr>
          <w:rFonts w:ascii="Arial" w:hAnsi="Arial" w:cs="Arial"/>
        </w:rPr>
      </w:pPr>
      <w:r w:rsidRPr="004458AE">
        <w:rPr>
          <w:rFonts w:ascii="Arial" w:hAnsi="Arial" w:cs="Arial"/>
          <w:b/>
          <w:bCs/>
        </w:rPr>
        <w:t>[Naruszenie obowiązku izolacji ofiar przemocy od ich sprawcy lub podejmowania działań zmierzających do</w:t>
      </w:r>
      <w:r w:rsidRPr="004458AE">
        <w:rPr>
          <w:rFonts w:ascii="Arial" w:hAnsi="Arial" w:cs="Arial"/>
          <w:b/>
          <w:bCs/>
          <w:color w:val="000000" w:themeColor="text1"/>
        </w:rPr>
        <w:t xml:space="preserve"> umożliwienia ofiarom przemocy domowej pozostania </w:t>
      </w:r>
      <w:r w:rsidRPr="004458AE">
        <w:rPr>
          <w:rFonts w:ascii="Arial" w:hAnsi="Arial" w:cs="Arial"/>
          <w:b/>
          <w:bCs/>
          <w:color w:val="000000" w:themeColor="text1"/>
        </w:rPr>
        <w:br/>
        <w:t>w swoich domach</w:t>
      </w:r>
      <w:r w:rsidR="003C482F">
        <w:rPr>
          <w:rFonts w:ascii="Arial" w:hAnsi="Arial" w:cs="Arial"/>
          <w:b/>
          <w:bCs/>
          <w:color w:val="000000" w:themeColor="text1"/>
        </w:rPr>
        <w:t xml:space="preserve">] </w:t>
      </w:r>
    </w:p>
    <w:p w14:paraId="7DE8DE3E" w14:textId="01349F5D" w:rsidR="00A152DC" w:rsidRDefault="00A152DC" w:rsidP="00A152DC">
      <w:pPr>
        <w:pStyle w:val="Tekstpodstawowy"/>
        <w:spacing w:after="240" w:line="360" w:lineRule="auto"/>
        <w:ind w:left="0"/>
        <w:contextualSpacing/>
        <w:rPr>
          <w:rFonts w:ascii="Arial" w:hAnsi="Arial" w:cs="Arial"/>
          <w:sz w:val="22"/>
          <w:szCs w:val="22"/>
        </w:rPr>
      </w:pPr>
      <w:r w:rsidRPr="004458AE">
        <w:rPr>
          <w:rFonts w:ascii="Arial" w:hAnsi="Arial" w:cs="Arial"/>
          <w:sz w:val="22"/>
          <w:szCs w:val="22"/>
        </w:rPr>
        <w:t>W kontekście zagadnienia dotyczącego konieczności izolacji ofiar przemocy od ich sprawcy wskazując, należy przede wszystkim odnotować w</w:t>
      </w:r>
      <w:r w:rsidRPr="00BF4F4F">
        <w:rPr>
          <w:rFonts w:ascii="Arial" w:hAnsi="Arial" w:cs="Arial"/>
          <w:b/>
          <w:bCs/>
          <w:sz w:val="22"/>
          <w:szCs w:val="22"/>
        </w:rPr>
        <w:t>yrok Trybunału z 15 września 2009 r</w:t>
      </w:r>
      <w:r w:rsidR="00BF4F4F" w:rsidRPr="00BF4F4F">
        <w:rPr>
          <w:rFonts w:ascii="Arial" w:hAnsi="Arial" w:cs="Arial"/>
          <w:b/>
          <w:bCs/>
          <w:sz w:val="22"/>
          <w:szCs w:val="22"/>
        </w:rPr>
        <w:t>oku</w:t>
      </w:r>
      <w:r w:rsidRPr="00BF4F4F">
        <w:rPr>
          <w:rFonts w:ascii="Arial" w:hAnsi="Arial" w:cs="Arial"/>
          <w:b/>
          <w:bCs/>
          <w:sz w:val="22"/>
          <w:szCs w:val="22"/>
        </w:rPr>
        <w:t xml:space="preserve"> </w:t>
      </w:r>
      <w:r w:rsidRPr="00BF4F4F">
        <w:rPr>
          <w:rFonts w:ascii="Arial" w:hAnsi="Arial" w:cs="Arial"/>
          <w:b/>
          <w:bCs/>
          <w:sz w:val="22"/>
          <w:szCs w:val="22"/>
        </w:rPr>
        <w:br/>
        <w:t xml:space="preserve">w sprawie </w:t>
      </w:r>
      <w:r w:rsidRPr="004458AE">
        <w:rPr>
          <w:rFonts w:ascii="Arial" w:hAnsi="Arial" w:cs="Arial"/>
          <w:b/>
          <w:bCs/>
          <w:i/>
          <w:iCs/>
          <w:sz w:val="22"/>
          <w:szCs w:val="22"/>
        </w:rPr>
        <w:t>E.S. przeciwko Słowacji</w:t>
      </w:r>
      <w:r w:rsidRPr="004458AE">
        <w:rPr>
          <w:rFonts w:ascii="Arial" w:hAnsi="Arial" w:cs="Arial"/>
          <w:b/>
          <w:bCs/>
          <w:sz w:val="22"/>
          <w:szCs w:val="22"/>
        </w:rPr>
        <w:t xml:space="preserve"> </w:t>
      </w:r>
      <w:r w:rsidRPr="00BF4F4F">
        <w:rPr>
          <w:rFonts w:ascii="Arial" w:hAnsi="Arial" w:cs="Arial"/>
          <w:sz w:val="22"/>
          <w:szCs w:val="22"/>
        </w:rPr>
        <w:t>(nr skargi 8227/04),</w:t>
      </w:r>
      <w:r w:rsidRPr="004458AE">
        <w:rPr>
          <w:rFonts w:ascii="Arial" w:hAnsi="Arial" w:cs="Arial"/>
          <w:sz w:val="22"/>
          <w:szCs w:val="22"/>
        </w:rPr>
        <w:t xml:space="preserve"> w którym skarżące – była żona wraz z dziećmi, wobec których były mąż oraz ojciec stosował przemoc, jak również dopuszczał się przestępstwa przeciwko wolności seksualnej </w:t>
      </w:r>
      <w:r w:rsidR="00C75058">
        <w:rPr>
          <w:rFonts w:ascii="Arial" w:hAnsi="Arial" w:cs="Arial"/>
          <w:sz w:val="22"/>
          <w:szCs w:val="22"/>
        </w:rPr>
        <w:t xml:space="preserve">w stosunku do </w:t>
      </w:r>
      <w:r w:rsidRPr="004458AE">
        <w:rPr>
          <w:rFonts w:ascii="Arial" w:hAnsi="Arial" w:cs="Arial"/>
          <w:sz w:val="22"/>
          <w:szCs w:val="22"/>
        </w:rPr>
        <w:t xml:space="preserve">jednej ze wspólnych córek – żądały przez długi czas bezskutecznie na poziomie krajowym odizolowania od sprawcy przemocy (wydania zabezpieczenia nakazującego skarżącemu opuszczenia wynajmowanego wspólnie lokalu). Pomimo tego, że mąż skarżącej został uznany winnym popełnienia obu przestępstw i skazany, wniosek skarżącej o nakazanie mężowi opuszczenia wspólnego mieszkania nie został uwzględniony przez sąd, z uwagi na fakt, iż sąd uznał, że nie może </w:t>
      </w:r>
      <w:r w:rsidRPr="004458AE">
        <w:rPr>
          <w:rFonts w:ascii="Arial" w:hAnsi="Arial" w:cs="Arial"/>
          <w:sz w:val="22"/>
          <w:szCs w:val="22"/>
        </w:rPr>
        <w:lastRenderedPageBreak/>
        <w:t xml:space="preserve">ingerować w dostęp męża do </w:t>
      </w:r>
      <w:r>
        <w:rPr>
          <w:rFonts w:ascii="Arial" w:hAnsi="Arial" w:cs="Arial"/>
          <w:sz w:val="22"/>
          <w:szCs w:val="22"/>
        </w:rPr>
        <w:t>mienia (</w:t>
      </w:r>
      <w:r w:rsidRPr="004458AE">
        <w:rPr>
          <w:rFonts w:ascii="Arial" w:hAnsi="Arial" w:cs="Arial"/>
          <w:sz w:val="22"/>
          <w:szCs w:val="22"/>
        </w:rPr>
        <w:t>lokalu</w:t>
      </w:r>
      <w:r>
        <w:rPr>
          <w:rFonts w:ascii="Arial" w:hAnsi="Arial" w:cs="Arial"/>
          <w:sz w:val="22"/>
          <w:szCs w:val="22"/>
        </w:rPr>
        <w:t>)</w:t>
      </w:r>
      <w:r w:rsidRPr="004458AE">
        <w:rPr>
          <w:rFonts w:ascii="Arial" w:hAnsi="Arial" w:cs="Arial"/>
          <w:sz w:val="22"/>
          <w:szCs w:val="22"/>
        </w:rPr>
        <w:t xml:space="preserve"> przed orzeczeniem rozwodu stron</w:t>
      </w:r>
      <w:r>
        <w:rPr>
          <w:rFonts w:ascii="Arial" w:hAnsi="Arial" w:cs="Arial"/>
          <w:sz w:val="22"/>
          <w:szCs w:val="22"/>
        </w:rPr>
        <w:t xml:space="preserve"> </w:t>
      </w:r>
      <w:r w:rsidRPr="004458AE">
        <w:rPr>
          <w:rFonts w:ascii="Arial" w:hAnsi="Arial" w:cs="Arial"/>
          <w:sz w:val="22"/>
          <w:szCs w:val="22"/>
        </w:rPr>
        <w:t>(skarżąca mogła rozwiązać umowę najmu dopiero po rozwodzie). Skarżąca i jej dzieci zostały faktycznie zmuszone do wyprowadzenia się z mieszkania i zamieszkania u rodziny</w:t>
      </w:r>
      <w:r w:rsidR="00BF4F4F">
        <w:rPr>
          <w:rFonts w:ascii="Arial" w:hAnsi="Arial" w:cs="Arial"/>
          <w:sz w:val="22"/>
          <w:szCs w:val="22"/>
        </w:rPr>
        <w:t xml:space="preserve">, </w:t>
      </w:r>
      <w:r w:rsidRPr="004458AE">
        <w:rPr>
          <w:rFonts w:ascii="Arial" w:hAnsi="Arial" w:cs="Arial"/>
          <w:sz w:val="22"/>
          <w:szCs w:val="22"/>
        </w:rPr>
        <w:t>z dala od swoich przyjaciół, a dwoje z dzieci musiało ponadto zmienić szkoły.</w:t>
      </w:r>
      <w:r>
        <w:rPr>
          <w:rFonts w:ascii="Arial" w:hAnsi="Arial" w:cs="Arial"/>
          <w:sz w:val="22"/>
          <w:szCs w:val="22"/>
        </w:rPr>
        <w:t xml:space="preserve"> </w:t>
      </w:r>
      <w:r w:rsidRPr="004458AE">
        <w:rPr>
          <w:rFonts w:ascii="Arial" w:hAnsi="Arial" w:cs="Arial"/>
          <w:sz w:val="22"/>
          <w:szCs w:val="22"/>
        </w:rPr>
        <w:t>Dopiero w 2003 r</w:t>
      </w:r>
      <w:r w:rsidR="00CB2141">
        <w:rPr>
          <w:rFonts w:ascii="Arial" w:hAnsi="Arial" w:cs="Arial"/>
          <w:sz w:val="22"/>
          <w:szCs w:val="22"/>
        </w:rPr>
        <w:t>oku</w:t>
      </w:r>
      <w:r w:rsidRPr="004458AE">
        <w:rPr>
          <w:rFonts w:ascii="Arial" w:hAnsi="Arial" w:cs="Arial"/>
          <w:sz w:val="22"/>
          <w:szCs w:val="22"/>
        </w:rPr>
        <w:t xml:space="preserve"> słowackie prawo zostało zmienione w sposób umożliwiający czasowe nakazanie opuszczenia wspólnie zamieszkiwanego lokalu przez osobę podejrzaną o stosowanie przemocy. </w:t>
      </w:r>
    </w:p>
    <w:p w14:paraId="05FF365E" w14:textId="0BBD6E98" w:rsidR="00A152DC" w:rsidRPr="006E56D9" w:rsidRDefault="00A152DC" w:rsidP="00A152DC">
      <w:pPr>
        <w:pStyle w:val="Tekstpodstawowy"/>
        <w:spacing w:after="240" w:line="360" w:lineRule="auto"/>
        <w:ind w:left="0"/>
        <w:contextualSpacing/>
        <w:rPr>
          <w:rFonts w:ascii="Arial" w:hAnsi="Arial" w:cs="Arial"/>
        </w:rPr>
      </w:pPr>
      <w:r w:rsidRPr="004458AE">
        <w:rPr>
          <w:rFonts w:ascii="Arial" w:hAnsi="Arial" w:cs="Arial"/>
          <w:sz w:val="22"/>
          <w:szCs w:val="22"/>
        </w:rPr>
        <w:t xml:space="preserve">Stwierdzając jednomyślnie naruszenie przez Słowację w okolicznościach tej sprawy </w:t>
      </w:r>
      <w:r w:rsidRPr="004458AE">
        <w:rPr>
          <w:rFonts w:ascii="Arial" w:hAnsi="Arial" w:cs="Arial"/>
          <w:b/>
          <w:bCs/>
          <w:sz w:val="22"/>
          <w:szCs w:val="22"/>
        </w:rPr>
        <w:t xml:space="preserve">art. 3 </w:t>
      </w:r>
      <w:r w:rsidRPr="004458AE">
        <w:rPr>
          <w:rFonts w:ascii="Arial" w:hAnsi="Arial" w:cs="Arial"/>
          <w:sz w:val="22"/>
          <w:szCs w:val="22"/>
        </w:rPr>
        <w:t xml:space="preserve"> </w:t>
      </w:r>
      <w:r w:rsidRPr="004458AE">
        <w:rPr>
          <w:rFonts w:ascii="Arial" w:hAnsi="Arial" w:cs="Arial"/>
          <w:b/>
          <w:sz w:val="22"/>
          <w:szCs w:val="22"/>
        </w:rPr>
        <w:t>i art. 8 Konwencji</w:t>
      </w:r>
      <w:r w:rsidRPr="004458AE">
        <w:rPr>
          <w:rFonts w:ascii="Arial" w:hAnsi="Arial" w:cs="Arial"/>
          <w:sz w:val="22"/>
          <w:szCs w:val="22"/>
        </w:rPr>
        <w:t xml:space="preserve"> Trybunał podniósł, ż</w:t>
      </w:r>
      <w:r>
        <w:rPr>
          <w:rFonts w:ascii="Arial" w:hAnsi="Arial" w:cs="Arial"/>
          <w:sz w:val="22"/>
          <w:szCs w:val="22"/>
        </w:rPr>
        <w:t>e</w:t>
      </w:r>
      <w:r w:rsidRPr="004458AE">
        <w:rPr>
          <w:rFonts w:ascii="Arial" w:hAnsi="Arial" w:cs="Arial"/>
          <w:sz w:val="22"/>
          <w:szCs w:val="22"/>
        </w:rPr>
        <w:t xml:space="preserve"> skarżąca nie mogła skutecznie domagać się odseparowania od sprawcy przemocy. Biorąc zaś pod uwagę charakter i surowość zarzutów formułowanych pod adresem męża, skarżąca i jej dzieci wymagały natychmiastowej ochrony, a nie podjęcia działań rok czy dwa lata po ujawnieniu się zarzutów.</w:t>
      </w:r>
      <w:r w:rsidRPr="004458AE">
        <w:rPr>
          <w:rFonts w:ascii="Arial" w:hAnsi="Arial" w:cs="Arial"/>
          <w:sz w:val="22"/>
          <w:szCs w:val="22"/>
          <w:shd w:val="clear" w:color="auto" w:fill="F5F5F5"/>
        </w:rPr>
        <w:t xml:space="preserve"> </w:t>
      </w:r>
      <w:r w:rsidRPr="004458AE">
        <w:rPr>
          <w:rFonts w:ascii="Arial" w:hAnsi="Arial" w:cs="Arial"/>
          <w:sz w:val="22"/>
          <w:szCs w:val="22"/>
        </w:rPr>
        <w:t xml:space="preserve">Trybunał stwierdził ponadto, że miało miejsce naruszenie </w:t>
      </w:r>
      <w:r w:rsidRPr="004458AE">
        <w:rPr>
          <w:rFonts w:ascii="Arial" w:hAnsi="Arial" w:cs="Arial"/>
          <w:b/>
          <w:bCs/>
          <w:sz w:val="22"/>
          <w:szCs w:val="22"/>
        </w:rPr>
        <w:t xml:space="preserve">art. 13 </w:t>
      </w:r>
      <w:r w:rsidRPr="004458AE">
        <w:rPr>
          <w:rFonts w:ascii="Arial" w:hAnsi="Arial" w:cs="Arial"/>
          <w:sz w:val="22"/>
          <w:szCs w:val="22"/>
        </w:rPr>
        <w:t xml:space="preserve">Konwencji, ponieważ w tym okresie pierwsza skarżąca nie dysponowała skutecznym środkiem odwoławczym, dzięki któremu mogłaby zapewnić sobie i swoim dzieciom ochronę przed działaniami swojego </w:t>
      </w:r>
      <w:r w:rsidRPr="006E56D9">
        <w:rPr>
          <w:rFonts w:ascii="Arial" w:hAnsi="Arial" w:cs="Arial"/>
          <w:sz w:val="22"/>
          <w:szCs w:val="22"/>
        </w:rPr>
        <w:t xml:space="preserve">byłego męża (§ 43). </w:t>
      </w:r>
    </w:p>
    <w:p w14:paraId="45C9F70C" w14:textId="6FFD7094" w:rsidR="00C75058" w:rsidRPr="00CB2141" w:rsidRDefault="00A152DC" w:rsidP="00CB2141">
      <w:pPr>
        <w:pStyle w:val="Tekstpodstawowy"/>
        <w:spacing w:after="240" w:line="360" w:lineRule="auto"/>
        <w:ind w:left="0"/>
        <w:contextualSpacing/>
        <w:rPr>
          <w:rFonts w:ascii="Arial" w:hAnsi="Arial" w:cs="Arial"/>
          <w:sz w:val="22"/>
          <w:szCs w:val="22"/>
        </w:rPr>
      </w:pPr>
      <w:r w:rsidRPr="006E56D9">
        <w:rPr>
          <w:rFonts w:ascii="Arial" w:hAnsi="Arial" w:cs="Arial"/>
          <w:sz w:val="22"/>
          <w:szCs w:val="22"/>
        </w:rPr>
        <w:t xml:space="preserve">Trybunał uznał, że </w:t>
      </w:r>
      <w:r>
        <w:rPr>
          <w:rFonts w:ascii="Arial" w:hAnsi="Arial" w:cs="Arial"/>
          <w:sz w:val="22"/>
          <w:szCs w:val="22"/>
        </w:rPr>
        <w:t xml:space="preserve">państwo </w:t>
      </w:r>
      <w:r w:rsidRPr="006E56D9">
        <w:rPr>
          <w:rFonts w:ascii="Arial" w:hAnsi="Arial" w:cs="Arial"/>
          <w:sz w:val="22"/>
          <w:szCs w:val="22"/>
        </w:rPr>
        <w:t>nie zapewnił</w:t>
      </w:r>
      <w:r>
        <w:rPr>
          <w:rFonts w:ascii="Arial" w:hAnsi="Arial" w:cs="Arial"/>
          <w:sz w:val="22"/>
          <w:szCs w:val="22"/>
        </w:rPr>
        <w:t>o</w:t>
      </w:r>
      <w:r w:rsidRPr="006E56D9">
        <w:rPr>
          <w:rFonts w:ascii="Arial" w:hAnsi="Arial" w:cs="Arial"/>
          <w:sz w:val="22"/>
          <w:szCs w:val="22"/>
        </w:rPr>
        <w:t xml:space="preserve"> skarżącej i jej dzieciom natychmiastowej ochrony przed przemocą ze strony jej męża, co stanowiło naruszenie art. 3 oraz art. 8 Konwencji. </w:t>
      </w:r>
      <w:r w:rsidR="00CB2141">
        <w:rPr>
          <w:rFonts w:ascii="Arial" w:hAnsi="Arial" w:cs="Arial"/>
          <w:sz w:val="22"/>
          <w:szCs w:val="22"/>
        </w:rPr>
        <w:t>W</w:t>
      </w:r>
      <w:r w:rsidRPr="002175F0">
        <w:rPr>
          <w:rFonts w:ascii="Arial" w:hAnsi="Arial" w:cs="Arial"/>
          <w:sz w:val="22"/>
          <w:szCs w:val="22"/>
        </w:rPr>
        <w:t xml:space="preserve"> okolicznościach przedmiotowej sprawy </w:t>
      </w:r>
      <w:r w:rsidRPr="002175F0">
        <w:rPr>
          <w:rFonts w:ascii="Arial" w:hAnsi="Arial" w:cs="Arial"/>
          <w:b/>
          <w:bCs/>
          <w:sz w:val="22"/>
          <w:szCs w:val="22"/>
        </w:rPr>
        <w:t xml:space="preserve">Trybunał podkreślił, że wydanie nakazu opuszczenia wspólnego mieszkania przez sprawcę powinno zapewniać natychmiastową ochronę ofiarom, natomiast zastosowanie go dopiero po pewnym czasie od pierwszych sygnałów o stosowaniu przemocy przez partnera stanowi naruszenie zakazu określonego w art. 3 Konwencji. </w:t>
      </w:r>
      <w:r w:rsidR="00C75058" w:rsidRPr="002175F0">
        <w:rPr>
          <w:rFonts w:ascii="Arial" w:hAnsi="Arial" w:cs="Arial"/>
          <w:b/>
          <w:bCs/>
          <w:sz w:val="22"/>
          <w:szCs w:val="22"/>
        </w:rPr>
        <w:t xml:space="preserve"> </w:t>
      </w:r>
    </w:p>
    <w:p w14:paraId="1DE9A675" w14:textId="703876BD" w:rsidR="00A152DC" w:rsidRPr="004458AE" w:rsidRDefault="00A152DC" w:rsidP="00A152DC">
      <w:pPr>
        <w:spacing w:line="360" w:lineRule="auto"/>
        <w:jc w:val="both"/>
        <w:rPr>
          <w:rFonts w:ascii="Arial" w:hAnsi="Arial" w:cs="Arial"/>
        </w:rPr>
      </w:pPr>
      <w:r w:rsidRPr="00A152DC">
        <w:rPr>
          <w:rFonts w:ascii="Arial" w:hAnsi="Arial" w:cs="Arial"/>
        </w:rPr>
        <w:t xml:space="preserve">Z kolei w sprawie </w:t>
      </w:r>
      <w:r w:rsidRPr="00A152DC">
        <w:rPr>
          <w:rFonts w:ascii="Arial" w:hAnsi="Arial" w:cs="Arial"/>
          <w:b/>
          <w:i/>
          <w:iCs/>
        </w:rPr>
        <w:t>A. przeciwko Ch</w:t>
      </w:r>
      <w:r w:rsidRPr="004458AE">
        <w:rPr>
          <w:rFonts w:ascii="Arial" w:hAnsi="Arial" w:cs="Arial"/>
          <w:b/>
          <w:i/>
          <w:iCs/>
        </w:rPr>
        <w:t>orwacji</w:t>
      </w:r>
      <w:r w:rsidRPr="004458AE">
        <w:rPr>
          <w:rFonts w:ascii="Arial" w:hAnsi="Arial" w:cs="Arial"/>
        </w:rPr>
        <w:t xml:space="preserve"> </w:t>
      </w:r>
      <w:r w:rsidRPr="00CB2141">
        <w:rPr>
          <w:rFonts w:ascii="Arial" w:hAnsi="Arial" w:cs="Arial"/>
          <w:bCs/>
        </w:rPr>
        <w:t>(skarga nr 55154/08),</w:t>
      </w:r>
      <w:r w:rsidRPr="004458AE">
        <w:rPr>
          <w:rFonts w:ascii="Arial" w:hAnsi="Arial" w:cs="Arial"/>
          <w:b/>
        </w:rPr>
        <w:t xml:space="preserve"> w wyroku </w:t>
      </w:r>
      <w:r w:rsidRPr="004458AE">
        <w:rPr>
          <w:rFonts w:ascii="Arial" w:hAnsi="Arial" w:cs="Arial"/>
          <w:b/>
        </w:rPr>
        <w:br/>
        <w:t>z 14 października 2010 r</w:t>
      </w:r>
      <w:r w:rsidR="00CB2141">
        <w:rPr>
          <w:rFonts w:ascii="Arial" w:hAnsi="Arial" w:cs="Arial"/>
          <w:b/>
        </w:rPr>
        <w:t>oku</w:t>
      </w:r>
      <w:r w:rsidRPr="004458AE">
        <w:rPr>
          <w:rFonts w:ascii="Arial" w:hAnsi="Arial" w:cs="Arial"/>
        </w:rPr>
        <w:t xml:space="preserve"> Trybunał stwierdził </w:t>
      </w:r>
      <w:r w:rsidRPr="004458AE">
        <w:rPr>
          <w:rFonts w:ascii="Arial" w:hAnsi="Arial" w:cs="Arial"/>
          <w:b/>
        </w:rPr>
        <w:t xml:space="preserve">naruszenie art. 8 Konwencji </w:t>
      </w:r>
      <w:r w:rsidRPr="004458AE">
        <w:rPr>
          <w:rFonts w:ascii="Arial" w:hAnsi="Arial" w:cs="Arial"/>
        </w:rPr>
        <w:t xml:space="preserve"> w sytuacji, w której były mąż skarżącej, cierpiący na schorzenia psychiczne, wielokrotnie powodował u niej obrażenia ciała oraz jej groził. Skarżąca, ukrywając się przed napastnikiem, złożyła do sądu wniosek o wydanie sądowego zakazu nękania jej i śledzenia. Sąd wniosku tego nie uwzględnił, wskazując, że skarżąca nie wykazała w sposób wystarczający bezpośredniego zagrożenia dla jej życia ze strony byłego męża.  </w:t>
      </w:r>
    </w:p>
    <w:p w14:paraId="27A39239" w14:textId="1538E130" w:rsidR="00A152DC" w:rsidRPr="004458AE" w:rsidRDefault="00A152DC" w:rsidP="00A152DC">
      <w:pPr>
        <w:pStyle w:val="Tekstpodstawowy"/>
        <w:spacing w:after="240" w:line="360" w:lineRule="auto"/>
        <w:ind w:left="0"/>
        <w:rPr>
          <w:rFonts w:ascii="Arial" w:hAnsi="Arial" w:cs="Arial"/>
          <w:sz w:val="22"/>
          <w:szCs w:val="22"/>
        </w:rPr>
      </w:pPr>
      <w:r w:rsidRPr="004458AE">
        <w:rPr>
          <w:rFonts w:ascii="Arial" w:hAnsi="Arial" w:cs="Arial"/>
          <w:sz w:val="22"/>
          <w:szCs w:val="22"/>
        </w:rPr>
        <w:t>Natomiast w wyroku z 24 października 2019 r</w:t>
      </w:r>
      <w:r w:rsidR="00CB2141">
        <w:rPr>
          <w:rFonts w:ascii="Arial" w:hAnsi="Arial" w:cs="Arial"/>
          <w:sz w:val="22"/>
          <w:szCs w:val="22"/>
        </w:rPr>
        <w:t>oku</w:t>
      </w:r>
      <w:r w:rsidRPr="004458AE">
        <w:rPr>
          <w:rFonts w:ascii="Arial" w:hAnsi="Arial" w:cs="Arial"/>
          <w:sz w:val="22"/>
          <w:szCs w:val="22"/>
        </w:rPr>
        <w:t xml:space="preserve"> w sprawie </w:t>
      </w:r>
      <w:r w:rsidRPr="004458AE">
        <w:rPr>
          <w:rFonts w:ascii="Arial" w:hAnsi="Arial" w:cs="Arial"/>
          <w:b/>
          <w:bCs/>
          <w:i/>
          <w:iCs/>
          <w:sz w:val="22"/>
          <w:szCs w:val="22"/>
        </w:rPr>
        <w:t xml:space="preserve">J.D. i A. przeciwko Zjednoczonemu Królestwu </w:t>
      </w:r>
      <w:r w:rsidRPr="00CB2141">
        <w:rPr>
          <w:rFonts w:ascii="Arial" w:hAnsi="Arial" w:cs="Arial"/>
          <w:sz w:val="22"/>
          <w:szCs w:val="22"/>
        </w:rPr>
        <w:t>(nr skarg 32949/17 i 34614/17)</w:t>
      </w:r>
      <w:r w:rsidRPr="004458AE">
        <w:rPr>
          <w:rFonts w:ascii="Arial" w:hAnsi="Arial" w:cs="Arial"/>
          <w:b/>
          <w:bCs/>
          <w:sz w:val="22"/>
          <w:szCs w:val="22"/>
        </w:rPr>
        <w:t xml:space="preserve"> </w:t>
      </w:r>
      <w:r w:rsidRPr="004458AE">
        <w:rPr>
          <w:rFonts w:ascii="Arial" w:hAnsi="Arial" w:cs="Arial"/>
          <w:sz w:val="22"/>
          <w:szCs w:val="22"/>
        </w:rPr>
        <w:t>Trybunał uznał, że w odniesieniu do skarżącej zagrożonej ekstremalną przemocą domową ze względu na płeć, która została objęta „Programem Sanktuarium” (</w:t>
      </w:r>
      <w:r w:rsidRPr="002175F0">
        <w:rPr>
          <w:rFonts w:ascii="Arial" w:hAnsi="Arial" w:cs="Arial"/>
          <w:i/>
          <w:iCs/>
          <w:sz w:val="22"/>
          <w:szCs w:val="22"/>
        </w:rPr>
        <w:t>„Sanctuary Scheme”</w:t>
      </w:r>
      <w:r w:rsidRPr="004458AE">
        <w:rPr>
          <w:rFonts w:ascii="Arial" w:hAnsi="Arial" w:cs="Arial"/>
          <w:sz w:val="22"/>
          <w:szCs w:val="22"/>
        </w:rPr>
        <w:t xml:space="preserve">), </w:t>
      </w:r>
      <w:r w:rsidRPr="004458AE">
        <w:rPr>
          <w:rFonts w:ascii="Arial" w:hAnsi="Arial" w:cs="Arial"/>
          <w:b/>
          <w:bCs/>
          <w:sz w:val="22"/>
          <w:szCs w:val="22"/>
        </w:rPr>
        <w:t>doszło do naruszenia art. 14</w:t>
      </w:r>
      <w:r w:rsidRPr="004458AE">
        <w:rPr>
          <w:rFonts w:ascii="Arial" w:hAnsi="Arial" w:cs="Arial"/>
          <w:sz w:val="22"/>
          <w:szCs w:val="22"/>
        </w:rPr>
        <w:t xml:space="preserve"> (zakaz dyskryminacji) Konwencji w związku </w:t>
      </w:r>
      <w:r w:rsidRPr="004458AE">
        <w:rPr>
          <w:rFonts w:ascii="Arial" w:hAnsi="Arial" w:cs="Arial"/>
          <w:b/>
          <w:bCs/>
          <w:sz w:val="22"/>
          <w:szCs w:val="22"/>
        </w:rPr>
        <w:t>z art. 1</w:t>
      </w:r>
      <w:r w:rsidRPr="004458AE">
        <w:rPr>
          <w:rFonts w:ascii="Arial" w:hAnsi="Arial" w:cs="Arial"/>
          <w:sz w:val="22"/>
          <w:szCs w:val="22"/>
        </w:rPr>
        <w:t xml:space="preserve"> (ochrona własności) </w:t>
      </w:r>
      <w:r w:rsidRPr="004458AE">
        <w:rPr>
          <w:rFonts w:ascii="Arial" w:hAnsi="Arial" w:cs="Arial"/>
          <w:b/>
          <w:bCs/>
          <w:sz w:val="22"/>
          <w:szCs w:val="22"/>
        </w:rPr>
        <w:t xml:space="preserve">Protokołu dodatkowego nr 1. </w:t>
      </w:r>
      <w:r w:rsidRPr="004458AE">
        <w:rPr>
          <w:rFonts w:ascii="Arial" w:hAnsi="Arial" w:cs="Arial"/>
          <w:sz w:val="22"/>
          <w:szCs w:val="22"/>
        </w:rPr>
        <w:t>W okolicznościach przedmiotowej sprawy objęcie drugiej skarżącej programem jw.</w:t>
      </w:r>
      <w:r w:rsidRPr="004458AE">
        <w:rPr>
          <w:rFonts w:ascii="Arial" w:hAnsi="Arial" w:cs="Arial"/>
          <w:b/>
          <w:bCs/>
          <w:sz w:val="22"/>
          <w:szCs w:val="22"/>
        </w:rPr>
        <w:t xml:space="preserve"> </w:t>
      </w:r>
      <w:r w:rsidRPr="004458AE">
        <w:rPr>
          <w:rFonts w:ascii="Arial" w:hAnsi="Arial" w:cs="Arial"/>
          <w:sz w:val="22"/>
          <w:szCs w:val="22"/>
        </w:rPr>
        <w:t xml:space="preserve">oznaczało między innymi, że dokonano pewnych adaptacji jej nieruchomości (w tym zainstalowano „pokój paniki” </w:t>
      </w:r>
      <w:r w:rsidRPr="005A308B">
        <w:rPr>
          <w:rFonts w:ascii="Arial" w:hAnsi="Arial" w:cs="Arial"/>
          <w:sz w:val="22"/>
          <w:szCs w:val="22"/>
        </w:rPr>
        <w:t>(</w:t>
      </w:r>
      <w:r w:rsidRPr="002175F0">
        <w:rPr>
          <w:rFonts w:ascii="Arial" w:hAnsi="Arial" w:cs="Arial"/>
          <w:i/>
          <w:iCs/>
          <w:sz w:val="22"/>
          <w:szCs w:val="22"/>
        </w:rPr>
        <w:t>„panic room”)</w:t>
      </w:r>
      <w:r w:rsidRPr="004458AE">
        <w:rPr>
          <w:rFonts w:ascii="Arial" w:hAnsi="Arial" w:cs="Arial"/>
          <w:sz w:val="22"/>
          <w:szCs w:val="22"/>
        </w:rPr>
        <w:t xml:space="preserve"> na strychu dla niej i jej syna, z którym </w:t>
      </w:r>
      <w:r w:rsidRPr="004458AE">
        <w:rPr>
          <w:rFonts w:ascii="Arial" w:hAnsi="Arial" w:cs="Arial"/>
          <w:sz w:val="22"/>
          <w:szCs w:val="22"/>
        </w:rPr>
        <w:lastRenderedPageBreak/>
        <w:t>mieszkała w domu z trzema sypialniami). Skarżąca twierdziła, że ​​nowe przepisy dotyczące zasiłków mieszkaniowych w sektorze zakwaterowania socjalnego (nieformalnie zwane „podatkiem od sypialni” (</w:t>
      </w:r>
      <w:r w:rsidRPr="002175F0">
        <w:rPr>
          <w:rFonts w:ascii="Arial" w:hAnsi="Arial" w:cs="Arial"/>
          <w:i/>
          <w:iCs/>
          <w:sz w:val="22"/>
          <w:szCs w:val="22"/>
        </w:rPr>
        <w:t>„the bedroom tax</w:t>
      </w:r>
      <w:r w:rsidRPr="004458AE">
        <w:rPr>
          <w:rFonts w:ascii="Arial" w:hAnsi="Arial" w:cs="Arial"/>
          <w:sz w:val="22"/>
          <w:szCs w:val="22"/>
        </w:rPr>
        <w:t xml:space="preserve">”) są dla niej dyskryminujące ze względu na jej szczególną sytuację jako ofiary przemocy na tle płciowym. Trybunał zauważył w szczególności, że cel regulacji, aby zachęcić ludzi do przeprowadzki, był w konflikcie z celem Programu Sanktuarium polegającym na umożliwieniu ofiarom przemocy uwarunkowanej płcią pozostania w ich domach. </w:t>
      </w:r>
      <w:r w:rsidRPr="004458AE">
        <w:rPr>
          <w:rFonts w:ascii="Arial" w:hAnsi="Arial" w:cs="Arial"/>
          <w:b/>
          <w:bCs/>
          <w:sz w:val="22"/>
          <w:szCs w:val="22"/>
        </w:rPr>
        <w:t xml:space="preserve">Taki </w:t>
      </w:r>
      <w:r w:rsidRPr="00CB2141">
        <w:rPr>
          <w:rFonts w:ascii="Arial" w:hAnsi="Arial" w:cs="Arial"/>
          <w:b/>
          <w:bCs/>
          <w:sz w:val="22"/>
          <w:szCs w:val="22"/>
        </w:rPr>
        <w:t>sam</w:t>
      </w:r>
      <w:r w:rsidRPr="004458AE">
        <w:rPr>
          <w:rFonts w:ascii="Arial" w:hAnsi="Arial" w:cs="Arial"/>
          <w:sz w:val="22"/>
          <w:szCs w:val="22"/>
        </w:rPr>
        <w:t xml:space="preserve"> </w:t>
      </w:r>
      <w:r w:rsidRPr="004458AE">
        <w:rPr>
          <w:rFonts w:ascii="Arial" w:hAnsi="Arial" w:cs="Arial"/>
          <w:b/>
          <w:bCs/>
          <w:sz w:val="22"/>
          <w:szCs w:val="22"/>
        </w:rPr>
        <w:t xml:space="preserve">sposób traktowania skarżącej, </w:t>
      </w:r>
      <w:r w:rsidRPr="004458AE">
        <w:rPr>
          <w:rFonts w:ascii="Arial" w:hAnsi="Arial" w:cs="Arial"/>
          <w:sz w:val="22"/>
          <w:szCs w:val="22"/>
        </w:rPr>
        <w:t>jak innych (podlegających nowym przepisom dotyczącym zasiłków mieszkaniowych),</w:t>
      </w:r>
      <w:r w:rsidRPr="004458AE">
        <w:rPr>
          <w:rFonts w:ascii="Arial" w:hAnsi="Arial" w:cs="Arial"/>
          <w:b/>
          <w:bCs/>
          <w:sz w:val="22"/>
          <w:szCs w:val="22"/>
        </w:rPr>
        <w:t xml:space="preserve"> Trybunał uznał za nieproporcjonalny, ponieważ nie był zgodny z uzasadnionym celem zastosowanego środka. </w:t>
      </w:r>
      <w:r w:rsidRPr="004458AE">
        <w:rPr>
          <w:rFonts w:ascii="Arial" w:hAnsi="Arial" w:cs="Arial"/>
          <w:sz w:val="22"/>
          <w:szCs w:val="22"/>
        </w:rPr>
        <w:t xml:space="preserve">Ponadto Trybunał zwrócił uwagę, że </w:t>
      </w:r>
      <w:r w:rsidRPr="004458AE">
        <w:rPr>
          <w:rFonts w:ascii="Arial" w:hAnsi="Arial" w:cs="Arial"/>
          <w:b/>
          <w:bCs/>
          <w:sz w:val="22"/>
          <w:szCs w:val="22"/>
        </w:rPr>
        <w:t xml:space="preserve">rząd Zjednoczonego Królestwa nie przedstawił żadnych istotnych powodów uzasadniających priorytetowe traktowanie celu programu w stosunku do umożliwienia ofiarom przemocy domowej pozostania w swoich domach. </w:t>
      </w:r>
    </w:p>
    <w:p w14:paraId="492D65A1" w14:textId="050E1328" w:rsidR="00A152DC" w:rsidRPr="004458AE" w:rsidRDefault="00A152DC" w:rsidP="00A152DC">
      <w:pPr>
        <w:pStyle w:val="Tekstpodstawowy"/>
        <w:spacing w:line="360" w:lineRule="auto"/>
        <w:ind w:left="0"/>
        <w:rPr>
          <w:rFonts w:ascii="Arial" w:eastAsia="Times New Roman" w:hAnsi="Arial" w:cs="Arial"/>
          <w:b/>
          <w:bCs/>
          <w:color w:val="000000"/>
          <w:sz w:val="22"/>
          <w:szCs w:val="22"/>
          <w:lang w:eastAsia="en-US"/>
        </w:rPr>
      </w:pPr>
      <w:r>
        <w:rPr>
          <w:rFonts w:ascii="Arial" w:hAnsi="Arial" w:cs="Arial"/>
          <w:sz w:val="22"/>
          <w:szCs w:val="22"/>
        </w:rPr>
        <w:t>W</w:t>
      </w:r>
      <w:r w:rsidRPr="004458AE">
        <w:rPr>
          <w:rFonts w:ascii="Arial" w:hAnsi="Arial" w:cs="Arial"/>
          <w:sz w:val="22"/>
          <w:szCs w:val="22"/>
        </w:rPr>
        <w:t xml:space="preserve">yrok Trybunału </w:t>
      </w:r>
      <w:r w:rsidRPr="004458AE">
        <w:rPr>
          <w:rFonts w:ascii="Arial" w:hAnsi="Arial" w:cs="Arial"/>
          <w:b/>
          <w:bCs/>
          <w:sz w:val="22"/>
          <w:szCs w:val="22"/>
        </w:rPr>
        <w:t>z 24 kwietnia 2012 r</w:t>
      </w:r>
      <w:r w:rsidR="00CB2141">
        <w:rPr>
          <w:rFonts w:ascii="Arial" w:hAnsi="Arial" w:cs="Arial"/>
          <w:b/>
          <w:bCs/>
          <w:sz w:val="22"/>
          <w:szCs w:val="22"/>
        </w:rPr>
        <w:t>oku</w:t>
      </w:r>
      <w:r w:rsidRPr="004458AE">
        <w:rPr>
          <w:rFonts w:ascii="Arial" w:hAnsi="Arial" w:cs="Arial"/>
          <w:b/>
          <w:bCs/>
          <w:sz w:val="22"/>
          <w:szCs w:val="22"/>
        </w:rPr>
        <w:t xml:space="preserve"> w sprawie </w:t>
      </w:r>
      <w:hyperlink r:id="rId43">
        <w:r w:rsidRPr="004458AE">
          <w:rPr>
            <w:rFonts w:ascii="Arial" w:hAnsi="Arial" w:cs="Arial"/>
            <w:b/>
            <w:bCs/>
            <w:i/>
            <w:iCs/>
            <w:sz w:val="22"/>
            <w:szCs w:val="22"/>
          </w:rPr>
          <w:t>Kalucza przeciwko Węgrom</w:t>
        </w:r>
      </w:hyperlink>
      <w:r w:rsidRPr="004458AE">
        <w:rPr>
          <w:rFonts w:ascii="Arial" w:hAnsi="Arial" w:cs="Arial"/>
          <w:sz w:val="22"/>
          <w:szCs w:val="22"/>
        </w:rPr>
        <w:t xml:space="preserve"> </w:t>
      </w:r>
      <w:r w:rsidRPr="00CB2141">
        <w:rPr>
          <w:rFonts w:ascii="Arial" w:hAnsi="Arial" w:cs="Arial"/>
          <w:sz w:val="22"/>
          <w:szCs w:val="22"/>
        </w:rPr>
        <w:t xml:space="preserve">(nr skargi 57693/10) </w:t>
      </w:r>
      <w:r w:rsidRPr="004458AE">
        <w:rPr>
          <w:rFonts w:ascii="Arial" w:hAnsi="Arial" w:cs="Arial"/>
          <w:sz w:val="22"/>
          <w:szCs w:val="22"/>
        </w:rPr>
        <w:t xml:space="preserve">dotyczył </w:t>
      </w:r>
      <w:r w:rsidRPr="004458AE">
        <w:rPr>
          <w:rFonts w:ascii="Arial" w:eastAsia="Times New Roman" w:hAnsi="Arial" w:cs="Arial"/>
          <w:sz w:val="22"/>
          <w:szCs w:val="22"/>
          <w:lang w:eastAsia="en-US"/>
        </w:rPr>
        <w:t>eksmisji z powodu stosowania przemocy domowej przez agresywnego konkubenta, z którym sk</w:t>
      </w:r>
      <w:r w:rsidRPr="004458AE">
        <w:rPr>
          <w:rFonts w:ascii="Arial" w:hAnsi="Arial" w:cs="Arial"/>
          <w:sz w:val="22"/>
          <w:szCs w:val="22"/>
        </w:rPr>
        <w:t xml:space="preserve">arżąca, wbrew swojej woli, dzieliła swoje mieszkanie </w:t>
      </w:r>
      <w:r w:rsidRPr="004458AE">
        <w:rPr>
          <w:rFonts w:ascii="Arial" w:hAnsi="Arial" w:cs="Arial"/>
          <w:sz w:val="22"/>
          <w:szCs w:val="22"/>
        </w:rPr>
        <w:br/>
        <w:t xml:space="preserve">w oczekiwaniu na rozstrzygnięcie licznych sporów cywilnych dotyczących własności mieszkania. Skarżąca zarzuciła w szczególności, że władze węgierskie nie zapewniły jej ochrony przed </w:t>
      </w:r>
      <w:r w:rsidRPr="004458AE">
        <w:rPr>
          <w:rFonts w:ascii="Arial" w:eastAsia="Times New Roman" w:hAnsi="Arial" w:cs="Arial"/>
          <w:color w:val="000000"/>
          <w:sz w:val="22"/>
          <w:szCs w:val="22"/>
          <w:lang w:eastAsia="en-US"/>
        </w:rPr>
        <w:t xml:space="preserve">ciągłym nękaniem jej fizycznym i psychicznym w jej domu. </w:t>
      </w:r>
      <w:r w:rsidRPr="004458AE">
        <w:rPr>
          <w:rFonts w:ascii="Arial" w:hAnsi="Arial" w:cs="Arial"/>
          <w:sz w:val="22"/>
          <w:szCs w:val="22"/>
        </w:rPr>
        <w:t xml:space="preserve">W tej sprawie Trybunał, odnosząc się do jej szczególnych okoliczności, przyjął do wiadomości uwagi rządu węgierskiego, że skarżąca nie podjęła działań w związku z jej skargami karnymi oraz że nie zwróciła się do sądów krajowych o ochronę jej mienia. Zauważył jednak, że skarżąca skorzystała z kilku innych środków przewidzianych w prawie krajowym. Postępowania zainicjowane powtarzającymi się wnioskami o wydanie zakazu zbliżania się oraz powództwo cywilne o nakazanie konkubentowi opuszczenie mieszkania, mogłyby w istocie, w przypadku pozytywnego ich rozpoznania, doprowadzić do usunięcia, chociażby tymczasowo konkubenta z mieszkania, w którym skarżąca mieszka. W tym względzie </w:t>
      </w:r>
      <w:r w:rsidRPr="004458AE">
        <w:rPr>
          <w:rFonts w:ascii="Arial" w:hAnsi="Arial" w:cs="Arial"/>
          <w:b/>
          <w:bCs/>
          <w:sz w:val="22"/>
          <w:szCs w:val="22"/>
        </w:rPr>
        <w:t xml:space="preserve">Trybunał przypomniał, że </w:t>
      </w:r>
      <w:r w:rsidRPr="004458AE">
        <w:rPr>
          <w:rFonts w:ascii="Arial" w:hAnsi="Arial" w:cs="Arial"/>
          <w:b/>
          <w:bCs/>
          <w:sz w:val="22"/>
          <w:szCs w:val="22"/>
        </w:rPr>
        <w:br/>
        <w:t>w przypadku istnienia szeregu krajowych środków odwoławczych, które dana osoba fizyczna może zastosować, ma ona prawo dokonać wyboru środka odpowiadającego jej zasadniczemu roszczeniu. Innymi słowy, w przypadku zastosowania jednego środka, nie jest wymagane użycie innego środka, który ma zasadniczo ten sam cel</w:t>
      </w:r>
      <w:r w:rsidR="003C4508">
        <w:rPr>
          <w:rFonts w:ascii="Arial" w:hAnsi="Arial" w:cs="Arial"/>
          <w:b/>
          <w:bCs/>
          <w:sz w:val="22"/>
          <w:szCs w:val="22"/>
        </w:rPr>
        <w:t xml:space="preserve">. </w:t>
      </w:r>
      <w:r w:rsidRPr="004458AE">
        <w:rPr>
          <w:rStyle w:val="sb8d990e2"/>
          <w:rFonts w:ascii="Arial" w:hAnsi="Arial" w:cs="Arial"/>
          <w:sz w:val="22"/>
          <w:szCs w:val="22"/>
        </w:rPr>
        <w:t xml:space="preserve">Ponadto </w:t>
      </w:r>
      <w:r w:rsidRPr="004458AE">
        <w:rPr>
          <w:rFonts w:ascii="Arial" w:hAnsi="Arial" w:cs="Arial"/>
          <w:sz w:val="22"/>
          <w:szCs w:val="22"/>
        </w:rPr>
        <w:t xml:space="preserve">Trybunał zauważył, że przed sądami krajowymi pomiędzy skarżącą </w:t>
      </w:r>
      <w:r w:rsidR="003C4508">
        <w:rPr>
          <w:rFonts w:ascii="Arial" w:hAnsi="Arial" w:cs="Arial"/>
          <w:sz w:val="22"/>
          <w:szCs w:val="22"/>
        </w:rPr>
        <w:t>i</w:t>
      </w:r>
      <w:r w:rsidRPr="004458AE">
        <w:rPr>
          <w:rFonts w:ascii="Arial" w:hAnsi="Arial" w:cs="Arial"/>
          <w:sz w:val="22"/>
          <w:szCs w:val="22"/>
        </w:rPr>
        <w:t xml:space="preserve"> jej konkubentem toczą się trzy odrębne postępowania cywilne, z których wszystkie zostały zawieszone do czasu rozstrzygnięcia kolejnego sporu cywilnego. </w:t>
      </w:r>
      <w:r w:rsidRPr="004458AE">
        <w:rPr>
          <w:rFonts w:ascii="Arial" w:hAnsi="Arial" w:cs="Arial"/>
          <w:color w:val="333333"/>
          <w:sz w:val="22"/>
          <w:szCs w:val="22"/>
        </w:rPr>
        <w:t xml:space="preserve">Główną kwestią w niniejszej sprawie było to, czy państwo wypełniło swój pozytywny obowiązek ochrony integralności fizycznej skarżącej przed zagrożeniem ze strony jej byłego konkubenta. </w:t>
      </w:r>
      <w:r w:rsidRPr="004458AE">
        <w:rPr>
          <w:rFonts w:ascii="Arial" w:hAnsi="Arial" w:cs="Arial"/>
          <w:sz w:val="22"/>
          <w:szCs w:val="22"/>
        </w:rPr>
        <w:t xml:space="preserve">Trybunał uważał zatem, że w przypadku </w:t>
      </w:r>
      <w:r w:rsidRPr="004458AE">
        <w:rPr>
          <w:rFonts w:ascii="Arial" w:hAnsi="Arial" w:cs="Arial"/>
          <w:sz w:val="22"/>
          <w:szCs w:val="22"/>
        </w:rPr>
        <w:lastRenderedPageBreak/>
        <w:t xml:space="preserve">skarżącej korzystanie z dodatkowego powództwa cywilnego w celu ochrony jej posiadania byłoby zbędne. </w:t>
      </w:r>
      <w:r w:rsidRPr="004458AE">
        <w:rPr>
          <w:rFonts w:ascii="Arial" w:hAnsi="Arial" w:cs="Arial"/>
          <w:color w:val="333333"/>
          <w:sz w:val="22"/>
          <w:szCs w:val="22"/>
        </w:rPr>
        <w:t xml:space="preserve">Skarżąca wbrew swojej woli dzieli z tą osobą dom, co utrudnia fakt, że ich stosunki pogorszyły się do tego stopnia, że spory - w tym wzajemne napaści słowne i fizyczne - odbywają się regularnie. Dotychczas składane powództwa cywilne skarżącej oraz jej skargi karne były bezskuteczne. W związku z tym Trybunał uznał, że nie ma wątpliwości co do tego, że zdarzenia będące podstawą niniejszej skargi dotyczą sfery życia prywatnego w rozumieniu art. 8 Konwencji i w szczególności przyjął, </w:t>
      </w:r>
      <w:r w:rsidRPr="004458AE">
        <w:rPr>
          <w:rFonts w:ascii="Arial" w:eastAsia="Times New Roman" w:hAnsi="Arial" w:cs="Arial"/>
          <w:color w:val="000000"/>
          <w:sz w:val="22"/>
          <w:szCs w:val="22"/>
          <w:lang w:eastAsia="en-US"/>
        </w:rPr>
        <w:t xml:space="preserve">że </w:t>
      </w:r>
      <w:r w:rsidRPr="004458AE">
        <w:rPr>
          <w:rFonts w:ascii="Arial" w:hAnsi="Arial" w:cs="Arial"/>
          <w:b/>
          <w:bCs/>
          <w:sz w:val="22"/>
          <w:szCs w:val="22"/>
        </w:rPr>
        <w:t xml:space="preserve">chociaż </w:t>
      </w:r>
      <w:r w:rsidRPr="004458AE">
        <w:rPr>
          <w:rFonts w:ascii="Arial" w:eastAsia="Times New Roman" w:hAnsi="Arial" w:cs="Arial"/>
          <w:b/>
          <w:bCs/>
          <w:color w:val="000000"/>
          <w:sz w:val="22"/>
          <w:szCs w:val="22"/>
          <w:lang w:eastAsia="en-US"/>
        </w:rPr>
        <w:t xml:space="preserve">skarżąca wszczęła postępowanie </w:t>
      </w:r>
      <w:r w:rsidRPr="004458AE">
        <w:rPr>
          <w:rFonts w:ascii="Arial" w:eastAsia="Times New Roman" w:hAnsi="Arial" w:cs="Arial"/>
          <w:b/>
          <w:bCs/>
          <w:color w:val="000000"/>
          <w:sz w:val="22"/>
          <w:szCs w:val="22"/>
          <w:lang w:eastAsia="en-US"/>
        </w:rPr>
        <w:br/>
        <w:t xml:space="preserve">w sprawie karnej przeciwko partnerowi o napaść, wielokrotnie wnioskowała </w:t>
      </w:r>
      <w:r w:rsidRPr="004458AE">
        <w:rPr>
          <w:rFonts w:ascii="Arial" w:eastAsia="Times New Roman" w:hAnsi="Arial" w:cs="Arial"/>
          <w:b/>
          <w:bCs/>
          <w:color w:val="000000"/>
          <w:sz w:val="22"/>
          <w:szCs w:val="22"/>
          <w:lang w:eastAsia="en-US"/>
        </w:rPr>
        <w:br/>
        <w:t xml:space="preserve">o zastosowanie wobec niego zakazu zbliżania się do niej oraz wszczęła postępowanie cywilne w przedmiocie jego eksmisji z mieszkania, władze krajowe nie podjęły wystarczających działań w celu zapewnienia jej skutecznej ochrony. </w:t>
      </w:r>
      <w:r w:rsidRPr="004458AE">
        <w:rPr>
          <w:rFonts w:ascii="Arial" w:eastAsia="Times New Roman" w:hAnsi="Arial" w:cs="Arial"/>
          <w:color w:val="000000"/>
          <w:sz w:val="22"/>
          <w:szCs w:val="22"/>
          <w:lang w:eastAsia="en-US"/>
        </w:rPr>
        <w:t>Trybunał równocześnie podkreślił, że jego zadaniem nie jest zastępowanie właściwych organów krajowych w określaniu najwłaściwszych metod ochrony osób przed atakami na ich integralność osobistą, lecz raczej kontrola decyzji na mocy Konwencji, które organy te podjęły w ramach wykonywania uprawnień do oceny. Ponadto Trybunał podkreślił, że jest świadomy, że w razie orzeczenia wobec jednostki zakazu zbliżania się, interes ochrony integralności fizycznej jednej osoby stoi w sprzeczności z prawem do wolności drugiej osoby.</w:t>
      </w:r>
      <w:r w:rsidRPr="004458AE">
        <w:rPr>
          <w:rFonts w:ascii="Arial" w:eastAsia="Times New Roman" w:hAnsi="Arial" w:cs="Arial"/>
          <w:b/>
          <w:bCs/>
          <w:color w:val="000000"/>
          <w:sz w:val="22"/>
          <w:szCs w:val="22"/>
          <w:lang w:eastAsia="en-US"/>
        </w:rPr>
        <w:t xml:space="preserve"> </w:t>
      </w:r>
    </w:p>
    <w:p w14:paraId="6DA0B1EB" w14:textId="3E2FCC3B" w:rsidR="00A152DC" w:rsidRPr="004458AE" w:rsidRDefault="00A152DC" w:rsidP="00A152DC">
      <w:pPr>
        <w:pStyle w:val="Tekstpodstawowy"/>
        <w:spacing w:line="360" w:lineRule="auto"/>
        <w:ind w:left="0"/>
        <w:rPr>
          <w:rFonts w:ascii="Arial" w:eastAsia="Times New Roman" w:hAnsi="Arial" w:cs="Arial"/>
          <w:color w:val="000000"/>
          <w:sz w:val="22"/>
          <w:szCs w:val="22"/>
          <w:lang w:eastAsia="en-US"/>
        </w:rPr>
      </w:pPr>
      <w:r w:rsidRPr="004458AE">
        <w:rPr>
          <w:rFonts w:ascii="Arial" w:eastAsia="Times New Roman" w:hAnsi="Arial" w:cs="Arial"/>
          <w:color w:val="000000"/>
          <w:sz w:val="22"/>
          <w:szCs w:val="22"/>
          <w:lang w:eastAsia="en-US"/>
        </w:rPr>
        <w:t>Niezależnie od powyższego, Trybunał uznał za uderzające, że władze potrzebowały ponad półtora roku na podjęcie decyzji w sprawie pierwszego wniosku o wydanie nakazu zbliżania. Okoliczność, że skarżąca nie pojawiła się na pierwszej rozprawie i że jej konkubent złożył wniosek o odroczenie innej rozprawy nie może uzasadniać nieracjonalnie długiego czasu trwania postępowania.</w:t>
      </w:r>
      <w:r w:rsidR="003C4508">
        <w:rPr>
          <w:rFonts w:ascii="Arial" w:eastAsia="Times New Roman" w:hAnsi="Arial" w:cs="Arial"/>
          <w:color w:val="000000"/>
          <w:sz w:val="22"/>
          <w:szCs w:val="22"/>
          <w:lang w:eastAsia="en-US"/>
        </w:rPr>
        <w:t xml:space="preserve"> </w:t>
      </w:r>
      <w:r w:rsidRPr="004458AE">
        <w:rPr>
          <w:rFonts w:ascii="Arial" w:eastAsia="Times New Roman" w:hAnsi="Arial" w:cs="Arial"/>
          <w:b/>
          <w:bCs/>
          <w:color w:val="000000"/>
          <w:sz w:val="22"/>
          <w:szCs w:val="22"/>
          <w:lang w:eastAsia="en-US"/>
        </w:rPr>
        <w:t xml:space="preserve">Celem takiego środka jest zapewnienie ofiarom przemocy natychmiastowej lub przynajmniej szybkiej ochrony. </w:t>
      </w:r>
      <w:r w:rsidRPr="004458AE">
        <w:rPr>
          <w:rFonts w:ascii="Arial" w:eastAsia="Times New Roman" w:hAnsi="Arial" w:cs="Arial"/>
          <w:color w:val="000000"/>
          <w:sz w:val="22"/>
          <w:szCs w:val="22"/>
          <w:lang w:eastAsia="en-US"/>
        </w:rPr>
        <w:t xml:space="preserve">Nawet jeśli wniosek zostanie ostatecznie odrzucony, decyzja powinna zostać podjęta niezwłocznie. Problem ten pogłębia jeszcze brak ustawowych terminów do podejmowania takich decyzji. W odniesieniu do oddalenia wniosków skarżącej o zastosowanie zakazu zbliżania, </w:t>
      </w:r>
      <w:r w:rsidRPr="004458AE">
        <w:rPr>
          <w:rFonts w:ascii="Arial" w:eastAsia="Times New Roman" w:hAnsi="Arial" w:cs="Arial"/>
          <w:b/>
          <w:bCs/>
          <w:color w:val="000000"/>
          <w:sz w:val="22"/>
          <w:szCs w:val="22"/>
          <w:lang w:eastAsia="en-US"/>
        </w:rPr>
        <w:t>Trybunał uznał, że sądy krajowe nie uzasadniły swoich decyzji w wystarczający sposób.</w:t>
      </w:r>
      <w:r w:rsidRPr="004458AE">
        <w:rPr>
          <w:rFonts w:ascii="Arial" w:eastAsia="Times New Roman" w:hAnsi="Arial" w:cs="Arial"/>
          <w:color w:val="000000"/>
          <w:sz w:val="22"/>
          <w:szCs w:val="22"/>
          <w:lang w:eastAsia="en-US"/>
        </w:rPr>
        <w:t xml:space="preserve"> W obu przypadkach sądy odwołały się do przebiegu rozpraw przeprowadzonych w tej sprawie, ale poza stwierdzeniem, że złe relacje w tym związku można przypisać obu stronom oraz że nie zostały spełnione warunki wydania zakazu zbliżania się, sądy nie przedstawiły na piśmie konkretnych powodów uzasadniających ich decyzję. </w:t>
      </w:r>
      <w:r w:rsidRPr="004458AE">
        <w:rPr>
          <w:rFonts w:ascii="Arial" w:eastAsia="Times New Roman" w:hAnsi="Arial" w:cs="Arial"/>
          <w:b/>
          <w:bCs/>
          <w:color w:val="000000"/>
          <w:sz w:val="22"/>
          <w:szCs w:val="22"/>
          <w:lang w:eastAsia="en-US"/>
        </w:rPr>
        <w:t xml:space="preserve">Zdaniem Trybunału, gdyby nie można było wydać nakazu zbliżania w przypadkach wzajemnych napaści, to cel zapewnienia skutecznej ochrony ofiarom przemocy zostałby poważnie naruszony. </w:t>
      </w:r>
      <w:r w:rsidRPr="004458AE">
        <w:rPr>
          <w:rFonts w:ascii="Arial" w:eastAsia="Times New Roman" w:hAnsi="Arial" w:cs="Arial"/>
          <w:color w:val="000000"/>
          <w:sz w:val="22"/>
          <w:szCs w:val="22"/>
          <w:lang w:eastAsia="en-US"/>
        </w:rPr>
        <w:t xml:space="preserve">Na tym etapie nie można wykluczyć, </w:t>
      </w:r>
      <w:r w:rsidRPr="004458AE">
        <w:rPr>
          <w:rFonts w:ascii="Arial" w:eastAsia="Times New Roman" w:hAnsi="Arial" w:cs="Arial"/>
          <w:color w:val="000000"/>
          <w:sz w:val="22"/>
          <w:szCs w:val="22"/>
          <w:lang w:eastAsia="en-US"/>
        </w:rPr>
        <w:br/>
        <w:t xml:space="preserve">że ofiara działała w uzasadnionej obronie własnej. Rozumowanie sądu krajowego, zgodnie </w:t>
      </w:r>
      <w:r w:rsidRPr="004458AE">
        <w:rPr>
          <w:rFonts w:ascii="Arial" w:eastAsia="Times New Roman" w:hAnsi="Arial" w:cs="Arial"/>
          <w:color w:val="000000"/>
          <w:sz w:val="22"/>
          <w:szCs w:val="22"/>
          <w:lang w:eastAsia="en-US"/>
        </w:rPr>
        <w:br/>
        <w:t xml:space="preserve">z którym zakaz zbliżania się nie mógł zostać wydany ze względu na udział strony pokrzywdzonej, w jest zatem nie do przyjęcia. Ponadto </w:t>
      </w:r>
      <w:r w:rsidRPr="004458AE">
        <w:rPr>
          <w:rFonts w:ascii="Arial" w:eastAsia="Times New Roman" w:hAnsi="Arial" w:cs="Arial"/>
          <w:b/>
          <w:bCs/>
          <w:color w:val="000000"/>
          <w:sz w:val="22"/>
          <w:szCs w:val="22"/>
          <w:lang w:eastAsia="en-US"/>
        </w:rPr>
        <w:t xml:space="preserve">w przypadku stron, które dopuszczają się wzajemnej przemocy, powinny być wydawane nakazy zbliżania się </w:t>
      </w:r>
      <w:r w:rsidR="00846F19">
        <w:rPr>
          <w:rFonts w:ascii="Arial" w:eastAsia="Times New Roman" w:hAnsi="Arial" w:cs="Arial"/>
          <w:b/>
          <w:bCs/>
          <w:color w:val="000000"/>
          <w:sz w:val="22"/>
          <w:szCs w:val="22"/>
          <w:lang w:eastAsia="en-US"/>
        </w:rPr>
        <w:br/>
      </w:r>
      <w:r w:rsidRPr="004458AE">
        <w:rPr>
          <w:rFonts w:ascii="Arial" w:eastAsia="Times New Roman" w:hAnsi="Arial" w:cs="Arial"/>
          <w:b/>
          <w:bCs/>
          <w:color w:val="000000"/>
          <w:sz w:val="22"/>
          <w:szCs w:val="22"/>
          <w:lang w:eastAsia="en-US"/>
        </w:rPr>
        <w:lastRenderedPageBreak/>
        <w:t>w odniesieniu do obu stron w celu zapobieżenia kontaktom między nimi.</w:t>
      </w:r>
    </w:p>
    <w:p w14:paraId="48D67BCE" w14:textId="1DAE735F" w:rsidR="00A152DC" w:rsidRPr="004458AE" w:rsidRDefault="00A152DC" w:rsidP="00A152DC">
      <w:pPr>
        <w:pStyle w:val="Tekstpodstawowy"/>
        <w:spacing w:line="360" w:lineRule="auto"/>
        <w:ind w:left="0"/>
        <w:rPr>
          <w:rFonts w:ascii="Arial" w:eastAsia="Times New Roman" w:hAnsi="Arial" w:cs="Arial"/>
          <w:color w:val="000000"/>
          <w:sz w:val="22"/>
          <w:szCs w:val="22"/>
          <w:lang w:eastAsia="en-US"/>
        </w:rPr>
      </w:pPr>
      <w:r w:rsidRPr="004458AE">
        <w:rPr>
          <w:rFonts w:ascii="Arial" w:eastAsia="Times New Roman" w:hAnsi="Arial" w:cs="Arial"/>
          <w:color w:val="000000"/>
          <w:sz w:val="22"/>
          <w:szCs w:val="22"/>
          <w:lang w:eastAsia="en-US"/>
        </w:rPr>
        <w:t xml:space="preserve">Przyznając, że ustawodawca może zgodnie z prawem dążyć do ochrony osób pozostających w szczególnych, uznanych związkach, Trybunał zauważył, że zgodnie z prawem krajowym, skarżąca została wyłączona z ochrony przewidzianej w Ustawie „o zakazie zbliżania się </w:t>
      </w:r>
      <w:r w:rsidR="00846F19">
        <w:rPr>
          <w:rFonts w:ascii="Arial" w:eastAsia="Times New Roman" w:hAnsi="Arial" w:cs="Arial"/>
          <w:color w:val="000000"/>
          <w:sz w:val="22"/>
          <w:szCs w:val="22"/>
          <w:lang w:eastAsia="en-US"/>
        </w:rPr>
        <w:br/>
      </w:r>
      <w:r w:rsidRPr="004458AE">
        <w:rPr>
          <w:rFonts w:ascii="Arial" w:eastAsia="Times New Roman" w:hAnsi="Arial" w:cs="Arial"/>
          <w:color w:val="000000"/>
          <w:sz w:val="22"/>
          <w:szCs w:val="22"/>
          <w:lang w:eastAsia="en-US"/>
        </w:rPr>
        <w:t xml:space="preserve">z powodu przemocy wśród krewnych” z uwagi na to, że sprawcą jest jej były konkubent, a ich związek nie był zarejestrowany przez władze. Na zakończenie Trybunał zwrócił uwagę na to, że o ile toczące się przed sądami krajowymi trzy różne postępowania cywilne dotyczące przedmiotowego mieszkania teoretycznie mogłyby wyeliminować źródło problemu, którym jest zamieszkiwanie byłego konkubenta w przedmiotowym mieszkaniu wbrew woli skarżącej, </w:t>
      </w:r>
      <w:r w:rsidR="00846F19">
        <w:rPr>
          <w:rFonts w:ascii="Arial" w:eastAsia="Times New Roman" w:hAnsi="Arial" w:cs="Arial"/>
          <w:color w:val="000000"/>
          <w:sz w:val="22"/>
          <w:szCs w:val="22"/>
          <w:lang w:eastAsia="en-US"/>
        </w:rPr>
        <w:br/>
      </w:r>
      <w:r w:rsidRPr="004458AE">
        <w:rPr>
          <w:rFonts w:ascii="Arial" w:eastAsia="Times New Roman" w:hAnsi="Arial" w:cs="Arial"/>
          <w:color w:val="000000"/>
          <w:sz w:val="22"/>
          <w:szCs w:val="22"/>
          <w:lang w:eastAsia="en-US"/>
        </w:rPr>
        <w:t>to wobec regularnych i raczej gwałtownych sporów między stronami oraz wobec tego, że postępowania te zostały zawieszone odpowiednio od 2007 r</w:t>
      </w:r>
      <w:r w:rsidR="003C4508">
        <w:rPr>
          <w:rFonts w:ascii="Arial" w:eastAsia="Times New Roman" w:hAnsi="Arial" w:cs="Arial"/>
          <w:color w:val="000000"/>
          <w:sz w:val="22"/>
          <w:szCs w:val="22"/>
          <w:lang w:eastAsia="en-US"/>
        </w:rPr>
        <w:t>oku</w:t>
      </w:r>
      <w:r w:rsidRPr="004458AE">
        <w:rPr>
          <w:rFonts w:ascii="Arial" w:eastAsia="Times New Roman" w:hAnsi="Arial" w:cs="Arial"/>
          <w:color w:val="000000"/>
          <w:sz w:val="22"/>
          <w:szCs w:val="22"/>
          <w:lang w:eastAsia="en-US"/>
        </w:rPr>
        <w:t xml:space="preserve"> i od 2008 r</w:t>
      </w:r>
      <w:r w:rsidR="003C4508">
        <w:rPr>
          <w:rFonts w:ascii="Arial" w:eastAsia="Times New Roman" w:hAnsi="Arial" w:cs="Arial"/>
          <w:color w:val="000000"/>
          <w:sz w:val="22"/>
          <w:szCs w:val="22"/>
          <w:lang w:eastAsia="en-US"/>
        </w:rPr>
        <w:t>oku</w:t>
      </w:r>
      <w:r w:rsidRPr="004458AE">
        <w:rPr>
          <w:rFonts w:ascii="Arial" w:eastAsia="Times New Roman" w:hAnsi="Arial" w:cs="Arial"/>
          <w:color w:val="000000"/>
          <w:sz w:val="22"/>
          <w:szCs w:val="22"/>
          <w:lang w:eastAsia="en-US"/>
        </w:rPr>
        <w:t>, Trybunał stwierdził, że sądy krajowe nie wywiązały się z pozytywnego obowiązku rozp</w:t>
      </w:r>
      <w:r w:rsidR="003C4508">
        <w:rPr>
          <w:rFonts w:ascii="Arial" w:eastAsia="Times New Roman" w:hAnsi="Arial" w:cs="Arial"/>
          <w:color w:val="000000"/>
          <w:sz w:val="22"/>
          <w:szCs w:val="22"/>
          <w:lang w:eastAsia="en-US"/>
        </w:rPr>
        <w:t>oznania</w:t>
      </w:r>
      <w:r w:rsidRPr="004458AE">
        <w:rPr>
          <w:rFonts w:ascii="Arial" w:eastAsia="Times New Roman" w:hAnsi="Arial" w:cs="Arial"/>
          <w:color w:val="000000"/>
          <w:sz w:val="22"/>
          <w:szCs w:val="22"/>
          <w:lang w:eastAsia="en-US"/>
        </w:rPr>
        <w:t xml:space="preserve"> spraw w rozsądnym terminie. Mając powyższe na uwadze, niezależnie od przysługującego pozwanemu państwu marginesu oceny w tej sprawie, Trybunał stwierdził, że władze węgierskie uchybiły swoim pozytywnym obowiązkom i w związku z tym </w:t>
      </w:r>
      <w:r w:rsidRPr="004458AE">
        <w:rPr>
          <w:rFonts w:ascii="Arial" w:eastAsia="Times New Roman" w:hAnsi="Arial" w:cs="Arial"/>
          <w:b/>
          <w:bCs/>
          <w:color w:val="000000"/>
          <w:sz w:val="22"/>
          <w:szCs w:val="22"/>
          <w:lang w:eastAsia="en-US"/>
        </w:rPr>
        <w:t>doszło do naruszenia art. 8 Konwencji.</w:t>
      </w:r>
      <w:r w:rsidRPr="004458AE">
        <w:rPr>
          <w:rFonts w:ascii="Arial" w:eastAsia="Times New Roman" w:hAnsi="Arial" w:cs="Arial"/>
          <w:color w:val="000000"/>
          <w:sz w:val="22"/>
          <w:szCs w:val="22"/>
          <w:lang w:eastAsia="en-US"/>
        </w:rPr>
        <w:t xml:space="preserve"> </w:t>
      </w:r>
    </w:p>
    <w:p w14:paraId="48F7BC67" w14:textId="2AE4E31D" w:rsidR="00C75058" w:rsidRDefault="00C75058" w:rsidP="00B30401">
      <w:pPr>
        <w:pStyle w:val="Nagwek2"/>
        <w:spacing w:line="360" w:lineRule="auto"/>
        <w:ind w:left="0"/>
        <w:rPr>
          <w:rFonts w:ascii="Arial" w:hAnsi="Arial" w:cs="Arial"/>
          <w:b w:val="0"/>
          <w:bCs w:val="0"/>
          <w:sz w:val="22"/>
          <w:szCs w:val="22"/>
          <w:u w:val="none"/>
        </w:rPr>
      </w:pPr>
      <w:r>
        <w:rPr>
          <w:rFonts w:ascii="Arial" w:hAnsi="Arial" w:cs="Arial"/>
          <w:b w:val="0"/>
          <w:bCs w:val="0"/>
          <w:sz w:val="22"/>
          <w:szCs w:val="22"/>
          <w:u w:val="none"/>
        </w:rPr>
        <w:t>W</w:t>
      </w:r>
      <w:r w:rsidR="00A152DC" w:rsidRPr="004458AE">
        <w:rPr>
          <w:rFonts w:ascii="Arial" w:hAnsi="Arial" w:cs="Arial"/>
          <w:b w:val="0"/>
          <w:bCs w:val="0"/>
          <w:sz w:val="22"/>
          <w:szCs w:val="22"/>
          <w:u w:val="none"/>
        </w:rPr>
        <w:t xml:space="preserve"> kontekście omawianej problematyki należy zwrócić uwagę na sprawę</w:t>
      </w:r>
      <w:r w:rsidR="00A152DC" w:rsidRPr="004458AE">
        <w:rPr>
          <w:rFonts w:ascii="Arial" w:hAnsi="Arial" w:cs="Arial"/>
          <w:sz w:val="22"/>
          <w:szCs w:val="22"/>
          <w:u w:val="none"/>
        </w:rPr>
        <w:t xml:space="preserve"> </w:t>
      </w:r>
      <w:hyperlink r:id="rId44">
        <w:r w:rsidR="00A152DC" w:rsidRPr="004458AE">
          <w:rPr>
            <w:rFonts w:ascii="Arial" w:hAnsi="Arial" w:cs="Arial"/>
            <w:i/>
            <w:iCs/>
            <w:sz w:val="22"/>
            <w:szCs w:val="22"/>
            <w:u w:val="none"/>
          </w:rPr>
          <w:t>Kowal przeciwko Polsce</w:t>
        </w:r>
      </w:hyperlink>
      <w:r w:rsidR="00A152DC" w:rsidRPr="004458AE">
        <w:rPr>
          <w:rFonts w:ascii="Arial" w:hAnsi="Arial" w:cs="Arial"/>
          <w:i/>
          <w:iCs/>
          <w:sz w:val="22"/>
          <w:szCs w:val="22"/>
          <w:u w:val="none"/>
        </w:rPr>
        <w:t xml:space="preserve"> </w:t>
      </w:r>
      <w:r w:rsidR="00A152DC" w:rsidRPr="003C4508">
        <w:rPr>
          <w:rFonts w:ascii="Arial" w:hAnsi="Arial" w:cs="Arial"/>
          <w:b w:val="0"/>
          <w:bCs w:val="0"/>
          <w:sz w:val="22"/>
          <w:szCs w:val="22"/>
          <w:u w:val="none"/>
        </w:rPr>
        <w:t xml:space="preserve">(nr skargi </w:t>
      </w:r>
      <w:r w:rsidR="00A152DC" w:rsidRPr="003C4508">
        <w:rPr>
          <w:rFonts w:ascii="Arial" w:eastAsia="Times New Roman" w:hAnsi="Arial" w:cs="Arial"/>
          <w:b w:val="0"/>
          <w:bCs w:val="0"/>
          <w:sz w:val="22"/>
          <w:szCs w:val="22"/>
          <w:u w:val="none"/>
          <w:lang w:eastAsia="en-US"/>
        </w:rPr>
        <w:t>2912/11),</w:t>
      </w:r>
      <w:r w:rsidR="00A152DC" w:rsidRPr="004458AE">
        <w:rPr>
          <w:rFonts w:ascii="Arial" w:eastAsia="Times New Roman" w:hAnsi="Arial" w:cs="Arial"/>
          <w:sz w:val="22"/>
          <w:szCs w:val="22"/>
          <w:u w:val="none"/>
          <w:lang w:eastAsia="en-US"/>
        </w:rPr>
        <w:t xml:space="preserve"> w której w dniu </w:t>
      </w:r>
      <w:r w:rsidR="00A152DC" w:rsidRPr="004458AE">
        <w:rPr>
          <w:rFonts w:ascii="Arial" w:hAnsi="Arial" w:cs="Arial"/>
          <w:sz w:val="22"/>
          <w:szCs w:val="22"/>
          <w:u w:val="none"/>
        </w:rPr>
        <w:t>18 września 2012 r</w:t>
      </w:r>
      <w:r w:rsidR="003C4508">
        <w:rPr>
          <w:rFonts w:ascii="Arial" w:hAnsi="Arial" w:cs="Arial"/>
          <w:sz w:val="22"/>
          <w:szCs w:val="22"/>
          <w:u w:val="none"/>
        </w:rPr>
        <w:t>oku</w:t>
      </w:r>
      <w:r w:rsidR="00A152DC" w:rsidRPr="004458AE">
        <w:rPr>
          <w:rFonts w:ascii="Arial" w:hAnsi="Arial" w:cs="Arial"/>
          <w:sz w:val="22"/>
          <w:szCs w:val="22"/>
          <w:u w:val="none"/>
        </w:rPr>
        <w:t xml:space="preserve"> </w:t>
      </w:r>
      <w:r w:rsidR="00A152DC" w:rsidRPr="004458AE">
        <w:rPr>
          <w:rFonts w:ascii="Arial" w:hAnsi="Arial" w:cs="Arial"/>
          <w:b w:val="0"/>
          <w:bCs w:val="0"/>
          <w:sz w:val="22"/>
          <w:szCs w:val="22"/>
          <w:u w:val="none"/>
        </w:rPr>
        <w:t xml:space="preserve">Trybunał wydał </w:t>
      </w:r>
      <w:r w:rsidR="00A152DC" w:rsidRPr="00C75058">
        <w:rPr>
          <w:rFonts w:ascii="Arial" w:hAnsi="Arial" w:cs="Arial"/>
          <w:sz w:val="22"/>
          <w:szCs w:val="22"/>
          <w:u w:val="none"/>
        </w:rPr>
        <w:t xml:space="preserve">decyzję </w:t>
      </w:r>
      <w:r w:rsidR="007F00B7">
        <w:rPr>
          <w:rFonts w:ascii="Arial" w:hAnsi="Arial" w:cs="Arial"/>
          <w:sz w:val="22"/>
          <w:szCs w:val="22"/>
          <w:u w:val="none"/>
        </w:rPr>
        <w:br/>
      </w:r>
      <w:r>
        <w:rPr>
          <w:rFonts w:ascii="Arial" w:hAnsi="Arial" w:cs="Arial"/>
          <w:sz w:val="22"/>
          <w:szCs w:val="22"/>
          <w:u w:val="none"/>
        </w:rPr>
        <w:t>o uznaniu skargi za niedopuszczalną</w:t>
      </w:r>
      <w:r w:rsidR="00A152DC" w:rsidRPr="00C75058">
        <w:rPr>
          <w:rFonts w:ascii="Arial" w:hAnsi="Arial" w:cs="Arial"/>
          <w:sz w:val="22"/>
          <w:szCs w:val="22"/>
          <w:u w:val="none"/>
        </w:rPr>
        <w:t>.</w:t>
      </w:r>
      <w:r w:rsidRPr="00C75058">
        <w:rPr>
          <w:rFonts w:ascii="Arial" w:hAnsi="Arial" w:cs="Arial"/>
          <w:b w:val="0"/>
          <w:bCs w:val="0"/>
          <w:sz w:val="22"/>
          <w:szCs w:val="22"/>
          <w:u w:val="none"/>
        </w:rPr>
        <w:t xml:space="preserve"> </w:t>
      </w:r>
      <w:r w:rsidR="00B30401">
        <w:rPr>
          <w:rFonts w:ascii="Arial" w:hAnsi="Arial" w:cs="Arial"/>
          <w:b w:val="0"/>
          <w:bCs w:val="0"/>
          <w:sz w:val="22"/>
          <w:szCs w:val="22"/>
          <w:u w:val="none"/>
        </w:rPr>
        <w:t xml:space="preserve">W tej </w:t>
      </w:r>
      <w:r w:rsidR="00A152DC" w:rsidRPr="00C75058">
        <w:rPr>
          <w:rFonts w:ascii="Arial" w:hAnsi="Arial" w:cs="Arial"/>
          <w:b w:val="0"/>
          <w:bCs w:val="0"/>
          <w:sz w:val="22"/>
          <w:szCs w:val="22"/>
          <w:u w:val="none"/>
        </w:rPr>
        <w:t>sprawie skarżący wniósł na podstawie art. 8 (prawo do poszanowania życia prywatnego i rodzinnego) Konwencji skargę, w której sformułował zarzut. że Polska uchybiła swojemu pozytywnemu obowiązkowi zapewnienia ochrony jemu oraz jego młodszemu bratu i ich matce przed przemocą domową ze stron</w:t>
      </w:r>
      <w:r w:rsidR="00B30401">
        <w:rPr>
          <w:rFonts w:ascii="Arial" w:hAnsi="Arial" w:cs="Arial"/>
          <w:b w:val="0"/>
          <w:bCs w:val="0"/>
          <w:sz w:val="22"/>
          <w:szCs w:val="22"/>
          <w:u w:val="none"/>
        </w:rPr>
        <w:t>y</w:t>
      </w:r>
      <w:r w:rsidR="00A152DC" w:rsidRPr="00C75058">
        <w:rPr>
          <w:rFonts w:ascii="Arial" w:hAnsi="Arial" w:cs="Arial"/>
          <w:b w:val="0"/>
          <w:bCs w:val="0"/>
          <w:sz w:val="22"/>
          <w:szCs w:val="22"/>
          <w:u w:val="none"/>
        </w:rPr>
        <w:t xml:space="preserve"> ojca poprzez niepodjęcie żadnych kroków w celu wykonania orzeczenia sądowego nakazującego ojcu opuszczenie mieszkania. Skarżący podniósł ponadto, że w rezultacie on i jego rodzina zostali narażeni na agresywne zachowanie ojca pomimo wydanego przeciwko niemu sądowego nakazu opuszczenia mieszkania. </w:t>
      </w:r>
    </w:p>
    <w:p w14:paraId="5DC5D687" w14:textId="62AD5821" w:rsidR="00A152DC" w:rsidRPr="00C75058" w:rsidRDefault="00A152DC" w:rsidP="00B30401">
      <w:pPr>
        <w:pStyle w:val="Nagwek2"/>
        <w:spacing w:before="0" w:line="360" w:lineRule="auto"/>
        <w:ind w:left="0"/>
        <w:rPr>
          <w:rFonts w:ascii="Arial" w:eastAsia="Times New Roman" w:hAnsi="Arial" w:cs="Arial"/>
          <w:color w:val="000000"/>
          <w:sz w:val="22"/>
          <w:szCs w:val="22"/>
          <w:u w:val="none"/>
          <w:lang w:eastAsia="en-US"/>
        </w:rPr>
      </w:pPr>
      <w:r w:rsidRPr="00C75058">
        <w:rPr>
          <w:rFonts w:ascii="Arial" w:hAnsi="Arial" w:cs="Arial"/>
          <w:sz w:val="22"/>
          <w:szCs w:val="22"/>
          <w:u w:val="none"/>
        </w:rPr>
        <w:t xml:space="preserve">Trybunał uznał skargę za niedopuszczalną </w:t>
      </w:r>
      <w:r w:rsidRPr="00C75058">
        <w:rPr>
          <w:rFonts w:ascii="Arial" w:hAnsi="Arial" w:cs="Arial"/>
          <w:b w:val="0"/>
          <w:bCs w:val="0"/>
          <w:sz w:val="22"/>
          <w:szCs w:val="22"/>
          <w:u w:val="none"/>
        </w:rPr>
        <w:t>(w sposób oczywisty nieuzasadnioną), zgodnie z art. 35 Konwencji.</w:t>
      </w:r>
      <w:r w:rsidR="00C75058">
        <w:rPr>
          <w:rFonts w:ascii="Arial" w:hAnsi="Arial" w:cs="Arial"/>
          <w:b w:val="0"/>
          <w:bCs w:val="0"/>
          <w:sz w:val="22"/>
          <w:szCs w:val="22"/>
          <w:u w:val="none"/>
        </w:rPr>
        <w:t xml:space="preserve"> </w:t>
      </w:r>
      <w:r w:rsidRPr="00B30401">
        <w:rPr>
          <w:rFonts w:ascii="Arial" w:hAnsi="Arial" w:cs="Arial"/>
          <w:b w:val="0"/>
          <w:bCs w:val="0"/>
          <w:sz w:val="22"/>
          <w:szCs w:val="22"/>
          <w:u w:val="none"/>
        </w:rPr>
        <w:t xml:space="preserve">Biorąc pod uwagę całokształt okoliczności sprawy, </w:t>
      </w:r>
      <w:r w:rsidRPr="00C75058">
        <w:rPr>
          <w:rFonts w:ascii="Arial" w:hAnsi="Arial" w:cs="Arial"/>
          <w:b w:val="0"/>
          <w:bCs w:val="0"/>
          <w:sz w:val="22"/>
          <w:szCs w:val="22"/>
          <w:u w:val="none"/>
        </w:rPr>
        <w:t>Trybunał uznał, że</w:t>
      </w:r>
      <w:r w:rsidR="00CA5239">
        <w:rPr>
          <w:rFonts w:ascii="Arial" w:hAnsi="Arial" w:cs="Arial"/>
          <w:b w:val="0"/>
          <w:bCs w:val="0"/>
          <w:sz w:val="22"/>
          <w:szCs w:val="22"/>
          <w:u w:val="none"/>
        </w:rPr>
        <w:br/>
      </w:r>
      <w:r w:rsidRPr="00B30401">
        <w:rPr>
          <w:rFonts w:ascii="Arial" w:hAnsi="Arial" w:cs="Arial"/>
          <w:sz w:val="22"/>
          <w:szCs w:val="22"/>
          <w:u w:val="none"/>
        </w:rPr>
        <w:t>nie można stwierdzić, że odpowiedź władz na zachowanie ojca skarżącego była w sposób oczywisty niewystarczająca w odniesieniu do wagi rozpatrywanych przestępstw.</w:t>
      </w:r>
      <w:r w:rsidRPr="00C75058">
        <w:rPr>
          <w:rFonts w:ascii="Arial" w:hAnsi="Arial" w:cs="Arial"/>
          <w:b w:val="0"/>
          <w:bCs w:val="0"/>
          <w:sz w:val="22"/>
          <w:szCs w:val="22"/>
          <w:u w:val="none"/>
        </w:rPr>
        <w:t xml:space="preserve"> </w:t>
      </w:r>
      <w:r w:rsidRPr="00B30401">
        <w:rPr>
          <w:rFonts w:ascii="Arial" w:hAnsi="Arial" w:cs="Arial"/>
          <w:b w:val="0"/>
          <w:bCs w:val="0"/>
          <w:sz w:val="22"/>
          <w:szCs w:val="22"/>
          <w:u w:val="none"/>
        </w:rPr>
        <w:t>Nie można było również stwierdzić,</w:t>
      </w:r>
      <w:r w:rsidRPr="00C75058">
        <w:rPr>
          <w:rFonts w:ascii="Arial" w:hAnsi="Arial" w:cs="Arial"/>
          <w:sz w:val="22"/>
          <w:szCs w:val="22"/>
          <w:u w:val="none"/>
        </w:rPr>
        <w:t xml:space="preserve"> że orzeczenia wydane w sprawie nie mogły mieć skutku prewencyjnego lub odstraszającego w stosunku do zachowania sprawcy. </w:t>
      </w:r>
      <w:r w:rsidRPr="00B30401">
        <w:rPr>
          <w:rFonts w:ascii="Arial" w:hAnsi="Arial" w:cs="Arial"/>
          <w:b w:val="0"/>
          <w:bCs w:val="0"/>
          <w:sz w:val="22"/>
          <w:szCs w:val="22"/>
          <w:u w:val="none"/>
        </w:rPr>
        <w:t>Podobnie, nie stwierdzono,</w:t>
      </w:r>
      <w:r w:rsidRPr="00C75058">
        <w:rPr>
          <w:rFonts w:ascii="Arial" w:hAnsi="Arial" w:cs="Arial"/>
          <w:sz w:val="22"/>
          <w:szCs w:val="22"/>
          <w:u w:val="none"/>
        </w:rPr>
        <w:t xml:space="preserve"> że władze nie dostrzegały ogólnej sytuacji skarżącego i przemocy domowej spowodowanej przez jego ojca i nie zareagowały odpowiednio na sytuację rozpatrywaną w ujęciu całościowym</w:t>
      </w:r>
      <w:r w:rsidRPr="00B30401">
        <w:rPr>
          <w:rFonts w:ascii="Arial" w:hAnsi="Arial" w:cs="Arial"/>
          <w:b w:val="0"/>
          <w:bCs w:val="0"/>
          <w:sz w:val="22"/>
          <w:szCs w:val="22"/>
          <w:u w:val="none"/>
        </w:rPr>
        <w:t>, na przykład prowadząc liczne postępowania dotyczące poszczególnych przypadków przemocy domowej.</w:t>
      </w:r>
      <w:r w:rsidRPr="00B30401">
        <w:rPr>
          <w:rFonts w:ascii="Arial" w:eastAsia="Times New Roman" w:hAnsi="Arial" w:cs="Arial"/>
          <w:b w:val="0"/>
          <w:bCs w:val="0"/>
          <w:sz w:val="22"/>
          <w:szCs w:val="22"/>
          <w:u w:val="none"/>
          <w:lang w:eastAsia="en-US"/>
        </w:rPr>
        <w:t xml:space="preserve"> </w:t>
      </w:r>
    </w:p>
    <w:sectPr w:rsidR="00A152DC" w:rsidRPr="00C75058">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C6551" w14:textId="77777777" w:rsidR="00E86D67" w:rsidRDefault="00E86D67" w:rsidP="00137353">
      <w:pPr>
        <w:spacing w:after="0" w:line="240" w:lineRule="auto"/>
      </w:pPr>
      <w:r>
        <w:separator/>
      </w:r>
    </w:p>
  </w:endnote>
  <w:endnote w:type="continuationSeparator" w:id="0">
    <w:p w14:paraId="77027DDC" w14:textId="77777777" w:rsidR="00E86D67" w:rsidRDefault="00E86D67" w:rsidP="0013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833052"/>
      <w:docPartObj>
        <w:docPartGallery w:val="Page Numbers (Bottom of Page)"/>
        <w:docPartUnique/>
      </w:docPartObj>
    </w:sdtPr>
    <w:sdtEndPr/>
    <w:sdtContent>
      <w:p w14:paraId="527DCDA0" w14:textId="0A256D53" w:rsidR="00C731E9" w:rsidRDefault="00C731E9">
        <w:pPr>
          <w:pStyle w:val="Stopka"/>
          <w:jc w:val="center"/>
        </w:pPr>
        <w:r>
          <w:fldChar w:fldCharType="begin"/>
        </w:r>
        <w:r>
          <w:instrText>PAGE   \* MERGEFORMAT</w:instrText>
        </w:r>
        <w:r>
          <w:fldChar w:fldCharType="separate"/>
        </w:r>
        <w:r>
          <w:t>2</w:t>
        </w:r>
        <w:r>
          <w:fldChar w:fldCharType="end"/>
        </w:r>
      </w:p>
    </w:sdtContent>
  </w:sdt>
  <w:p w14:paraId="1138CDE5" w14:textId="6278E1DD" w:rsidR="00C731E9" w:rsidRDefault="00C731E9">
    <w:pPr>
      <w:pStyle w:val="Tekstpodstawowy"/>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5B833" w14:textId="77777777" w:rsidR="00E86D67" w:rsidRDefault="00E86D67" w:rsidP="00137353">
      <w:pPr>
        <w:spacing w:after="0" w:line="240" w:lineRule="auto"/>
      </w:pPr>
      <w:r>
        <w:separator/>
      </w:r>
    </w:p>
  </w:footnote>
  <w:footnote w:type="continuationSeparator" w:id="0">
    <w:p w14:paraId="7CEC76BE" w14:textId="77777777" w:rsidR="00E86D67" w:rsidRDefault="00E86D67" w:rsidP="00137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60179"/>
    <w:multiLevelType w:val="hybridMultilevel"/>
    <w:tmpl w:val="4530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51C3F"/>
    <w:multiLevelType w:val="hybridMultilevel"/>
    <w:tmpl w:val="89D4F12E"/>
    <w:lvl w:ilvl="0" w:tplc="920AEC36">
      <w:start w:val="1"/>
      <w:numFmt w:val="decimal"/>
      <w:lvlText w:val="%1."/>
      <w:lvlJc w:val="left"/>
      <w:pPr>
        <w:ind w:left="1224" w:hanging="360"/>
      </w:pPr>
      <w:rPr>
        <w:rFonts w:hint="default"/>
        <w:b/>
        <w:color w:val="auto"/>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 w15:restartNumberingAfterBreak="0">
    <w:nsid w:val="48BD4894"/>
    <w:multiLevelType w:val="hybridMultilevel"/>
    <w:tmpl w:val="3AB6D4A4"/>
    <w:lvl w:ilvl="0" w:tplc="3216D12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4F412E88"/>
    <w:multiLevelType w:val="hybridMultilevel"/>
    <w:tmpl w:val="FF10D6B4"/>
    <w:lvl w:ilvl="0" w:tplc="045C8976">
      <w:start w:val="1"/>
      <w:numFmt w:val="lowerLetter"/>
      <w:lvlText w:val="%1)"/>
      <w:lvlJc w:val="left"/>
      <w:pPr>
        <w:ind w:left="644" w:hanging="360"/>
      </w:pPr>
      <w:rPr>
        <w:rFonts w:eastAsia="Times New Roman"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E727773"/>
    <w:multiLevelType w:val="hybridMultilevel"/>
    <w:tmpl w:val="96AE1B6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33"/>
    <w:rsid w:val="00000C35"/>
    <w:rsid w:val="0001139A"/>
    <w:rsid w:val="000117C0"/>
    <w:rsid w:val="00012324"/>
    <w:rsid w:val="00013268"/>
    <w:rsid w:val="000135B5"/>
    <w:rsid w:val="00020733"/>
    <w:rsid w:val="00020F78"/>
    <w:rsid w:val="0003189F"/>
    <w:rsid w:val="00032A60"/>
    <w:rsid w:val="00040302"/>
    <w:rsid w:val="000534E2"/>
    <w:rsid w:val="00055E33"/>
    <w:rsid w:val="000660DA"/>
    <w:rsid w:val="000675E4"/>
    <w:rsid w:val="00070FD7"/>
    <w:rsid w:val="00073D4D"/>
    <w:rsid w:val="00075A2E"/>
    <w:rsid w:val="0007713F"/>
    <w:rsid w:val="0008305B"/>
    <w:rsid w:val="00083333"/>
    <w:rsid w:val="000915A7"/>
    <w:rsid w:val="000940CD"/>
    <w:rsid w:val="00096E32"/>
    <w:rsid w:val="000A6E3D"/>
    <w:rsid w:val="000B214C"/>
    <w:rsid w:val="000B4FDC"/>
    <w:rsid w:val="000C42B3"/>
    <w:rsid w:val="000C4F6A"/>
    <w:rsid w:val="000C628E"/>
    <w:rsid w:val="000D2096"/>
    <w:rsid w:val="000D2313"/>
    <w:rsid w:val="000F023D"/>
    <w:rsid w:val="000F0B4F"/>
    <w:rsid w:val="000F2A27"/>
    <w:rsid w:val="000F2F50"/>
    <w:rsid w:val="000F56BE"/>
    <w:rsid w:val="00102414"/>
    <w:rsid w:val="00120AEF"/>
    <w:rsid w:val="00121F8C"/>
    <w:rsid w:val="001236BA"/>
    <w:rsid w:val="00124694"/>
    <w:rsid w:val="0012588C"/>
    <w:rsid w:val="00136002"/>
    <w:rsid w:val="001371A5"/>
    <w:rsid w:val="00137353"/>
    <w:rsid w:val="0014602C"/>
    <w:rsid w:val="00146080"/>
    <w:rsid w:val="00157736"/>
    <w:rsid w:val="00157A4E"/>
    <w:rsid w:val="00164A8F"/>
    <w:rsid w:val="00166607"/>
    <w:rsid w:val="001666AF"/>
    <w:rsid w:val="00170FC3"/>
    <w:rsid w:val="001751FD"/>
    <w:rsid w:val="00177F32"/>
    <w:rsid w:val="0018203A"/>
    <w:rsid w:val="001C08E1"/>
    <w:rsid w:val="001C2BB0"/>
    <w:rsid w:val="001C7247"/>
    <w:rsid w:val="001D0F54"/>
    <w:rsid w:val="001D1E57"/>
    <w:rsid w:val="001E1B5C"/>
    <w:rsid w:val="001E5ACA"/>
    <w:rsid w:val="001F351F"/>
    <w:rsid w:val="001F6C18"/>
    <w:rsid w:val="00201B4F"/>
    <w:rsid w:val="00202FB8"/>
    <w:rsid w:val="00203856"/>
    <w:rsid w:val="0021670D"/>
    <w:rsid w:val="002175F0"/>
    <w:rsid w:val="00221A32"/>
    <w:rsid w:val="00223B03"/>
    <w:rsid w:val="00223F8B"/>
    <w:rsid w:val="00227107"/>
    <w:rsid w:val="00230019"/>
    <w:rsid w:val="00230410"/>
    <w:rsid w:val="00230EF1"/>
    <w:rsid w:val="00233464"/>
    <w:rsid w:val="00243A23"/>
    <w:rsid w:val="002463E7"/>
    <w:rsid w:val="00246634"/>
    <w:rsid w:val="00246E88"/>
    <w:rsid w:val="00255383"/>
    <w:rsid w:val="00255663"/>
    <w:rsid w:val="0025703D"/>
    <w:rsid w:val="002646B6"/>
    <w:rsid w:val="0027287B"/>
    <w:rsid w:val="00274CD2"/>
    <w:rsid w:val="00274F1C"/>
    <w:rsid w:val="0027579F"/>
    <w:rsid w:val="00276D8F"/>
    <w:rsid w:val="0028328E"/>
    <w:rsid w:val="002857D0"/>
    <w:rsid w:val="00287ACC"/>
    <w:rsid w:val="00292340"/>
    <w:rsid w:val="0029384A"/>
    <w:rsid w:val="002B233C"/>
    <w:rsid w:val="002B3B61"/>
    <w:rsid w:val="002B4463"/>
    <w:rsid w:val="002B4D3B"/>
    <w:rsid w:val="002B6698"/>
    <w:rsid w:val="002C2521"/>
    <w:rsid w:val="002C3A9A"/>
    <w:rsid w:val="002D56C4"/>
    <w:rsid w:val="002E2C70"/>
    <w:rsid w:val="00303DA5"/>
    <w:rsid w:val="003070AB"/>
    <w:rsid w:val="00320B8E"/>
    <w:rsid w:val="003245AC"/>
    <w:rsid w:val="003270C6"/>
    <w:rsid w:val="00335DB9"/>
    <w:rsid w:val="003449F6"/>
    <w:rsid w:val="00350CF8"/>
    <w:rsid w:val="00350E9A"/>
    <w:rsid w:val="00355A9E"/>
    <w:rsid w:val="00370CD9"/>
    <w:rsid w:val="00372F96"/>
    <w:rsid w:val="003812E2"/>
    <w:rsid w:val="00387DE4"/>
    <w:rsid w:val="0039031A"/>
    <w:rsid w:val="00390DF0"/>
    <w:rsid w:val="00392730"/>
    <w:rsid w:val="00394A60"/>
    <w:rsid w:val="003B3DD3"/>
    <w:rsid w:val="003B4648"/>
    <w:rsid w:val="003C06A2"/>
    <w:rsid w:val="003C4508"/>
    <w:rsid w:val="003C482F"/>
    <w:rsid w:val="003D250C"/>
    <w:rsid w:val="003D37CF"/>
    <w:rsid w:val="003D4317"/>
    <w:rsid w:val="003E03B9"/>
    <w:rsid w:val="003E28E4"/>
    <w:rsid w:val="003F2FD4"/>
    <w:rsid w:val="00401410"/>
    <w:rsid w:val="004027D1"/>
    <w:rsid w:val="00402BA4"/>
    <w:rsid w:val="004136B0"/>
    <w:rsid w:val="004246D1"/>
    <w:rsid w:val="0042508C"/>
    <w:rsid w:val="00431A70"/>
    <w:rsid w:val="004321AE"/>
    <w:rsid w:val="00432340"/>
    <w:rsid w:val="0043499D"/>
    <w:rsid w:val="00437A79"/>
    <w:rsid w:val="00443687"/>
    <w:rsid w:val="004458AE"/>
    <w:rsid w:val="0044666B"/>
    <w:rsid w:val="004519E8"/>
    <w:rsid w:val="00452690"/>
    <w:rsid w:val="004615ED"/>
    <w:rsid w:val="004703CF"/>
    <w:rsid w:val="00470B07"/>
    <w:rsid w:val="00472186"/>
    <w:rsid w:val="00477BEF"/>
    <w:rsid w:val="004827B4"/>
    <w:rsid w:val="00493CDC"/>
    <w:rsid w:val="0049512E"/>
    <w:rsid w:val="0049563D"/>
    <w:rsid w:val="00496B3F"/>
    <w:rsid w:val="0049755B"/>
    <w:rsid w:val="004A24FB"/>
    <w:rsid w:val="004A4505"/>
    <w:rsid w:val="004B25F1"/>
    <w:rsid w:val="004B458D"/>
    <w:rsid w:val="004C524B"/>
    <w:rsid w:val="004D0869"/>
    <w:rsid w:val="004D4C5F"/>
    <w:rsid w:val="004D7930"/>
    <w:rsid w:val="004E2677"/>
    <w:rsid w:val="004E485F"/>
    <w:rsid w:val="00502F7E"/>
    <w:rsid w:val="00504A57"/>
    <w:rsid w:val="005060D6"/>
    <w:rsid w:val="005144E8"/>
    <w:rsid w:val="00514966"/>
    <w:rsid w:val="00521DFB"/>
    <w:rsid w:val="00522EBA"/>
    <w:rsid w:val="0052341F"/>
    <w:rsid w:val="005244D4"/>
    <w:rsid w:val="005334E7"/>
    <w:rsid w:val="00534DE6"/>
    <w:rsid w:val="00536690"/>
    <w:rsid w:val="00543BB1"/>
    <w:rsid w:val="00552E41"/>
    <w:rsid w:val="00564E29"/>
    <w:rsid w:val="005651DE"/>
    <w:rsid w:val="00565704"/>
    <w:rsid w:val="005818D8"/>
    <w:rsid w:val="0058272F"/>
    <w:rsid w:val="00584FDD"/>
    <w:rsid w:val="005A308B"/>
    <w:rsid w:val="005A3E1C"/>
    <w:rsid w:val="005C5837"/>
    <w:rsid w:val="005D0CA5"/>
    <w:rsid w:val="005E6A41"/>
    <w:rsid w:val="005E6BA7"/>
    <w:rsid w:val="005F27B7"/>
    <w:rsid w:val="006063CA"/>
    <w:rsid w:val="006375E1"/>
    <w:rsid w:val="00640516"/>
    <w:rsid w:val="0064709D"/>
    <w:rsid w:val="0065210B"/>
    <w:rsid w:val="00652234"/>
    <w:rsid w:val="00654616"/>
    <w:rsid w:val="00657D17"/>
    <w:rsid w:val="00661179"/>
    <w:rsid w:val="00663462"/>
    <w:rsid w:val="0067094D"/>
    <w:rsid w:val="00681834"/>
    <w:rsid w:val="00682546"/>
    <w:rsid w:val="00687B48"/>
    <w:rsid w:val="006A453F"/>
    <w:rsid w:val="006A74BD"/>
    <w:rsid w:val="006B27E3"/>
    <w:rsid w:val="006B7B64"/>
    <w:rsid w:val="006C610C"/>
    <w:rsid w:val="006C7D54"/>
    <w:rsid w:val="006D2EFB"/>
    <w:rsid w:val="006E3D01"/>
    <w:rsid w:val="006E56D9"/>
    <w:rsid w:val="00703A75"/>
    <w:rsid w:val="00704218"/>
    <w:rsid w:val="00725F31"/>
    <w:rsid w:val="00727220"/>
    <w:rsid w:val="00735C33"/>
    <w:rsid w:val="00736395"/>
    <w:rsid w:val="00737522"/>
    <w:rsid w:val="00737BD2"/>
    <w:rsid w:val="00740E72"/>
    <w:rsid w:val="00741298"/>
    <w:rsid w:val="00741FED"/>
    <w:rsid w:val="00753743"/>
    <w:rsid w:val="00754ECB"/>
    <w:rsid w:val="0077132E"/>
    <w:rsid w:val="00774B6C"/>
    <w:rsid w:val="00774FB8"/>
    <w:rsid w:val="00775218"/>
    <w:rsid w:val="0077732A"/>
    <w:rsid w:val="007777FB"/>
    <w:rsid w:val="00780FE0"/>
    <w:rsid w:val="00784BAB"/>
    <w:rsid w:val="007859DC"/>
    <w:rsid w:val="0079153C"/>
    <w:rsid w:val="00795066"/>
    <w:rsid w:val="007A0FB5"/>
    <w:rsid w:val="007A1DD6"/>
    <w:rsid w:val="007A4030"/>
    <w:rsid w:val="007A41E9"/>
    <w:rsid w:val="007A70BD"/>
    <w:rsid w:val="007B04E8"/>
    <w:rsid w:val="007B2379"/>
    <w:rsid w:val="007B6CD0"/>
    <w:rsid w:val="007B76A5"/>
    <w:rsid w:val="007B7AA0"/>
    <w:rsid w:val="007D04B0"/>
    <w:rsid w:val="007D2E85"/>
    <w:rsid w:val="007D3915"/>
    <w:rsid w:val="007D48C1"/>
    <w:rsid w:val="007E0B9E"/>
    <w:rsid w:val="007E4D12"/>
    <w:rsid w:val="007E734A"/>
    <w:rsid w:val="007F00B7"/>
    <w:rsid w:val="00804A74"/>
    <w:rsid w:val="0081111D"/>
    <w:rsid w:val="00811DF5"/>
    <w:rsid w:val="00816B42"/>
    <w:rsid w:val="00817035"/>
    <w:rsid w:val="00821FA6"/>
    <w:rsid w:val="00824672"/>
    <w:rsid w:val="00825468"/>
    <w:rsid w:val="00835E93"/>
    <w:rsid w:val="008421C6"/>
    <w:rsid w:val="0084339B"/>
    <w:rsid w:val="0084585C"/>
    <w:rsid w:val="00846F19"/>
    <w:rsid w:val="00850015"/>
    <w:rsid w:val="00852A48"/>
    <w:rsid w:val="008555D2"/>
    <w:rsid w:val="008653CB"/>
    <w:rsid w:val="00870340"/>
    <w:rsid w:val="008714A5"/>
    <w:rsid w:val="008800A6"/>
    <w:rsid w:val="00885FAC"/>
    <w:rsid w:val="008863C9"/>
    <w:rsid w:val="0089285A"/>
    <w:rsid w:val="00896AED"/>
    <w:rsid w:val="00896D52"/>
    <w:rsid w:val="008970FA"/>
    <w:rsid w:val="008978CD"/>
    <w:rsid w:val="00897D5E"/>
    <w:rsid w:val="008A7E1E"/>
    <w:rsid w:val="008B5A45"/>
    <w:rsid w:val="008B5CFD"/>
    <w:rsid w:val="008C1BFE"/>
    <w:rsid w:val="008C407A"/>
    <w:rsid w:val="008C6E20"/>
    <w:rsid w:val="008D0469"/>
    <w:rsid w:val="008D3D6A"/>
    <w:rsid w:val="008D7FF9"/>
    <w:rsid w:val="008E574F"/>
    <w:rsid w:val="008F2E81"/>
    <w:rsid w:val="008F3CDE"/>
    <w:rsid w:val="008F48FA"/>
    <w:rsid w:val="008F5AC3"/>
    <w:rsid w:val="008F7511"/>
    <w:rsid w:val="0090556C"/>
    <w:rsid w:val="0090638B"/>
    <w:rsid w:val="00906733"/>
    <w:rsid w:val="009115B4"/>
    <w:rsid w:val="00913C6A"/>
    <w:rsid w:val="009151A2"/>
    <w:rsid w:val="009175CF"/>
    <w:rsid w:val="00924902"/>
    <w:rsid w:val="00925BF8"/>
    <w:rsid w:val="00937A8E"/>
    <w:rsid w:val="00941EF4"/>
    <w:rsid w:val="00951109"/>
    <w:rsid w:val="00955731"/>
    <w:rsid w:val="00960209"/>
    <w:rsid w:val="009605F3"/>
    <w:rsid w:val="009609D0"/>
    <w:rsid w:val="009677B7"/>
    <w:rsid w:val="00974A11"/>
    <w:rsid w:val="00982D35"/>
    <w:rsid w:val="00985BBC"/>
    <w:rsid w:val="00985F50"/>
    <w:rsid w:val="00990436"/>
    <w:rsid w:val="009928A9"/>
    <w:rsid w:val="009A1633"/>
    <w:rsid w:val="009A6851"/>
    <w:rsid w:val="009B05C7"/>
    <w:rsid w:val="009B0778"/>
    <w:rsid w:val="009B3FA7"/>
    <w:rsid w:val="009B44A0"/>
    <w:rsid w:val="009B6BCB"/>
    <w:rsid w:val="009C3429"/>
    <w:rsid w:val="009C5D36"/>
    <w:rsid w:val="009C6BD9"/>
    <w:rsid w:val="009C7D59"/>
    <w:rsid w:val="009D1782"/>
    <w:rsid w:val="009E1DDD"/>
    <w:rsid w:val="009F0E89"/>
    <w:rsid w:val="009F2FDC"/>
    <w:rsid w:val="009F4260"/>
    <w:rsid w:val="00A04294"/>
    <w:rsid w:val="00A13958"/>
    <w:rsid w:val="00A152DC"/>
    <w:rsid w:val="00A15EBE"/>
    <w:rsid w:val="00A24ABB"/>
    <w:rsid w:val="00A2578C"/>
    <w:rsid w:val="00A26EF7"/>
    <w:rsid w:val="00A275F3"/>
    <w:rsid w:val="00A27640"/>
    <w:rsid w:val="00A27B6B"/>
    <w:rsid w:val="00A3124E"/>
    <w:rsid w:val="00A33E9B"/>
    <w:rsid w:val="00A43B6F"/>
    <w:rsid w:val="00A4463D"/>
    <w:rsid w:val="00A45DEC"/>
    <w:rsid w:val="00A4726E"/>
    <w:rsid w:val="00A67228"/>
    <w:rsid w:val="00A710E7"/>
    <w:rsid w:val="00A7514F"/>
    <w:rsid w:val="00A81A73"/>
    <w:rsid w:val="00A82851"/>
    <w:rsid w:val="00A83A85"/>
    <w:rsid w:val="00A8407A"/>
    <w:rsid w:val="00A85D26"/>
    <w:rsid w:val="00A85F53"/>
    <w:rsid w:val="00A9185E"/>
    <w:rsid w:val="00AA3ECF"/>
    <w:rsid w:val="00AA6EE9"/>
    <w:rsid w:val="00AB2FE1"/>
    <w:rsid w:val="00AB4DB1"/>
    <w:rsid w:val="00AB7367"/>
    <w:rsid w:val="00AC1023"/>
    <w:rsid w:val="00AD27C0"/>
    <w:rsid w:val="00AD7937"/>
    <w:rsid w:val="00AE5F9F"/>
    <w:rsid w:val="00AE6F5A"/>
    <w:rsid w:val="00B01E14"/>
    <w:rsid w:val="00B11E4F"/>
    <w:rsid w:val="00B122A6"/>
    <w:rsid w:val="00B14BC3"/>
    <w:rsid w:val="00B15389"/>
    <w:rsid w:val="00B21F97"/>
    <w:rsid w:val="00B22766"/>
    <w:rsid w:val="00B27618"/>
    <w:rsid w:val="00B30401"/>
    <w:rsid w:val="00B30626"/>
    <w:rsid w:val="00B34B62"/>
    <w:rsid w:val="00B35003"/>
    <w:rsid w:val="00B357DB"/>
    <w:rsid w:val="00B460BF"/>
    <w:rsid w:val="00B60DD0"/>
    <w:rsid w:val="00B62D0E"/>
    <w:rsid w:val="00B65B9E"/>
    <w:rsid w:val="00B66B7C"/>
    <w:rsid w:val="00B732EB"/>
    <w:rsid w:val="00B73C34"/>
    <w:rsid w:val="00B741F5"/>
    <w:rsid w:val="00B745DE"/>
    <w:rsid w:val="00B776E2"/>
    <w:rsid w:val="00B80D9E"/>
    <w:rsid w:val="00B83B38"/>
    <w:rsid w:val="00B843FC"/>
    <w:rsid w:val="00B84644"/>
    <w:rsid w:val="00B846C4"/>
    <w:rsid w:val="00B930F6"/>
    <w:rsid w:val="00B9340F"/>
    <w:rsid w:val="00B93D50"/>
    <w:rsid w:val="00BA02A0"/>
    <w:rsid w:val="00BA3AB4"/>
    <w:rsid w:val="00BB2453"/>
    <w:rsid w:val="00BB3A41"/>
    <w:rsid w:val="00BB47E7"/>
    <w:rsid w:val="00BC0268"/>
    <w:rsid w:val="00BC7CAA"/>
    <w:rsid w:val="00BC7F6D"/>
    <w:rsid w:val="00BD2FDC"/>
    <w:rsid w:val="00BF10F6"/>
    <w:rsid w:val="00BF4F4F"/>
    <w:rsid w:val="00C0364E"/>
    <w:rsid w:val="00C16E86"/>
    <w:rsid w:val="00C16EDE"/>
    <w:rsid w:val="00C17BAF"/>
    <w:rsid w:val="00C239F8"/>
    <w:rsid w:val="00C25FF0"/>
    <w:rsid w:val="00C26718"/>
    <w:rsid w:val="00C268BE"/>
    <w:rsid w:val="00C310D9"/>
    <w:rsid w:val="00C33256"/>
    <w:rsid w:val="00C34C8D"/>
    <w:rsid w:val="00C47236"/>
    <w:rsid w:val="00C5143A"/>
    <w:rsid w:val="00C55174"/>
    <w:rsid w:val="00C64B64"/>
    <w:rsid w:val="00C67966"/>
    <w:rsid w:val="00C731E9"/>
    <w:rsid w:val="00C75058"/>
    <w:rsid w:val="00C81157"/>
    <w:rsid w:val="00C817FD"/>
    <w:rsid w:val="00C82A32"/>
    <w:rsid w:val="00C8592E"/>
    <w:rsid w:val="00C86BCB"/>
    <w:rsid w:val="00C96E00"/>
    <w:rsid w:val="00CA5239"/>
    <w:rsid w:val="00CB0F7E"/>
    <w:rsid w:val="00CB2141"/>
    <w:rsid w:val="00CB4F2C"/>
    <w:rsid w:val="00CB5C47"/>
    <w:rsid w:val="00CC0891"/>
    <w:rsid w:val="00CC0BE9"/>
    <w:rsid w:val="00CC2B6A"/>
    <w:rsid w:val="00CD0493"/>
    <w:rsid w:val="00CE4DAC"/>
    <w:rsid w:val="00CE4EAD"/>
    <w:rsid w:val="00CE7C30"/>
    <w:rsid w:val="00CF3362"/>
    <w:rsid w:val="00CF637E"/>
    <w:rsid w:val="00D00316"/>
    <w:rsid w:val="00D0261C"/>
    <w:rsid w:val="00D12BCD"/>
    <w:rsid w:val="00D13B3F"/>
    <w:rsid w:val="00D22744"/>
    <w:rsid w:val="00D2448F"/>
    <w:rsid w:val="00D30169"/>
    <w:rsid w:val="00D32B24"/>
    <w:rsid w:val="00D351C6"/>
    <w:rsid w:val="00D433A6"/>
    <w:rsid w:val="00D435E2"/>
    <w:rsid w:val="00D44BEE"/>
    <w:rsid w:val="00D54798"/>
    <w:rsid w:val="00D567D3"/>
    <w:rsid w:val="00D56EC2"/>
    <w:rsid w:val="00D57239"/>
    <w:rsid w:val="00D57642"/>
    <w:rsid w:val="00D61B1C"/>
    <w:rsid w:val="00D64041"/>
    <w:rsid w:val="00D642F6"/>
    <w:rsid w:val="00D67CC2"/>
    <w:rsid w:val="00D705A7"/>
    <w:rsid w:val="00D81593"/>
    <w:rsid w:val="00D82F50"/>
    <w:rsid w:val="00D84F3E"/>
    <w:rsid w:val="00D86C6E"/>
    <w:rsid w:val="00DA2179"/>
    <w:rsid w:val="00DB0A37"/>
    <w:rsid w:val="00DB1499"/>
    <w:rsid w:val="00DB2D1C"/>
    <w:rsid w:val="00DB7F34"/>
    <w:rsid w:val="00DC2BFE"/>
    <w:rsid w:val="00DC337F"/>
    <w:rsid w:val="00DC589F"/>
    <w:rsid w:val="00DD283C"/>
    <w:rsid w:val="00DE0136"/>
    <w:rsid w:val="00DE1139"/>
    <w:rsid w:val="00DE3E5F"/>
    <w:rsid w:val="00DE44E7"/>
    <w:rsid w:val="00DE46DC"/>
    <w:rsid w:val="00DE5E8C"/>
    <w:rsid w:val="00DE6648"/>
    <w:rsid w:val="00DF1B42"/>
    <w:rsid w:val="00DF4ED4"/>
    <w:rsid w:val="00DF7968"/>
    <w:rsid w:val="00E04BD7"/>
    <w:rsid w:val="00E04C9A"/>
    <w:rsid w:val="00E065D3"/>
    <w:rsid w:val="00E168D9"/>
    <w:rsid w:val="00E2003D"/>
    <w:rsid w:val="00E24C81"/>
    <w:rsid w:val="00E26045"/>
    <w:rsid w:val="00E27042"/>
    <w:rsid w:val="00E27985"/>
    <w:rsid w:val="00E30CFE"/>
    <w:rsid w:val="00E41DFD"/>
    <w:rsid w:val="00E4350F"/>
    <w:rsid w:val="00E47D1A"/>
    <w:rsid w:val="00E5059D"/>
    <w:rsid w:val="00E55DFD"/>
    <w:rsid w:val="00E60963"/>
    <w:rsid w:val="00E65BB6"/>
    <w:rsid w:val="00E70A12"/>
    <w:rsid w:val="00E726E7"/>
    <w:rsid w:val="00E728E4"/>
    <w:rsid w:val="00E731B5"/>
    <w:rsid w:val="00E81B4D"/>
    <w:rsid w:val="00E83416"/>
    <w:rsid w:val="00E855B6"/>
    <w:rsid w:val="00E86D67"/>
    <w:rsid w:val="00E90478"/>
    <w:rsid w:val="00E95B8B"/>
    <w:rsid w:val="00E96660"/>
    <w:rsid w:val="00EA2A12"/>
    <w:rsid w:val="00EB4A4C"/>
    <w:rsid w:val="00EB71BA"/>
    <w:rsid w:val="00ED0E34"/>
    <w:rsid w:val="00ED6891"/>
    <w:rsid w:val="00ED69F4"/>
    <w:rsid w:val="00EE7BFD"/>
    <w:rsid w:val="00EF011E"/>
    <w:rsid w:val="00EF2EDE"/>
    <w:rsid w:val="00F00CA0"/>
    <w:rsid w:val="00F0183A"/>
    <w:rsid w:val="00F062E2"/>
    <w:rsid w:val="00F06A49"/>
    <w:rsid w:val="00F10A9B"/>
    <w:rsid w:val="00F220E0"/>
    <w:rsid w:val="00F2252F"/>
    <w:rsid w:val="00F2458E"/>
    <w:rsid w:val="00F24ACC"/>
    <w:rsid w:val="00F31025"/>
    <w:rsid w:val="00F442AE"/>
    <w:rsid w:val="00F44C57"/>
    <w:rsid w:val="00F467CF"/>
    <w:rsid w:val="00F514E0"/>
    <w:rsid w:val="00F51C1C"/>
    <w:rsid w:val="00F52CF6"/>
    <w:rsid w:val="00F60C6E"/>
    <w:rsid w:val="00F6339B"/>
    <w:rsid w:val="00F6360A"/>
    <w:rsid w:val="00F65AB3"/>
    <w:rsid w:val="00F66C22"/>
    <w:rsid w:val="00F6716B"/>
    <w:rsid w:val="00F746D1"/>
    <w:rsid w:val="00F7472B"/>
    <w:rsid w:val="00F7748B"/>
    <w:rsid w:val="00F802AB"/>
    <w:rsid w:val="00F83B72"/>
    <w:rsid w:val="00F93669"/>
    <w:rsid w:val="00F94DF8"/>
    <w:rsid w:val="00F9754F"/>
    <w:rsid w:val="00F97FC3"/>
    <w:rsid w:val="00FA1621"/>
    <w:rsid w:val="00FA60AA"/>
    <w:rsid w:val="00FB0604"/>
    <w:rsid w:val="00FB0716"/>
    <w:rsid w:val="00FB0811"/>
    <w:rsid w:val="00FB263F"/>
    <w:rsid w:val="00FB37A0"/>
    <w:rsid w:val="00FB3DC9"/>
    <w:rsid w:val="00FB65B8"/>
    <w:rsid w:val="00FC095A"/>
    <w:rsid w:val="00FC22B2"/>
    <w:rsid w:val="00FC2E69"/>
    <w:rsid w:val="00FC319B"/>
    <w:rsid w:val="00FC5ACA"/>
    <w:rsid w:val="00FC5DA1"/>
    <w:rsid w:val="00FD4149"/>
    <w:rsid w:val="00FD6622"/>
    <w:rsid w:val="00FF000D"/>
    <w:rsid w:val="00FF3598"/>
    <w:rsid w:val="00FF37DB"/>
    <w:rsid w:val="00FF5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BEC67"/>
  <w15:chartTrackingRefBased/>
  <w15:docId w15:val="{4C9BA0E4-D42C-4804-8F32-97FE5B17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214C"/>
    <w:pPr>
      <w:spacing w:after="200" w:line="276" w:lineRule="auto"/>
    </w:pPr>
    <w:rPr>
      <w:rFonts w:eastAsiaTheme="minorEastAsia"/>
      <w:lang w:eastAsia="pl-PL"/>
    </w:rPr>
  </w:style>
  <w:style w:type="paragraph" w:styleId="Nagwek1">
    <w:name w:val="heading 1"/>
    <w:basedOn w:val="Normalny"/>
    <w:link w:val="Nagwek1Znak"/>
    <w:uiPriority w:val="1"/>
    <w:qFormat/>
    <w:rsid w:val="00137353"/>
    <w:pPr>
      <w:widowControl w:val="0"/>
      <w:autoSpaceDE w:val="0"/>
      <w:autoSpaceDN w:val="0"/>
      <w:spacing w:before="101" w:after="0" w:line="240" w:lineRule="auto"/>
      <w:ind w:left="880"/>
      <w:jc w:val="both"/>
      <w:outlineLvl w:val="0"/>
    </w:pPr>
    <w:rPr>
      <w:rFonts w:ascii="Verdana" w:eastAsia="Verdana" w:hAnsi="Verdana" w:cs="Verdana"/>
      <w:sz w:val="28"/>
      <w:szCs w:val="28"/>
      <w:lang w:bidi="en-US"/>
    </w:rPr>
  </w:style>
  <w:style w:type="paragraph" w:styleId="Nagwek2">
    <w:name w:val="heading 2"/>
    <w:basedOn w:val="Normalny"/>
    <w:link w:val="Nagwek2Znak"/>
    <w:uiPriority w:val="1"/>
    <w:qFormat/>
    <w:rsid w:val="00137353"/>
    <w:pPr>
      <w:widowControl w:val="0"/>
      <w:autoSpaceDE w:val="0"/>
      <w:autoSpaceDN w:val="0"/>
      <w:spacing w:before="120" w:after="0" w:line="240" w:lineRule="auto"/>
      <w:ind w:left="880"/>
      <w:jc w:val="both"/>
      <w:outlineLvl w:val="1"/>
    </w:pPr>
    <w:rPr>
      <w:rFonts w:ascii="Verdana" w:eastAsia="Verdana" w:hAnsi="Verdana" w:cs="Verdana"/>
      <w:b/>
      <w:bCs/>
      <w:sz w:val="20"/>
      <w:szCs w:val="20"/>
      <w:u w:val="single"/>
      <w:lang w:bidi="en-US"/>
    </w:rPr>
  </w:style>
  <w:style w:type="paragraph" w:styleId="Nagwek3">
    <w:name w:val="heading 3"/>
    <w:basedOn w:val="Normalny"/>
    <w:next w:val="Normalny"/>
    <w:link w:val="Nagwek3Znak"/>
    <w:uiPriority w:val="9"/>
    <w:semiHidden/>
    <w:unhideWhenUsed/>
    <w:qFormat/>
    <w:rsid w:val="00137353"/>
    <w:pPr>
      <w:keepNext/>
      <w:widowControl w:val="0"/>
      <w:autoSpaceDE w:val="0"/>
      <w:autoSpaceDN w:val="0"/>
      <w:spacing w:before="240" w:after="60" w:line="240" w:lineRule="auto"/>
      <w:outlineLvl w:val="2"/>
    </w:pPr>
    <w:rPr>
      <w:rFonts w:ascii="Calibri Light" w:eastAsia="Times New Roman" w:hAnsi="Calibri Light" w:cs="Times New Roman"/>
      <w:b/>
      <w:bCs/>
      <w:sz w:val="26"/>
      <w:szCs w:val="26"/>
      <w:lang w:bidi="en-US"/>
    </w:rPr>
  </w:style>
  <w:style w:type="paragraph" w:styleId="Nagwek4">
    <w:name w:val="heading 4"/>
    <w:basedOn w:val="Normalny"/>
    <w:next w:val="Normalny"/>
    <w:link w:val="Nagwek4Znak"/>
    <w:uiPriority w:val="9"/>
    <w:unhideWhenUsed/>
    <w:qFormat/>
    <w:rsid w:val="00137353"/>
    <w:pPr>
      <w:keepNext/>
      <w:widowControl w:val="0"/>
      <w:autoSpaceDE w:val="0"/>
      <w:autoSpaceDN w:val="0"/>
      <w:spacing w:before="240" w:after="60" w:line="240" w:lineRule="auto"/>
      <w:outlineLvl w:val="3"/>
    </w:pPr>
    <w:rPr>
      <w:rFonts w:ascii="Calibri" w:eastAsia="Times New Roman" w:hAnsi="Calibri" w:cs="Times New Roman"/>
      <w:b/>
      <w:bCs/>
      <w:sz w:val="28"/>
      <w:szCs w:val="28"/>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3A85"/>
    <w:rPr>
      <w:color w:val="0000FF"/>
      <w:u w:val="single"/>
    </w:rPr>
  </w:style>
  <w:style w:type="character" w:styleId="Nierozpoznanawzmianka">
    <w:name w:val="Unresolved Mention"/>
    <w:basedOn w:val="Domylnaczcionkaakapitu"/>
    <w:uiPriority w:val="99"/>
    <w:semiHidden/>
    <w:unhideWhenUsed/>
    <w:rsid w:val="00102414"/>
    <w:rPr>
      <w:color w:val="605E5C"/>
      <w:shd w:val="clear" w:color="auto" w:fill="E1DFDD"/>
    </w:rPr>
  </w:style>
  <w:style w:type="character" w:customStyle="1" w:styleId="Nagwek1Znak">
    <w:name w:val="Nagłówek 1 Znak"/>
    <w:basedOn w:val="Domylnaczcionkaakapitu"/>
    <w:link w:val="Nagwek1"/>
    <w:uiPriority w:val="1"/>
    <w:rsid w:val="00137353"/>
    <w:rPr>
      <w:rFonts w:ascii="Verdana" w:eastAsia="Verdana" w:hAnsi="Verdana" w:cs="Verdana"/>
      <w:sz w:val="28"/>
      <w:szCs w:val="28"/>
      <w:lang w:eastAsia="pl-PL" w:bidi="en-US"/>
    </w:rPr>
  </w:style>
  <w:style w:type="character" w:customStyle="1" w:styleId="Nagwek2Znak">
    <w:name w:val="Nagłówek 2 Znak"/>
    <w:basedOn w:val="Domylnaczcionkaakapitu"/>
    <w:link w:val="Nagwek2"/>
    <w:uiPriority w:val="1"/>
    <w:rsid w:val="00137353"/>
    <w:rPr>
      <w:rFonts w:ascii="Verdana" w:eastAsia="Verdana" w:hAnsi="Verdana" w:cs="Verdana"/>
      <w:b/>
      <w:bCs/>
      <w:sz w:val="20"/>
      <w:szCs w:val="20"/>
      <w:u w:val="single"/>
      <w:lang w:eastAsia="pl-PL" w:bidi="en-US"/>
    </w:rPr>
  </w:style>
  <w:style w:type="character" w:customStyle="1" w:styleId="Nagwek3Znak">
    <w:name w:val="Nagłówek 3 Znak"/>
    <w:basedOn w:val="Domylnaczcionkaakapitu"/>
    <w:link w:val="Nagwek3"/>
    <w:uiPriority w:val="9"/>
    <w:semiHidden/>
    <w:rsid w:val="00137353"/>
    <w:rPr>
      <w:rFonts w:ascii="Calibri Light" w:eastAsia="Times New Roman" w:hAnsi="Calibri Light" w:cs="Times New Roman"/>
      <w:b/>
      <w:bCs/>
      <w:sz w:val="26"/>
      <w:szCs w:val="26"/>
      <w:lang w:eastAsia="pl-PL" w:bidi="en-US"/>
    </w:rPr>
  </w:style>
  <w:style w:type="character" w:customStyle="1" w:styleId="Nagwek4Znak">
    <w:name w:val="Nagłówek 4 Znak"/>
    <w:basedOn w:val="Domylnaczcionkaakapitu"/>
    <w:link w:val="Nagwek4"/>
    <w:uiPriority w:val="9"/>
    <w:rsid w:val="00137353"/>
    <w:rPr>
      <w:rFonts w:ascii="Calibri" w:eastAsia="Times New Roman" w:hAnsi="Calibri" w:cs="Times New Roman"/>
      <w:b/>
      <w:bCs/>
      <w:sz w:val="28"/>
      <w:szCs w:val="28"/>
      <w:lang w:eastAsia="pl-PL" w:bidi="en-US"/>
    </w:rPr>
  </w:style>
  <w:style w:type="character" w:customStyle="1" w:styleId="TekstpodstawowyZnak">
    <w:name w:val="Tekst podstawowy Znak"/>
    <w:basedOn w:val="Domylnaczcionkaakapitu"/>
    <w:link w:val="Tekstpodstawowy"/>
    <w:uiPriority w:val="1"/>
    <w:rsid w:val="00137353"/>
    <w:rPr>
      <w:rFonts w:ascii="Verdana" w:eastAsia="Verdana" w:hAnsi="Verdana" w:cs="Verdana"/>
      <w:sz w:val="20"/>
      <w:szCs w:val="20"/>
      <w:lang w:eastAsia="pl-PL" w:bidi="en-US"/>
    </w:rPr>
  </w:style>
  <w:style w:type="paragraph" w:styleId="Tekstpodstawowy">
    <w:name w:val="Body Text"/>
    <w:basedOn w:val="Normalny"/>
    <w:link w:val="TekstpodstawowyZnak"/>
    <w:uiPriority w:val="1"/>
    <w:qFormat/>
    <w:rsid w:val="00137353"/>
    <w:pPr>
      <w:widowControl w:val="0"/>
      <w:autoSpaceDE w:val="0"/>
      <w:autoSpaceDN w:val="0"/>
      <w:spacing w:after="0" w:line="240" w:lineRule="auto"/>
      <w:ind w:left="880"/>
      <w:jc w:val="both"/>
    </w:pPr>
    <w:rPr>
      <w:rFonts w:ascii="Verdana" w:eastAsia="Verdana" w:hAnsi="Verdana" w:cs="Verdana"/>
      <w:sz w:val="20"/>
      <w:szCs w:val="20"/>
      <w:lang w:bidi="en-US"/>
    </w:rPr>
  </w:style>
  <w:style w:type="character" w:customStyle="1" w:styleId="NagwekZnak">
    <w:name w:val="Nagłówek Znak"/>
    <w:basedOn w:val="Domylnaczcionkaakapitu"/>
    <w:link w:val="Nagwek"/>
    <w:uiPriority w:val="99"/>
    <w:rsid w:val="00137353"/>
    <w:rPr>
      <w:rFonts w:ascii="Verdana" w:eastAsia="Verdana" w:hAnsi="Verdana" w:cs="Verdana"/>
      <w:lang w:eastAsia="pl-PL" w:bidi="en-US"/>
    </w:rPr>
  </w:style>
  <w:style w:type="paragraph" w:styleId="Nagwek">
    <w:name w:val="header"/>
    <w:basedOn w:val="Normalny"/>
    <w:link w:val="NagwekZnak"/>
    <w:uiPriority w:val="99"/>
    <w:unhideWhenUsed/>
    <w:rsid w:val="00137353"/>
    <w:pPr>
      <w:widowControl w:val="0"/>
      <w:tabs>
        <w:tab w:val="center" w:pos="4536"/>
        <w:tab w:val="right" w:pos="9072"/>
      </w:tabs>
      <w:autoSpaceDE w:val="0"/>
      <w:autoSpaceDN w:val="0"/>
      <w:spacing w:after="0" w:line="240" w:lineRule="auto"/>
    </w:pPr>
    <w:rPr>
      <w:rFonts w:ascii="Verdana" w:eastAsia="Verdana" w:hAnsi="Verdana" w:cs="Verdana"/>
      <w:lang w:bidi="en-US"/>
    </w:rPr>
  </w:style>
  <w:style w:type="character" w:customStyle="1" w:styleId="StopkaZnak">
    <w:name w:val="Stopka Znak"/>
    <w:basedOn w:val="Domylnaczcionkaakapitu"/>
    <w:link w:val="Stopka"/>
    <w:uiPriority w:val="99"/>
    <w:rsid w:val="00137353"/>
    <w:rPr>
      <w:rFonts w:ascii="Verdana" w:eastAsia="Verdana" w:hAnsi="Verdana" w:cs="Verdana"/>
      <w:lang w:eastAsia="pl-PL" w:bidi="en-US"/>
    </w:rPr>
  </w:style>
  <w:style w:type="paragraph" w:styleId="Stopka">
    <w:name w:val="footer"/>
    <w:basedOn w:val="Normalny"/>
    <w:link w:val="StopkaZnak"/>
    <w:uiPriority w:val="99"/>
    <w:unhideWhenUsed/>
    <w:rsid w:val="00137353"/>
    <w:pPr>
      <w:widowControl w:val="0"/>
      <w:tabs>
        <w:tab w:val="center" w:pos="4536"/>
        <w:tab w:val="right" w:pos="9072"/>
      </w:tabs>
      <w:autoSpaceDE w:val="0"/>
      <w:autoSpaceDN w:val="0"/>
      <w:spacing w:after="0" w:line="240" w:lineRule="auto"/>
    </w:pPr>
    <w:rPr>
      <w:rFonts w:ascii="Verdana" w:eastAsia="Verdana" w:hAnsi="Verdana" w:cs="Verdana"/>
      <w:lang w:bidi="en-US"/>
    </w:rPr>
  </w:style>
  <w:style w:type="character" w:customStyle="1" w:styleId="TekstprzypisudolnegoZnak">
    <w:name w:val="Tekst przypisu dolnego Znak"/>
    <w:basedOn w:val="Domylnaczcionkaakapitu"/>
    <w:link w:val="Tekstprzypisudolnego"/>
    <w:uiPriority w:val="99"/>
    <w:semiHidden/>
    <w:rsid w:val="00137353"/>
    <w:rPr>
      <w:rFonts w:ascii="Verdana" w:eastAsia="Verdana" w:hAnsi="Verdana" w:cs="Verdana"/>
      <w:sz w:val="20"/>
      <w:szCs w:val="20"/>
      <w:lang w:eastAsia="pl-PL" w:bidi="en-US"/>
    </w:rPr>
  </w:style>
  <w:style w:type="paragraph" w:styleId="Tekstprzypisudolnego">
    <w:name w:val="footnote text"/>
    <w:basedOn w:val="Normalny"/>
    <w:link w:val="TekstprzypisudolnegoZnak"/>
    <w:uiPriority w:val="99"/>
    <w:semiHidden/>
    <w:unhideWhenUsed/>
    <w:rsid w:val="00137353"/>
    <w:pPr>
      <w:widowControl w:val="0"/>
      <w:autoSpaceDE w:val="0"/>
      <w:autoSpaceDN w:val="0"/>
      <w:spacing w:after="0" w:line="240" w:lineRule="auto"/>
    </w:pPr>
    <w:rPr>
      <w:rFonts w:ascii="Verdana" w:eastAsia="Verdana" w:hAnsi="Verdana" w:cs="Verdana"/>
      <w:sz w:val="20"/>
      <w:szCs w:val="20"/>
      <w:lang w:bidi="en-US"/>
    </w:rPr>
  </w:style>
  <w:style w:type="paragraph" w:styleId="Bezodstpw">
    <w:name w:val="No Spacing"/>
    <w:uiPriority w:val="1"/>
    <w:qFormat/>
    <w:rsid w:val="0025703D"/>
    <w:pPr>
      <w:spacing w:after="0" w:line="240" w:lineRule="auto"/>
    </w:pPr>
  </w:style>
  <w:style w:type="paragraph" w:customStyle="1" w:styleId="divpara">
    <w:name w:val="div.para"/>
    <w:uiPriority w:val="99"/>
    <w:rsid w:val="0025703D"/>
    <w:pPr>
      <w:widowControl w:val="0"/>
      <w:autoSpaceDE w:val="0"/>
      <w:autoSpaceDN w:val="0"/>
      <w:adjustRightInd w:val="0"/>
      <w:spacing w:before="80" w:after="0" w:line="40" w:lineRule="atLeast"/>
      <w:ind w:right="540"/>
      <w:jc w:val="both"/>
    </w:pPr>
    <w:rPr>
      <w:rFonts w:ascii="Helvetica" w:eastAsiaTheme="minorEastAsia" w:hAnsi="Helvetica" w:cs="Helvetica"/>
      <w:color w:val="000000"/>
      <w:sz w:val="18"/>
      <w:szCs w:val="18"/>
      <w:lang w:eastAsia="pl-PL"/>
    </w:rPr>
  </w:style>
  <w:style w:type="paragraph" w:customStyle="1" w:styleId="OpiPara">
    <w:name w:val="Opi_Para"/>
    <w:basedOn w:val="ECHRPara"/>
    <w:uiPriority w:val="46"/>
    <w:qFormat/>
    <w:rsid w:val="00FA60AA"/>
  </w:style>
  <w:style w:type="paragraph" w:customStyle="1" w:styleId="ECHRPara">
    <w:name w:val="ECHR_Para"/>
    <w:aliases w:val="Ju_Para"/>
    <w:basedOn w:val="Normalny"/>
    <w:link w:val="ECHRParaChar"/>
    <w:uiPriority w:val="12"/>
    <w:qFormat/>
    <w:rsid w:val="00FA60AA"/>
    <w:pPr>
      <w:spacing w:after="0" w:line="240" w:lineRule="auto"/>
      <w:ind w:firstLine="284"/>
      <w:jc w:val="both"/>
    </w:pPr>
    <w:rPr>
      <w:sz w:val="24"/>
      <w:lang w:val="en-GB" w:eastAsia="en-US"/>
    </w:rPr>
  </w:style>
  <w:style w:type="character" w:customStyle="1" w:styleId="ECHRParaChar">
    <w:name w:val="ECHR_Para Char"/>
    <w:aliases w:val="Ju_Para Char"/>
    <w:link w:val="ECHRPara"/>
    <w:uiPriority w:val="12"/>
    <w:rsid w:val="00FA60AA"/>
    <w:rPr>
      <w:rFonts w:eastAsiaTheme="minorEastAsia"/>
      <w:sz w:val="24"/>
      <w:lang w:val="en-GB"/>
    </w:rPr>
  </w:style>
  <w:style w:type="paragraph" w:customStyle="1" w:styleId="ECHRTitleCentre1">
    <w:name w:val="ECHR_Title_Centre_1"/>
    <w:aliases w:val="Opi_H_Head"/>
    <w:basedOn w:val="Normalny"/>
    <w:next w:val="OpiPara"/>
    <w:uiPriority w:val="39"/>
    <w:qFormat/>
    <w:rsid w:val="00FA60AA"/>
    <w:pPr>
      <w:keepNext/>
      <w:keepLines/>
      <w:spacing w:after="240" w:line="240" w:lineRule="auto"/>
      <w:jc w:val="center"/>
      <w:outlineLvl w:val="0"/>
    </w:pPr>
    <w:rPr>
      <w:rFonts w:asciiTheme="majorHAnsi" w:hAnsiTheme="majorHAnsi"/>
      <w:sz w:val="28"/>
      <w:lang w:val="en-GB" w:eastAsia="en-US"/>
    </w:rPr>
  </w:style>
  <w:style w:type="paragraph" w:styleId="NormalnyWeb">
    <w:name w:val="Normal (Web)"/>
    <w:basedOn w:val="Normalny"/>
    <w:uiPriority w:val="99"/>
    <w:unhideWhenUsed/>
    <w:rsid w:val="0013735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Odwoanieprzypisudolnego">
    <w:name w:val="footnote reference"/>
    <w:uiPriority w:val="99"/>
    <w:semiHidden/>
    <w:unhideWhenUsed/>
    <w:rsid w:val="00137353"/>
    <w:rPr>
      <w:vertAlign w:val="superscript"/>
    </w:rPr>
  </w:style>
  <w:style w:type="character" w:customStyle="1" w:styleId="textcolumn">
    <w:name w:val="textcolumn"/>
    <w:rsid w:val="00137353"/>
  </w:style>
  <w:style w:type="character" w:customStyle="1" w:styleId="summarytext">
    <w:name w:val="summarytext"/>
    <w:rsid w:val="00137353"/>
  </w:style>
  <w:style w:type="character" w:styleId="Uwydatnienie">
    <w:name w:val="Emphasis"/>
    <w:uiPriority w:val="20"/>
    <w:qFormat/>
    <w:rsid w:val="00137353"/>
    <w:rPr>
      <w:i/>
      <w:iCs/>
    </w:rPr>
  </w:style>
  <w:style w:type="paragraph" w:styleId="Akapitzlist">
    <w:name w:val="List Paragraph"/>
    <w:basedOn w:val="Normalny"/>
    <w:uiPriority w:val="1"/>
    <w:qFormat/>
    <w:rsid w:val="0012588C"/>
    <w:pPr>
      <w:ind w:left="720"/>
      <w:contextualSpacing/>
    </w:pPr>
  </w:style>
  <w:style w:type="paragraph" w:styleId="Tekstdymka">
    <w:name w:val="Balloon Text"/>
    <w:basedOn w:val="Normalny"/>
    <w:link w:val="TekstdymkaZnak"/>
    <w:uiPriority w:val="99"/>
    <w:semiHidden/>
    <w:unhideWhenUsed/>
    <w:rsid w:val="00852A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2A48"/>
    <w:rPr>
      <w:rFonts w:ascii="Segoe UI" w:eastAsiaTheme="minorEastAsia" w:hAnsi="Segoe UI" w:cs="Segoe UI"/>
      <w:sz w:val="18"/>
      <w:szCs w:val="18"/>
      <w:lang w:eastAsia="pl-PL"/>
    </w:rPr>
  </w:style>
  <w:style w:type="character" w:customStyle="1" w:styleId="sb8d990e2">
    <w:name w:val="sb8d990e2"/>
    <w:basedOn w:val="Domylnaczcionkaakapitu"/>
    <w:rsid w:val="00121F8C"/>
  </w:style>
  <w:style w:type="character" w:customStyle="1" w:styleId="s6b621b36">
    <w:name w:val="s6b621b36"/>
    <w:basedOn w:val="Domylnaczcionkaakapitu"/>
    <w:rsid w:val="00121F8C"/>
  </w:style>
  <w:style w:type="character" w:customStyle="1" w:styleId="sf8bfa2bc">
    <w:name w:val="sf8bfa2bc"/>
    <w:basedOn w:val="Domylnaczcionkaakapitu"/>
    <w:rsid w:val="00E726E7"/>
  </w:style>
  <w:style w:type="character" w:customStyle="1" w:styleId="s45d7f35c">
    <w:name w:val="s45d7f35c"/>
    <w:basedOn w:val="Domylnaczcionkaakapitu"/>
    <w:rsid w:val="00E726E7"/>
  </w:style>
  <w:style w:type="character" w:customStyle="1" w:styleId="s32a37344">
    <w:name w:val="s32a37344"/>
    <w:basedOn w:val="Domylnaczcionkaakapitu"/>
    <w:rsid w:val="00DE5E8C"/>
  </w:style>
  <w:style w:type="paragraph" w:customStyle="1" w:styleId="s30eec3f8">
    <w:name w:val="s30eec3f8"/>
    <w:basedOn w:val="Normalny"/>
    <w:rsid w:val="008970FA"/>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C5143A"/>
    <w:rPr>
      <w:sz w:val="16"/>
      <w:szCs w:val="16"/>
    </w:rPr>
  </w:style>
  <w:style w:type="paragraph" w:styleId="Tekstkomentarza">
    <w:name w:val="annotation text"/>
    <w:basedOn w:val="Normalny"/>
    <w:link w:val="TekstkomentarzaZnak"/>
    <w:uiPriority w:val="99"/>
    <w:semiHidden/>
    <w:unhideWhenUsed/>
    <w:rsid w:val="00C514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43A"/>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5143A"/>
    <w:rPr>
      <w:b/>
      <w:bCs/>
    </w:rPr>
  </w:style>
  <w:style w:type="character" w:customStyle="1" w:styleId="TematkomentarzaZnak">
    <w:name w:val="Temat komentarza Znak"/>
    <w:basedOn w:val="TekstkomentarzaZnak"/>
    <w:link w:val="Tematkomentarza"/>
    <w:uiPriority w:val="99"/>
    <w:semiHidden/>
    <w:rsid w:val="00C5143A"/>
    <w:rPr>
      <w:rFonts w:eastAsiaTheme="minorEastAsi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99874">
      <w:bodyDiv w:val="1"/>
      <w:marLeft w:val="0"/>
      <w:marRight w:val="0"/>
      <w:marTop w:val="0"/>
      <w:marBottom w:val="0"/>
      <w:divBdr>
        <w:top w:val="none" w:sz="0" w:space="0" w:color="auto"/>
        <w:left w:val="none" w:sz="0" w:space="0" w:color="auto"/>
        <w:bottom w:val="none" w:sz="0" w:space="0" w:color="auto"/>
        <w:right w:val="none" w:sz="0" w:space="0" w:color="auto"/>
      </w:divBdr>
    </w:div>
    <w:div w:id="138377929">
      <w:bodyDiv w:val="1"/>
      <w:marLeft w:val="0"/>
      <w:marRight w:val="0"/>
      <w:marTop w:val="0"/>
      <w:marBottom w:val="0"/>
      <w:divBdr>
        <w:top w:val="none" w:sz="0" w:space="0" w:color="auto"/>
        <w:left w:val="none" w:sz="0" w:space="0" w:color="auto"/>
        <w:bottom w:val="none" w:sz="0" w:space="0" w:color="auto"/>
        <w:right w:val="none" w:sz="0" w:space="0" w:color="auto"/>
      </w:divBdr>
    </w:div>
    <w:div w:id="218833384">
      <w:bodyDiv w:val="1"/>
      <w:marLeft w:val="0"/>
      <w:marRight w:val="0"/>
      <w:marTop w:val="0"/>
      <w:marBottom w:val="0"/>
      <w:divBdr>
        <w:top w:val="none" w:sz="0" w:space="0" w:color="auto"/>
        <w:left w:val="none" w:sz="0" w:space="0" w:color="auto"/>
        <w:bottom w:val="none" w:sz="0" w:space="0" w:color="auto"/>
        <w:right w:val="none" w:sz="0" w:space="0" w:color="auto"/>
      </w:divBdr>
    </w:div>
    <w:div w:id="527452218">
      <w:bodyDiv w:val="1"/>
      <w:marLeft w:val="0"/>
      <w:marRight w:val="0"/>
      <w:marTop w:val="0"/>
      <w:marBottom w:val="0"/>
      <w:divBdr>
        <w:top w:val="none" w:sz="0" w:space="0" w:color="auto"/>
        <w:left w:val="none" w:sz="0" w:space="0" w:color="auto"/>
        <w:bottom w:val="none" w:sz="0" w:space="0" w:color="auto"/>
        <w:right w:val="none" w:sz="0" w:space="0" w:color="auto"/>
      </w:divBdr>
    </w:div>
    <w:div w:id="705065037">
      <w:bodyDiv w:val="1"/>
      <w:marLeft w:val="0"/>
      <w:marRight w:val="0"/>
      <w:marTop w:val="0"/>
      <w:marBottom w:val="0"/>
      <w:divBdr>
        <w:top w:val="none" w:sz="0" w:space="0" w:color="auto"/>
        <w:left w:val="none" w:sz="0" w:space="0" w:color="auto"/>
        <w:bottom w:val="none" w:sz="0" w:space="0" w:color="auto"/>
        <w:right w:val="none" w:sz="0" w:space="0" w:color="auto"/>
      </w:divBdr>
    </w:div>
    <w:div w:id="822310951">
      <w:bodyDiv w:val="1"/>
      <w:marLeft w:val="0"/>
      <w:marRight w:val="0"/>
      <w:marTop w:val="0"/>
      <w:marBottom w:val="0"/>
      <w:divBdr>
        <w:top w:val="none" w:sz="0" w:space="0" w:color="auto"/>
        <w:left w:val="none" w:sz="0" w:space="0" w:color="auto"/>
        <w:bottom w:val="none" w:sz="0" w:space="0" w:color="auto"/>
        <w:right w:val="none" w:sz="0" w:space="0" w:color="auto"/>
      </w:divBdr>
    </w:div>
    <w:div w:id="1006899891">
      <w:bodyDiv w:val="1"/>
      <w:marLeft w:val="0"/>
      <w:marRight w:val="0"/>
      <w:marTop w:val="0"/>
      <w:marBottom w:val="0"/>
      <w:divBdr>
        <w:top w:val="none" w:sz="0" w:space="0" w:color="auto"/>
        <w:left w:val="none" w:sz="0" w:space="0" w:color="auto"/>
        <w:bottom w:val="none" w:sz="0" w:space="0" w:color="auto"/>
        <w:right w:val="none" w:sz="0" w:space="0" w:color="auto"/>
      </w:divBdr>
    </w:div>
    <w:div w:id="1808546192">
      <w:bodyDiv w:val="1"/>
      <w:marLeft w:val="0"/>
      <w:marRight w:val="0"/>
      <w:marTop w:val="0"/>
      <w:marBottom w:val="0"/>
      <w:divBdr>
        <w:top w:val="none" w:sz="0" w:space="0" w:color="auto"/>
        <w:left w:val="none" w:sz="0" w:space="0" w:color="auto"/>
        <w:bottom w:val="none" w:sz="0" w:space="0" w:color="auto"/>
        <w:right w:val="none" w:sz="0" w:space="0" w:color="auto"/>
      </w:divBdr>
    </w:div>
    <w:div w:id="1907760105">
      <w:bodyDiv w:val="1"/>
      <w:marLeft w:val="0"/>
      <w:marRight w:val="0"/>
      <w:marTop w:val="0"/>
      <w:marBottom w:val="0"/>
      <w:divBdr>
        <w:top w:val="none" w:sz="0" w:space="0" w:color="auto"/>
        <w:left w:val="none" w:sz="0" w:space="0" w:color="auto"/>
        <w:bottom w:val="none" w:sz="0" w:space="0" w:color="auto"/>
        <w:right w:val="none" w:sz="0" w:space="0" w:color="auto"/>
      </w:divBdr>
    </w:div>
    <w:div w:id="1913151484">
      <w:bodyDiv w:val="1"/>
      <w:marLeft w:val="0"/>
      <w:marRight w:val="0"/>
      <w:marTop w:val="0"/>
      <w:marBottom w:val="0"/>
      <w:divBdr>
        <w:top w:val="none" w:sz="0" w:space="0" w:color="auto"/>
        <w:left w:val="none" w:sz="0" w:space="0" w:color="auto"/>
        <w:bottom w:val="none" w:sz="0" w:space="0" w:color="auto"/>
        <w:right w:val="none" w:sz="0" w:space="0" w:color="auto"/>
      </w:divBdr>
    </w:div>
    <w:div w:id="2095782212">
      <w:bodyDiv w:val="1"/>
      <w:marLeft w:val="0"/>
      <w:marRight w:val="0"/>
      <w:marTop w:val="0"/>
      <w:marBottom w:val="0"/>
      <w:divBdr>
        <w:top w:val="none" w:sz="0" w:space="0" w:color="auto"/>
        <w:left w:val="none" w:sz="0" w:space="0" w:color="auto"/>
        <w:bottom w:val="none" w:sz="0" w:space="0" w:color="auto"/>
        <w:right w:val="none" w:sz="0" w:space="0" w:color="auto"/>
      </w:divBdr>
    </w:div>
    <w:div w:id="2104832684">
      <w:bodyDiv w:val="1"/>
      <w:marLeft w:val="0"/>
      <w:marRight w:val="0"/>
      <w:marTop w:val="0"/>
      <w:marBottom w:val="0"/>
      <w:divBdr>
        <w:top w:val="none" w:sz="0" w:space="0" w:color="auto"/>
        <w:left w:val="none" w:sz="0" w:space="0" w:color="auto"/>
        <w:bottom w:val="none" w:sz="0" w:space="0" w:color="auto"/>
        <w:right w:val="none" w:sz="0" w:space="0" w:color="auto"/>
      </w:divBdr>
      <w:divsChild>
        <w:div w:id="897980729">
          <w:marLeft w:val="0"/>
          <w:marRight w:val="0"/>
          <w:marTop w:val="0"/>
          <w:marBottom w:val="0"/>
          <w:divBdr>
            <w:top w:val="none" w:sz="0" w:space="0" w:color="auto"/>
            <w:left w:val="none" w:sz="0" w:space="0" w:color="auto"/>
            <w:bottom w:val="none" w:sz="0" w:space="0" w:color="auto"/>
            <w:right w:val="none" w:sz="0" w:space="0" w:color="auto"/>
          </w:divBdr>
          <w:divsChild>
            <w:div w:id="1801919912">
              <w:marLeft w:val="-225"/>
              <w:marRight w:val="-225"/>
              <w:marTop w:val="0"/>
              <w:marBottom w:val="0"/>
              <w:divBdr>
                <w:top w:val="none" w:sz="0" w:space="0" w:color="auto"/>
                <w:left w:val="none" w:sz="0" w:space="0" w:color="auto"/>
                <w:bottom w:val="none" w:sz="0" w:space="0" w:color="auto"/>
                <w:right w:val="none" w:sz="0" w:space="0" w:color="auto"/>
              </w:divBdr>
              <w:divsChild>
                <w:div w:id="83457946">
                  <w:marLeft w:val="0"/>
                  <w:marRight w:val="0"/>
                  <w:marTop w:val="0"/>
                  <w:marBottom w:val="0"/>
                  <w:divBdr>
                    <w:top w:val="none" w:sz="0" w:space="0" w:color="auto"/>
                    <w:left w:val="none" w:sz="0" w:space="0" w:color="auto"/>
                    <w:bottom w:val="none" w:sz="0" w:space="0" w:color="auto"/>
                    <w:right w:val="none" w:sz="0" w:space="0" w:color="auto"/>
                  </w:divBdr>
                  <w:divsChild>
                    <w:div w:id="10688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299">
          <w:marLeft w:val="0"/>
          <w:marRight w:val="0"/>
          <w:marTop w:val="0"/>
          <w:marBottom w:val="0"/>
          <w:divBdr>
            <w:top w:val="none" w:sz="0" w:space="0" w:color="auto"/>
            <w:left w:val="none" w:sz="0" w:space="0" w:color="auto"/>
            <w:bottom w:val="none" w:sz="0" w:space="0" w:color="auto"/>
            <w:right w:val="none" w:sz="0" w:space="0" w:color="auto"/>
          </w:divBdr>
          <w:divsChild>
            <w:div w:id="1794324616">
              <w:marLeft w:val="-225"/>
              <w:marRight w:val="-225"/>
              <w:marTop w:val="0"/>
              <w:marBottom w:val="0"/>
              <w:divBdr>
                <w:top w:val="none" w:sz="0" w:space="0" w:color="auto"/>
                <w:left w:val="none" w:sz="0" w:space="0" w:color="auto"/>
                <w:bottom w:val="none" w:sz="0" w:space="0" w:color="auto"/>
                <w:right w:val="none" w:sz="0" w:space="0" w:color="auto"/>
              </w:divBdr>
              <w:divsChild>
                <w:div w:id="785006840">
                  <w:marLeft w:val="0"/>
                  <w:marRight w:val="150"/>
                  <w:marTop w:val="0"/>
                  <w:marBottom w:val="0"/>
                  <w:divBdr>
                    <w:top w:val="none" w:sz="0" w:space="0" w:color="auto"/>
                    <w:left w:val="none" w:sz="0" w:space="0" w:color="auto"/>
                    <w:bottom w:val="none" w:sz="0" w:space="0" w:color="auto"/>
                    <w:right w:val="none" w:sz="0" w:space="0" w:color="auto"/>
                  </w:divBdr>
                </w:div>
                <w:div w:id="769787410">
                  <w:marLeft w:val="0"/>
                  <w:marRight w:val="0"/>
                  <w:marTop w:val="0"/>
                  <w:marBottom w:val="0"/>
                  <w:divBdr>
                    <w:top w:val="none" w:sz="0" w:space="0" w:color="auto"/>
                    <w:left w:val="none" w:sz="0" w:space="0" w:color="auto"/>
                    <w:bottom w:val="none" w:sz="0" w:space="0" w:color="auto"/>
                    <w:right w:val="none" w:sz="0" w:space="0" w:color="auto"/>
                  </w:divBdr>
                  <w:divsChild>
                    <w:div w:id="21176592">
                      <w:marLeft w:val="0"/>
                      <w:marRight w:val="0"/>
                      <w:marTop w:val="0"/>
                      <w:marBottom w:val="0"/>
                      <w:divBdr>
                        <w:top w:val="none" w:sz="0" w:space="0" w:color="auto"/>
                        <w:left w:val="none" w:sz="0" w:space="0" w:color="auto"/>
                        <w:bottom w:val="none" w:sz="0" w:space="0" w:color="auto"/>
                        <w:right w:val="none" w:sz="0" w:space="0" w:color="auto"/>
                      </w:divBdr>
                    </w:div>
                    <w:div w:id="1707636430">
                      <w:marLeft w:val="0"/>
                      <w:marRight w:val="0"/>
                      <w:marTop w:val="0"/>
                      <w:marBottom w:val="0"/>
                      <w:divBdr>
                        <w:top w:val="none" w:sz="0" w:space="0" w:color="auto"/>
                        <w:left w:val="none" w:sz="0" w:space="0" w:color="auto"/>
                        <w:bottom w:val="none" w:sz="0" w:space="0" w:color="auto"/>
                        <w:right w:val="none" w:sz="0" w:space="0" w:color="auto"/>
                      </w:divBdr>
                    </w:div>
                    <w:div w:id="1741515861">
                      <w:marLeft w:val="0"/>
                      <w:marRight w:val="0"/>
                      <w:marTop w:val="0"/>
                      <w:marBottom w:val="0"/>
                      <w:divBdr>
                        <w:top w:val="none" w:sz="0" w:space="0" w:color="auto"/>
                        <w:left w:val="none" w:sz="0" w:space="0" w:color="auto"/>
                        <w:bottom w:val="none" w:sz="0" w:space="0" w:color="auto"/>
                        <w:right w:val="none" w:sz="0" w:space="0" w:color="auto"/>
                      </w:divBdr>
                    </w:div>
                    <w:div w:id="638457663">
                      <w:marLeft w:val="0"/>
                      <w:marRight w:val="0"/>
                      <w:marTop w:val="0"/>
                      <w:marBottom w:val="0"/>
                      <w:divBdr>
                        <w:top w:val="none" w:sz="0" w:space="0" w:color="auto"/>
                        <w:left w:val="none" w:sz="0" w:space="0" w:color="auto"/>
                        <w:bottom w:val="none" w:sz="0" w:space="0" w:color="auto"/>
                        <w:right w:val="none" w:sz="0" w:space="0" w:color="auto"/>
                      </w:divBdr>
                    </w:div>
                    <w:div w:id="1836678631">
                      <w:marLeft w:val="0"/>
                      <w:marRight w:val="0"/>
                      <w:marTop w:val="0"/>
                      <w:marBottom w:val="0"/>
                      <w:divBdr>
                        <w:top w:val="none" w:sz="0" w:space="0" w:color="auto"/>
                        <w:left w:val="none" w:sz="0" w:space="0" w:color="auto"/>
                        <w:bottom w:val="none" w:sz="0" w:space="0" w:color="auto"/>
                        <w:right w:val="none" w:sz="0" w:space="0" w:color="auto"/>
                      </w:divBdr>
                    </w:div>
                    <w:div w:id="1118647250">
                      <w:marLeft w:val="0"/>
                      <w:marRight w:val="0"/>
                      <w:marTop w:val="0"/>
                      <w:marBottom w:val="0"/>
                      <w:divBdr>
                        <w:top w:val="none" w:sz="0" w:space="0" w:color="auto"/>
                        <w:left w:val="none" w:sz="0" w:space="0" w:color="auto"/>
                        <w:bottom w:val="none" w:sz="0" w:space="0" w:color="auto"/>
                        <w:right w:val="none" w:sz="0" w:space="0" w:color="auto"/>
                      </w:divBdr>
                    </w:div>
                    <w:div w:id="350761519">
                      <w:marLeft w:val="0"/>
                      <w:marRight w:val="0"/>
                      <w:marTop w:val="0"/>
                      <w:marBottom w:val="0"/>
                      <w:divBdr>
                        <w:top w:val="none" w:sz="0" w:space="0" w:color="auto"/>
                        <w:left w:val="none" w:sz="0" w:space="0" w:color="auto"/>
                        <w:bottom w:val="none" w:sz="0" w:space="0" w:color="auto"/>
                        <w:right w:val="none" w:sz="0" w:space="0" w:color="auto"/>
                      </w:divBdr>
                    </w:div>
                    <w:div w:id="1459496329">
                      <w:marLeft w:val="0"/>
                      <w:marRight w:val="0"/>
                      <w:marTop w:val="0"/>
                      <w:marBottom w:val="0"/>
                      <w:divBdr>
                        <w:top w:val="none" w:sz="0" w:space="0" w:color="auto"/>
                        <w:left w:val="none" w:sz="0" w:space="0" w:color="auto"/>
                        <w:bottom w:val="none" w:sz="0" w:space="0" w:color="auto"/>
                        <w:right w:val="none" w:sz="0" w:space="0" w:color="auto"/>
                      </w:divBdr>
                    </w:div>
                    <w:div w:id="158235693">
                      <w:marLeft w:val="0"/>
                      <w:marRight w:val="0"/>
                      <w:marTop w:val="0"/>
                      <w:marBottom w:val="0"/>
                      <w:divBdr>
                        <w:top w:val="none" w:sz="0" w:space="0" w:color="auto"/>
                        <w:left w:val="none" w:sz="0" w:space="0" w:color="auto"/>
                        <w:bottom w:val="none" w:sz="0" w:space="0" w:color="auto"/>
                        <w:right w:val="none" w:sz="0" w:space="0" w:color="auto"/>
                      </w:divBdr>
                    </w:div>
                    <w:div w:id="1822309321">
                      <w:marLeft w:val="0"/>
                      <w:marRight w:val="0"/>
                      <w:marTop w:val="0"/>
                      <w:marBottom w:val="0"/>
                      <w:divBdr>
                        <w:top w:val="none" w:sz="0" w:space="0" w:color="auto"/>
                        <w:left w:val="none" w:sz="0" w:space="0" w:color="auto"/>
                        <w:bottom w:val="none" w:sz="0" w:space="0" w:color="auto"/>
                        <w:right w:val="none" w:sz="0" w:space="0" w:color="auto"/>
                      </w:divBdr>
                    </w:div>
                    <w:div w:id="993601496">
                      <w:marLeft w:val="0"/>
                      <w:marRight w:val="0"/>
                      <w:marTop w:val="0"/>
                      <w:marBottom w:val="0"/>
                      <w:divBdr>
                        <w:top w:val="none" w:sz="0" w:space="0" w:color="auto"/>
                        <w:left w:val="none" w:sz="0" w:space="0" w:color="auto"/>
                        <w:bottom w:val="none" w:sz="0" w:space="0" w:color="auto"/>
                        <w:right w:val="none" w:sz="0" w:space="0" w:color="auto"/>
                      </w:divBdr>
                      <w:divsChild>
                        <w:div w:id="7595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59456">
          <w:marLeft w:val="0"/>
          <w:marRight w:val="0"/>
          <w:marTop w:val="0"/>
          <w:marBottom w:val="0"/>
          <w:divBdr>
            <w:top w:val="none" w:sz="0" w:space="0" w:color="auto"/>
            <w:left w:val="none" w:sz="0" w:space="0" w:color="auto"/>
            <w:bottom w:val="none" w:sz="0" w:space="0" w:color="auto"/>
            <w:right w:val="none" w:sz="0" w:space="0" w:color="auto"/>
          </w:divBdr>
          <w:divsChild>
            <w:div w:id="1618366562">
              <w:marLeft w:val="-225"/>
              <w:marRight w:val="-225"/>
              <w:marTop w:val="0"/>
              <w:marBottom w:val="0"/>
              <w:divBdr>
                <w:top w:val="none" w:sz="0" w:space="0" w:color="auto"/>
                <w:left w:val="none" w:sz="0" w:space="0" w:color="auto"/>
                <w:bottom w:val="none" w:sz="0" w:space="0" w:color="auto"/>
                <w:right w:val="none" w:sz="0" w:space="0" w:color="auto"/>
              </w:divBdr>
              <w:divsChild>
                <w:div w:id="714626239">
                  <w:marLeft w:val="0"/>
                  <w:marRight w:val="150"/>
                  <w:marTop w:val="0"/>
                  <w:marBottom w:val="0"/>
                  <w:divBdr>
                    <w:top w:val="none" w:sz="0" w:space="0" w:color="auto"/>
                    <w:left w:val="none" w:sz="0" w:space="0" w:color="auto"/>
                    <w:bottom w:val="none" w:sz="0" w:space="0" w:color="auto"/>
                    <w:right w:val="none" w:sz="0" w:space="0" w:color="auto"/>
                  </w:divBdr>
                </w:div>
                <w:div w:id="1716157875">
                  <w:marLeft w:val="0"/>
                  <w:marRight w:val="0"/>
                  <w:marTop w:val="0"/>
                  <w:marBottom w:val="0"/>
                  <w:divBdr>
                    <w:top w:val="none" w:sz="0" w:space="0" w:color="auto"/>
                    <w:left w:val="none" w:sz="0" w:space="0" w:color="auto"/>
                    <w:bottom w:val="none" w:sz="0" w:space="0" w:color="auto"/>
                    <w:right w:val="none" w:sz="0" w:space="0" w:color="auto"/>
                  </w:divBdr>
                  <w:divsChild>
                    <w:div w:id="861820240">
                      <w:marLeft w:val="0"/>
                      <w:marRight w:val="0"/>
                      <w:marTop w:val="0"/>
                      <w:marBottom w:val="0"/>
                      <w:divBdr>
                        <w:top w:val="none" w:sz="0" w:space="0" w:color="auto"/>
                        <w:left w:val="none" w:sz="0" w:space="0" w:color="auto"/>
                        <w:bottom w:val="none" w:sz="0" w:space="0" w:color="auto"/>
                        <w:right w:val="none" w:sz="0" w:space="0" w:color="auto"/>
                      </w:divBdr>
                    </w:div>
                    <w:div w:id="301930402">
                      <w:marLeft w:val="0"/>
                      <w:marRight w:val="0"/>
                      <w:marTop w:val="0"/>
                      <w:marBottom w:val="0"/>
                      <w:divBdr>
                        <w:top w:val="none" w:sz="0" w:space="0" w:color="auto"/>
                        <w:left w:val="none" w:sz="0" w:space="0" w:color="auto"/>
                        <w:bottom w:val="none" w:sz="0" w:space="0" w:color="auto"/>
                        <w:right w:val="none" w:sz="0" w:space="0" w:color="auto"/>
                      </w:divBdr>
                    </w:div>
                    <w:div w:id="7163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eng-press?i=003-5860476-7471615" TargetMode="External"/><Relationship Id="rId18" Type="http://schemas.openxmlformats.org/officeDocument/2006/relationships/hyperlink" Target="https://hudoc.echr.coe.int/eng" TargetMode="External"/><Relationship Id="rId26" Type="http://schemas.openxmlformats.org/officeDocument/2006/relationships/hyperlink" Target="http://hudoc.echr.coe.int/sites/eng-press/pages/search.aspx?i=003-4371757-5247345" TargetMode="External"/><Relationship Id="rId39" Type="http://schemas.openxmlformats.org/officeDocument/2006/relationships/hyperlink" Target="http://hudoc.echr.coe.int/eng-press?i=003-5727357-7273069" TargetMode="External"/><Relationship Id="rId21" Type="http://schemas.openxmlformats.org/officeDocument/2006/relationships/hyperlink" Target="https://hudoc.echr.coe.int/eng" TargetMode="External"/><Relationship Id="rId34" Type="http://schemas.openxmlformats.org/officeDocument/2006/relationships/hyperlink" Target="http://hudoc.echr.coe.int/sites/eng-press/pages/search.aspx?i=003-4371757-5247345" TargetMode="External"/><Relationship Id="rId42" Type="http://schemas.openxmlformats.org/officeDocument/2006/relationships/hyperlink" Target="http://hudoc.echr.coe.int/eng-press?i=003-5860476-7471615" TargetMode="External"/><Relationship Id="rId47" Type="http://schemas.openxmlformats.org/officeDocument/2006/relationships/theme" Target="theme/theme1.xml"/><Relationship Id="rId7" Type="http://schemas.openxmlformats.org/officeDocument/2006/relationships/hyperlink" Target="https://hudoc.echr.coe.int/eng" TargetMode="External"/><Relationship Id="rId2" Type="http://schemas.openxmlformats.org/officeDocument/2006/relationships/styles" Target="styles.xml"/><Relationship Id="rId16" Type="http://schemas.openxmlformats.org/officeDocument/2006/relationships/hyperlink" Target="https://hudoc.echr.coe.int/eng" TargetMode="External"/><Relationship Id="rId29" Type="http://schemas.openxmlformats.org/officeDocument/2006/relationships/hyperlink" Target="https://www.msz.gov.pl/resource/c79c4895-26f9-4dab-888a-527551da48ac:J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 TargetMode="External"/><Relationship Id="rId24" Type="http://schemas.openxmlformats.org/officeDocument/2006/relationships/hyperlink" Target="http://hudoc.echr.coe.int/sites/eng/pages/search.aspx?i=002-7228" TargetMode="External"/><Relationship Id="rId32" Type="http://schemas.openxmlformats.org/officeDocument/2006/relationships/hyperlink" Target="https://hudoc.echr.coe.int/eng" TargetMode="External"/><Relationship Id="rId37" Type="http://schemas.openxmlformats.org/officeDocument/2006/relationships/hyperlink" Target="http://hudoc.echr.coe.int/eng-press?i=003-5332256-6646783" TargetMode="External"/><Relationship Id="rId40" Type="http://schemas.openxmlformats.org/officeDocument/2006/relationships/hyperlink" Target="http://hudoc.echr.coe.int/sites/eng/pages/search.aspx?i=001-10947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udoc.echr.coe.int/eng" TargetMode="External"/><Relationship Id="rId23" Type="http://schemas.openxmlformats.org/officeDocument/2006/relationships/hyperlink" Target="http://hudoc.echr.coe.int/eng-press?i=003-5420099-6785234" TargetMode="External"/><Relationship Id="rId28" Type="http://schemas.openxmlformats.org/officeDocument/2006/relationships/hyperlink" Target="http://hudoc.echr.coe.int/eng-press?i=003-6454727-8498144" TargetMode="External"/><Relationship Id="rId36" Type="http://schemas.openxmlformats.org/officeDocument/2006/relationships/hyperlink" Target="http://hudoc.echr.coe.int/sites/eng/pages/search.aspx?i=001-138514" TargetMode="External"/><Relationship Id="rId10"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31" Type="http://schemas.openxmlformats.org/officeDocument/2006/relationships/hyperlink" Target="http://hudoc.echr.coe.int/eng-press?i=003-5420099-6785234" TargetMode="External"/><Relationship Id="rId44" Type="http://schemas.openxmlformats.org/officeDocument/2006/relationships/hyperlink" Target="http://hudoc.echr.coe.int/sites/eng/pages/search.aspx?i=001-113956" TargetMode="Externa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eng" TargetMode="External"/><Relationship Id="rId27" Type="http://schemas.openxmlformats.org/officeDocument/2006/relationships/hyperlink" Target="http://hudoc.echr.coe.int/eng-press?i=003-5860476-7471615" TargetMode="External"/><Relationship Id="rId30" Type="http://schemas.openxmlformats.org/officeDocument/2006/relationships/hyperlink" Target="http://hudoc.echr.coe.int/eng-press?i=003-5644174-7145931" TargetMode="External"/><Relationship Id="rId35" Type="http://schemas.openxmlformats.org/officeDocument/2006/relationships/hyperlink" Target="http://hudoc.echr.coe.int/sites/eng-press/pages/search.aspx?i=003-4306515-5150989" TargetMode="External"/><Relationship Id="rId43" Type="http://schemas.openxmlformats.org/officeDocument/2006/relationships/hyperlink" Target="http://hudoc.echr.coe.int/sites/eng-press/pages/search.aspx?i=003-3926023-4539531" TargetMode="External"/><Relationship Id="rId8" Type="http://schemas.openxmlformats.org/officeDocument/2006/relationships/hyperlink" Target="https://hudoc.echr.coe.int/eng" TargetMode="External"/><Relationship Id="rId3" Type="http://schemas.openxmlformats.org/officeDocument/2006/relationships/settings" Target="settings.xml"/><Relationship Id="rId12" Type="http://schemas.openxmlformats.org/officeDocument/2006/relationships/hyperlink" Target="http://hudoc.echr.coe.int/eng-press?i=003-5307105-6607289" TargetMode="External"/><Relationship Id="rId17" Type="http://schemas.openxmlformats.org/officeDocument/2006/relationships/hyperlink" Target="https://hudoc.echr.coe.int/eng" TargetMode="External"/><Relationship Id="rId25" Type="http://schemas.openxmlformats.org/officeDocument/2006/relationships/hyperlink" Target="http://hudoc.echr.coe.int/sites/eng-press/pages/search.aspx?i=003-4306515-5150989" TargetMode="External"/><Relationship Id="rId33" Type="http://schemas.openxmlformats.org/officeDocument/2006/relationships/hyperlink" Target="http://hudoc.echr.coe.int/sites/eng/pages/search.aspx?i=002-7228" TargetMode="External"/><Relationship Id="rId38" Type="http://schemas.openxmlformats.org/officeDocument/2006/relationships/hyperlink" Target="http://hudoc.echr.coe.int/eng?i=001-147871" TargetMode="External"/><Relationship Id="rId46" Type="http://schemas.openxmlformats.org/officeDocument/2006/relationships/fontTable" Target="fontTable.xml"/><Relationship Id="rId20" Type="http://schemas.openxmlformats.org/officeDocument/2006/relationships/hyperlink" Target="http://hudoc.echr.coe.int/sites/eng-press/pages/search.aspx?i=003-2602993-2833362" TargetMode="External"/><Relationship Id="rId41" Type="http://schemas.openxmlformats.org/officeDocument/2006/relationships/hyperlink" Target="http://hudoc.echr.coe.int/sites/eng-press/pages/search.aspx?i=003-3303244-368943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12425</Words>
  <Characters>74555</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Grajek Monika  (DWMPC)</dc:creator>
  <cp:keywords/>
  <dc:description/>
  <cp:lastModifiedBy>Szafrańska Urszula  (DWMPC)</cp:lastModifiedBy>
  <cp:revision>4</cp:revision>
  <cp:lastPrinted>2020-06-19T01:23:00Z</cp:lastPrinted>
  <dcterms:created xsi:type="dcterms:W3CDTF">2020-06-24T09:11:00Z</dcterms:created>
  <dcterms:modified xsi:type="dcterms:W3CDTF">2020-06-24T09:11:00Z</dcterms:modified>
</cp:coreProperties>
</file>